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44913" w14:textId="3B7E9C83" w:rsidR="00B84DFD" w:rsidRDefault="00AD7D67">
      <w:pPr>
        <w:spacing w:before="240" w:after="240" w:line="360" w:lineRule="auto"/>
        <w:jc w:val="right"/>
        <w:rPr>
          <w:b/>
          <w:bCs/>
          <w:i/>
          <w:iCs/>
          <w:color w:val="000000" w:themeColor="text1"/>
        </w:rPr>
      </w:pPr>
      <w:r w:rsidRPr="00AD7D67">
        <w:rPr>
          <w:b/>
          <w:bCs/>
          <w:i/>
          <w:iCs/>
          <w:color w:val="000000" w:themeColor="text1"/>
        </w:rPr>
        <w:t>https://doi.org/10.23913/ride.v13i26.1485</w:t>
      </w:r>
    </w:p>
    <w:p w14:paraId="7CF4387D" w14:textId="77777777" w:rsidR="0051191B" w:rsidRDefault="00000000">
      <w:pPr>
        <w:spacing w:before="240" w:after="240" w:line="360" w:lineRule="auto"/>
        <w:jc w:val="right"/>
        <w:rPr>
          <w:rFonts w:eastAsia="Calibri"/>
          <w:b/>
          <w:bCs/>
          <w:color w:val="000000" w:themeColor="text1"/>
          <w:sz w:val="32"/>
          <w:szCs w:val="32"/>
        </w:rPr>
      </w:pPr>
      <w:r>
        <w:rPr>
          <w:b/>
          <w:bCs/>
          <w:i/>
          <w:iCs/>
          <w:color w:val="000000" w:themeColor="text1"/>
        </w:rPr>
        <w:t>Artículos científicos</w:t>
      </w:r>
    </w:p>
    <w:p w14:paraId="40280467" w14:textId="77777777" w:rsidR="0051191B" w:rsidRPr="00B84DFD" w:rsidRDefault="00000000" w:rsidP="00B84DFD">
      <w:pPr>
        <w:spacing w:line="276" w:lineRule="auto"/>
        <w:jc w:val="right"/>
        <w:rPr>
          <w:rFonts w:ascii="Calibri" w:hAnsi="Calibri" w:cs="Calibri"/>
          <w:b/>
          <w:color w:val="000000"/>
          <w:sz w:val="32"/>
          <w:szCs w:val="32"/>
        </w:rPr>
      </w:pPr>
      <w:r w:rsidRPr="00B84DFD">
        <w:rPr>
          <w:rFonts w:ascii="Calibri" w:hAnsi="Calibri" w:cs="Calibri"/>
          <w:b/>
          <w:color w:val="000000"/>
          <w:sz w:val="32"/>
          <w:szCs w:val="32"/>
        </w:rPr>
        <w:t>Estudio de caso en trámites de control vehicular particular en la Recaudación de Rentas de Tepic en el Estado de Nayarit</w:t>
      </w:r>
    </w:p>
    <w:p w14:paraId="0D13E458" w14:textId="7E9EDB03" w:rsidR="0051191B" w:rsidRPr="00FA07F3" w:rsidRDefault="00000000" w:rsidP="00B84DFD">
      <w:pPr>
        <w:spacing w:line="276" w:lineRule="auto"/>
        <w:jc w:val="right"/>
        <w:rPr>
          <w:rFonts w:ascii="Calibri" w:hAnsi="Calibri" w:cs="Calibri"/>
          <w:b/>
          <w:i/>
          <w:iCs/>
          <w:color w:val="000000"/>
          <w:sz w:val="28"/>
          <w:szCs w:val="28"/>
          <w:lang w:val="en-US"/>
        </w:rPr>
      </w:pPr>
      <w:r w:rsidRPr="00AD7D67">
        <w:rPr>
          <w:rFonts w:ascii="Calibri" w:hAnsi="Calibri" w:cs="Calibri"/>
          <w:b/>
          <w:color w:val="000000"/>
          <w:sz w:val="32"/>
          <w:szCs w:val="32"/>
          <w:lang w:val="en-US"/>
        </w:rPr>
        <w:br/>
      </w:r>
      <w:r w:rsidRPr="00FA07F3">
        <w:rPr>
          <w:rFonts w:ascii="Calibri" w:hAnsi="Calibri" w:cs="Calibri"/>
          <w:b/>
          <w:i/>
          <w:iCs/>
          <w:color w:val="000000"/>
          <w:sz w:val="28"/>
          <w:szCs w:val="28"/>
          <w:lang w:val="en-US"/>
        </w:rPr>
        <w:t>Case study on private vehicle control procedures at the Tepic Revenue Office in the state of Nayarit</w:t>
      </w:r>
    </w:p>
    <w:p w14:paraId="03AF9D6E" w14:textId="63D8B1BF" w:rsidR="00B84DFD" w:rsidRPr="00B84DFD" w:rsidRDefault="00B84DFD" w:rsidP="00B84DFD">
      <w:pPr>
        <w:spacing w:line="276" w:lineRule="auto"/>
        <w:jc w:val="right"/>
        <w:rPr>
          <w:rFonts w:ascii="Calibri" w:hAnsi="Calibri" w:cs="Calibri"/>
          <w:b/>
          <w:i/>
          <w:iCs/>
          <w:color w:val="000000"/>
          <w:sz w:val="28"/>
          <w:szCs w:val="28"/>
        </w:rPr>
      </w:pPr>
      <w:r w:rsidRPr="00AD7D67">
        <w:rPr>
          <w:rFonts w:ascii="Calibri" w:hAnsi="Calibri" w:cs="Calibri"/>
          <w:b/>
          <w:i/>
          <w:iCs/>
          <w:color w:val="000000"/>
          <w:sz w:val="28"/>
          <w:szCs w:val="28"/>
        </w:rPr>
        <w:br/>
      </w:r>
      <w:proofErr w:type="spellStart"/>
      <w:r w:rsidRPr="00B84DFD">
        <w:rPr>
          <w:rFonts w:ascii="Calibri" w:hAnsi="Calibri" w:cs="Calibri"/>
          <w:b/>
          <w:i/>
          <w:iCs/>
          <w:color w:val="000000"/>
          <w:sz w:val="28"/>
          <w:szCs w:val="28"/>
        </w:rPr>
        <w:t>Estudo</w:t>
      </w:r>
      <w:proofErr w:type="spellEnd"/>
      <w:r w:rsidRPr="00B84DFD">
        <w:rPr>
          <w:rFonts w:ascii="Calibri" w:hAnsi="Calibri" w:cs="Calibri"/>
          <w:b/>
          <w:i/>
          <w:iCs/>
          <w:color w:val="000000"/>
          <w:sz w:val="28"/>
          <w:szCs w:val="28"/>
        </w:rPr>
        <w:t xml:space="preserve"> de caso em procedimentos de controle de veículos particulares na arrecadação de renda Tepic no estado de Nayarit</w:t>
      </w:r>
    </w:p>
    <w:p w14:paraId="5985B4F7" w14:textId="77777777" w:rsidR="0051191B" w:rsidRPr="00B84DFD" w:rsidRDefault="0051191B">
      <w:pPr>
        <w:spacing w:line="360" w:lineRule="auto"/>
        <w:rPr>
          <w:color w:val="000000" w:themeColor="text1"/>
          <w:shd w:val="clear" w:color="auto" w:fill="FFFFFF"/>
        </w:rPr>
      </w:pPr>
    </w:p>
    <w:p w14:paraId="797C5B57" w14:textId="77777777" w:rsidR="0051191B" w:rsidRPr="00B84DFD" w:rsidRDefault="00000000">
      <w:pPr>
        <w:spacing w:line="276" w:lineRule="auto"/>
        <w:jc w:val="right"/>
        <w:rPr>
          <w:rFonts w:asciiTheme="minorHAnsi" w:hAnsiTheme="minorHAnsi" w:cstheme="minorHAnsi"/>
          <w:b/>
          <w:bCs/>
          <w:color w:val="000000" w:themeColor="text1"/>
          <w:shd w:val="clear" w:color="auto" w:fill="FFFFFF"/>
          <w:lang w:val="pt-BR"/>
        </w:rPr>
      </w:pPr>
      <w:r w:rsidRPr="00B84DFD">
        <w:rPr>
          <w:rFonts w:asciiTheme="minorHAnsi" w:hAnsiTheme="minorHAnsi" w:cstheme="minorHAnsi"/>
          <w:b/>
          <w:bCs/>
          <w:color w:val="000000" w:themeColor="text1"/>
          <w:shd w:val="clear" w:color="auto" w:fill="FFFFFF"/>
          <w:lang w:val="pt-BR"/>
        </w:rPr>
        <w:t>Ricardo Gómez Álvarez</w:t>
      </w:r>
    </w:p>
    <w:p w14:paraId="32C92339" w14:textId="77777777" w:rsidR="0051191B" w:rsidRDefault="00000000">
      <w:pPr>
        <w:spacing w:line="276" w:lineRule="auto"/>
        <w:jc w:val="right"/>
        <w:rPr>
          <w:color w:val="000000" w:themeColor="text1"/>
          <w:shd w:val="clear" w:color="auto" w:fill="FFFFFF"/>
          <w:lang w:val="pt-BR"/>
        </w:rPr>
      </w:pPr>
      <w:proofErr w:type="spellStart"/>
      <w:r>
        <w:rPr>
          <w:color w:val="000000" w:themeColor="text1"/>
          <w:shd w:val="clear" w:color="auto" w:fill="FFFFFF"/>
          <w:lang w:val="pt-BR"/>
        </w:rPr>
        <w:t>Universidad</w:t>
      </w:r>
      <w:proofErr w:type="spellEnd"/>
      <w:r>
        <w:rPr>
          <w:color w:val="000000" w:themeColor="text1"/>
          <w:shd w:val="clear" w:color="auto" w:fill="FFFFFF"/>
          <w:lang w:val="pt-BR"/>
        </w:rPr>
        <w:t xml:space="preserve"> Autónoma de </w:t>
      </w:r>
      <w:proofErr w:type="spellStart"/>
      <w:r>
        <w:rPr>
          <w:color w:val="000000" w:themeColor="text1"/>
          <w:shd w:val="clear" w:color="auto" w:fill="FFFFFF"/>
          <w:lang w:val="pt-BR"/>
        </w:rPr>
        <w:t>Nayarit</w:t>
      </w:r>
      <w:proofErr w:type="spellEnd"/>
      <w:r>
        <w:rPr>
          <w:color w:val="000000" w:themeColor="text1"/>
          <w:shd w:val="clear" w:color="auto" w:fill="FFFFFF"/>
          <w:lang w:val="pt-BR"/>
        </w:rPr>
        <w:t>, México</w:t>
      </w:r>
    </w:p>
    <w:p w14:paraId="69591D0B" w14:textId="14BAB965" w:rsidR="0051191B" w:rsidRPr="00B84DFD" w:rsidRDefault="00000000">
      <w:pPr>
        <w:spacing w:line="276" w:lineRule="auto"/>
        <w:jc w:val="right"/>
        <w:rPr>
          <w:rFonts w:asciiTheme="minorHAnsi" w:hAnsiTheme="minorHAnsi" w:cstheme="minorHAnsi"/>
          <w:color w:val="000000" w:themeColor="text1"/>
          <w:shd w:val="clear" w:color="auto" w:fill="FFFFFF"/>
          <w:lang w:val="pt-BR"/>
        </w:rPr>
      </w:pPr>
      <w:r w:rsidRPr="00B84DFD">
        <w:rPr>
          <w:rStyle w:val="EnlacedeInternet"/>
          <w:rFonts w:asciiTheme="minorHAnsi" w:hAnsiTheme="minorHAnsi" w:cstheme="minorHAnsi"/>
          <w:color w:val="FF0000"/>
          <w:u w:val="none"/>
          <w:shd w:val="clear" w:color="auto" w:fill="FFFFFF"/>
          <w:lang w:val="pt-BR"/>
        </w:rPr>
        <w:t>ricardo.gomez@uan.edu.mx</w:t>
      </w:r>
    </w:p>
    <w:p w14:paraId="1ABC18F3" w14:textId="77777777" w:rsidR="0051191B" w:rsidRDefault="00000000">
      <w:pPr>
        <w:spacing w:line="276" w:lineRule="auto"/>
        <w:jc w:val="right"/>
        <w:rPr>
          <w:color w:val="000000" w:themeColor="text1"/>
          <w:shd w:val="clear" w:color="auto" w:fill="FFFFFF"/>
          <w:lang w:val="pt-BR"/>
        </w:rPr>
      </w:pPr>
      <w:r>
        <w:rPr>
          <w:color w:val="000000" w:themeColor="text1"/>
          <w:shd w:val="clear" w:color="auto" w:fill="FFFFFF"/>
          <w:lang w:val="pt-BR"/>
        </w:rPr>
        <w:t>https://orcid.org/0000-0002-6283-8189</w:t>
      </w:r>
    </w:p>
    <w:p w14:paraId="3D15CF9C" w14:textId="77777777" w:rsidR="0051191B" w:rsidRDefault="0051191B">
      <w:pPr>
        <w:spacing w:line="276" w:lineRule="auto"/>
        <w:ind w:right="360"/>
        <w:jc w:val="right"/>
        <w:rPr>
          <w:color w:val="000000" w:themeColor="text1"/>
          <w:shd w:val="clear" w:color="auto" w:fill="FFFFFF"/>
          <w:lang w:val="pt-BR"/>
        </w:rPr>
      </w:pPr>
    </w:p>
    <w:p w14:paraId="08CA6965" w14:textId="77777777" w:rsidR="0051191B" w:rsidRPr="00B84DFD" w:rsidRDefault="00000000">
      <w:pPr>
        <w:spacing w:line="276" w:lineRule="auto"/>
        <w:jc w:val="right"/>
        <w:rPr>
          <w:rFonts w:asciiTheme="minorHAnsi" w:hAnsiTheme="minorHAnsi" w:cstheme="minorHAnsi"/>
          <w:b/>
          <w:bCs/>
          <w:color w:val="000000" w:themeColor="text1"/>
          <w:shd w:val="clear" w:color="auto" w:fill="FFFFFF"/>
          <w:lang w:val="pt-BR"/>
        </w:rPr>
      </w:pPr>
      <w:r w:rsidRPr="00B84DFD">
        <w:rPr>
          <w:rFonts w:asciiTheme="minorHAnsi" w:hAnsiTheme="minorHAnsi" w:cstheme="minorHAnsi"/>
          <w:b/>
          <w:bCs/>
          <w:color w:val="000000" w:themeColor="text1"/>
          <w:shd w:val="clear" w:color="auto" w:fill="FFFFFF"/>
          <w:lang w:val="pt-BR"/>
        </w:rPr>
        <w:t>Ignacio Maldonado Bernal</w:t>
      </w:r>
    </w:p>
    <w:p w14:paraId="5839F360" w14:textId="77777777" w:rsidR="0051191B" w:rsidRDefault="00000000">
      <w:pPr>
        <w:spacing w:line="276" w:lineRule="auto"/>
        <w:jc w:val="right"/>
        <w:rPr>
          <w:color w:val="000000" w:themeColor="text1"/>
          <w:shd w:val="clear" w:color="auto" w:fill="FFFFFF"/>
          <w:lang w:val="pt-BR"/>
        </w:rPr>
      </w:pPr>
      <w:r>
        <w:rPr>
          <w:color w:val="000000" w:themeColor="text1"/>
        </w:rPr>
        <w:t>Universidad Autónoma de Nayarit, México</w:t>
      </w:r>
    </w:p>
    <w:p w14:paraId="423A7FBE" w14:textId="77777777" w:rsidR="0051191B" w:rsidRPr="00D45D7D" w:rsidRDefault="00000000">
      <w:pPr>
        <w:spacing w:line="276" w:lineRule="auto"/>
        <w:jc w:val="right"/>
        <w:rPr>
          <w:rStyle w:val="EnlacedeInternet"/>
          <w:rFonts w:asciiTheme="minorHAnsi" w:hAnsiTheme="minorHAnsi" w:cstheme="minorHAnsi"/>
          <w:color w:val="FF0000"/>
          <w:u w:val="none"/>
          <w:lang w:val="pt-BR"/>
        </w:rPr>
      </w:pPr>
      <w:hyperlink r:id="rId8">
        <w:r w:rsidRPr="00B84DFD">
          <w:rPr>
            <w:rStyle w:val="EnlacedeInternet"/>
            <w:rFonts w:asciiTheme="minorHAnsi" w:hAnsiTheme="minorHAnsi" w:cstheme="minorHAnsi"/>
            <w:color w:val="FF0000"/>
            <w:u w:val="none"/>
            <w:shd w:val="clear" w:color="auto" w:fill="FFFFFF"/>
            <w:lang w:val="pt-BR"/>
          </w:rPr>
          <w:t>maldonado24@uan.edu.mx</w:t>
        </w:r>
      </w:hyperlink>
    </w:p>
    <w:p w14:paraId="59437C01" w14:textId="77777777" w:rsidR="0051191B" w:rsidRDefault="00000000">
      <w:pPr>
        <w:spacing w:line="276" w:lineRule="auto"/>
        <w:jc w:val="right"/>
        <w:rPr>
          <w:color w:val="000000" w:themeColor="text1"/>
          <w:shd w:val="clear" w:color="auto" w:fill="FFFFFF"/>
          <w:lang w:val="pt-BR"/>
        </w:rPr>
      </w:pPr>
      <w:r>
        <w:rPr>
          <w:color w:val="000000" w:themeColor="text1"/>
          <w:shd w:val="clear" w:color="auto" w:fill="FFFFFF"/>
          <w:lang w:val="pt-BR"/>
        </w:rPr>
        <w:t>https://orcid.org/0000-0002-4472-273X</w:t>
      </w:r>
    </w:p>
    <w:p w14:paraId="582BE18B" w14:textId="6FA4E6CA" w:rsidR="0051191B" w:rsidRDefault="0051191B">
      <w:pPr>
        <w:rPr>
          <w:b/>
          <w:bCs/>
          <w:color w:val="000000" w:themeColor="text1"/>
          <w:sz w:val="28"/>
          <w:szCs w:val="28"/>
          <w:shd w:val="clear" w:color="auto" w:fill="FFFFFF"/>
          <w:lang w:val="pt-BR"/>
        </w:rPr>
      </w:pPr>
    </w:p>
    <w:p w14:paraId="26786F62" w14:textId="77777777" w:rsidR="0051191B" w:rsidRPr="00B84DFD" w:rsidRDefault="00000000">
      <w:pPr>
        <w:spacing w:line="360" w:lineRule="auto"/>
        <w:rPr>
          <w:rFonts w:asciiTheme="minorHAnsi" w:hAnsiTheme="minorHAnsi" w:cstheme="minorHAnsi"/>
          <w:b/>
          <w:bCs/>
          <w:color w:val="000000" w:themeColor="text1"/>
          <w:sz w:val="32"/>
          <w:szCs w:val="32"/>
          <w:shd w:val="clear" w:color="auto" w:fill="FFFFFF"/>
        </w:rPr>
      </w:pPr>
      <w:r w:rsidRPr="00B84DFD">
        <w:rPr>
          <w:rFonts w:asciiTheme="minorHAnsi" w:hAnsiTheme="minorHAnsi" w:cstheme="minorHAnsi"/>
          <w:b/>
          <w:bCs/>
          <w:color w:val="000000" w:themeColor="text1"/>
          <w:sz w:val="28"/>
          <w:szCs w:val="28"/>
          <w:shd w:val="clear" w:color="auto" w:fill="FFFFFF"/>
        </w:rPr>
        <w:t>Resumen</w:t>
      </w:r>
    </w:p>
    <w:p w14:paraId="7555CCED" w14:textId="77777777" w:rsidR="0051191B" w:rsidRDefault="00000000" w:rsidP="00B84DFD">
      <w:pPr>
        <w:pStyle w:val="NormalWeb"/>
        <w:shd w:val="clear" w:color="auto" w:fill="FFFFFF"/>
        <w:spacing w:beforeAutospacing="0" w:afterAutospacing="0" w:line="360" w:lineRule="auto"/>
        <w:jc w:val="both"/>
        <w:rPr>
          <w:color w:val="000000" w:themeColor="text1"/>
          <w:highlight w:val="yellow"/>
          <w:shd w:val="clear" w:color="auto" w:fill="FFFFFF"/>
        </w:rPr>
      </w:pPr>
      <w:r>
        <w:rPr>
          <w:color w:val="000000" w:themeColor="text1"/>
          <w:shd w:val="clear" w:color="auto" w:fill="FFFFFF"/>
        </w:rPr>
        <w:t xml:space="preserve">La eficiencia y eficacia son partes importantes al momento de dar un servicio. Ahora bien, para un gobierno del Estado que debe tener como objetivo mejorar sus procesos en la captación de ingresos propios, debe ser mayor. El presente trabajo tiene como objetivo conocer si la percepción de los contribuyentes en el trámite de control vehicular se relaciona con los ingresos propios captados en la Recaudación de Rentas de Tepic. La finalidad es proponer mejoras en la gestión de captación de ingresos propios para el Estado de Nayarit, México. Para el desarrollo de la investigación, se empleó una metodología no experimental de tipo descriptivo relacional con una muestra de 97 contribuyentes que acudieron a la recaudación mencionada. Se utilizó un instrumento en escala de Likert, teniendo como principales resultados que los ingresos propios se relacionan con las facilidades administrativas y la percepción del marco legal. Se concluye que la generación o captación </w:t>
      </w:r>
      <w:r>
        <w:rPr>
          <w:color w:val="000000" w:themeColor="text1"/>
          <w:shd w:val="clear" w:color="auto" w:fill="FFFFFF"/>
        </w:rPr>
        <w:lastRenderedPageBreak/>
        <w:t>de ingresos propios para un estado tiene relación con la gestión o políticas que un gobierno aplica mediante las facilidades administrativas.</w:t>
      </w:r>
    </w:p>
    <w:p w14:paraId="77A3A77D" w14:textId="77777777" w:rsidR="0051191B" w:rsidRDefault="00000000">
      <w:pPr>
        <w:spacing w:line="360" w:lineRule="auto"/>
        <w:jc w:val="both"/>
        <w:rPr>
          <w:color w:val="000000" w:themeColor="text1"/>
          <w:shd w:val="clear" w:color="auto" w:fill="FFFFFF"/>
        </w:rPr>
      </w:pPr>
      <w:r w:rsidRPr="00B84DFD">
        <w:rPr>
          <w:rFonts w:asciiTheme="minorHAnsi" w:hAnsiTheme="minorHAnsi" w:cstheme="minorHAnsi"/>
          <w:b/>
          <w:bCs/>
          <w:color w:val="000000" w:themeColor="text1"/>
          <w:sz w:val="28"/>
          <w:szCs w:val="28"/>
          <w:shd w:val="clear" w:color="auto" w:fill="FFFFFF"/>
        </w:rPr>
        <w:t>Palabras clave:</w:t>
      </w:r>
      <w:r>
        <w:rPr>
          <w:color w:val="000000" w:themeColor="text1"/>
          <w:sz w:val="28"/>
          <w:szCs w:val="28"/>
          <w:shd w:val="clear" w:color="auto" w:fill="FFFFFF"/>
        </w:rPr>
        <w:t xml:space="preserve"> </w:t>
      </w:r>
      <w:r>
        <w:rPr>
          <w:color w:val="000000" w:themeColor="text1"/>
          <w:shd w:val="clear" w:color="auto" w:fill="FFFFFF"/>
        </w:rPr>
        <w:t>administración local, contribución presupuestaria, gobernabilidad, política de ingresos, tributación.</w:t>
      </w:r>
    </w:p>
    <w:p w14:paraId="5C5D6F4E" w14:textId="77777777" w:rsidR="0051191B" w:rsidRDefault="0051191B">
      <w:pPr>
        <w:spacing w:line="360" w:lineRule="auto"/>
        <w:rPr>
          <w:b/>
          <w:bCs/>
          <w:color w:val="000000" w:themeColor="text1"/>
          <w:sz w:val="28"/>
          <w:szCs w:val="28"/>
          <w:shd w:val="clear" w:color="auto" w:fill="FFFFFF"/>
        </w:rPr>
      </w:pPr>
    </w:p>
    <w:p w14:paraId="0783D7C9" w14:textId="77777777" w:rsidR="0051191B" w:rsidRPr="00B84DFD" w:rsidRDefault="00000000">
      <w:pPr>
        <w:spacing w:line="360" w:lineRule="auto"/>
        <w:jc w:val="both"/>
        <w:rPr>
          <w:rFonts w:asciiTheme="minorHAnsi" w:hAnsiTheme="minorHAnsi" w:cstheme="minorHAnsi"/>
          <w:b/>
          <w:bCs/>
          <w:color w:val="000000" w:themeColor="text1"/>
          <w:sz w:val="28"/>
          <w:szCs w:val="28"/>
          <w:shd w:val="clear" w:color="auto" w:fill="FFFFFF"/>
        </w:rPr>
      </w:pPr>
      <w:r w:rsidRPr="00B84DFD">
        <w:rPr>
          <w:rFonts w:asciiTheme="minorHAnsi" w:hAnsiTheme="minorHAnsi" w:cstheme="minorHAnsi"/>
          <w:b/>
          <w:bCs/>
          <w:color w:val="000000" w:themeColor="text1"/>
          <w:sz w:val="28"/>
          <w:szCs w:val="28"/>
          <w:shd w:val="clear" w:color="auto" w:fill="FFFFFF"/>
        </w:rPr>
        <w:t>Abstract</w:t>
      </w:r>
    </w:p>
    <w:p w14:paraId="67F9E254" w14:textId="77777777" w:rsidR="0051191B" w:rsidRDefault="00000000">
      <w:pPr>
        <w:spacing w:line="360" w:lineRule="auto"/>
        <w:jc w:val="both"/>
        <w:rPr>
          <w:color w:val="000000" w:themeColor="text1"/>
          <w:shd w:val="clear" w:color="auto" w:fill="FFFFFF"/>
          <w:lang w:val="en-US"/>
        </w:rPr>
      </w:pPr>
      <w:r>
        <w:rPr>
          <w:color w:val="000000" w:themeColor="text1"/>
          <w:shd w:val="clear" w:color="auto" w:fill="FFFFFF"/>
          <w:lang w:val="en-US"/>
        </w:rPr>
        <w:t xml:space="preserve">Efficiency and effectiveness are important parts at the time of providing a service, now, for a state government that should aim to improve its processes in the collection of its own revenues should be greater. The objective of this study is to determine whether the perception of taxpayers in the vehicle control process is related to the revenue collected by the Tepic Revenue Department </w:t>
      </w:r>
      <w:proofErr w:type="gramStart"/>
      <w:r>
        <w:rPr>
          <w:color w:val="000000" w:themeColor="text1"/>
          <w:shd w:val="clear" w:color="auto" w:fill="FFFFFF"/>
          <w:lang w:val="en-US"/>
        </w:rPr>
        <w:t>in order to</w:t>
      </w:r>
      <w:proofErr w:type="gramEnd"/>
      <w:r>
        <w:rPr>
          <w:color w:val="000000" w:themeColor="text1"/>
          <w:shd w:val="clear" w:color="auto" w:fill="FFFFFF"/>
          <w:lang w:val="en-US"/>
        </w:rPr>
        <w:t xml:space="preserve"> propose improvements in the management of revenue collection for the state of Nayarit, Mexico. For the development of the research a non-experimental methodology of relational descriptive type was used, with a sample of 97 taxpayers who went to the </w:t>
      </w:r>
      <w:proofErr w:type="gramStart"/>
      <w:r>
        <w:rPr>
          <w:color w:val="000000" w:themeColor="text1"/>
          <w:shd w:val="clear" w:color="auto" w:fill="FFFFFF"/>
          <w:lang w:val="en-US"/>
        </w:rPr>
        <w:t>aforementioned Tax</w:t>
      </w:r>
      <w:proofErr w:type="gramEnd"/>
      <w:r>
        <w:rPr>
          <w:color w:val="000000" w:themeColor="text1"/>
          <w:shd w:val="clear" w:color="auto" w:fill="FFFFFF"/>
          <w:lang w:val="en-US"/>
        </w:rPr>
        <w:t xml:space="preserve"> Collection Office, using an instrument in </w:t>
      </w:r>
      <w:proofErr w:type="spellStart"/>
      <w:r>
        <w:rPr>
          <w:color w:val="000000" w:themeColor="text1"/>
          <w:shd w:val="clear" w:color="auto" w:fill="FFFFFF"/>
          <w:lang w:val="en-US"/>
        </w:rPr>
        <w:t>likert</w:t>
      </w:r>
      <w:proofErr w:type="spellEnd"/>
      <w:r>
        <w:rPr>
          <w:color w:val="000000" w:themeColor="text1"/>
          <w:shd w:val="clear" w:color="auto" w:fill="FFFFFF"/>
          <w:lang w:val="en-US"/>
        </w:rPr>
        <w:t xml:space="preserve"> scale, having as main results: that the own income is related to the administrative facilities and the perception of the legal framework. It is concluded that the generation or collection of a state's own revenues is related to the management or policies that a government applies through administrative facilities.</w:t>
      </w:r>
    </w:p>
    <w:p w14:paraId="786CA613" w14:textId="77777777" w:rsidR="0051191B" w:rsidRDefault="00000000">
      <w:pPr>
        <w:spacing w:line="360" w:lineRule="auto"/>
        <w:jc w:val="both"/>
        <w:rPr>
          <w:color w:val="000000" w:themeColor="text1"/>
          <w:shd w:val="clear" w:color="auto" w:fill="FFFFFF"/>
          <w:lang w:val="en-US"/>
        </w:rPr>
      </w:pPr>
      <w:r w:rsidRPr="00FA07F3">
        <w:rPr>
          <w:rFonts w:asciiTheme="minorHAnsi" w:hAnsiTheme="minorHAnsi" w:cstheme="minorHAnsi"/>
          <w:b/>
          <w:bCs/>
          <w:color w:val="000000" w:themeColor="text1"/>
          <w:sz w:val="28"/>
          <w:szCs w:val="28"/>
          <w:shd w:val="clear" w:color="auto" w:fill="FFFFFF"/>
          <w:lang w:val="en-US"/>
        </w:rPr>
        <w:t>Keywords:</w:t>
      </w:r>
      <w:r>
        <w:rPr>
          <w:color w:val="000000" w:themeColor="text1"/>
          <w:sz w:val="28"/>
          <w:szCs w:val="28"/>
          <w:shd w:val="clear" w:color="auto" w:fill="FFFFFF"/>
          <w:lang w:val="en-US"/>
        </w:rPr>
        <w:t xml:space="preserve"> </w:t>
      </w:r>
      <w:r>
        <w:rPr>
          <w:color w:val="000000" w:themeColor="text1"/>
          <w:shd w:val="clear" w:color="auto" w:fill="FFFFFF"/>
          <w:lang w:val="en-US"/>
        </w:rPr>
        <w:t>local administration, budget contribution, governance, revenue policy, taxation.</w:t>
      </w:r>
    </w:p>
    <w:p w14:paraId="123CF8B8" w14:textId="77777777" w:rsidR="00B84DFD" w:rsidRDefault="00B84DFD">
      <w:pPr>
        <w:spacing w:line="360" w:lineRule="auto"/>
        <w:jc w:val="both"/>
        <w:rPr>
          <w:color w:val="000000" w:themeColor="text1"/>
          <w:shd w:val="clear" w:color="auto" w:fill="FFFFFF"/>
          <w:lang w:val="en-US"/>
        </w:rPr>
      </w:pPr>
    </w:p>
    <w:p w14:paraId="51BBCE73" w14:textId="651657C2" w:rsidR="00B84DFD" w:rsidRPr="00B84DFD" w:rsidRDefault="00B84DFD">
      <w:pPr>
        <w:spacing w:line="360" w:lineRule="auto"/>
        <w:jc w:val="both"/>
        <w:rPr>
          <w:rFonts w:asciiTheme="minorHAnsi" w:hAnsiTheme="minorHAnsi" w:cstheme="minorHAnsi"/>
          <w:b/>
          <w:bCs/>
          <w:color w:val="000000" w:themeColor="text1"/>
          <w:sz w:val="28"/>
          <w:szCs w:val="28"/>
          <w:shd w:val="clear" w:color="auto" w:fill="FFFFFF"/>
        </w:rPr>
      </w:pPr>
      <w:r w:rsidRPr="00B84DFD">
        <w:rPr>
          <w:rFonts w:asciiTheme="minorHAnsi" w:hAnsiTheme="minorHAnsi" w:cstheme="minorHAnsi"/>
          <w:b/>
          <w:bCs/>
          <w:color w:val="000000" w:themeColor="text1"/>
          <w:sz w:val="28"/>
          <w:szCs w:val="28"/>
          <w:shd w:val="clear" w:color="auto" w:fill="FFFFFF"/>
        </w:rPr>
        <w:t>Resumo</w:t>
      </w:r>
    </w:p>
    <w:p w14:paraId="1470E308" w14:textId="77777777" w:rsidR="00B84DFD" w:rsidRPr="00B84DFD" w:rsidRDefault="00B84DFD" w:rsidP="00B84DFD">
      <w:pPr>
        <w:spacing w:line="360" w:lineRule="auto"/>
        <w:jc w:val="both"/>
        <w:rPr>
          <w:color w:val="000000" w:themeColor="text1"/>
          <w:shd w:val="clear" w:color="auto" w:fill="FFFFFF"/>
        </w:rPr>
      </w:pPr>
      <w:r w:rsidRPr="00B84DFD">
        <w:rPr>
          <w:color w:val="000000" w:themeColor="text1"/>
          <w:shd w:val="clear" w:color="auto" w:fill="FFFFFF"/>
        </w:rPr>
        <w:t xml:space="preserve">Eficiência e eficácia são partes importantes na prestação de um serviço. No entanto, para um governo estadual que visa melhorar seus próprios processos de arrecadação, deve ser maior. O objetivo deste trabalho é saber se a percepção dos contribuintes no processo de controle de veículos está relacionada com a receita própria captada na Arrecadação de Rendas Tepic. O objetivo é propor melhorias na gestão da captação de receitas próprias para o Estado de Nayarit, México. Para o desenvolvimento da pesquisa, foi utilizada uma metodologia não experimental do tipo relacional descritiva com uma amostra de 97 contribuintes que compareceram à referida arrecadação. Foi utilizado um instrumento de escala Likert, tendo como principais resultados que a receita própria está relacionada com as facilidades administrativas e a percepção do enquadramento legal. Conclui-se que a geração ou </w:t>
      </w:r>
      <w:r w:rsidRPr="00B84DFD">
        <w:rPr>
          <w:color w:val="000000" w:themeColor="text1"/>
          <w:shd w:val="clear" w:color="auto" w:fill="FFFFFF"/>
        </w:rPr>
        <w:lastRenderedPageBreak/>
        <w:t>arrecadação de receitas próprias para um estado está relacionada com a gestão ou políticas que um governo aplica por meio de facilidades administrativas.</w:t>
      </w:r>
    </w:p>
    <w:p w14:paraId="53833C01" w14:textId="49C25AE9" w:rsidR="00B84DFD" w:rsidRDefault="00B84DFD" w:rsidP="00B84DFD">
      <w:pPr>
        <w:spacing w:line="360" w:lineRule="auto"/>
        <w:jc w:val="both"/>
        <w:rPr>
          <w:color w:val="000000" w:themeColor="text1"/>
          <w:shd w:val="clear" w:color="auto" w:fill="FFFFFF"/>
        </w:rPr>
      </w:pPr>
      <w:r w:rsidRPr="00B84DFD">
        <w:rPr>
          <w:rFonts w:asciiTheme="minorHAnsi" w:hAnsiTheme="minorHAnsi" w:cstheme="minorHAnsi"/>
          <w:b/>
          <w:bCs/>
          <w:color w:val="000000" w:themeColor="text1"/>
          <w:sz w:val="28"/>
          <w:szCs w:val="28"/>
          <w:shd w:val="clear" w:color="auto" w:fill="FFFFFF"/>
        </w:rPr>
        <w:t>Palavras-chave:</w:t>
      </w:r>
      <w:r w:rsidRPr="00B84DFD">
        <w:rPr>
          <w:color w:val="000000" w:themeColor="text1"/>
          <w:shd w:val="clear" w:color="auto" w:fill="FFFFFF"/>
        </w:rPr>
        <w:t xml:space="preserve"> administração local, contribuição orçamental, governação, política de receitas, fiscalidade.</w:t>
      </w:r>
    </w:p>
    <w:p w14:paraId="5DA1B9EC" w14:textId="6100BCF1" w:rsidR="00B84DFD" w:rsidRPr="004334EF" w:rsidRDefault="00B84DFD" w:rsidP="00B84DFD">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r>
        <w:rPr>
          <w:rFonts w:ascii="Times New Roman" w:hAnsi="Times New Roman"/>
          <w:color w:val="000000"/>
          <w:sz w:val="24"/>
          <w:lang w:val="es-MX"/>
        </w:rPr>
        <w:t xml:space="preserve">Octubre </w:t>
      </w:r>
      <w:r w:rsidRPr="00906375">
        <w:rPr>
          <w:rFonts w:ascii="Times New Roman" w:hAnsi="Times New Roman"/>
          <w:color w:val="000000"/>
          <w:sz w:val="24"/>
          <w:lang w:val="es-MX"/>
        </w:rPr>
        <w:t>202</w:t>
      </w:r>
      <w:r>
        <w:rPr>
          <w:rFonts w:ascii="Times New Roman" w:hAnsi="Times New Roman"/>
          <w:color w:val="000000"/>
          <w:sz w:val="24"/>
          <w:lang w:val="es-MX"/>
        </w:rPr>
        <w:t>2</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Mayo 2023</w:t>
      </w:r>
    </w:p>
    <w:p w14:paraId="2679774F" w14:textId="2066751E" w:rsidR="00B84DFD" w:rsidRPr="00B84DFD" w:rsidRDefault="00000000" w:rsidP="00B84DFD">
      <w:pPr>
        <w:spacing w:line="360" w:lineRule="auto"/>
        <w:jc w:val="both"/>
        <w:rPr>
          <w:color w:val="000000" w:themeColor="text1"/>
          <w:shd w:val="clear" w:color="auto" w:fill="FFFFFF"/>
        </w:rPr>
      </w:pPr>
      <w:r>
        <w:rPr>
          <w:noProof/>
        </w:rPr>
        <w:pict w14:anchorId="2946C489">
          <v:rect id="_x0000_i1025" alt="" style="width:441.9pt;height:.05pt;mso-width-percent:0;mso-height-percent:0;mso-width-percent:0;mso-height-percent:0" o:hralign="center" o:hrstd="t" o:hr="t" fillcolor="#a0a0a0" stroked="f"/>
        </w:pict>
      </w:r>
    </w:p>
    <w:p w14:paraId="67DC68DE" w14:textId="77777777" w:rsidR="0051191B" w:rsidRDefault="00000000" w:rsidP="00B84DFD">
      <w:pPr>
        <w:spacing w:line="360" w:lineRule="auto"/>
        <w:jc w:val="center"/>
        <w:rPr>
          <w:b/>
          <w:bCs/>
          <w:color w:val="000000" w:themeColor="text1"/>
          <w:sz w:val="32"/>
          <w:szCs w:val="32"/>
          <w:lang w:val="es-ES"/>
        </w:rPr>
      </w:pPr>
      <w:r>
        <w:rPr>
          <w:b/>
          <w:bCs/>
          <w:color w:val="000000" w:themeColor="text1"/>
          <w:sz w:val="32"/>
          <w:szCs w:val="32"/>
          <w:lang w:val="es-ES"/>
        </w:rPr>
        <w:t>Introducción</w:t>
      </w:r>
    </w:p>
    <w:p w14:paraId="0DAFF27B"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Actualmente, se han enfocado diversos estudios sobre cómo el estado debe utilizar sus recursos y sobre cómo aplicarlos de manera eficiente y eficaz, pero hay pocos estudios donde se analice y se propongan mejoras en la generación o captación de los ingresos propios para una entidad federativa.</w:t>
      </w:r>
    </w:p>
    <w:p w14:paraId="31F60664"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ab/>
        <w:t>Considerando lo anterior, es importante conocer la situación actual. Por lo cual, Torres et al. (2022, p.1) mencionan que, durante la pandemia del COVID-19, los países aumentaron el gasto público y dejaron de captar ingresos al momento de dar facilidades administrativas como prórrogas, reducción de tributos y, en otros casos, modificando la tasa.</w:t>
      </w:r>
    </w:p>
    <w:p w14:paraId="465FFC86"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ab/>
        <w:t>Por otra parte, la Comisión Económica para América Latina y el Caribe (CEPAL, 2021) afirma que Latinoamérica tomó importantes medidas fiscales para hacer frente a las necesidades básicas que ocasionó la pandemia de COVID-19. Entonces bien, el escenario ocasionado por la pandemia obligó a los gerentes públicos a proponer y/o establecer estrategias o medidas administrativas para incentivar a los contribuyentes al pago de sus impuestos federales y estatales. Además, propone a los países latinoamericanos crear estrategias para fortalecer los ingresos públicos de forma progresiva y eficaz, tales como: reducir los espacios para la evasión y la elusión tributarias; evaluar los incentivos fiscales y ampliar el alcance de los impuestos sobre los bienes inmuebles y el patrimonio.</w:t>
      </w:r>
    </w:p>
    <w:p w14:paraId="6B67847B"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ab/>
        <w:t>En relación al párrafo anterior, el estado es el responsable de apoyar a sus ciudadanos para alcanzar el bienestar social, motivo por el cual se justifica el actuar durante la pandemia. Pero al término de ella, debe garantizar el desarrollo armónico y ordenado de una sociedad. Por lo tanto, su existencia tiene como fines esenciales: el bienestar social, el desarrollo económico y la seguridad colectiva (Torres y Santander, 2013). Por su parte, Álvarez et al. (2022, p.3) mencionan que es necesaria la participación de la ciudadanía en el pago de sus contribuciones, lo anterior generará las condiciones para alcanzar el objetivo del estado.</w:t>
      </w:r>
    </w:p>
    <w:p w14:paraId="7D5260C9" w14:textId="3F14E042" w:rsidR="0051191B" w:rsidRDefault="00000000">
      <w:pPr>
        <w:spacing w:line="360" w:lineRule="auto"/>
        <w:jc w:val="both"/>
        <w:rPr>
          <w:color w:val="000000" w:themeColor="text1"/>
          <w:shd w:val="clear" w:color="auto" w:fill="FFFFFF"/>
        </w:rPr>
      </w:pPr>
      <w:r>
        <w:rPr>
          <w:color w:val="000000" w:themeColor="text1"/>
          <w:shd w:val="clear" w:color="auto" w:fill="FFFFFF"/>
        </w:rPr>
        <w:lastRenderedPageBreak/>
        <w:tab/>
        <w:t>Además, en la nota informativa del Centro de Estudio de Finanzas Públicas (CEFP, 2022, p.1) afirma que el estado es quien desarrolla los mecanismos de captación de ingresos, evitando la evasión, elusión y delitos fiscales. Aunado a lo anterior, en el estudio realizado por A</w:t>
      </w:r>
      <w:r w:rsidR="00FA07F3">
        <w:rPr>
          <w:color w:val="000000" w:themeColor="text1"/>
          <w:shd w:val="clear" w:color="auto" w:fill="FFFFFF"/>
        </w:rPr>
        <w:t xml:space="preserve">révalos y Tello </w:t>
      </w:r>
      <w:r>
        <w:rPr>
          <w:color w:val="000000" w:themeColor="text1"/>
          <w:shd w:val="clear" w:color="auto" w:fill="FFFFFF"/>
        </w:rPr>
        <w:t>(2018) consideran "que las entidades federativas desaprovechan su potencial recaudatorio, eso las vuelve altamente dependientes de los recursos otorgados por la federación; esta situación compromete su capacidad para atender las necesidades de la ciudadanía, las vuelve más propensas a contraer deudas y limita su autonomía de acción".</w:t>
      </w:r>
    </w:p>
    <w:p w14:paraId="5C57F3D5"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Es importante mencionar que los estados tienen un acuerdo con la federación en el cual "el arreglo de coordinación fiscal entre las entidades y la federación genera un escenario complicado para las finanzas públicas estatales, ya que el 85% de estos recursos provienen de las transferencias federales. Esto implica poca autonomía fiscal, alta dependencia de las transferencias federales y baja recaudación" (IMCO, 2022). Esto ocasiona una gran dependencia hacia la federación y una falta de interés de los estados en incrementar su capacidad recaudatoria.</w:t>
      </w:r>
    </w:p>
    <w:p w14:paraId="3532131D"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Por otra parte, el Instituto Mexicano para la Competitividad (IMCO, 2020), en una investigación llamada "Hablemos de ingresos en los estados", menciona que las entidades federativas no aprovechan las facultades establecidas por ley y, por su parte, hace cinco propuestas para que los estados aumenten sus ingresos propios y, con ello, mejoren los servicios prestados por el estado. Dicha propuesta se observa en la figura 1:</w:t>
      </w:r>
    </w:p>
    <w:p w14:paraId="5D14061E" w14:textId="77777777" w:rsidR="0051191B" w:rsidRDefault="0051191B">
      <w:pPr>
        <w:spacing w:line="360" w:lineRule="auto"/>
        <w:ind w:firstLine="708"/>
        <w:jc w:val="both"/>
        <w:rPr>
          <w:color w:val="000000" w:themeColor="text1"/>
          <w:shd w:val="clear" w:color="auto" w:fill="FFFFFF"/>
        </w:rPr>
      </w:pPr>
    </w:p>
    <w:p w14:paraId="643B8AC8"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Figura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Figura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1</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Propuestas por el IMCO para aumentar los ingresos propios en los estados</w:t>
      </w:r>
    </w:p>
    <w:p w14:paraId="5B480B59" w14:textId="77777777" w:rsidR="0051191B" w:rsidRDefault="00000000">
      <w:r>
        <w:rPr>
          <w:noProof/>
        </w:rPr>
        <w:drawing>
          <wp:inline distT="0" distB="0" distL="0" distR="0" wp14:anchorId="431A49A8" wp14:editId="62888A5F">
            <wp:extent cx="5612130" cy="315849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9"/>
                    <a:stretch>
                      <a:fillRect/>
                    </a:stretch>
                  </pic:blipFill>
                  <pic:spPr bwMode="auto">
                    <a:xfrm>
                      <a:off x="0" y="0"/>
                      <a:ext cx="5612130" cy="3158490"/>
                    </a:xfrm>
                    <a:prstGeom prst="rect">
                      <a:avLst/>
                    </a:prstGeom>
                  </pic:spPr>
                </pic:pic>
              </a:graphicData>
            </a:graphic>
          </wp:inline>
        </w:drawing>
      </w:r>
    </w:p>
    <w:p w14:paraId="75E8365C" w14:textId="77777777" w:rsidR="0051191B" w:rsidRDefault="00000000" w:rsidP="00B84DFD">
      <w:pPr>
        <w:pStyle w:val="NormalWeb"/>
        <w:spacing w:beforeAutospacing="0" w:afterAutospacing="0" w:line="360" w:lineRule="auto"/>
        <w:ind w:firstLine="708"/>
        <w:jc w:val="center"/>
        <w:rPr>
          <w:color w:val="000000" w:themeColor="text1"/>
          <w:spacing w:val="2"/>
        </w:rPr>
      </w:pPr>
      <w:r>
        <w:rPr>
          <w:color w:val="000000" w:themeColor="text1"/>
          <w:spacing w:val="2"/>
        </w:rPr>
        <w:t>Fuente: Elaboración Propia con información IMCO (2022)</w:t>
      </w:r>
    </w:p>
    <w:p w14:paraId="687A703D" w14:textId="77777777" w:rsidR="0051191B" w:rsidRDefault="00000000" w:rsidP="00B84DFD">
      <w:pPr>
        <w:pStyle w:val="NormalWeb"/>
        <w:shd w:val="clear" w:color="auto" w:fill="FFFFFF"/>
        <w:spacing w:beforeAutospacing="0" w:afterAutospacing="0" w:line="360" w:lineRule="auto"/>
        <w:ind w:firstLine="708"/>
        <w:jc w:val="both"/>
        <w:rPr>
          <w:color w:val="000000" w:themeColor="text1"/>
          <w:shd w:val="clear" w:color="auto" w:fill="FFFFFF"/>
        </w:rPr>
      </w:pPr>
      <w:r>
        <w:rPr>
          <w:color w:val="000000" w:themeColor="text1"/>
          <w:shd w:val="clear" w:color="auto" w:fill="FFFFFF"/>
        </w:rPr>
        <w:t>Con lo expuesto anteriormente, los estados deben crear las alternativas necesarias para generar o captar mayores ingresos propios. En la Tabla 1 se presenta el ingreso total que cada una de las entidades federativas estimó en sus leyes de ingresos para el ejercicio 2021. Es importante mencionar que el ingreso total presentado no solo incluye ingresos propios, sino también la suma de transferencias federales que se integran por aportaciones federales del Ramo 33 y participaciones federales del Ramo 28. Por otra parte, se puede observar que el Estado de Nayarit se encuentra entre los estados con menos ingreso total.</w:t>
      </w:r>
    </w:p>
    <w:p w14:paraId="18F71EB1" w14:textId="77777777" w:rsidR="00B84DFD" w:rsidRDefault="00B84DF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5D8FC5AB"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461AB285"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5FFA51FF"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2DB81113"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3A9DED40"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391A98D6"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059DDABC"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248C58C2"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24B68073"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16BD6FE9"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3C30C813" w14:textId="77777777" w:rsidR="0051191B" w:rsidRDefault="00000000" w:rsidP="00D45D7D">
      <w:pPr>
        <w:pStyle w:val="Descripcin"/>
        <w:keepNext/>
        <w:spacing w:line="360" w:lineRule="auto"/>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1</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 xml:space="preserve">. </w:t>
      </w:r>
      <w:r>
        <w:rPr>
          <w:rFonts w:ascii="Times New Roman" w:hAnsi="Times New Roman" w:cs="Times New Roman"/>
          <w:i w:val="0"/>
          <w:iCs w:val="0"/>
          <w:color w:val="000000" w:themeColor="text1"/>
          <w:sz w:val="24"/>
          <w:szCs w:val="24"/>
        </w:rPr>
        <w:t>Ingresos totales estimados en las leyes de ingresos por entidad federativa en millones de pesos corrientes</w:t>
      </w:r>
    </w:p>
    <w:tbl>
      <w:tblPr>
        <w:tblStyle w:val="Tablaconcuadrcula"/>
        <w:tblW w:w="4433" w:type="dxa"/>
        <w:jc w:val="center"/>
        <w:tblLayout w:type="fixed"/>
        <w:tblLook w:val="04A0" w:firstRow="1" w:lastRow="0" w:firstColumn="1" w:lastColumn="0" w:noHBand="0" w:noVBand="1"/>
      </w:tblPr>
      <w:tblGrid>
        <w:gridCol w:w="2264"/>
        <w:gridCol w:w="2169"/>
      </w:tblGrid>
      <w:tr w:rsidR="0051191B" w:rsidRPr="00B84DFD" w14:paraId="70CDA829" w14:textId="77777777">
        <w:trPr>
          <w:jc w:val="center"/>
        </w:trPr>
        <w:tc>
          <w:tcPr>
            <w:tcW w:w="2263" w:type="dxa"/>
          </w:tcPr>
          <w:p w14:paraId="36785AAB" w14:textId="77777777" w:rsidR="0051191B" w:rsidRPr="00B84DFD" w:rsidRDefault="00000000">
            <w:pPr>
              <w:rPr>
                <w:lang w:eastAsia="en-US"/>
              </w:rPr>
            </w:pPr>
            <w:r w:rsidRPr="00B84DFD">
              <w:rPr>
                <w:color w:val="000000" w:themeColor="text1"/>
                <w:shd w:val="clear" w:color="auto" w:fill="FFFFFF"/>
              </w:rPr>
              <w:t>Entidad Federativa</w:t>
            </w:r>
          </w:p>
        </w:tc>
        <w:tc>
          <w:tcPr>
            <w:tcW w:w="2169" w:type="dxa"/>
          </w:tcPr>
          <w:p w14:paraId="423B1CD3" w14:textId="77777777" w:rsidR="0051191B" w:rsidRPr="00B84DFD" w:rsidRDefault="00000000">
            <w:pPr>
              <w:rPr>
                <w:lang w:eastAsia="en-US"/>
              </w:rPr>
            </w:pPr>
            <w:r w:rsidRPr="00B84DFD">
              <w:rPr>
                <w:color w:val="000000" w:themeColor="text1"/>
                <w:shd w:val="clear" w:color="auto" w:fill="FFFFFF"/>
              </w:rPr>
              <w:t>Ingresos estimados</w:t>
            </w:r>
          </w:p>
        </w:tc>
      </w:tr>
      <w:tr w:rsidR="0051191B" w:rsidRPr="00B84DFD" w14:paraId="502C1BDE" w14:textId="77777777">
        <w:trPr>
          <w:jc w:val="center"/>
        </w:trPr>
        <w:tc>
          <w:tcPr>
            <w:tcW w:w="2263" w:type="dxa"/>
          </w:tcPr>
          <w:p w14:paraId="1CB9211C" w14:textId="77777777" w:rsidR="0051191B" w:rsidRPr="00B84DFD" w:rsidRDefault="00000000">
            <w:pPr>
              <w:rPr>
                <w:lang w:eastAsia="en-US"/>
              </w:rPr>
            </w:pPr>
            <w:r w:rsidRPr="00B84DFD">
              <w:rPr>
                <w:color w:val="000000" w:themeColor="text1"/>
                <w:shd w:val="clear" w:color="auto" w:fill="FFFFFF"/>
              </w:rPr>
              <w:t xml:space="preserve">Aguascalientes </w:t>
            </w:r>
          </w:p>
        </w:tc>
        <w:tc>
          <w:tcPr>
            <w:tcW w:w="2169" w:type="dxa"/>
          </w:tcPr>
          <w:p w14:paraId="0537FE86" w14:textId="77777777" w:rsidR="0051191B" w:rsidRPr="00B84DFD" w:rsidRDefault="00000000">
            <w:pPr>
              <w:rPr>
                <w:lang w:eastAsia="en-US"/>
              </w:rPr>
            </w:pPr>
            <w:r w:rsidRPr="00B84DFD">
              <w:rPr>
                <w:color w:val="000000" w:themeColor="text1"/>
                <w:shd w:val="clear" w:color="auto" w:fill="FFFFFF"/>
              </w:rPr>
              <w:t xml:space="preserve">26 478.2 </w:t>
            </w:r>
          </w:p>
        </w:tc>
      </w:tr>
      <w:tr w:rsidR="0051191B" w:rsidRPr="00B84DFD" w14:paraId="389E177D" w14:textId="77777777">
        <w:trPr>
          <w:jc w:val="center"/>
        </w:trPr>
        <w:tc>
          <w:tcPr>
            <w:tcW w:w="2263" w:type="dxa"/>
          </w:tcPr>
          <w:p w14:paraId="4735EE89" w14:textId="77777777" w:rsidR="0051191B" w:rsidRPr="00B84DFD" w:rsidRDefault="00000000">
            <w:pPr>
              <w:rPr>
                <w:lang w:eastAsia="en-US"/>
              </w:rPr>
            </w:pPr>
            <w:r w:rsidRPr="00B84DFD">
              <w:rPr>
                <w:color w:val="000000" w:themeColor="text1"/>
                <w:shd w:val="clear" w:color="auto" w:fill="FFFFFF"/>
              </w:rPr>
              <w:t xml:space="preserve">Baja California </w:t>
            </w:r>
          </w:p>
        </w:tc>
        <w:tc>
          <w:tcPr>
            <w:tcW w:w="2169" w:type="dxa"/>
          </w:tcPr>
          <w:p w14:paraId="7B0CE445" w14:textId="77777777" w:rsidR="0051191B" w:rsidRPr="00B84DFD" w:rsidRDefault="00000000">
            <w:pPr>
              <w:rPr>
                <w:lang w:eastAsia="en-US"/>
              </w:rPr>
            </w:pPr>
            <w:r w:rsidRPr="00B84DFD">
              <w:rPr>
                <w:color w:val="000000" w:themeColor="text1"/>
                <w:shd w:val="clear" w:color="auto" w:fill="FFFFFF"/>
              </w:rPr>
              <w:t xml:space="preserve">65 024.8 </w:t>
            </w:r>
          </w:p>
        </w:tc>
      </w:tr>
      <w:tr w:rsidR="0051191B" w:rsidRPr="00B84DFD" w14:paraId="7084B04E" w14:textId="77777777">
        <w:trPr>
          <w:jc w:val="center"/>
        </w:trPr>
        <w:tc>
          <w:tcPr>
            <w:tcW w:w="2263" w:type="dxa"/>
          </w:tcPr>
          <w:p w14:paraId="23F7E9F5" w14:textId="77777777" w:rsidR="0051191B" w:rsidRPr="00B84DFD" w:rsidRDefault="00000000">
            <w:pPr>
              <w:rPr>
                <w:lang w:eastAsia="en-US"/>
              </w:rPr>
            </w:pPr>
            <w:r w:rsidRPr="00B84DFD">
              <w:rPr>
                <w:color w:val="000000" w:themeColor="text1"/>
                <w:shd w:val="clear" w:color="auto" w:fill="FFFFFF"/>
              </w:rPr>
              <w:t xml:space="preserve">Baja California Sur </w:t>
            </w:r>
          </w:p>
        </w:tc>
        <w:tc>
          <w:tcPr>
            <w:tcW w:w="2169" w:type="dxa"/>
          </w:tcPr>
          <w:p w14:paraId="78D723C8" w14:textId="77777777" w:rsidR="0051191B" w:rsidRPr="00B84DFD" w:rsidRDefault="00000000">
            <w:pPr>
              <w:rPr>
                <w:lang w:eastAsia="en-US"/>
              </w:rPr>
            </w:pPr>
            <w:r w:rsidRPr="00B84DFD">
              <w:rPr>
                <w:color w:val="000000" w:themeColor="text1"/>
                <w:shd w:val="clear" w:color="auto" w:fill="FFFFFF"/>
              </w:rPr>
              <w:t xml:space="preserve">17 240.7 </w:t>
            </w:r>
          </w:p>
        </w:tc>
      </w:tr>
      <w:tr w:rsidR="0051191B" w:rsidRPr="00B84DFD" w14:paraId="768FB5DF" w14:textId="77777777">
        <w:trPr>
          <w:jc w:val="center"/>
        </w:trPr>
        <w:tc>
          <w:tcPr>
            <w:tcW w:w="2263" w:type="dxa"/>
          </w:tcPr>
          <w:p w14:paraId="2D6C9BE5" w14:textId="77777777" w:rsidR="0051191B" w:rsidRPr="00B84DFD" w:rsidRDefault="00000000">
            <w:pPr>
              <w:rPr>
                <w:lang w:eastAsia="en-US"/>
              </w:rPr>
            </w:pPr>
            <w:r w:rsidRPr="00B84DFD">
              <w:rPr>
                <w:color w:val="000000" w:themeColor="text1"/>
                <w:shd w:val="clear" w:color="auto" w:fill="FFFFFF"/>
              </w:rPr>
              <w:t>Campeche</w:t>
            </w:r>
          </w:p>
        </w:tc>
        <w:tc>
          <w:tcPr>
            <w:tcW w:w="2169" w:type="dxa"/>
          </w:tcPr>
          <w:p w14:paraId="3AA567E6" w14:textId="77777777" w:rsidR="0051191B" w:rsidRPr="00B84DFD" w:rsidRDefault="00000000">
            <w:pPr>
              <w:rPr>
                <w:lang w:eastAsia="en-US"/>
              </w:rPr>
            </w:pPr>
            <w:r w:rsidRPr="00B84DFD">
              <w:rPr>
                <w:color w:val="000000" w:themeColor="text1"/>
                <w:shd w:val="clear" w:color="auto" w:fill="FFFFFF"/>
              </w:rPr>
              <w:t xml:space="preserve">21 454.3 </w:t>
            </w:r>
          </w:p>
        </w:tc>
      </w:tr>
      <w:tr w:rsidR="0051191B" w:rsidRPr="00B84DFD" w14:paraId="567D6FCE" w14:textId="77777777">
        <w:trPr>
          <w:jc w:val="center"/>
        </w:trPr>
        <w:tc>
          <w:tcPr>
            <w:tcW w:w="2263" w:type="dxa"/>
          </w:tcPr>
          <w:p w14:paraId="02412B9E" w14:textId="77777777" w:rsidR="0051191B" w:rsidRPr="00B84DFD" w:rsidRDefault="00000000">
            <w:pPr>
              <w:rPr>
                <w:lang w:eastAsia="en-US"/>
              </w:rPr>
            </w:pPr>
            <w:r w:rsidRPr="00B84DFD">
              <w:rPr>
                <w:color w:val="000000" w:themeColor="text1"/>
                <w:shd w:val="clear" w:color="auto" w:fill="FFFFFF"/>
              </w:rPr>
              <w:t xml:space="preserve">Coahuila </w:t>
            </w:r>
          </w:p>
        </w:tc>
        <w:tc>
          <w:tcPr>
            <w:tcW w:w="2169" w:type="dxa"/>
          </w:tcPr>
          <w:p w14:paraId="19330CC4" w14:textId="77777777" w:rsidR="0051191B" w:rsidRPr="00B84DFD" w:rsidRDefault="00000000">
            <w:pPr>
              <w:rPr>
                <w:lang w:eastAsia="en-US"/>
              </w:rPr>
            </w:pPr>
            <w:r w:rsidRPr="00B84DFD">
              <w:rPr>
                <w:color w:val="000000" w:themeColor="text1"/>
                <w:shd w:val="clear" w:color="auto" w:fill="FFFFFF"/>
              </w:rPr>
              <w:t xml:space="preserve">52 675.7 </w:t>
            </w:r>
          </w:p>
        </w:tc>
      </w:tr>
      <w:tr w:rsidR="0051191B" w:rsidRPr="00B84DFD" w14:paraId="566C0479" w14:textId="77777777">
        <w:trPr>
          <w:jc w:val="center"/>
        </w:trPr>
        <w:tc>
          <w:tcPr>
            <w:tcW w:w="2263" w:type="dxa"/>
          </w:tcPr>
          <w:p w14:paraId="25370FF3" w14:textId="77777777" w:rsidR="0051191B" w:rsidRPr="00B84DFD" w:rsidRDefault="00000000">
            <w:pPr>
              <w:rPr>
                <w:lang w:eastAsia="en-US"/>
              </w:rPr>
            </w:pPr>
            <w:r w:rsidRPr="00B84DFD">
              <w:rPr>
                <w:color w:val="000000" w:themeColor="text1"/>
                <w:shd w:val="clear" w:color="auto" w:fill="FFFFFF"/>
              </w:rPr>
              <w:t xml:space="preserve">Colima </w:t>
            </w:r>
          </w:p>
        </w:tc>
        <w:tc>
          <w:tcPr>
            <w:tcW w:w="2169" w:type="dxa"/>
          </w:tcPr>
          <w:p w14:paraId="4C6B9626" w14:textId="77777777" w:rsidR="0051191B" w:rsidRPr="00B84DFD" w:rsidRDefault="00000000">
            <w:pPr>
              <w:rPr>
                <w:lang w:eastAsia="en-US"/>
              </w:rPr>
            </w:pPr>
            <w:r w:rsidRPr="00B84DFD">
              <w:rPr>
                <w:color w:val="000000" w:themeColor="text1"/>
                <w:shd w:val="clear" w:color="auto" w:fill="FFFFFF"/>
              </w:rPr>
              <w:t xml:space="preserve">17 474.0 </w:t>
            </w:r>
          </w:p>
        </w:tc>
      </w:tr>
      <w:tr w:rsidR="0051191B" w:rsidRPr="00B84DFD" w14:paraId="393FB5D5" w14:textId="77777777">
        <w:trPr>
          <w:jc w:val="center"/>
        </w:trPr>
        <w:tc>
          <w:tcPr>
            <w:tcW w:w="2263" w:type="dxa"/>
          </w:tcPr>
          <w:p w14:paraId="08F4798A" w14:textId="77777777" w:rsidR="0051191B" w:rsidRPr="00B84DFD" w:rsidRDefault="00000000">
            <w:pPr>
              <w:rPr>
                <w:lang w:eastAsia="en-US"/>
              </w:rPr>
            </w:pPr>
            <w:r w:rsidRPr="00B84DFD">
              <w:rPr>
                <w:color w:val="000000" w:themeColor="text1"/>
                <w:shd w:val="clear" w:color="auto" w:fill="FFFFFF"/>
              </w:rPr>
              <w:t xml:space="preserve">Chiapas </w:t>
            </w:r>
          </w:p>
        </w:tc>
        <w:tc>
          <w:tcPr>
            <w:tcW w:w="2169" w:type="dxa"/>
          </w:tcPr>
          <w:p w14:paraId="25E765F9" w14:textId="77777777" w:rsidR="0051191B" w:rsidRPr="00B84DFD" w:rsidRDefault="00000000">
            <w:pPr>
              <w:rPr>
                <w:lang w:eastAsia="en-US"/>
              </w:rPr>
            </w:pPr>
            <w:r w:rsidRPr="00B84DFD">
              <w:rPr>
                <w:color w:val="000000" w:themeColor="text1"/>
                <w:shd w:val="clear" w:color="auto" w:fill="FFFFFF"/>
              </w:rPr>
              <w:t xml:space="preserve">96 180.3 </w:t>
            </w:r>
          </w:p>
        </w:tc>
      </w:tr>
      <w:tr w:rsidR="0051191B" w:rsidRPr="00B84DFD" w14:paraId="36573EB4" w14:textId="77777777">
        <w:trPr>
          <w:jc w:val="center"/>
        </w:trPr>
        <w:tc>
          <w:tcPr>
            <w:tcW w:w="2263" w:type="dxa"/>
          </w:tcPr>
          <w:p w14:paraId="5C2F84F1"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Chihuahua </w:t>
            </w:r>
          </w:p>
        </w:tc>
        <w:tc>
          <w:tcPr>
            <w:tcW w:w="2169" w:type="dxa"/>
          </w:tcPr>
          <w:p w14:paraId="260C0637"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69 362.8 </w:t>
            </w:r>
          </w:p>
        </w:tc>
      </w:tr>
      <w:tr w:rsidR="0051191B" w:rsidRPr="00B84DFD" w14:paraId="3F31E570" w14:textId="77777777">
        <w:trPr>
          <w:jc w:val="center"/>
        </w:trPr>
        <w:tc>
          <w:tcPr>
            <w:tcW w:w="2263" w:type="dxa"/>
          </w:tcPr>
          <w:p w14:paraId="4C0D473F"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Ciudad de México </w:t>
            </w:r>
          </w:p>
        </w:tc>
        <w:tc>
          <w:tcPr>
            <w:tcW w:w="2169" w:type="dxa"/>
          </w:tcPr>
          <w:p w14:paraId="34731D25"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217 962.2 </w:t>
            </w:r>
          </w:p>
        </w:tc>
      </w:tr>
      <w:tr w:rsidR="0051191B" w:rsidRPr="00B84DFD" w14:paraId="547A2B27" w14:textId="77777777">
        <w:trPr>
          <w:jc w:val="center"/>
        </w:trPr>
        <w:tc>
          <w:tcPr>
            <w:tcW w:w="2263" w:type="dxa"/>
          </w:tcPr>
          <w:p w14:paraId="783BE116"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Durango </w:t>
            </w:r>
          </w:p>
        </w:tc>
        <w:tc>
          <w:tcPr>
            <w:tcW w:w="2169" w:type="dxa"/>
          </w:tcPr>
          <w:p w14:paraId="2C36FC4F" w14:textId="77777777" w:rsidR="0051191B" w:rsidRPr="00B84DFD" w:rsidRDefault="00000000">
            <w:pPr>
              <w:rPr>
                <w:color w:val="000000" w:themeColor="text1"/>
                <w:shd w:val="clear" w:color="auto" w:fill="FFFFFF"/>
              </w:rPr>
            </w:pPr>
            <w:r w:rsidRPr="00B84DFD">
              <w:rPr>
                <w:color w:val="000000" w:themeColor="text1"/>
                <w:shd w:val="clear" w:color="auto" w:fill="FFFFFF"/>
              </w:rPr>
              <w:t>33 274.7</w:t>
            </w:r>
          </w:p>
        </w:tc>
      </w:tr>
      <w:tr w:rsidR="0051191B" w:rsidRPr="00B84DFD" w14:paraId="5C718B54" w14:textId="77777777">
        <w:trPr>
          <w:jc w:val="center"/>
        </w:trPr>
        <w:tc>
          <w:tcPr>
            <w:tcW w:w="2263" w:type="dxa"/>
          </w:tcPr>
          <w:p w14:paraId="6DD669CE"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Guanajuato </w:t>
            </w:r>
          </w:p>
        </w:tc>
        <w:tc>
          <w:tcPr>
            <w:tcW w:w="2169" w:type="dxa"/>
          </w:tcPr>
          <w:p w14:paraId="55A60097" w14:textId="77777777" w:rsidR="0051191B" w:rsidRPr="00B84DFD" w:rsidRDefault="00000000">
            <w:pPr>
              <w:rPr>
                <w:color w:val="000000" w:themeColor="text1"/>
                <w:shd w:val="clear" w:color="auto" w:fill="FFFFFF"/>
              </w:rPr>
            </w:pPr>
            <w:r w:rsidRPr="00B84DFD">
              <w:rPr>
                <w:color w:val="000000" w:themeColor="text1"/>
                <w:shd w:val="clear" w:color="auto" w:fill="FFFFFF"/>
              </w:rPr>
              <w:t>89 298.5</w:t>
            </w:r>
          </w:p>
        </w:tc>
      </w:tr>
      <w:tr w:rsidR="0051191B" w:rsidRPr="00B84DFD" w14:paraId="21233E18" w14:textId="77777777">
        <w:trPr>
          <w:jc w:val="center"/>
        </w:trPr>
        <w:tc>
          <w:tcPr>
            <w:tcW w:w="2263" w:type="dxa"/>
          </w:tcPr>
          <w:p w14:paraId="0AFAF3A1"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Guerrero </w:t>
            </w:r>
          </w:p>
        </w:tc>
        <w:tc>
          <w:tcPr>
            <w:tcW w:w="2169" w:type="dxa"/>
          </w:tcPr>
          <w:p w14:paraId="5861205C" w14:textId="77777777" w:rsidR="0051191B" w:rsidRPr="00B84DFD" w:rsidRDefault="00000000">
            <w:pPr>
              <w:rPr>
                <w:color w:val="000000" w:themeColor="text1"/>
                <w:shd w:val="clear" w:color="auto" w:fill="FFFFFF"/>
              </w:rPr>
            </w:pPr>
            <w:r w:rsidRPr="00B84DFD">
              <w:rPr>
                <w:color w:val="000000" w:themeColor="text1"/>
                <w:shd w:val="clear" w:color="auto" w:fill="FFFFFF"/>
              </w:rPr>
              <w:t>61 111.5</w:t>
            </w:r>
          </w:p>
        </w:tc>
      </w:tr>
      <w:tr w:rsidR="0051191B" w:rsidRPr="00B84DFD" w14:paraId="391145EB" w14:textId="77777777">
        <w:trPr>
          <w:jc w:val="center"/>
        </w:trPr>
        <w:tc>
          <w:tcPr>
            <w:tcW w:w="2263" w:type="dxa"/>
          </w:tcPr>
          <w:p w14:paraId="6011DBEF"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Hidalgo </w:t>
            </w:r>
          </w:p>
        </w:tc>
        <w:tc>
          <w:tcPr>
            <w:tcW w:w="2169" w:type="dxa"/>
          </w:tcPr>
          <w:p w14:paraId="282F4906" w14:textId="77777777" w:rsidR="0051191B" w:rsidRPr="00B84DFD" w:rsidRDefault="00000000">
            <w:pPr>
              <w:rPr>
                <w:color w:val="000000" w:themeColor="text1"/>
                <w:shd w:val="clear" w:color="auto" w:fill="FFFFFF"/>
              </w:rPr>
            </w:pPr>
            <w:r w:rsidRPr="00B84DFD">
              <w:rPr>
                <w:color w:val="000000" w:themeColor="text1"/>
                <w:shd w:val="clear" w:color="auto" w:fill="FFFFFF"/>
              </w:rPr>
              <w:t>50 273.4</w:t>
            </w:r>
          </w:p>
        </w:tc>
      </w:tr>
      <w:tr w:rsidR="0051191B" w:rsidRPr="00B84DFD" w14:paraId="38223F22" w14:textId="77777777">
        <w:trPr>
          <w:jc w:val="center"/>
        </w:trPr>
        <w:tc>
          <w:tcPr>
            <w:tcW w:w="2263" w:type="dxa"/>
          </w:tcPr>
          <w:p w14:paraId="66B420EF" w14:textId="77777777" w:rsidR="0051191B" w:rsidRPr="00B84DFD" w:rsidRDefault="00000000">
            <w:pPr>
              <w:rPr>
                <w:color w:val="000000" w:themeColor="text1"/>
                <w:shd w:val="clear" w:color="auto" w:fill="FFFFFF"/>
              </w:rPr>
            </w:pPr>
            <w:r w:rsidRPr="00B84DFD">
              <w:rPr>
                <w:color w:val="000000" w:themeColor="text1"/>
                <w:shd w:val="clear" w:color="auto" w:fill="FFFFFF"/>
              </w:rPr>
              <w:t>Jalisco</w:t>
            </w:r>
          </w:p>
        </w:tc>
        <w:tc>
          <w:tcPr>
            <w:tcW w:w="2169" w:type="dxa"/>
          </w:tcPr>
          <w:p w14:paraId="2760657D"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123 500.6 </w:t>
            </w:r>
          </w:p>
        </w:tc>
      </w:tr>
      <w:tr w:rsidR="0051191B" w:rsidRPr="00B84DFD" w14:paraId="6328D796" w14:textId="77777777">
        <w:trPr>
          <w:jc w:val="center"/>
        </w:trPr>
        <w:tc>
          <w:tcPr>
            <w:tcW w:w="2263" w:type="dxa"/>
          </w:tcPr>
          <w:p w14:paraId="14DCC336"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Estado de México </w:t>
            </w:r>
          </w:p>
        </w:tc>
        <w:tc>
          <w:tcPr>
            <w:tcW w:w="2169" w:type="dxa"/>
          </w:tcPr>
          <w:p w14:paraId="7439A982"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303 120.3 </w:t>
            </w:r>
          </w:p>
        </w:tc>
      </w:tr>
      <w:tr w:rsidR="0051191B" w:rsidRPr="00B84DFD" w14:paraId="4112FFB7" w14:textId="77777777">
        <w:trPr>
          <w:jc w:val="center"/>
        </w:trPr>
        <w:tc>
          <w:tcPr>
            <w:tcW w:w="2263" w:type="dxa"/>
          </w:tcPr>
          <w:p w14:paraId="30E37CF8" w14:textId="77777777" w:rsidR="0051191B" w:rsidRPr="00B84DFD" w:rsidRDefault="00000000">
            <w:pPr>
              <w:rPr>
                <w:color w:val="000000" w:themeColor="text1"/>
                <w:shd w:val="clear" w:color="auto" w:fill="FFFFFF"/>
              </w:rPr>
            </w:pPr>
            <w:r w:rsidRPr="00B84DFD">
              <w:rPr>
                <w:color w:val="000000" w:themeColor="text1"/>
                <w:shd w:val="clear" w:color="auto" w:fill="FFFFFF"/>
              </w:rPr>
              <w:t>Michoacán</w:t>
            </w:r>
          </w:p>
        </w:tc>
        <w:tc>
          <w:tcPr>
            <w:tcW w:w="2169" w:type="dxa"/>
          </w:tcPr>
          <w:p w14:paraId="223E0A04"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68 661.5 </w:t>
            </w:r>
          </w:p>
        </w:tc>
      </w:tr>
      <w:tr w:rsidR="0051191B" w:rsidRPr="00B84DFD" w14:paraId="5F2603AB" w14:textId="77777777">
        <w:trPr>
          <w:jc w:val="center"/>
        </w:trPr>
        <w:tc>
          <w:tcPr>
            <w:tcW w:w="2263" w:type="dxa"/>
          </w:tcPr>
          <w:p w14:paraId="10E8D52B"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Morelos </w:t>
            </w:r>
          </w:p>
        </w:tc>
        <w:tc>
          <w:tcPr>
            <w:tcW w:w="2169" w:type="dxa"/>
          </w:tcPr>
          <w:p w14:paraId="4F468340" w14:textId="77777777" w:rsidR="0051191B" w:rsidRPr="00B84DFD" w:rsidRDefault="00000000">
            <w:pPr>
              <w:rPr>
                <w:color w:val="000000" w:themeColor="text1"/>
                <w:shd w:val="clear" w:color="auto" w:fill="FFFFFF"/>
              </w:rPr>
            </w:pPr>
            <w:r w:rsidRPr="00B84DFD">
              <w:rPr>
                <w:color w:val="000000" w:themeColor="text1"/>
                <w:shd w:val="clear" w:color="auto" w:fill="FFFFFF"/>
              </w:rPr>
              <w:t>27 144.8</w:t>
            </w:r>
          </w:p>
        </w:tc>
      </w:tr>
      <w:tr w:rsidR="0051191B" w:rsidRPr="00B84DFD" w14:paraId="649BE016" w14:textId="77777777">
        <w:trPr>
          <w:jc w:val="center"/>
        </w:trPr>
        <w:tc>
          <w:tcPr>
            <w:tcW w:w="2263" w:type="dxa"/>
          </w:tcPr>
          <w:p w14:paraId="506793A8"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Nayarit </w:t>
            </w:r>
          </w:p>
        </w:tc>
        <w:tc>
          <w:tcPr>
            <w:tcW w:w="2169" w:type="dxa"/>
          </w:tcPr>
          <w:p w14:paraId="30987A62" w14:textId="77777777" w:rsidR="0051191B" w:rsidRPr="00B84DFD" w:rsidRDefault="00000000">
            <w:pPr>
              <w:rPr>
                <w:color w:val="000000" w:themeColor="text1"/>
                <w:shd w:val="clear" w:color="auto" w:fill="FFFFFF"/>
              </w:rPr>
            </w:pPr>
            <w:r w:rsidRPr="00B84DFD">
              <w:rPr>
                <w:color w:val="000000" w:themeColor="text1"/>
                <w:shd w:val="clear" w:color="auto" w:fill="FFFFFF"/>
              </w:rPr>
              <w:t>23 706.9</w:t>
            </w:r>
          </w:p>
        </w:tc>
      </w:tr>
      <w:tr w:rsidR="0051191B" w:rsidRPr="00B84DFD" w14:paraId="07473962" w14:textId="77777777">
        <w:trPr>
          <w:jc w:val="center"/>
        </w:trPr>
        <w:tc>
          <w:tcPr>
            <w:tcW w:w="2263" w:type="dxa"/>
          </w:tcPr>
          <w:p w14:paraId="4AF087B4"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Nuevo León </w:t>
            </w:r>
          </w:p>
        </w:tc>
        <w:tc>
          <w:tcPr>
            <w:tcW w:w="2169" w:type="dxa"/>
          </w:tcPr>
          <w:p w14:paraId="0892EAD2"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107 167.1 </w:t>
            </w:r>
          </w:p>
        </w:tc>
      </w:tr>
      <w:tr w:rsidR="0051191B" w:rsidRPr="00B84DFD" w14:paraId="7E12CFDB" w14:textId="77777777">
        <w:trPr>
          <w:jc w:val="center"/>
        </w:trPr>
        <w:tc>
          <w:tcPr>
            <w:tcW w:w="2263" w:type="dxa"/>
          </w:tcPr>
          <w:p w14:paraId="527115D4" w14:textId="77777777" w:rsidR="0051191B" w:rsidRPr="00B84DFD" w:rsidRDefault="00000000">
            <w:pPr>
              <w:rPr>
                <w:color w:val="000000" w:themeColor="text1"/>
                <w:shd w:val="clear" w:color="auto" w:fill="FFFFFF"/>
              </w:rPr>
            </w:pPr>
            <w:r w:rsidRPr="00B84DFD">
              <w:rPr>
                <w:color w:val="000000" w:themeColor="text1"/>
                <w:shd w:val="clear" w:color="auto" w:fill="FFFFFF"/>
              </w:rPr>
              <w:t>Oaxaca</w:t>
            </w:r>
          </w:p>
        </w:tc>
        <w:tc>
          <w:tcPr>
            <w:tcW w:w="2169" w:type="dxa"/>
          </w:tcPr>
          <w:p w14:paraId="575F4CD1" w14:textId="77777777" w:rsidR="0051191B" w:rsidRPr="00B84DFD" w:rsidRDefault="00000000">
            <w:pPr>
              <w:rPr>
                <w:color w:val="000000" w:themeColor="text1"/>
                <w:shd w:val="clear" w:color="auto" w:fill="FFFFFF"/>
              </w:rPr>
            </w:pPr>
            <w:r w:rsidRPr="00B84DFD">
              <w:rPr>
                <w:color w:val="000000" w:themeColor="text1"/>
                <w:shd w:val="clear" w:color="auto" w:fill="FFFFFF"/>
              </w:rPr>
              <w:t>76 194.0</w:t>
            </w:r>
          </w:p>
        </w:tc>
      </w:tr>
      <w:tr w:rsidR="0051191B" w:rsidRPr="00B84DFD" w14:paraId="335FD812" w14:textId="77777777">
        <w:trPr>
          <w:jc w:val="center"/>
        </w:trPr>
        <w:tc>
          <w:tcPr>
            <w:tcW w:w="2263" w:type="dxa"/>
          </w:tcPr>
          <w:p w14:paraId="32BCEDE9"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Puebla </w:t>
            </w:r>
          </w:p>
        </w:tc>
        <w:tc>
          <w:tcPr>
            <w:tcW w:w="2169" w:type="dxa"/>
          </w:tcPr>
          <w:p w14:paraId="14FFC61C" w14:textId="77777777" w:rsidR="0051191B" w:rsidRPr="00B84DFD" w:rsidRDefault="00000000">
            <w:pPr>
              <w:rPr>
                <w:color w:val="000000" w:themeColor="text1"/>
                <w:shd w:val="clear" w:color="auto" w:fill="FFFFFF"/>
              </w:rPr>
            </w:pPr>
            <w:r w:rsidRPr="00B84DFD">
              <w:rPr>
                <w:color w:val="000000" w:themeColor="text1"/>
                <w:shd w:val="clear" w:color="auto" w:fill="FFFFFF"/>
              </w:rPr>
              <w:t>96 525.4</w:t>
            </w:r>
          </w:p>
        </w:tc>
      </w:tr>
      <w:tr w:rsidR="0051191B" w:rsidRPr="00B84DFD" w14:paraId="30CE89CF" w14:textId="77777777">
        <w:trPr>
          <w:jc w:val="center"/>
        </w:trPr>
        <w:tc>
          <w:tcPr>
            <w:tcW w:w="2263" w:type="dxa"/>
          </w:tcPr>
          <w:p w14:paraId="7EF0F158"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Querétaro </w:t>
            </w:r>
          </w:p>
        </w:tc>
        <w:tc>
          <w:tcPr>
            <w:tcW w:w="2169" w:type="dxa"/>
          </w:tcPr>
          <w:p w14:paraId="7C67AFC1" w14:textId="77777777" w:rsidR="0051191B" w:rsidRPr="00B84DFD" w:rsidRDefault="00000000">
            <w:pPr>
              <w:rPr>
                <w:color w:val="000000" w:themeColor="text1"/>
                <w:shd w:val="clear" w:color="auto" w:fill="FFFFFF"/>
              </w:rPr>
            </w:pPr>
            <w:r w:rsidRPr="00B84DFD">
              <w:rPr>
                <w:color w:val="000000" w:themeColor="text1"/>
                <w:shd w:val="clear" w:color="auto" w:fill="FFFFFF"/>
              </w:rPr>
              <w:t>36 226.6</w:t>
            </w:r>
          </w:p>
        </w:tc>
      </w:tr>
      <w:tr w:rsidR="0051191B" w:rsidRPr="00B84DFD" w14:paraId="1572469D" w14:textId="77777777">
        <w:trPr>
          <w:jc w:val="center"/>
        </w:trPr>
        <w:tc>
          <w:tcPr>
            <w:tcW w:w="2263" w:type="dxa"/>
          </w:tcPr>
          <w:p w14:paraId="7E898610"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Quintana Roo </w:t>
            </w:r>
          </w:p>
        </w:tc>
        <w:tc>
          <w:tcPr>
            <w:tcW w:w="2169" w:type="dxa"/>
          </w:tcPr>
          <w:p w14:paraId="7CE91908"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33 860.9 </w:t>
            </w:r>
          </w:p>
        </w:tc>
      </w:tr>
      <w:tr w:rsidR="0051191B" w:rsidRPr="00B84DFD" w14:paraId="7522A9FB" w14:textId="77777777">
        <w:trPr>
          <w:jc w:val="center"/>
        </w:trPr>
        <w:tc>
          <w:tcPr>
            <w:tcW w:w="2263" w:type="dxa"/>
          </w:tcPr>
          <w:p w14:paraId="5C0BAE81"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San Luis Potosí </w:t>
            </w:r>
          </w:p>
        </w:tc>
        <w:tc>
          <w:tcPr>
            <w:tcW w:w="2169" w:type="dxa"/>
          </w:tcPr>
          <w:p w14:paraId="473270EA"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48 987.8 </w:t>
            </w:r>
          </w:p>
        </w:tc>
      </w:tr>
      <w:tr w:rsidR="0051191B" w:rsidRPr="00B84DFD" w14:paraId="0FE612CD" w14:textId="77777777">
        <w:trPr>
          <w:jc w:val="center"/>
        </w:trPr>
        <w:tc>
          <w:tcPr>
            <w:tcW w:w="2263" w:type="dxa"/>
          </w:tcPr>
          <w:p w14:paraId="4DDFEE61" w14:textId="77777777" w:rsidR="0051191B" w:rsidRPr="00B84DFD" w:rsidRDefault="00000000">
            <w:pPr>
              <w:rPr>
                <w:color w:val="000000" w:themeColor="text1"/>
                <w:shd w:val="clear" w:color="auto" w:fill="FFFFFF"/>
              </w:rPr>
            </w:pPr>
            <w:r w:rsidRPr="00B84DFD">
              <w:rPr>
                <w:color w:val="000000" w:themeColor="text1"/>
                <w:shd w:val="clear" w:color="auto" w:fill="FFFFFF"/>
              </w:rPr>
              <w:t>Sinaloa</w:t>
            </w:r>
          </w:p>
        </w:tc>
        <w:tc>
          <w:tcPr>
            <w:tcW w:w="2169" w:type="dxa"/>
          </w:tcPr>
          <w:p w14:paraId="22C8E42B"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56 012.5 </w:t>
            </w:r>
          </w:p>
        </w:tc>
      </w:tr>
      <w:tr w:rsidR="0051191B" w:rsidRPr="00B84DFD" w14:paraId="372116A3" w14:textId="77777777">
        <w:trPr>
          <w:jc w:val="center"/>
        </w:trPr>
        <w:tc>
          <w:tcPr>
            <w:tcW w:w="2263" w:type="dxa"/>
          </w:tcPr>
          <w:p w14:paraId="086BF966"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Sonora </w:t>
            </w:r>
          </w:p>
        </w:tc>
        <w:tc>
          <w:tcPr>
            <w:tcW w:w="2169" w:type="dxa"/>
          </w:tcPr>
          <w:p w14:paraId="314B7700"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67 709.0 </w:t>
            </w:r>
          </w:p>
        </w:tc>
      </w:tr>
      <w:tr w:rsidR="0051191B" w:rsidRPr="00B84DFD" w14:paraId="527720AA" w14:textId="77777777">
        <w:trPr>
          <w:jc w:val="center"/>
        </w:trPr>
        <w:tc>
          <w:tcPr>
            <w:tcW w:w="2263" w:type="dxa"/>
          </w:tcPr>
          <w:p w14:paraId="0B6E4AAD" w14:textId="77777777" w:rsidR="0051191B" w:rsidRPr="00B84DFD" w:rsidRDefault="00000000">
            <w:pPr>
              <w:rPr>
                <w:color w:val="000000" w:themeColor="text1"/>
                <w:shd w:val="clear" w:color="auto" w:fill="FFFFFF"/>
              </w:rPr>
            </w:pPr>
            <w:r w:rsidRPr="00B84DFD">
              <w:rPr>
                <w:color w:val="000000" w:themeColor="text1"/>
                <w:shd w:val="clear" w:color="auto" w:fill="FFFFFF"/>
              </w:rPr>
              <w:t>Tabasco</w:t>
            </w:r>
          </w:p>
        </w:tc>
        <w:tc>
          <w:tcPr>
            <w:tcW w:w="2169" w:type="dxa"/>
          </w:tcPr>
          <w:p w14:paraId="2133920F"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51 099.0 </w:t>
            </w:r>
          </w:p>
        </w:tc>
      </w:tr>
      <w:tr w:rsidR="0051191B" w:rsidRPr="00B84DFD" w14:paraId="20A1C4F3" w14:textId="77777777">
        <w:trPr>
          <w:jc w:val="center"/>
        </w:trPr>
        <w:tc>
          <w:tcPr>
            <w:tcW w:w="2263" w:type="dxa"/>
          </w:tcPr>
          <w:p w14:paraId="3F2D0415"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Tamaulipas </w:t>
            </w:r>
          </w:p>
        </w:tc>
        <w:tc>
          <w:tcPr>
            <w:tcW w:w="2169" w:type="dxa"/>
          </w:tcPr>
          <w:p w14:paraId="3D0269CD"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52 410.7 </w:t>
            </w:r>
          </w:p>
        </w:tc>
      </w:tr>
      <w:tr w:rsidR="0051191B" w:rsidRPr="00B84DFD" w14:paraId="7FBD5523" w14:textId="77777777">
        <w:trPr>
          <w:jc w:val="center"/>
        </w:trPr>
        <w:tc>
          <w:tcPr>
            <w:tcW w:w="2263" w:type="dxa"/>
          </w:tcPr>
          <w:p w14:paraId="790D7232"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Tlaxcala </w:t>
            </w:r>
          </w:p>
        </w:tc>
        <w:tc>
          <w:tcPr>
            <w:tcW w:w="2169" w:type="dxa"/>
          </w:tcPr>
          <w:p w14:paraId="13E2D2CA"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20 667.7 </w:t>
            </w:r>
          </w:p>
        </w:tc>
      </w:tr>
      <w:tr w:rsidR="0051191B" w:rsidRPr="00B84DFD" w14:paraId="41319B1D" w14:textId="77777777">
        <w:trPr>
          <w:jc w:val="center"/>
        </w:trPr>
        <w:tc>
          <w:tcPr>
            <w:tcW w:w="2263" w:type="dxa"/>
          </w:tcPr>
          <w:p w14:paraId="1D78240A"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Veracruz </w:t>
            </w:r>
          </w:p>
        </w:tc>
        <w:tc>
          <w:tcPr>
            <w:tcW w:w="2169" w:type="dxa"/>
          </w:tcPr>
          <w:p w14:paraId="250B6515"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128 420.7 </w:t>
            </w:r>
          </w:p>
        </w:tc>
      </w:tr>
      <w:tr w:rsidR="0051191B" w:rsidRPr="00B84DFD" w14:paraId="54F62428" w14:textId="77777777">
        <w:trPr>
          <w:jc w:val="center"/>
        </w:trPr>
        <w:tc>
          <w:tcPr>
            <w:tcW w:w="2263" w:type="dxa"/>
          </w:tcPr>
          <w:p w14:paraId="27188220"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Yucatán </w:t>
            </w:r>
          </w:p>
        </w:tc>
        <w:tc>
          <w:tcPr>
            <w:tcW w:w="2169" w:type="dxa"/>
          </w:tcPr>
          <w:p w14:paraId="7244D040"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41 136.1 </w:t>
            </w:r>
          </w:p>
        </w:tc>
      </w:tr>
      <w:tr w:rsidR="0051191B" w:rsidRPr="00B84DFD" w14:paraId="1F9341D7" w14:textId="77777777">
        <w:trPr>
          <w:jc w:val="center"/>
        </w:trPr>
        <w:tc>
          <w:tcPr>
            <w:tcW w:w="2263" w:type="dxa"/>
          </w:tcPr>
          <w:p w14:paraId="01D5E495"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Zacatecas </w:t>
            </w:r>
          </w:p>
        </w:tc>
        <w:tc>
          <w:tcPr>
            <w:tcW w:w="2169" w:type="dxa"/>
          </w:tcPr>
          <w:p w14:paraId="05AED7A3" w14:textId="77777777" w:rsidR="0051191B" w:rsidRPr="00B84DFD" w:rsidRDefault="00000000">
            <w:pPr>
              <w:rPr>
                <w:color w:val="000000" w:themeColor="text1"/>
                <w:shd w:val="clear" w:color="auto" w:fill="FFFFFF"/>
              </w:rPr>
            </w:pPr>
            <w:r w:rsidRPr="00B84DFD">
              <w:rPr>
                <w:color w:val="000000" w:themeColor="text1"/>
                <w:shd w:val="clear" w:color="auto" w:fill="FFFFFF"/>
              </w:rPr>
              <w:t xml:space="preserve">30 226.2 </w:t>
            </w:r>
          </w:p>
        </w:tc>
      </w:tr>
    </w:tbl>
    <w:p w14:paraId="2B6ACF6E" w14:textId="0F4507C3" w:rsidR="00B84DFD" w:rsidRDefault="00000000" w:rsidP="00D45D7D">
      <w:pPr>
        <w:pStyle w:val="NormalWeb"/>
        <w:shd w:val="clear" w:color="auto" w:fill="FFFFFF"/>
        <w:spacing w:beforeAutospacing="0" w:afterAutospacing="0" w:line="360" w:lineRule="auto"/>
        <w:jc w:val="center"/>
        <w:rPr>
          <w:color w:val="000000" w:themeColor="text1"/>
          <w:shd w:val="clear" w:color="auto" w:fill="FFFFFF"/>
        </w:rPr>
      </w:pPr>
      <w:r>
        <w:rPr>
          <w:color w:val="000000" w:themeColor="text1"/>
          <w:shd w:val="clear" w:color="auto" w:fill="FFFFFF"/>
        </w:rPr>
        <w:t xml:space="preserve">Fuente: Elaboración Propia con información </w:t>
      </w:r>
      <w:r>
        <w:rPr>
          <w:color w:val="000000" w:themeColor="text1"/>
          <w:spacing w:val="2"/>
        </w:rPr>
        <w:t>IMCO (2021)</w:t>
      </w:r>
    </w:p>
    <w:p w14:paraId="278F1F35" w14:textId="1B9E8541" w:rsidR="0051191B" w:rsidRDefault="00000000" w:rsidP="00B84DFD">
      <w:pPr>
        <w:pStyle w:val="NormalWeb"/>
        <w:shd w:val="clear" w:color="auto" w:fill="FFFFFF"/>
        <w:spacing w:beforeAutospacing="0" w:afterAutospacing="0" w:line="360" w:lineRule="auto"/>
        <w:ind w:firstLine="708"/>
        <w:jc w:val="both"/>
        <w:rPr>
          <w:color w:val="000000" w:themeColor="text1"/>
          <w:shd w:val="clear" w:color="auto" w:fill="FFFFFF"/>
        </w:rPr>
      </w:pPr>
      <w:r>
        <w:rPr>
          <w:color w:val="000000" w:themeColor="text1"/>
          <w:shd w:val="clear" w:color="auto" w:fill="FFFFFF"/>
        </w:rPr>
        <w:t>Ahora bien, para el presente estudio es importante desglosar el ingreso total real que obtuvo el Estado de Nayarit durante el ejercicio 2021, mostrando que captó el 7% en ingresos propios, como se presenta en la tabla 2.</w:t>
      </w:r>
    </w:p>
    <w:p w14:paraId="2D108C79" w14:textId="77777777" w:rsidR="00B84DFD" w:rsidRDefault="00B84DF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38ACE9FA" w14:textId="77777777" w:rsidR="0051191B" w:rsidRDefault="00000000" w:rsidP="00B84DFD">
      <w:pPr>
        <w:pStyle w:val="Descripcin"/>
        <w:keepNext/>
        <w:spacing w:after="0" w:line="360" w:lineRule="auto"/>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2</w:t>
      </w:r>
      <w:r>
        <w:rPr>
          <w:rFonts w:ascii="Times New Roman" w:hAnsi="Times New Roman" w:cs="Times New Roman"/>
          <w:b/>
          <w:bCs/>
          <w:i w:val="0"/>
          <w:iCs w:val="0"/>
          <w:color w:val="000000"/>
          <w:sz w:val="24"/>
          <w:szCs w:val="24"/>
        </w:rPr>
        <w:fldChar w:fldCharType="end"/>
      </w:r>
      <w:r>
        <w:rPr>
          <w:rFonts w:ascii="Times New Roman" w:hAnsi="Times New Roman" w:cs="Times New Roman"/>
          <w:i w:val="0"/>
          <w:iCs w:val="0"/>
          <w:color w:val="000000" w:themeColor="text1"/>
          <w:sz w:val="24"/>
          <w:szCs w:val="24"/>
        </w:rPr>
        <w:t>. Distribución del ingreso total del Estado de Nayarit durante el ejercicio 2021 en millones de pesos</w:t>
      </w:r>
    </w:p>
    <w:tbl>
      <w:tblPr>
        <w:tblStyle w:val="Tablaconcuadrcula"/>
        <w:tblW w:w="8828" w:type="dxa"/>
        <w:tblLayout w:type="fixed"/>
        <w:tblLook w:val="04A0" w:firstRow="1" w:lastRow="0" w:firstColumn="1" w:lastColumn="0" w:noHBand="0" w:noVBand="1"/>
      </w:tblPr>
      <w:tblGrid>
        <w:gridCol w:w="1738"/>
        <w:gridCol w:w="2154"/>
        <w:gridCol w:w="2057"/>
        <w:gridCol w:w="1154"/>
        <w:gridCol w:w="1725"/>
      </w:tblGrid>
      <w:tr w:rsidR="0051191B" w14:paraId="621FF1EC" w14:textId="77777777">
        <w:tc>
          <w:tcPr>
            <w:tcW w:w="1738" w:type="dxa"/>
          </w:tcPr>
          <w:p w14:paraId="5C98FEB9" w14:textId="77777777" w:rsidR="0051191B" w:rsidRDefault="00000000">
            <w:pPr>
              <w:pStyle w:val="NormalWeb"/>
              <w:spacing w:line="360" w:lineRule="auto"/>
              <w:jc w:val="center"/>
              <w:rPr>
                <w:color w:val="000000" w:themeColor="text1"/>
                <w:shd w:val="clear" w:color="auto" w:fill="FFFFFF"/>
              </w:rPr>
            </w:pPr>
            <w:r>
              <w:rPr>
                <w:color w:val="000000" w:themeColor="text1"/>
                <w:shd w:val="clear" w:color="auto" w:fill="FFFFFF"/>
              </w:rPr>
              <w:t>Entidad Federativa</w:t>
            </w:r>
          </w:p>
        </w:tc>
        <w:tc>
          <w:tcPr>
            <w:tcW w:w="2154" w:type="dxa"/>
          </w:tcPr>
          <w:p w14:paraId="7470F66A" w14:textId="77777777" w:rsidR="0051191B" w:rsidRDefault="00000000">
            <w:pPr>
              <w:pStyle w:val="NormalWeb"/>
              <w:spacing w:line="360" w:lineRule="auto"/>
              <w:jc w:val="center"/>
              <w:rPr>
                <w:color w:val="000000" w:themeColor="text1"/>
                <w:shd w:val="clear" w:color="auto" w:fill="FFFFFF"/>
              </w:rPr>
            </w:pPr>
            <w:r>
              <w:rPr>
                <w:color w:val="000000" w:themeColor="text1"/>
                <w:shd w:val="clear" w:color="auto" w:fill="FFFFFF"/>
              </w:rPr>
              <w:t>Aportación Federal (Ramo 33)</w:t>
            </w:r>
          </w:p>
        </w:tc>
        <w:tc>
          <w:tcPr>
            <w:tcW w:w="2057" w:type="dxa"/>
          </w:tcPr>
          <w:p w14:paraId="2CAA4056" w14:textId="77777777" w:rsidR="0051191B" w:rsidRDefault="00000000">
            <w:pPr>
              <w:pStyle w:val="NormalWeb"/>
              <w:spacing w:line="360" w:lineRule="auto"/>
              <w:jc w:val="center"/>
              <w:rPr>
                <w:color w:val="000000" w:themeColor="text1"/>
                <w:shd w:val="clear" w:color="auto" w:fill="FFFFFF"/>
              </w:rPr>
            </w:pPr>
            <w:r>
              <w:rPr>
                <w:color w:val="000000" w:themeColor="text1"/>
                <w:shd w:val="clear" w:color="auto" w:fill="FFFFFF"/>
              </w:rPr>
              <w:t>Participación Federal (Ramo 28)</w:t>
            </w:r>
          </w:p>
        </w:tc>
        <w:tc>
          <w:tcPr>
            <w:tcW w:w="1154" w:type="dxa"/>
          </w:tcPr>
          <w:p w14:paraId="1A72F897" w14:textId="77777777" w:rsidR="0051191B" w:rsidRDefault="00000000">
            <w:pPr>
              <w:pStyle w:val="NormalWeb"/>
              <w:spacing w:line="360" w:lineRule="auto"/>
              <w:jc w:val="center"/>
              <w:rPr>
                <w:color w:val="000000" w:themeColor="text1"/>
                <w:shd w:val="clear" w:color="auto" w:fill="FFFFFF"/>
              </w:rPr>
            </w:pPr>
            <w:r>
              <w:rPr>
                <w:color w:val="000000" w:themeColor="text1"/>
                <w:shd w:val="clear" w:color="auto" w:fill="FFFFFF"/>
              </w:rPr>
              <w:t>Ingresos Propios</w:t>
            </w:r>
          </w:p>
        </w:tc>
        <w:tc>
          <w:tcPr>
            <w:tcW w:w="1725" w:type="dxa"/>
          </w:tcPr>
          <w:p w14:paraId="47B7680F" w14:textId="77777777" w:rsidR="0051191B" w:rsidRDefault="00000000">
            <w:pPr>
              <w:pStyle w:val="NormalWeb"/>
              <w:spacing w:line="360" w:lineRule="auto"/>
              <w:jc w:val="center"/>
              <w:rPr>
                <w:color w:val="000000" w:themeColor="text1"/>
                <w:shd w:val="clear" w:color="auto" w:fill="FFFFFF"/>
              </w:rPr>
            </w:pPr>
            <w:r>
              <w:rPr>
                <w:color w:val="000000" w:themeColor="text1"/>
                <w:shd w:val="clear" w:color="auto" w:fill="FFFFFF"/>
              </w:rPr>
              <w:t>Ingreso Total</w:t>
            </w:r>
          </w:p>
        </w:tc>
      </w:tr>
      <w:tr w:rsidR="0051191B" w14:paraId="6AB91AF6" w14:textId="77777777">
        <w:tc>
          <w:tcPr>
            <w:tcW w:w="1738" w:type="dxa"/>
          </w:tcPr>
          <w:p w14:paraId="7E90C8D7" w14:textId="77777777" w:rsidR="0051191B" w:rsidRDefault="00000000">
            <w:pPr>
              <w:pStyle w:val="NormalWeb"/>
              <w:spacing w:line="360" w:lineRule="auto"/>
              <w:jc w:val="center"/>
              <w:rPr>
                <w:color w:val="000000" w:themeColor="text1"/>
                <w:shd w:val="clear" w:color="auto" w:fill="FFFFFF"/>
              </w:rPr>
            </w:pPr>
            <w:r>
              <w:rPr>
                <w:color w:val="000000" w:themeColor="text1"/>
                <w:shd w:val="clear" w:color="auto" w:fill="FFFFFF"/>
              </w:rPr>
              <w:t>Nayarit</w:t>
            </w:r>
          </w:p>
        </w:tc>
        <w:tc>
          <w:tcPr>
            <w:tcW w:w="2154" w:type="dxa"/>
          </w:tcPr>
          <w:p w14:paraId="1375E5B5" w14:textId="77777777" w:rsidR="0051191B" w:rsidRDefault="00000000">
            <w:pPr>
              <w:pStyle w:val="NormalWeb"/>
              <w:jc w:val="right"/>
            </w:pPr>
            <w:r>
              <w:t>15 469.3</w:t>
            </w:r>
          </w:p>
        </w:tc>
        <w:tc>
          <w:tcPr>
            <w:tcW w:w="2057" w:type="dxa"/>
          </w:tcPr>
          <w:p w14:paraId="2CF9FF23" w14:textId="77777777" w:rsidR="0051191B" w:rsidRDefault="00000000">
            <w:pPr>
              <w:pStyle w:val="NormalWeb"/>
              <w:jc w:val="right"/>
            </w:pPr>
            <w:r>
              <w:t>8 743.1</w:t>
            </w:r>
          </w:p>
        </w:tc>
        <w:tc>
          <w:tcPr>
            <w:tcW w:w="1154" w:type="dxa"/>
          </w:tcPr>
          <w:p w14:paraId="0DBDA5E7" w14:textId="77777777" w:rsidR="0051191B" w:rsidRDefault="00000000">
            <w:pPr>
              <w:pStyle w:val="NormalWeb"/>
              <w:spacing w:line="360" w:lineRule="auto"/>
              <w:jc w:val="right"/>
              <w:rPr>
                <w:color w:val="000000" w:themeColor="text1"/>
                <w:shd w:val="clear" w:color="auto" w:fill="FFFFFF"/>
              </w:rPr>
            </w:pPr>
            <w:r>
              <w:rPr>
                <w:color w:val="000000" w:themeColor="text1"/>
                <w:shd w:val="clear" w:color="auto" w:fill="FFFFFF"/>
              </w:rPr>
              <w:t>1 952.7</w:t>
            </w:r>
          </w:p>
        </w:tc>
        <w:tc>
          <w:tcPr>
            <w:tcW w:w="1725" w:type="dxa"/>
          </w:tcPr>
          <w:p w14:paraId="3F924DA2" w14:textId="77777777" w:rsidR="0051191B" w:rsidRDefault="00000000">
            <w:pPr>
              <w:pStyle w:val="NormalWeb"/>
              <w:spacing w:line="360" w:lineRule="auto"/>
              <w:jc w:val="right"/>
              <w:rPr>
                <w:color w:val="000000" w:themeColor="text1"/>
                <w:shd w:val="clear" w:color="auto" w:fill="FFFFFF"/>
              </w:rPr>
            </w:pPr>
            <w:r>
              <w:rPr>
                <w:color w:val="000000" w:themeColor="text1"/>
                <w:shd w:val="clear" w:color="auto" w:fill="FFFFFF"/>
              </w:rPr>
              <w:t>26 165.1</w:t>
            </w:r>
          </w:p>
        </w:tc>
      </w:tr>
    </w:tbl>
    <w:p w14:paraId="5A4C4AC6" w14:textId="77777777" w:rsidR="0051191B" w:rsidRDefault="00000000" w:rsidP="00B84DFD">
      <w:pPr>
        <w:pStyle w:val="NormalWeb"/>
        <w:shd w:val="clear" w:color="auto" w:fill="FFFFFF"/>
        <w:spacing w:beforeAutospacing="0" w:afterAutospacing="0" w:line="360" w:lineRule="auto"/>
        <w:jc w:val="center"/>
        <w:rPr>
          <w:color w:val="000000" w:themeColor="text1"/>
          <w:shd w:val="clear" w:color="auto" w:fill="FFFFFF"/>
        </w:rPr>
      </w:pPr>
      <w:r>
        <w:rPr>
          <w:color w:val="000000" w:themeColor="text1"/>
          <w:shd w:val="clear" w:color="auto" w:fill="FFFFFF"/>
        </w:rPr>
        <w:t xml:space="preserve">Fuente: Elaboración Propia con información </w:t>
      </w:r>
      <w:r>
        <w:rPr>
          <w:color w:val="000000" w:themeColor="text1"/>
          <w:spacing w:val="2"/>
        </w:rPr>
        <w:t>INEGI (2022)</w:t>
      </w:r>
    </w:p>
    <w:p w14:paraId="3BDD6DFD" w14:textId="77777777" w:rsidR="0051191B" w:rsidRDefault="00000000" w:rsidP="00B84DFD">
      <w:pPr>
        <w:pStyle w:val="NormalWeb"/>
        <w:shd w:val="clear" w:color="auto" w:fill="FFFFFF"/>
        <w:spacing w:beforeAutospacing="0" w:afterAutospacing="0" w:line="360" w:lineRule="auto"/>
        <w:ind w:firstLine="708"/>
        <w:jc w:val="both"/>
        <w:rPr>
          <w:color w:val="000000" w:themeColor="text1"/>
          <w:shd w:val="clear" w:color="auto" w:fill="FFFFFF"/>
        </w:rPr>
      </w:pPr>
      <w:r>
        <w:rPr>
          <w:color w:val="000000" w:themeColor="text1"/>
          <w:shd w:val="clear" w:color="auto" w:fill="FFFFFF"/>
        </w:rPr>
        <w:t>Entonces, para continuar con la investigación, es importante mencionar que los ingresos propios son la suma de los impuestos estatales, derechos, productos, accesorios, ingresos por venta de bienes, prestación de servicios y otros ingresos. En el caso del Estado de Nayarit para el ejercicio 2022, se estimaron en 2,197.2 millones de pesos, como se muestra en la tabla 3.</w:t>
      </w:r>
    </w:p>
    <w:p w14:paraId="5D0FC33D" w14:textId="77777777" w:rsidR="00D45D7D" w:rsidRDefault="00D45D7D" w:rsidP="00B84DFD">
      <w:pPr>
        <w:pStyle w:val="NormalWeb"/>
        <w:shd w:val="clear" w:color="auto" w:fill="FFFFFF"/>
        <w:spacing w:beforeAutospacing="0" w:afterAutospacing="0" w:line="360" w:lineRule="auto"/>
        <w:ind w:firstLine="708"/>
        <w:jc w:val="both"/>
        <w:rPr>
          <w:color w:val="000000" w:themeColor="text1"/>
          <w:shd w:val="clear" w:color="auto" w:fill="FFFFFF"/>
        </w:rPr>
      </w:pPr>
    </w:p>
    <w:p w14:paraId="38D15781" w14:textId="77777777" w:rsidR="0051191B" w:rsidRDefault="00000000" w:rsidP="00B84DFD">
      <w:pPr>
        <w:pStyle w:val="Descripcin"/>
        <w:keepNext/>
        <w:spacing w:after="0" w:line="360" w:lineRule="auto"/>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3</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Ingresos propios estimados para el ejercicio 2022 en millones de pesos</w:t>
      </w:r>
    </w:p>
    <w:tbl>
      <w:tblPr>
        <w:tblStyle w:val="Tablaconcuadrcula"/>
        <w:tblW w:w="6091" w:type="dxa"/>
        <w:jc w:val="center"/>
        <w:tblLayout w:type="fixed"/>
        <w:tblLook w:val="04A0" w:firstRow="1" w:lastRow="0" w:firstColumn="1" w:lastColumn="0" w:noHBand="0" w:noVBand="1"/>
      </w:tblPr>
      <w:tblGrid>
        <w:gridCol w:w="4633"/>
        <w:gridCol w:w="1458"/>
      </w:tblGrid>
      <w:tr w:rsidR="0051191B" w:rsidRPr="00B84DFD" w14:paraId="0E1C1D29" w14:textId="77777777">
        <w:trPr>
          <w:trHeight w:val="411"/>
          <w:jc w:val="center"/>
        </w:trPr>
        <w:tc>
          <w:tcPr>
            <w:tcW w:w="4632" w:type="dxa"/>
          </w:tcPr>
          <w:p w14:paraId="5216CC79" w14:textId="77777777" w:rsidR="0051191B" w:rsidRPr="00B84DFD" w:rsidRDefault="00000000">
            <w:pPr>
              <w:pStyle w:val="NormalWeb"/>
              <w:spacing w:line="360" w:lineRule="auto"/>
              <w:jc w:val="both"/>
              <w:rPr>
                <w:color w:val="000000" w:themeColor="text1"/>
                <w:shd w:val="clear" w:color="auto" w:fill="FFFFFF"/>
              </w:rPr>
            </w:pPr>
            <w:r w:rsidRPr="00B84DFD">
              <w:rPr>
                <w:color w:val="000000" w:themeColor="text1"/>
                <w:shd w:val="clear" w:color="auto" w:fill="FFFFFF"/>
              </w:rPr>
              <w:t>Concepto</w:t>
            </w:r>
          </w:p>
        </w:tc>
        <w:tc>
          <w:tcPr>
            <w:tcW w:w="1458" w:type="dxa"/>
          </w:tcPr>
          <w:p w14:paraId="4FAF2B47" w14:textId="77777777" w:rsidR="0051191B" w:rsidRPr="00B84DFD" w:rsidRDefault="00000000">
            <w:pPr>
              <w:pStyle w:val="NormalWeb"/>
              <w:spacing w:line="360" w:lineRule="auto"/>
              <w:jc w:val="both"/>
              <w:rPr>
                <w:color w:val="000000" w:themeColor="text1"/>
                <w:shd w:val="clear" w:color="auto" w:fill="FFFFFF"/>
              </w:rPr>
            </w:pPr>
            <w:r w:rsidRPr="00B84DFD">
              <w:rPr>
                <w:color w:val="000000" w:themeColor="text1"/>
                <w:shd w:val="clear" w:color="auto" w:fill="FFFFFF"/>
              </w:rPr>
              <w:t>Ingreso</w:t>
            </w:r>
          </w:p>
        </w:tc>
      </w:tr>
      <w:tr w:rsidR="0051191B" w:rsidRPr="00B84DFD" w14:paraId="5BB48C2F" w14:textId="77777777">
        <w:trPr>
          <w:trHeight w:val="411"/>
          <w:jc w:val="center"/>
        </w:trPr>
        <w:tc>
          <w:tcPr>
            <w:tcW w:w="4632" w:type="dxa"/>
          </w:tcPr>
          <w:p w14:paraId="6797639E" w14:textId="77777777" w:rsidR="0051191B" w:rsidRPr="00B84DFD" w:rsidRDefault="00000000">
            <w:pPr>
              <w:pStyle w:val="NormalWeb"/>
              <w:spacing w:line="360" w:lineRule="auto"/>
              <w:jc w:val="both"/>
              <w:rPr>
                <w:color w:val="000000" w:themeColor="text1"/>
                <w:shd w:val="clear" w:color="auto" w:fill="FFFFFF"/>
              </w:rPr>
            </w:pPr>
            <w:r w:rsidRPr="00B84DFD">
              <w:rPr>
                <w:color w:val="000000" w:themeColor="text1"/>
                <w:shd w:val="clear" w:color="auto" w:fill="FFFFFF"/>
              </w:rPr>
              <w:t>Impuestos</w:t>
            </w:r>
          </w:p>
        </w:tc>
        <w:tc>
          <w:tcPr>
            <w:tcW w:w="1458" w:type="dxa"/>
          </w:tcPr>
          <w:p w14:paraId="35D5874E" w14:textId="77777777" w:rsidR="0051191B" w:rsidRPr="00B84DFD" w:rsidRDefault="00000000">
            <w:pPr>
              <w:pStyle w:val="NormalWeb"/>
              <w:spacing w:line="360" w:lineRule="auto"/>
              <w:jc w:val="right"/>
              <w:rPr>
                <w:color w:val="000000" w:themeColor="text1"/>
                <w:shd w:val="clear" w:color="auto" w:fill="FFFFFF"/>
              </w:rPr>
            </w:pPr>
            <w:r w:rsidRPr="00B84DFD">
              <w:rPr>
                <w:color w:val="000000" w:themeColor="text1"/>
                <w:shd w:val="clear" w:color="auto" w:fill="FFFFFF"/>
              </w:rPr>
              <w:t>1 214.2</w:t>
            </w:r>
          </w:p>
        </w:tc>
      </w:tr>
      <w:tr w:rsidR="0051191B" w:rsidRPr="00B84DFD" w14:paraId="3990B526" w14:textId="77777777">
        <w:trPr>
          <w:trHeight w:val="429"/>
          <w:jc w:val="center"/>
        </w:trPr>
        <w:tc>
          <w:tcPr>
            <w:tcW w:w="4632" w:type="dxa"/>
          </w:tcPr>
          <w:p w14:paraId="3872C08A" w14:textId="77777777" w:rsidR="0051191B" w:rsidRPr="00B84DFD" w:rsidRDefault="00000000">
            <w:pPr>
              <w:pStyle w:val="NormalWeb"/>
              <w:spacing w:line="360" w:lineRule="auto"/>
              <w:jc w:val="both"/>
              <w:rPr>
                <w:color w:val="000000" w:themeColor="text1"/>
                <w:shd w:val="clear" w:color="auto" w:fill="FFFFFF"/>
              </w:rPr>
            </w:pPr>
            <w:r w:rsidRPr="00B84DFD">
              <w:rPr>
                <w:color w:val="000000" w:themeColor="text1"/>
                <w:shd w:val="clear" w:color="auto" w:fill="FFFFFF"/>
              </w:rPr>
              <w:t>Derechos</w:t>
            </w:r>
          </w:p>
        </w:tc>
        <w:tc>
          <w:tcPr>
            <w:tcW w:w="1458" w:type="dxa"/>
          </w:tcPr>
          <w:p w14:paraId="25514354" w14:textId="77777777" w:rsidR="0051191B" w:rsidRPr="00B84DFD" w:rsidRDefault="00000000">
            <w:pPr>
              <w:pStyle w:val="NormalWeb"/>
              <w:spacing w:line="360" w:lineRule="auto"/>
              <w:jc w:val="right"/>
              <w:rPr>
                <w:color w:val="000000" w:themeColor="text1"/>
                <w:shd w:val="clear" w:color="auto" w:fill="FFFFFF"/>
              </w:rPr>
            </w:pPr>
            <w:r w:rsidRPr="00B84DFD">
              <w:rPr>
                <w:color w:val="000000" w:themeColor="text1"/>
                <w:shd w:val="clear" w:color="auto" w:fill="FFFFFF"/>
              </w:rPr>
              <w:t>484.6</w:t>
            </w:r>
          </w:p>
        </w:tc>
      </w:tr>
      <w:tr w:rsidR="0051191B" w:rsidRPr="00B84DFD" w14:paraId="04511742" w14:textId="77777777">
        <w:trPr>
          <w:trHeight w:val="411"/>
          <w:jc w:val="center"/>
        </w:trPr>
        <w:tc>
          <w:tcPr>
            <w:tcW w:w="4632" w:type="dxa"/>
          </w:tcPr>
          <w:p w14:paraId="7F823F27" w14:textId="77777777" w:rsidR="0051191B" w:rsidRPr="00B84DFD" w:rsidRDefault="00000000">
            <w:pPr>
              <w:pStyle w:val="NormalWeb"/>
              <w:spacing w:line="360" w:lineRule="auto"/>
              <w:jc w:val="both"/>
              <w:rPr>
                <w:color w:val="000000" w:themeColor="text1"/>
                <w:shd w:val="clear" w:color="auto" w:fill="FFFFFF"/>
              </w:rPr>
            </w:pPr>
            <w:r w:rsidRPr="00B84DFD">
              <w:rPr>
                <w:color w:val="000000" w:themeColor="text1"/>
                <w:shd w:val="clear" w:color="auto" w:fill="FFFFFF"/>
              </w:rPr>
              <w:t>Productos</w:t>
            </w:r>
          </w:p>
        </w:tc>
        <w:tc>
          <w:tcPr>
            <w:tcW w:w="1458" w:type="dxa"/>
          </w:tcPr>
          <w:p w14:paraId="42BDBEE4" w14:textId="77777777" w:rsidR="0051191B" w:rsidRPr="00B84DFD" w:rsidRDefault="00000000">
            <w:pPr>
              <w:pStyle w:val="NormalWeb"/>
              <w:spacing w:line="360" w:lineRule="auto"/>
              <w:jc w:val="right"/>
              <w:rPr>
                <w:color w:val="000000" w:themeColor="text1"/>
                <w:shd w:val="clear" w:color="auto" w:fill="FFFFFF"/>
              </w:rPr>
            </w:pPr>
            <w:r w:rsidRPr="00B84DFD">
              <w:rPr>
                <w:color w:val="000000" w:themeColor="text1"/>
                <w:shd w:val="clear" w:color="auto" w:fill="FFFFFF"/>
              </w:rPr>
              <w:t>21.0</w:t>
            </w:r>
          </w:p>
        </w:tc>
      </w:tr>
      <w:tr w:rsidR="0051191B" w:rsidRPr="00B84DFD" w14:paraId="351DAB01" w14:textId="77777777">
        <w:trPr>
          <w:trHeight w:val="411"/>
          <w:jc w:val="center"/>
        </w:trPr>
        <w:tc>
          <w:tcPr>
            <w:tcW w:w="4632" w:type="dxa"/>
          </w:tcPr>
          <w:p w14:paraId="35F5FE11" w14:textId="77777777" w:rsidR="0051191B" w:rsidRPr="00B84DFD" w:rsidRDefault="00000000">
            <w:pPr>
              <w:pStyle w:val="NormalWeb"/>
              <w:spacing w:line="360" w:lineRule="auto"/>
              <w:jc w:val="both"/>
              <w:rPr>
                <w:color w:val="000000" w:themeColor="text1"/>
                <w:shd w:val="clear" w:color="auto" w:fill="FFFFFF"/>
              </w:rPr>
            </w:pPr>
            <w:r w:rsidRPr="00B84DFD">
              <w:rPr>
                <w:color w:val="000000" w:themeColor="text1"/>
                <w:shd w:val="clear" w:color="auto" w:fill="FFFFFF"/>
              </w:rPr>
              <w:t>Aprovechamientos</w:t>
            </w:r>
          </w:p>
        </w:tc>
        <w:tc>
          <w:tcPr>
            <w:tcW w:w="1458" w:type="dxa"/>
          </w:tcPr>
          <w:p w14:paraId="3920A9C5" w14:textId="77777777" w:rsidR="0051191B" w:rsidRPr="00B84DFD" w:rsidRDefault="00000000">
            <w:pPr>
              <w:pStyle w:val="NormalWeb"/>
              <w:spacing w:line="360" w:lineRule="auto"/>
              <w:jc w:val="right"/>
              <w:rPr>
                <w:color w:val="000000" w:themeColor="text1"/>
                <w:shd w:val="clear" w:color="auto" w:fill="FFFFFF"/>
              </w:rPr>
            </w:pPr>
            <w:r w:rsidRPr="00B84DFD">
              <w:rPr>
                <w:color w:val="000000" w:themeColor="text1"/>
                <w:shd w:val="clear" w:color="auto" w:fill="FFFFFF"/>
              </w:rPr>
              <w:t>260.0</w:t>
            </w:r>
          </w:p>
        </w:tc>
      </w:tr>
      <w:tr w:rsidR="0051191B" w:rsidRPr="00B84DFD" w14:paraId="04DD1CE6" w14:textId="77777777">
        <w:trPr>
          <w:trHeight w:val="840"/>
          <w:jc w:val="center"/>
        </w:trPr>
        <w:tc>
          <w:tcPr>
            <w:tcW w:w="4632" w:type="dxa"/>
          </w:tcPr>
          <w:p w14:paraId="4E36274B" w14:textId="77777777" w:rsidR="0051191B" w:rsidRPr="00B84DFD" w:rsidRDefault="00000000">
            <w:pPr>
              <w:pStyle w:val="NormalWeb"/>
              <w:spacing w:line="360" w:lineRule="auto"/>
              <w:jc w:val="both"/>
              <w:rPr>
                <w:color w:val="000000" w:themeColor="text1"/>
                <w:shd w:val="clear" w:color="auto" w:fill="FFFFFF"/>
              </w:rPr>
            </w:pPr>
            <w:r w:rsidRPr="00B84DFD">
              <w:rPr>
                <w:color w:val="000000" w:themeColor="text1"/>
                <w:shd w:val="clear" w:color="auto" w:fill="FFFFFF"/>
              </w:rPr>
              <w:t>Ingresos por venta de bienes, prestación de servicios y otros ingresos</w:t>
            </w:r>
          </w:p>
        </w:tc>
        <w:tc>
          <w:tcPr>
            <w:tcW w:w="1458" w:type="dxa"/>
          </w:tcPr>
          <w:p w14:paraId="0E8E5199" w14:textId="77777777" w:rsidR="0051191B" w:rsidRPr="00B84DFD" w:rsidRDefault="00000000">
            <w:pPr>
              <w:pStyle w:val="NormalWeb"/>
              <w:spacing w:line="360" w:lineRule="auto"/>
              <w:jc w:val="right"/>
              <w:rPr>
                <w:color w:val="000000" w:themeColor="text1"/>
                <w:shd w:val="clear" w:color="auto" w:fill="FFFFFF"/>
              </w:rPr>
            </w:pPr>
            <w:r w:rsidRPr="00B84DFD">
              <w:rPr>
                <w:color w:val="000000" w:themeColor="text1"/>
                <w:shd w:val="clear" w:color="auto" w:fill="FFFFFF"/>
              </w:rPr>
              <w:t>217.4</w:t>
            </w:r>
          </w:p>
        </w:tc>
      </w:tr>
      <w:tr w:rsidR="0051191B" w:rsidRPr="00B84DFD" w14:paraId="78DD420A" w14:textId="77777777">
        <w:trPr>
          <w:trHeight w:val="411"/>
          <w:jc w:val="center"/>
        </w:trPr>
        <w:tc>
          <w:tcPr>
            <w:tcW w:w="4632" w:type="dxa"/>
          </w:tcPr>
          <w:p w14:paraId="31AA4D84" w14:textId="77777777" w:rsidR="0051191B" w:rsidRPr="00B84DFD" w:rsidRDefault="00000000">
            <w:pPr>
              <w:pStyle w:val="NormalWeb"/>
              <w:spacing w:line="360" w:lineRule="auto"/>
              <w:jc w:val="both"/>
              <w:rPr>
                <w:color w:val="000000" w:themeColor="text1"/>
                <w:shd w:val="clear" w:color="auto" w:fill="FFFFFF"/>
              </w:rPr>
            </w:pPr>
            <w:r w:rsidRPr="00B84DFD">
              <w:rPr>
                <w:color w:val="000000" w:themeColor="text1"/>
                <w:shd w:val="clear" w:color="auto" w:fill="FFFFFF"/>
              </w:rPr>
              <w:t>Total de Ingresos Propios</w:t>
            </w:r>
          </w:p>
        </w:tc>
        <w:tc>
          <w:tcPr>
            <w:tcW w:w="1458" w:type="dxa"/>
          </w:tcPr>
          <w:p w14:paraId="6D6C9000" w14:textId="77777777" w:rsidR="0051191B" w:rsidRPr="00B84DFD" w:rsidRDefault="00000000">
            <w:pPr>
              <w:pStyle w:val="NormalWeb"/>
              <w:spacing w:line="360" w:lineRule="auto"/>
              <w:jc w:val="right"/>
              <w:rPr>
                <w:color w:val="000000" w:themeColor="text1"/>
                <w:shd w:val="clear" w:color="auto" w:fill="FFFFFF"/>
              </w:rPr>
            </w:pPr>
            <w:r w:rsidRPr="00B84DFD">
              <w:rPr>
                <w:color w:val="000000" w:themeColor="text1"/>
                <w:shd w:val="clear" w:color="auto" w:fill="FFFFFF"/>
              </w:rPr>
              <w:t>2 197.2</w:t>
            </w:r>
          </w:p>
        </w:tc>
      </w:tr>
    </w:tbl>
    <w:p w14:paraId="5B3B6527" w14:textId="77777777" w:rsidR="0051191B" w:rsidRDefault="00000000" w:rsidP="00B84DFD">
      <w:pPr>
        <w:pStyle w:val="NormalWeb"/>
        <w:shd w:val="clear" w:color="auto" w:fill="FFFFFF"/>
        <w:spacing w:beforeAutospacing="0" w:afterAutospacing="0" w:line="360" w:lineRule="auto"/>
        <w:jc w:val="center"/>
        <w:rPr>
          <w:color w:val="000000" w:themeColor="text1"/>
          <w:shd w:val="clear" w:color="auto" w:fill="FFFFFF"/>
        </w:rPr>
      </w:pPr>
      <w:r>
        <w:rPr>
          <w:color w:val="000000" w:themeColor="text1"/>
          <w:shd w:val="clear" w:color="auto" w:fill="FFFFFF"/>
        </w:rPr>
        <w:t xml:space="preserve">Fuente: Elaboración Propia con información de la </w:t>
      </w:r>
      <w:r>
        <w:rPr>
          <w:color w:val="000000" w:themeColor="text1"/>
          <w:spacing w:val="2"/>
        </w:rPr>
        <w:t>Ley de Ingresos del Estado Libre y Soberano de Nayarit para el ejercicio 2022.</w:t>
      </w:r>
    </w:p>
    <w:p w14:paraId="10A47C30" w14:textId="77777777" w:rsidR="0051191B" w:rsidRDefault="00000000" w:rsidP="00B84DFD">
      <w:pPr>
        <w:pStyle w:val="NormalWeb"/>
        <w:shd w:val="clear" w:color="auto" w:fill="FFFFFF"/>
        <w:spacing w:beforeAutospacing="0" w:afterAutospacing="0" w:line="360" w:lineRule="auto"/>
        <w:jc w:val="both"/>
        <w:rPr>
          <w:color w:val="000000" w:themeColor="text1"/>
          <w:shd w:val="clear" w:color="auto" w:fill="FFFFFF"/>
        </w:rPr>
      </w:pPr>
      <w:r>
        <w:rPr>
          <w:color w:val="000000" w:themeColor="text1"/>
          <w:shd w:val="clear" w:color="auto" w:fill="FFFFFF"/>
        </w:rPr>
        <w:tab/>
        <w:t>Para el ejercicio 2022, el Gobierno de Nayarit, como estrategia para generar ingresos propios y mantener actualizado el padrón vehicular, implementó el reemplacamiento vehicular. Lo anterior obliga a los ciudadanos del estado de Nayarit que cuenten con algún vehículo particular o servicio público, o quieran adquirir uno, a estar registrados y/o actualizados en el padrón vehicular de la entidad federativa mencionada. Esto significa que el ciudadano nayarita debe acudir a la Recaudación de Rentas del estado para cubrir el monto que le corresponda y así tener derecho a contar con placas y tarjeta de circulación vigente.</w:t>
      </w:r>
    </w:p>
    <w:p w14:paraId="68E7BEB4" w14:textId="3972442B" w:rsidR="0051191B" w:rsidRDefault="00000000" w:rsidP="00B84DFD">
      <w:pPr>
        <w:pStyle w:val="NormalWeb"/>
        <w:shd w:val="clear" w:color="auto" w:fill="FFFFFF"/>
        <w:spacing w:beforeAutospacing="0" w:afterAutospacing="0" w:line="360" w:lineRule="auto"/>
        <w:jc w:val="both"/>
        <w:rPr>
          <w:color w:val="000000" w:themeColor="text1"/>
          <w:shd w:val="clear" w:color="auto" w:fill="FFFFFF"/>
        </w:rPr>
      </w:pPr>
      <w:r>
        <w:rPr>
          <w:color w:val="000000" w:themeColor="text1"/>
          <w:shd w:val="clear" w:color="auto" w:fill="FFFFFF"/>
        </w:rPr>
        <w:tab/>
        <w:t xml:space="preserve">Para captar los ingresos propios mencionados, el Gobierno de Nayarit, México, cuenta con veintitrés recaudaciones distribuidas en todo el estado. Para la presente </w:t>
      </w:r>
      <w:r>
        <w:rPr>
          <w:color w:val="000000" w:themeColor="text1"/>
          <w:shd w:val="clear" w:color="auto" w:fill="FFFFFF"/>
        </w:rPr>
        <w:lastRenderedPageBreak/>
        <w:t>investigación, se toma en cuenta la oficina recaudadora más importante para el Estado de Nayarit, ubicada en el Municipio de Tepic, conocida como la Recaudación de Rentas de Tepic.</w:t>
      </w:r>
    </w:p>
    <w:p w14:paraId="1D8BFEC5" w14:textId="77777777" w:rsidR="0051191B" w:rsidRDefault="00000000" w:rsidP="00B84DFD">
      <w:pPr>
        <w:pStyle w:val="NormalWeb"/>
        <w:shd w:val="clear" w:color="auto" w:fill="FFFFFF"/>
        <w:spacing w:beforeAutospacing="0" w:afterAutospacing="0" w:line="360" w:lineRule="auto"/>
        <w:jc w:val="both"/>
        <w:rPr>
          <w:color w:val="000000" w:themeColor="text1"/>
          <w:shd w:val="clear" w:color="auto" w:fill="FFFFFF"/>
        </w:rPr>
      </w:pPr>
      <w:r>
        <w:rPr>
          <w:color w:val="000000" w:themeColor="text1"/>
          <w:shd w:val="clear" w:color="auto" w:fill="FFFFFF"/>
        </w:rPr>
        <w:t>En la Recaudación de Rentas de Tepic, se realizan trámites de registro y control del padrón vehicular, que consisten en los siguientes procesos: registro al padrón vehicular de vehículos nuevos; cambio de propietario en el registro al padrón vehicular; baja en el padrón vehicular; registro o cambio de propietario de vehículos de procedencia extranjera; actualizaciones, como son el cambio de color o motor del vehículo registrado; así como también, registro, cambio de propietario, bajas y refrendos de vehículos destinados al servicio público.</w:t>
      </w:r>
    </w:p>
    <w:p w14:paraId="1EB99D51" w14:textId="77777777" w:rsidR="0051191B" w:rsidRDefault="00000000" w:rsidP="00B84DFD">
      <w:pPr>
        <w:pStyle w:val="NormalWeb"/>
        <w:shd w:val="clear" w:color="auto" w:fill="FFFFFF"/>
        <w:spacing w:beforeAutospacing="0" w:afterAutospacing="0" w:line="360" w:lineRule="auto"/>
        <w:jc w:val="both"/>
        <w:rPr>
          <w:color w:val="000000" w:themeColor="text1"/>
          <w:shd w:val="clear" w:color="auto" w:fill="FFFFFF"/>
        </w:rPr>
      </w:pPr>
      <w:r>
        <w:rPr>
          <w:color w:val="000000" w:themeColor="text1"/>
          <w:shd w:val="clear" w:color="auto" w:fill="FFFFFF"/>
        </w:rPr>
        <w:tab/>
        <w:t>Entonces, si bien es cierto que pagar impuestos estatales, derechos y/o aprovechamientos genera molestia para los ciudadanos, y si se suma que las gestiones del gobierno no cuentan con un proceso eficiente y eficaz al momento de captar los ingresos, esto ocasiona una mala percepción y con ello una baja recaudación. Por ello, se deben tener las mejores estrategias para eficientar dicho proceso, lo que generará el aumento en la captación de ingresos propios. La presente investigación tiene como objetivo conocer si la percepción de los contribuyentes en el trámite de registro y control del padrón vehicular se relaciona con los ingresos propios captados en la Recaudación de Rentas de Tepic, con la finalidad de proponer mejoras en la gestión de captación de ingresos propios para el Estado de Nayarit, México.</w:t>
      </w:r>
    </w:p>
    <w:p w14:paraId="51D4E66B" w14:textId="77777777" w:rsidR="0051191B" w:rsidRDefault="00000000" w:rsidP="00B84DFD">
      <w:pPr>
        <w:pStyle w:val="NormalWeb"/>
        <w:shd w:val="clear" w:color="auto" w:fill="FFFFFF"/>
        <w:spacing w:beforeAutospacing="0" w:afterAutospacing="0" w:line="360" w:lineRule="auto"/>
        <w:jc w:val="both"/>
        <w:rPr>
          <w:color w:val="000000" w:themeColor="text1"/>
          <w:shd w:val="clear" w:color="auto" w:fill="FFFFFF"/>
        </w:rPr>
      </w:pPr>
      <w:r>
        <w:rPr>
          <w:color w:val="000000" w:themeColor="text1"/>
          <w:shd w:val="clear" w:color="auto" w:fill="FFFFFF"/>
        </w:rPr>
        <w:tab/>
        <w:t>De este modo, se plantearon las siguientes preguntas de investigación: ¿Cómo es la actual gestión en la captación de ingresos propios en los trámites de registro y control del padrón vehicular en la Recaudación de Rentas de Tepic? ¿Con una percepción positiva de los contribuyentes se generarán mayores ingresos para el Estado de Nayarit?</w:t>
      </w:r>
    </w:p>
    <w:p w14:paraId="77A7E5C2" w14:textId="77777777" w:rsidR="00B84DFD" w:rsidRDefault="00B84DFD" w:rsidP="00B84DFD">
      <w:pPr>
        <w:pStyle w:val="NormalWeb"/>
        <w:shd w:val="clear" w:color="auto" w:fill="FFFFFF"/>
        <w:spacing w:beforeAutospacing="0" w:afterAutospacing="0" w:line="360" w:lineRule="auto"/>
        <w:jc w:val="center"/>
        <w:rPr>
          <w:b/>
          <w:bCs/>
          <w:color w:val="000000" w:themeColor="text1"/>
          <w:sz w:val="28"/>
          <w:szCs w:val="28"/>
          <w:shd w:val="clear" w:color="auto" w:fill="FFFFFF"/>
        </w:rPr>
      </w:pPr>
    </w:p>
    <w:p w14:paraId="6F988756" w14:textId="2D858E11" w:rsidR="0051191B" w:rsidRPr="00B84DFD" w:rsidRDefault="00000000" w:rsidP="00B84DFD">
      <w:pPr>
        <w:pStyle w:val="NormalWeb"/>
        <w:shd w:val="clear" w:color="auto" w:fill="FFFFFF"/>
        <w:spacing w:beforeAutospacing="0" w:afterAutospacing="0" w:line="360" w:lineRule="auto"/>
        <w:jc w:val="center"/>
        <w:rPr>
          <w:b/>
          <w:bCs/>
          <w:color w:val="000000" w:themeColor="text1"/>
          <w:sz w:val="28"/>
          <w:szCs w:val="28"/>
        </w:rPr>
      </w:pPr>
      <w:r w:rsidRPr="00B84DFD">
        <w:rPr>
          <w:b/>
          <w:bCs/>
          <w:color w:val="000000" w:themeColor="text1"/>
          <w:sz w:val="28"/>
          <w:szCs w:val="28"/>
          <w:shd w:val="clear" w:color="auto" w:fill="FFFFFF"/>
        </w:rPr>
        <w:t>Apartado teórico-conceptual</w:t>
      </w:r>
    </w:p>
    <w:p w14:paraId="498CE0BB" w14:textId="77777777" w:rsidR="0051191B" w:rsidRDefault="00000000" w:rsidP="00B84DFD">
      <w:pPr>
        <w:pStyle w:val="NormalWeb"/>
        <w:shd w:val="clear" w:color="auto" w:fill="FFFFFF"/>
        <w:spacing w:beforeAutospacing="0" w:afterAutospacing="0" w:line="360" w:lineRule="auto"/>
        <w:jc w:val="both"/>
        <w:rPr>
          <w:color w:val="000000" w:themeColor="text1"/>
          <w:shd w:val="clear" w:color="auto" w:fill="FFFFFF"/>
        </w:rPr>
      </w:pPr>
      <w:r>
        <w:rPr>
          <w:color w:val="000000" w:themeColor="text1"/>
          <w:shd w:val="clear" w:color="auto" w:fill="FFFFFF"/>
        </w:rPr>
        <w:t>Para lograr el objetivo del presente trabajo, es importante definir el término de ingreso propio para un estado. Como se presenta en la tabla 4, con base en lo anterior, podemos definir el ingreso propio como la suma de conceptos publicados en la ley de ingresos que dependen del diseño tributario, la gestión para captarlos y las percepciones de los contribuyentes.</w:t>
      </w:r>
    </w:p>
    <w:p w14:paraId="7913868F" w14:textId="77777777" w:rsidR="00B84DFD" w:rsidRDefault="00B84DFD" w:rsidP="00B84DFD">
      <w:pPr>
        <w:pStyle w:val="Descripcin"/>
        <w:keepNext/>
        <w:spacing w:after="0" w:line="360" w:lineRule="auto"/>
        <w:jc w:val="center"/>
        <w:rPr>
          <w:rFonts w:ascii="Times New Roman" w:hAnsi="Times New Roman" w:cs="Times New Roman"/>
          <w:b/>
          <w:bCs/>
          <w:i w:val="0"/>
          <w:iCs w:val="0"/>
          <w:color w:val="000000" w:themeColor="text1"/>
          <w:sz w:val="24"/>
          <w:szCs w:val="24"/>
        </w:rPr>
      </w:pPr>
    </w:p>
    <w:p w14:paraId="666E7A2C" w14:textId="77777777" w:rsidR="00D45D7D" w:rsidRDefault="00D45D7D" w:rsidP="00D45D7D">
      <w:pPr>
        <w:rPr>
          <w:lang w:eastAsia="en-US"/>
        </w:rPr>
      </w:pPr>
    </w:p>
    <w:p w14:paraId="581438D7" w14:textId="77777777" w:rsidR="00D45D7D" w:rsidRPr="00D45D7D" w:rsidRDefault="00D45D7D" w:rsidP="00D45D7D">
      <w:pPr>
        <w:rPr>
          <w:lang w:eastAsia="en-US"/>
        </w:rPr>
      </w:pPr>
    </w:p>
    <w:p w14:paraId="3C9654C1" w14:textId="7F263D88" w:rsidR="0051191B" w:rsidRDefault="00000000" w:rsidP="00B84DFD">
      <w:pPr>
        <w:pStyle w:val="Descripcin"/>
        <w:keepNext/>
        <w:spacing w:after="0" w:line="360" w:lineRule="auto"/>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4</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Conceptos de ingresos propios</w:t>
      </w:r>
    </w:p>
    <w:tbl>
      <w:tblPr>
        <w:tblStyle w:val="Tablaconcuadrcula"/>
        <w:tblW w:w="8828" w:type="dxa"/>
        <w:tblLayout w:type="fixed"/>
        <w:tblLook w:val="04A0" w:firstRow="1" w:lastRow="0" w:firstColumn="1" w:lastColumn="0" w:noHBand="0" w:noVBand="1"/>
      </w:tblPr>
      <w:tblGrid>
        <w:gridCol w:w="2262"/>
        <w:gridCol w:w="6566"/>
      </w:tblGrid>
      <w:tr w:rsidR="0051191B" w14:paraId="5A98E351" w14:textId="77777777">
        <w:tc>
          <w:tcPr>
            <w:tcW w:w="2262" w:type="dxa"/>
          </w:tcPr>
          <w:p w14:paraId="6E3E3C63" w14:textId="77777777" w:rsidR="0051191B" w:rsidRDefault="00000000">
            <w:pPr>
              <w:jc w:val="both"/>
              <w:rPr>
                <w:color w:val="000000" w:themeColor="text1"/>
              </w:rPr>
            </w:pPr>
            <w:r>
              <w:rPr>
                <w:color w:val="000000" w:themeColor="text1"/>
              </w:rPr>
              <w:t>Autor</w:t>
            </w:r>
          </w:p>
        </w:tc>
        <w:tc>
          <w:tcPr>
            <w:tcW w:w="6565" w:type="dxa"/>
          </w:tcPr>
          <w:p w14:paraId="649F9EB8" w14:textId="77777777" w:rsidR="0051191B" w:rsidRDefault="00000000">
            <w:pPr>
              <w:jc w:val="both"/>
              <w:rPr>
                <w:color w:val="000000" w:themeColor="text1"/>
              </w:rPr>
            </w:pPr>
            <w:r>
              <w:rPr>
                <w:color w:val="000000" w:themeColor="text1"/>
              </w:rPr>
              <w:t>Definición</w:t>
            </w:r>
          </w:p>
        </w:tc>
      </w:tr>
      <w:tr w:rsidR="0051191B" w14:paraId="362C9E08" w14:textId="77777777">
        <w:tc>
          <w:tcPr>
            <w:tcW w:w="2262" w:type="dxa"/>
          </w:tcPr>
          <w:p w14:paraId="36557889" w14:textId="14085D4C" w:rsidR="0051191B" w:rsidRDefault="00000000">
            <w:pPr>
              <w:jc w:val="both"/>
              <w:rPr>
                <w:color w:val="000000" w:themeColor="text1"/>
              </w:rPr>
            </w:pPr>
            <w:r>
              <w:rPr>
                <w:color w:val="000000" w:themeColor="text1"/>
              </w:rPr>
              <w:t xml:space="preserve">Fondo Monetario Internacional </w:t>
            </w:r>
            <w:r w:rsidR="00FA07F3">
              <w:rPr>
                <w:color w:val="000000" w:themeColor="text1"/>
              </w:rPr>
              <w:t xml:space="preserve">[FMI] </w:t>
            </w:r>
            <w:r>
              <w:rPr>
                <w:color w:val="000000" w:themeColor="text1"/>
              </w:rPr>
              <w:t>(2014)</w:t>
            </w:r>
          </w:p>
        </w:tc>
        <w:tc>
          <w:tcPr>
            <w:tcW w:w="6565" w:type="dxa"/>
          </w:tcPr>
          <w:p w14:paraId="07FDFF02" w14:textId="77777777" w:rsidR="0051191B" w:rsidRDefault="00000000">
            <w:pPr>
              <w:jc w:val="both"/>
              <w:rPr>
                <w:color w:val="000000" w:themeColor="text1"/>
              </w:rPr>
            </w:pPr>
            <w:r>
              <w:rPr>
                <w:color w:val="000000" w:themeColor="text1"/>
              </w:rPr>
              <w:t>Al incremento o aumento del patrimonio que se origina después de una transacción.</w:t>
            </w:r>
          </w:p>
        </w:tc>
      </w:tr>
      <w:tr w:rsidR="0051191B" w14:paraId="6A513399" w14:textId="77777777">
        <w:tc>
          <w:tcPr>
            <w:tcW w:w="2262" w:type="dxa"/>
          </w:tcPr>
          <w:p w14:paraId="68B77C7C" w14:textId="77777777" w:rsidR="0051191B" w:rsidRDefault="00000000">
            <w:pPr>
              <w:jc w:val="both"/>
              <w:rPr>
                <w:color w:val="000000" w:themeColor="text1"/>
              </w:rPr>
            </w:pPr>
            <w:r>
              <w:rPr>
                <w:color w:val="000000" w:themeColor="text1"/>
              </w:rPr>
              <w:t>Ruiz</w:t>
            </w:r>
          </w:p>
          <w:p w14:paraId="622F8A3F" w14:textId="77777777" w:rsidR="0051191B" w:rsidRDefault="00000000">
            <w:pPr>
              <w:jc w:val="both"/>
              <w:rPr>
                <w:color w:val="000000" w:themeColor="text1"/>
              </w:rPr>
            </w:pPr>
            <w:r>
              <w:rPr>
                <w:color w:val="000000" w:themeColor="text1"/>
              </w:rPr>
              <w:t>y  García</w:t>
            </w:r>
          </w:p>
          <w:p w14:paraId="54D76DA0" w14:textId="77777777" w:rsidR="0051191B" w:rsidRDefault="00000000">
            <w:pPr>
              <w:jc w:val="both"/>
              <w:rPr>
                <w:color w:val="000000" w:themeColor="text1"/>
              </w:rPr>
            </w:pPr>
            <w:r>
              <w:rPr>
                <w:color w:val="000000" w:themeColor="text1"/>
              </w:rPr>
              <w:t xml:space="preserve">(2020) </w:t>
            </w:r>
          </w:p>
        </w:tc>
        <w:tc>
          <w:tcPr>
            <w:tcW w:w="6565" w:type="dxa"/>
          </w:tcPr>
          <w:p w14:paraId="67956BB0" w14:textId="77777777" w:rsidR="0051191B" w:rsidRDefault="00000000">
            <w:pPr>
              <w:jc w:val="both"/>
              <w:rPr>
                <w:color w:val="000000" w:themeColor="text1"/>
              </w:rPr>
            </w:pPr>
            <w:r>
              <w:rPr>
                <w:color w:val="000000" w:themeColor="text1"/>
              </w:rPr>
              <w:t>Suma anual de impuestos, contribuciones de mejoras, derechos, productos y aprovechamiento, recabados por una entidad federativa.</w:t>
            </w:r>
          </w:p>
        </w:tc>
      </w:tr>
      <w:tr w:rsidR="0051191B" w14:paraId="76CEC843" w14:textId="77777777">
        <w:tc>
          <w:tcPr>
            <w:tcW w:w="2262" w:type="dxa"/>
          </w:tcPr>
          <w:p w14:paraId="48356DAA" w14:textId="77777777" w:rsidR="0051191B" w:rsidRDefault="00000000">
            <w:pPr>
              <w:jc w:val="both"/>
              <w:rPr>
                <w:color w:val="000000" w:themeColor="text1"/>
              </w:rPr>
            </w:pPr>
            <w:r>
              <w:rPr>
                <w:color w:val="000000" w:themeColor="text1"/>
              </w:rPr>
              <w:t>Madrigal</w:t>
            </w:r>
          </w:p>
          <w:p w14:paraId="44BD00FA" w14:textId="77777777" w:rsidR="0051191B" w:rsidRDefault="00000000">
            <w:pPr>
              <w:jc w:val="both"/>
              <w:rPr>
                <w:color w:val="000000" w:themeColor="text1"/>
              </w:rPr>
            </w:pPr>
            <w:r>
              <w:rPr>
                <w:color w:val="000000" w:themeColor="text1"/>
              </w:rPr>
              <w:t>(2021)</w:t>
            </w:r>
          </w:p>
        </w:tc>
        <w:tc>
          <w:tcPr>
            <w:tcW w:w="6565" w:type="dxa"/>
          </w:tcPr>
          <w:p w14:paraId="21DB5814" w14:textId="77777777" w:rsidR="0051191B" w:rsidRDefault="00000000">
            <w:pPr>
              <w:jc w:val="both"/>
              <w:rPr>
                <w:color w:val="000000" w:themeColor="text1"/>
              </w:rPr>
            </w:pPr>
            <w:r>
              <w:rPr>
                <w:color w:val="000000" w:themeColor="text1"/>
              </w:rPr>
              <w:t>Son los impuestos, derechos, productos, contribuciones y aprovechamientos.</w:t>
            </w:r>
          </w:p>
        </w:tc>
      </w:tr>
      <w:tr w:rsidR="0051191B" w14:paraId="53A87146" w14:textId="77777777">
        <w:tc>
          <w:tcPr>
            <w:tcW w:w="2262" w:type="dxa"/>
          </w:tcPr>
          <w:p w14:paraId="75E599BD" w14:textId="77777777" w:rsidR="0051191B" w:rsidRDefault="00000000">
            <w:pPr>
              <w:jc w:val="both"/>
              <w:rPr>
                <w:color w:val="000000" w:themeColor="text1"/>
              </w:rPr>
            </w:pPr>
            <w:r>
              <w:rPr>
                <w:color w:val="000000" w:themeColor="text1"/>
              </w:rPr>
              <w:t>Álvarez ed al (2022).</w:t>
            </w:r>
            <w:r>
              <w:rPr>
                <w:rStyle w:val="apple-converted-space"/>
                <w:color w:val="000000" w:themeColor="text1"/>
              </w:rPr>
              <w:t> </w:t>
            </w:r>
          </w:p>
        </w:tc>
        <w:tc>
          <w:tcPr>
            <w:tcW w:w="6565" w:type="dxa"/>
          </w:tcPr>
          <w:p w14:paraId="0447DAFB" w14:textId="77777777" w:rsidR="0051191B" w:rsidRDefault="00000000">
            <w:pPr>
              <w:jc w:val="both"/>
              <w:rPr>
                <w:color w:val="000000" w:themeColor="text1"/>
              </w:rPr>
            </w:pPr>
            <w:r>
              <w:rPr>
                <w:color w:val="000000" w:themeColor="text1"/>
                <w:lang w:val="es-ES"/>
              </w:rPr>
              <w:t>Son todos los conceptos que cada estado recauda de sus contribuyentes, pudiendo ser impuestos, derechos, productos, aprovechamientos, contribuciones y uso del patrimonio del estado, los cuales deben estar aprobados en su respectiva ley de ingresos y publicados en el periódico oficial de cada una de estas entidades.</w:t>
            </w:r>
          </w:p>
        </w:tc>
      </w:tr>
    </w:tbl>
    <w:p w14:paraId="000E7D13" w14:textId="77777777" w:rsidR="0051191B" w:rsidRDefault="00000000" w:rsidP="00B84DFD">
      <w:pPr>
        <w:spacing w:line="360" w:lineRule="auto"/>
        <w:jc w:val="center"/>
        <w:rPr>
          <w:color w:val="000000" w:themeColor="text1"/>
        </w:rPr>
      </w:pPr>
      <w:r>
        <w:rPr>
          <w:color w:val="000000" w:themeColor="text1"/>
        </w:rPr>
        <w:t>Fuente: Elaboración propia</w:t>
      </w:r>
    </w:p>
    <w:p w14:paraId="46E0F1EE" w14:textId="77777777" w:rsidR="0051191B" w:rsidRDefault="00000000" w:rsidP="00B84DFD">
      <w:pPr>
        <w:spacing w:line="360" w:lineRule="auto"/>
        <w:ind w:firstLine="708"/>
        <w:jc w:val="both"/>
        <w:rPr>
          <w:color w:val="000000" w:themeColor="text1"/>
          <w:shd w:val="clear" w:color="auto" w:fill="FFFFFF"/>
        </w:rPr>
      </w:pPr>
      <w:r>
        <w:rPr>
          <w:color w:val="000000" w:themeColor="text1"/>
          <w:shd w:val="clear" w:color="auto" w:fill="FFFFFF"/>
        </w:rPr>
        <w:t>Por otra parte, es importante mencionar que existen diferentes estudios referentes al proceso de recaudación, como se presenta en la tabla 5:</w:t>
      </w:r>
    </w:p>
    <w:p w14:paraId="080EFD6F" w14:textId="77777777" w:rsidR="00D45D7D" w:rsidRDefault="00D45D7D" w:rsidP="00B84DFD">
      <w:pPr>
        <w:spacing w:line="360" w:lineRule="auto"/>
        <w:ind w:firstLine="708"/>
        <w:jc w:val="both"/>
        <w:rPr>
          <w:color w:val="000000" w:themeColor="text1"/>
          <w:shd w:val="clear" w:color="auto" w:fill="FFFFFF"/>
        </w:rPr>
      </w:pPr>
    </w:p>
    <w:p w14:paraId="3EAE21DC" w14:textId="77777777" w:rsidR="0051191B" w:rsidRDefault="00000000" w:rsidP="00D45D7D">
      <w:pPr>
        <w:pStyle w:val="Descripcin"/>
        <w:keepNext/>
        <w:spacing w:after="0" w:line="360" w:lineRule="auto"/>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5</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Conceptos de proceso de recaudación</w:t>
      </w:r>
    </w:p>
    <w:tbl>
      <w:tblPr>
        <w:tblStyle w:val="Tablaconcuadrcula"/>
        <w:tblW w:w="8828" w:type="dxa"/>
        <w:tblLayout w:type="fixed"/>
        <w:tblLook w:val="04A0" w:firstRow="1" w:lastRow="0" w:firstColumn="1" w:lastColumn="0" w:noHBand="0" w:noVBand="1"/>
      </w:tblPr>
      <w:tblGrid>
        <w:gridCol w:w="3397"/>
        <w:gridCol w:w="5431"/>
      </w:tblGrid>
      <w:tr w:rsidR="0051191B" w14:paraId="2A7F3F05" w14:textId="77777777">
        <w:tc>
          <w:tcPr>
            <w:tcW w:w="3397" w:type="dxa"/>
          </w:tcPr>
          <w:p w14:paraId="3955D9B3" w14:textId="77777777" w:rsidR="0051191B" w:rsidRDefault="00000000">
            <w:pPr>
              <w:jc w:val="both"/>
              <w:rPr>
                <w:color w:val="000000" w:themeColor="text1"/>
              </w:rPr>
            </w:pPr>
            <w:r>
              <w:rPr>
                <w:color w:val="000000" w:themeColor="text1"/>
              </w:rPr>
              <w:t>Autor</w:t>
            </w:r>
          </w:p>
        </w:tc>
        <w:tc>
          <w:tcPr>
            <w:tcW w:w="5430" w:type="dxa"/>
          </w:tcPr>
          <w:p w14:paraId="2D8D8DA2" w14:textId="77777777" w:rsidR="0051191B" w:rsidRDefault="00000000">
            <w:pPr>
              <w:jc w:val="both"/>
              <w:rPr>
                <w:color w:val="000000" w:themeColor="text1"/>
              </w:rPr>
            </w:pPr>
            <w:r>
              <w:rPr>
                <w:color w:val="000000" w:themeColor="text1"/>
              </w:rPr>
              <w:t>Resultado del estudio</w:t>
            </w:r>
          </w:p>
        </w:tc>
      </w:tr>
      <w:tr w:rsidR="0051191B" w14:paraId="4B7FBBF2" w14:textId="77777777">
        <w:tc>
          <w:tcPr>
            <w:tcW w:w="3397" w:type="dxa"/>
          </w:tcPr>
          <w:p w14:paraId="6EA15B03" w14:textId="77777777" w:rsidR="0051191B" w:rsidRDefault="00000000">
            <w:pPr>
              <w:jc w:val="both"/>
              <w:rPr>
                <w:color w:val="000000" w:themeColor="text1"/>
              </w:rPr>
            </w:pPr>
            <w:r>
              <w:rPr>
                <w:color w:val="000000" w:themeColor="text1"/>
              </w:rPr>
              <w:t>Rodríguez et al. (2017)</w:t>
            </w:r>
          </w:p>
        </w:tc>
        <w:tc>
          <w:tcPr>
            <w:tcW w:w="5430" w:type="dxa"/>
          </w:tcPr>
          <w:p w14:paraId="3F2D64C5" w14:textId="77777777" w:rsidR="0051191B" w:rsidRDefault="00000000">
            <w:pPr>
              <w:jc w:val="both"/>
              <w:rPr>
                <w:color w:val="000000" w:themeColor="text1"/>
              </w:rPr>
            </w:pPr>
            <w:r>
              <w:rPr>
                <w:color w:val="000000" w:themeColor="text1"/>
              </w:rPr>
              <w:t>Capacidad, esfuerzo y productividad fiscal de todos los estados en México.</w:t>
            </w:r>
          </w:p>
        </w:tc>
      </w:tr>
      <w:tr w:rsidR="0051191B" w14:paraId="4A88B3D2" w14:textId="77777777">
        <w:tc>
          <w:tcPr>
            <w:tcW w:w="3397" w:type="dxa"/>
          </w:tcPr>
          <w:p w14:paraId="7E5A1FB5" w14:textId="77777777" w:rsidR="0051191B" w:rsidRDefault="00000000">
            <w:pPr>
              <w:jc w:val="both"/>
              <w:rPr>
                <w:color w:val="000000" w:themeColor="text1"/>
              </w:rPr>
            </w:pPr>
            <w:r>
              <w:rPr>
                <w:color w:val="000000" w:themeColor="text1"/>
              </w:rPr>
              <w:t>Madrigal (2021)</w:t>
            </w:r>
          </w:p>
        </w:tc>
        <w:tc>
          <w:tcPr>
            <w:tcW w:w="5430" w:type="dxa"/>
          </w:tcPr>
          <w:p w14:paraId="627F5910" w14:textId="77777777" w:rsidR="0051191B" w:rsidRDefault="00000000">
            <w:pPr>
              <w:jc w:val="both"/>
              <w:rPr>
                <w:color w:val="000000" w:themeColor="text1"/>
              </w:rPr>
            </w:pPr>
            <w:r>
              <w:rPr>
                <w:color w:val="000000" w:themeColor="text1"/>
              </w:rPr>
              <w:t>Es necesario un padrón actualizado desde el registro, evaluación continua y coordinación entre el proceso y el marco legal.</w:t>
            </w:r>
          </w:p>
        </w:tc>
      </w:tr>
      <w:tr w:rsidR="0051191B" w14:paraId="34A1EF4A" w14:textId="77777777">
        <w:tc>
          <w:tcPr>
            <w:tcW w:w="3397" w:type="dxa"/>
          </w:tcPr>
          <w:p w14:paraId="79676689" w14:textId="77777777" w:rsidR="0051191B" w:rsidRDefault="00000000">
            <w:pPr>
              <w:jc w:val="both"/>
              <w:rPr>
                <w:color w:val="000000" w:themeColor="text1"/>
              </w:rPr>
            </w:pPr>
            <w:r>
              <w:rPr>
                <w:color w:val="000000" w:themeColor="text1"/>
              </w:rPr>
              <w:t>Unda (2021)</w:t>
            </w:r>
          </w:p>
        </w:tc>
        <w:tc>
          <w:tcPr>
            <w:tcW w:w="5430" w:type="dxa"/>
          </w:tcPr>
          <w:p w14:paraId="0ED5A184" w14:textId="77777777" w:rsidR="0051191B" w:rsidRDefault="00000000">
            <w:pPr>
              <w:jc w:val="both"/>
              <w:rPr>
                <w:color w:val="000000" w:themeColor="text1"/>
              </w:rPr>
            </w:pPr>
            <w:r>
              <w:rPr>
                <w:color w:val="000000" w:themeColor="text1"/>
              </w:rPr>
              <w:t>Debe existir una coordinación entre la economía, capacidad administrativa y la cuestión política.</w:t>
            </w:r>
          </w:p>
        </w:tc>
      </w:tr>
    </w:tbl>
    <w:p w14:paraId="4365B569" w14:textId="77777777" w:rsidR="0051191B" w:rsidRDefault="00000000">
      <w:pPr>
        <w:spacing w:line="360" w:lineRule="auto"/>
        <w:jc w:val="center"/>
        <w:rPr>
          <w:color w:val="000000" w:themeColor="text1"/>
        </w:rPr>
      </w:pPr>
      <w:r>
        <w:rPr>
          <w:color w:val="000000" w:themeColor="text1"/>
        </w:rPr>
        <w:t>Fuente: Elaboración propia</w:t>
      </w:r>
    </w:p>
    <w:p w14:paraId="2FED5A95"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Con base en lo anterior, el proceso de recaudación debe considerar la economía de los contribuyentes para el diseño de los ingresos propios. De ahí, las gestiones que el gobierno en turno realiza para tener un padrón actualizado y conocer las percepciones de sus contribuyentes para crear o modificar facilidades administrativas que logren aumentar la captación de ingresos propios.</w:t>
      </w:r>
    </w:p>
    <w:p w14:paraId="2F9DBF7D" w14:textId="651DC3BF" w:rsidR="0051191B" w:rsidRDefault="00000000" w:rsidP="00B84DFD">
      <w:pPr>
        <w:spacing w:line="360" w:lineRule="auto"/>
        <w:ind w:firstLine="708"/>
        <w:jc w:val="both"/>
        <w:rPr>
          <w:color w:val="000000" w:themeColor="text1"/>
          <w:shd w:val="clear" w:color="auto" w:fill="FFFFFF"/>
        </w:rPr>
      </w:pPr>
      <w:r>
        <w:rPr>
          <w:color w:val="000000" w:themeColor="text1"/>
          <w:shd w:val="clear" w:color="auto" w:fill="FFFFFF"/>
        </w:rPr>
        <w:t>Para la presente investigación, se menciona la fundamentación legal que tiene el Estado de Nayarit, México, en cuestión vehicular. La misma inicia con la Ley de Movilidad del Estado de Nayarit</w:t>
      </w:r>
      <w:r w:rsidR="00FA07F3">
        <w:rPr>
          <w:color w:val="000000" w:themeColor="text1"/>
          <w:shd w:val="clear" w:color="auto" w:fill="FFFFFF"/>
        </w:rPr>
        <w:t xml:space="preserve"> (2021)</w:t>
      </w:r>
      <w:r>
        <w:rPr>
          <w:color w:val="000000" w:themeColor="text1"/>
          <w:shd w:val="clear" w:color="auto" w:fill="FFFFFF"/>
        </w:rPr>
        <w:t>, donde en su artículo 323 se obliga a todo vehículo que circule en la vía pública a estar registrado, portar placas y tarjeta de circulación vigente.</w:t>
      </w:r>
    </w:p>
    <w:p w14:paraId="51C7D841" w14:textId="1A690744"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lastRenderedPageBreak/>
        <w:t>Además, en la Ley de Hacienda del Estado de Nayarit</w:t>
      </w:r>
      <w:r w:rsidR="00FA07F3">
        <w:rPr>
          <w:color w:val="000000" w:themeColor="text1"/>
          <w:shd w:val="clear" w:color="auto" w:fill="FFFFFF"/>
        </w:rPr>
        <w:t xml:space="preserve"> (2019)</w:t>
      </w:r>
      <w:r>
        <w:rPr>
          <w:color w:val="000000" w:themeColor="text1"/>
          <w:shd w:val="clear" w:color="auto" w:fill="FFFFFF"/>
        </w:rPr>
        <w:t>, en su artículo 95-A, establece el padrón vehicular, donde se procederá al registro y control vehicular. Para ello, el propietario deberá pagar los derechos correspondientes.</w:t>
      </w:r>
    </w:p>
    <w:p w14:paraId="7AC01824"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Los derechos mencionados se fundamentan en la Ley de Ingresos del Estado Libre y Soberano de Nayarit para el ejercicio 2022, donde en su artículo 26 se definen los diferentes conceptos y tarifas a pagar, expresadas en Unidad de Medida y Actualización (UMA). Además, se le adiciona el cincuenta y cinco por ciento correspondiente a otros impuestos, que es del 25% del Impuesto para el Fomento de la Educación; el 15% del Impuesto para la Asistencia Social y del 15% del Impuesto Especial para la Universidad Autónoma de Nayarit, fundamentado en los artículos once al trece de la ley mencionada.</w:t>
      </w:r>
    </w:p>
    <w:p w14:paraId="366B17D0"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Derivado de lo anterior, se mencionan los trámites de registro y control vehicular que se realizan en la Recaudación de Rentas de Tepic, así como el monto a pagar:</w:t>
      </w:r>
    </w:p>
    <w:p w14:paraId="457D4E6B" w14:textId="77777777" w:rsidR="0051191B" w:rsidRDefault="00000000">
      <w:pPr>
        <w:numPr>
          <w:ilvl w:val="0"/>
          <w:numId w:val="1"/>
        </w:numPr>
        <w:spacing w:line="360" w:lineRule="auto"/>
        <w:jc w:val="both"/>
        <w:rPr>
          <w:color w:val="000000" w:themeColor="text1"/>
          <w:shd w:val="clear" w:color="auto" w:fill="FFFFFF"/>
        </w:rPr>
      </w:pPr>
      <w:r>
        <w:rPr>
          <w:color w:val="000000" w:themeColor="text1"/>
          <w:shd w:val="clear" w:color="auto" w:fill="FFFFFF"/>
        </w:rPr>
        <w:t>Registro al padrón vehicular de vehículos nuevos, tales como motocicletas, remolques y automotores. En la tabla 6 se presenta el monto a pagar por un vehículo nuevo en sus diferentes modalidades, teniendo que cubrir tres conceptos de derechos.</w:t>
      </w:r>
    </w:p>
    <w:p w14:paraId="069A9594" w14:textId="77777777" w:rsidR="00D45D7D" w:rsidRDefault="00D45D7D" w:rsidP="00D45D7D">
      <w:pPr>
        <w:spacing w:line="360" w:lineRule="auto"/>
        <w:jc w:val="both"/>
        <w:rPr>
          <w:color w:val="000000" w:themeColor="text1"/>
          <w:shd w:val="clear" w:color="auto" w:fill="FFFFFF"/>
        </w:rPr>
      </w:pPr>
    </w:p>
    <w:p w14:paraId="73364020"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6</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Ejemplo del monto a pagar para registrar un vehículo nuevo</w:t>
      </w:r>
    </w:p>
    <w:tbl>
      <w:tblPr>
        <w:tblStyle w:val="Tablaconcuadrcula"/>
        <w:tblW w:w="7046" w:type="dxa"/>
        <w:jc w:val="center"/>
        <w:tblLayout w:type="fixed"/>
        <w:tblLook w:val="04A0" w:firstRow="1" w:lastRow="0" w:firstColumn="1" w:lastColumn="0" w:noHBand="0" w:noVBand="1"/>
      </w:tblPr>
      <w:tblGrid>
        <w:gridCol w:w="2732"/>
        <w:gridCol w:w="1550"/>
        <w:gridCol w:w="1508"/>
        <w:gridCol w:w="1256"/>
      </w:tblGrid>
      <w:tr w:rsidR="0051191B" w:rsidRPr="00B84DFD" w14:paraId="2032C5E3" w14:textId="77777777">
        <w:trPr>
          <w:jc w:val="center"/>
        </w:trPr>
        <w:tc>
          <w:tcPr>
            <w:tcW w:w="2731" w:type="dxa"/>
          </w:tcPr>
          <w:p w14:paraId="034702FD" w14:textId="77777777" w:rsidR="0051191B" w:rsidRPr="00B84DFD" w:rsidRDefault="00000000">
            <w:pPr>
              <w:spacing w:line="360" w:lineRule="auto"/>
              <w:jc w:val="both"/>
              <w:rPr>
                <w:color w:val="000000" w:themeColor="text1"/>
                <w:shd w:val="clear" w:color="auto" w:fill="FFFFFF"/>
              </w:rPr>
            </w:pPr>
            <w:r w:rsidRPr="00B84DFD">
              <w:rPr>
                <w:color w:val="000000" w:themeColor="text1"/>
                <w:shd w:val="clear" w:color="auto" w:fill="FFFFFF"/>
              </w:rPr>
              <w:t>Concepto</w:t>
            </w:r>
          </w:p>
        </w:tc>
        <w:tc>
          <w:tcPr>
            <w:tcW w:w="1550" w:type="dxa"/>
          </w:tcPr>
          <w:p w14:paraId="564A6506" w14:textId="77777777" w:rsidR="0051191B" w:rsidRPr="00B84DFD" w:rsidRDefault="00000000">
            <w:pPr>
              <w:spacing w:line="360" w:lineRule="auto"/>
              <w:jc w:val="both"/>
              <w:rPr>
                <w:color w:val="000000" w:themeColor="text1"/>
                <w:shd w:val="clear" w:color="auto" w:fill="FFFFFF"/>
              </w:rPr>
            </w:pPr>
            <w:r w:rsidRPr="00B84DFD">
              <w:rPr>
                <w:color w:val="000000" w:themeColor="text1"/>
                <w:shd w:val="clear" w:color="auto" w:fill="FFFFFF"/>
              </w:rPr>
              <w:t>Automotores</w:t>
            </w:r>
          </w:p>
        </w:tc>
        <w:tc>
          <w:tcPr>
            <w:tcW w:w="1508" w:type="dxa"/>
          </w:tcPr>
          <w:p w14:paraId="7F126B19" w14:textId="77777777" w:rsidR="0051191B" w:rsidRPr="00B84DFD" w:rsidRDefault="00000000">
            <w:pPr>
              <w:spacing w:line="360" w:lineRule="auto"/>
              <w:jc w:val="both"/>
              <w:rPr>
                <w:color w:val="000000" w:themeColor="text1"/>
                <w:shd w:val="clear" w:color="auto" w:fill="FFFFFF"/>
              </w:rPr>
            </w:pPr>
            <w:r w:rsidRPr="00B84DFD">
              <w:rPr>
                <w:color w:val="000000" w:themeColor="text1"/>
                <w:shd w:val="clear" w:color="auto" w:fill="FFFFFF"/>
              </w:rPr>
              <w:t>Motocicletas</w:t>
            </w:r>
          </w:p>
        </w:tc>
        <w:tc>
          <w:tcPr>
            <w:tcW w:w="1256" w:type="dxa"/>
          </w:tcPr>
          <w:p w14:paraId="00A39FB6" w14:textId="77777777" w:rsidR="0051191B" w:rsidRPr="00B84DFD" w:rsidRDefault="00000000">
            <w:pPr>
              <w:spacing w:line="360" w:lineRule="auto"/>
              <w:jc w:val="both"/>
              <w:rPr>
                <w:color w:val="000000" w:themeColor="text1"/>
                <w:shd w:val="clear" w:color="auto" w:fill="FFFFFF"/>
              </w:rPr>
            </w:pPr>
            <w:r w:rsidRPr="00B84DFD">
              <w:rPr>
                <w:color w:val="000000" w:themeColor="text1"/>
                <w:shd w:val="clear" w:color="auto" w:fill="FFFFFF"/>
              </w:rPr>
              <w:t>Remolque</w:t>
            </w:r>
          </w:p>
        </w:tc>
      </w:tr>
      <w:tr w:rsidR="0051191B" w:rsidRPr="00B84DFD" w14:paraId="3911E231" w14:textId="77777777">
        <w:trPr>
          <w:jc w:val="center"/>
        </w:trPr>
        <w:tc>
          <w:tcPr>
            <w:tcW w:w="2731" w:type="dxa"/>
          </w:tcPr>
          <w:p w14:paraId="56DE54DB" w14:textId="77777777" w:rsidR="0051191B" w:rsidRPr="00B84DFD" w:rsidRDefault="00000000">
            <w:pPr>
              <w:spacing w:line="360" w:lineRule="auto"/>
              <w:jc w:val="both"/>
              <w:rPr>
                <w:color w:val="000000" w:themeColor="text1"/>
                <w:shd w:val="clear" w:color="auto" w:fill="FFFFFF"/>
              </w:rPr>
            </w:pPr>
            <w:r w:rsidRPr="00B84DFD">
              <w:rPr>
                <w:color w:val="000000" w:themeColor="text1"/>
                <w:shd w:val="clear" w:color="auto" w:fill="FFFFFF"/>
              </w:rPr>
              <w:t>Dotación de placas</w:t>
            </w:r>
          </w:p>
        </w:tc>
        <w:tc>
          <w:tcPr>
            <w:tcW w:w="1550" w:type="dxa"/>
          </w:tcPr>
          <w:p w14:paraId="2A6A2E2A"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1 515.13</w:t>
            </w:r>
          </w:p>
        </w:tc>
        <w:tc>
          <w:tcPr>
            <w:tcW w:w="1508" w:type="dxa"/>
          </w:tcPr>
          <w:p w14:paraId="4679BFE6"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765.01</w:t>
            </w:r>
          </w:p>
        </w:tc>
        <w:tc>
          <w:tcPr>
            <w:tcW w:w="1256" w:type="dxa"/>
          </w:tcPr>
          <w:p w14:paraId="47C3AEB3"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1 515.13</w:t>
            </w:r>
          </w:p>
        </w:tc>
      </w:tr>
      <w:tr w:rsidR="0051191B" w:rsidRPr="00B84DFD" w14:paraId="5AD1AA5E" w14:textId="77777777">
        <w:trPr>
          <w:jc w:val="center"/>
        </w:trPr>
        <w:tc>
          <w:tcPr>
            <w:tcW w:w="2731" w:type="dxa"/>
          </w:tcPr>
          <w:p w14:paraId="7E1F517B" w14:textId="77777777" w:rsidR="0051191B" w:rsidRPr="00B84DFD" w:rsidRDefault="00000000">
            <w:pPr>
              <w:spacing w:line="360" w:lineRule="auto"/>
              <w:jc w:val="both"/>
              <w:rPr>
                <w:color w:val="000000" w:themeColor="text1"/>
                <w:shd w:val="clear" w:color="auto" w:fill="FFFFFF"/>
              </w:rPr>
            </w:pPr>
            <w:r w:rsidRPr="00B84DFD">
              <w:rPr>
                <w:color w:val="000000" w:themeColor="text1"/>
                <w:shd w:val="clear" w:color="auto" w:fill="FFFFFF"/>
              </w:rPr>
              <w:t>Tarjeta de Circulación</w:t>
            </w:r>
          </w:p>
        </w:tc>
        <w:tc>
          <w:tcPr>
            <w:tcW w:w="1550" w:type="dxa"/>
          </w:tcPr>
          <w:p w14:paraId="1285DA2A"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514.97</w:t>
            </w:r>
          </w:p>
        </w:tc>
        <w:tc>
          <w:tcPr>
            <w:tcW w:w="1508" w:type="dxa"/>
          </w:tcPr>
          <w:p w14:paraId="340F481D"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514.97</w:t>
            </w:r>
          </w:p>
        </w:tc>
        <w:tc>
          <w:tcPr>
            <w:tcW w:w="1256" w:type="dxa"/>
          </w:tcPr>
          <w:p w14:paraId="494E459E"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514.97</w:t>
            </w:r>
          </w:p>
        </w:tc>
      </w:tr>
      <w:tr w:rsidR="0051191B" w:rsidRPr="00B84DFD" w14:paraId="4453F0D6" w14:textId="77777777">
        <w:trPr>
          <w:jc w:val="center"/>
        </w:trPr>
        <w:tc>
          <w:tcPr>
            <w:tcW w:w="2731" w:type="dxa"/>
          </w:tcPr>
          <w:p w14:paraId="3881CE89" w14:textId="77777777" w:rsidR="0051191B" w:rsidRPr="00B84DFD" w:rsidRDefault="00000000">
            <w:pPr>
              <w:spacing w:line="360" w:lineRule="auto"/>
              <w:jc w:val="both"/>
              <w:rPr>
                <w:color w:val="000000" w:themeColor="text1"/>
                <w:shd w:val="clear" w:color="auto" w:fill="FFFFFF"/>
              </w:rPr>
            </w:pPr>
            <w:r w:rsidRPr="00B84DFD">
              <w:rPr>
                <w:color w:val="000000" w:themeColor="text1"/>
                <w:shd w:val="clear" w:color="auto" w:fill="FFFFFF"/>
              </w:rPr>
              <w:t>Verificación Vehicular</w:t>
            </w:r>
          </w:p>
        </w:tc>
        <w:tc>
          <w:tcPr>
            <w:tcW w:w="1550" w:type="dxa"/>
          </w:tcPr>
          <w:p w14:paraId="66DD374F"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389.95</w:t>
            </w:r>
          </w:p>
        </w:tc>
        <w:tc>
          <w:tcPr>
            <w:tcW w:w="1508" w:type="dxa"/>
          </w:tcPr>
          <w:p w14:paraId="4F9FADDC"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389.95</w:t>
            </w:r>
          </w:p>
        </w:tc>
        <w:tc>
          <w:tcPr>
            <w:tcW w:w="1256" w:type="dxa"/>
          </w:tcPr>
          <w:p w14:paraId="3BDDBACC"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389.95</w:t>
            </w:r>
          </w:p>
        </w:tc>
      </w:tr>
      <w:tr w:rsidR="0051191B" w:rsidRPr="00B84DFD" w14:paraId="1DDEC658" w14:textId="77777777">
        <w:trPr>
          <w:jc w:val="center"/>
        </w:trPr>
        <w:tc>
          <w:tcPr>
            <w:tcW w:w="2731" w:type="dxa"/>
          </w:tcPr>
          <w:p w14:paraId="634B1B94" w14:textId="77777777" w:rsidR="0051191B" w:rsidRPr="00B84DFD" w:rsidRDefault="00000000">
            <w:pPr>
              <w:spacing w:line="360" w:lineRule="auto"/>
              <w:jc w:val="both"/>
              <w:rPr>
                <w:color w:val="000000" w:themeColor="text1"/>
                <w:shd w:val="clear" w:color="auto" w:fill="FFFFFF"/>
              </w:rPr>
            </w:pPr>
            <w:r w:rsidRPr="00B84DFD">
              <w:rPr>
                <w:color w:val="000000" w:themeColor="text1"/>
                <w:shd w:val="clear" w:color="auto" w:fill="FFFFFF"/>
              </w:rPr>
              <w:t>Total a pagar</w:t>
            </w:r>
          </w:p>
        </w:tc>
        <w:tc>
          <w:tcPr>
            <w:tcW w:w="1550" w:type="dxa"/>
          </w:tcPr>
          <w:p w14:paraId="536DF4CD"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2 420.05</w:t>
            </w:r>
          </w:p>
        </w:tc>
        <w:tc>
          <w:tcPr>
            <w:tcW w:w="1508" w:type="dxa"/>
          </w:tcPr>
          <w:p w14:paraId="3C5535DD"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1 669.93</w:t>
            </w:r>
          </w:p>
        </w:tc>
        <w:tc>
          <w:tcPr>
            <w:tcW w:w="1256" w:type="dxa"/>
          </w:tcPr>
          <w:p w14:paraId="2C002D83" w14:textId="77777777" w:rsidR="0051191B" w:rsidRPr="00B84DFD" w:rsidRDefault="00000000">
            <w:pPr>
              <w:spacing w:line="360" w:lineRule="auto"/>
              <w:jc w:val="right"/>
              <w:rPr>
                <w:color w:val="000000" w:themeColor="text1"/>
                <w:shd w:val="clear" w:color="auto" w:fill="FFFFFF"/>
              </w:rPr>
            </w:pPr>
            <w:r w:rsidRPr="00B84DFD">
              <w:rPr>
                <w:color w:val="000000" w:themeColor="text1"/>
                <w:shd w:val="clear" w:color="auto" w:fill="FFFFFF"/>
              </w:rPr>
              <w:t>2 420.05</w:t>
            </w:r>
          </w:p>
        </w:tc>
      </w:tr>
    </w:tbl>
    <w:p w14:paraId="066BE9F3" w14:textId="77777777" w:rsidR="0051191B" w:rsidRDefault="00000000">
      <w:pPr>
        <w:spacing w:line="360" w:lineRule="auto"/>
        <w:jc w:val="center"/>
        <w:rPr>
          <w:rFonts w:eastAsiaTheme="minorHAnsi"/>
          <w:color w:val="000000" w:themeColor="text1"/>
          <w:lang w:eastAsia="en-US"/>
        </w:rPr>
      </w:pPr>
      <w:r>
        <w:rPr>
          <w:color w:val="000000" w:themeColor="text1"/>
        </w:rPr>
        <w:t xml:space="preserve">Fuente: Elaboración propia </w:t>
      </w:r>
    </w:p>
    <w:p w14:paraId="74FAC9CB" w14:textId="77777777" w:rsidR="0051191B" w:rsidRDefault="00000000">
      <w:pPr>
        <w:pStyle w:val="Prrafodelista"/>
        <w:numPr>
          <w:ilvl w:val="0"/>
          <w:numId w:val="2"/>
        </w:numPr>
        <w:spacing w:line="360" w:lineRule="auto"/>
        <w:rPr>
          <w:rFonts w:ascii="Times New Roman" w:eastAsia="Times New Roman" w:hAnsi="Times New Roman" w:cs="Times New Roman"/>
          <w:color w:val="000000" w:themeColor="text1"/>
          <w:shd w:val="clear" w:color="auto" w:fill="FFFFFF"/>
          <w:lang w:eastAsia="es-MX"/>
        </w:rPr>
      </w:pPr>
      <w:r>
        <w:rPr>
          <w:rFonts w:ascii="Times New Roman" w:eastAsia="Times New Roman" w:hAnsi="Times New Roman" w:cs="Times New Roman"/>
          <w:color w:val="000000" w:themeColor="text1"/>
          <w:shd w:val="clear" w:color="auto" w:fill="FFFFFF"/>
          <w:lang w:val="es-MX" w:eastAsia="es-MX"/>
        </w:rPr>
        <w:t>Cambio de propietario en el registro al padrón vehicular: es necesario que el vehículo a registrar presente el recibo oficial de baja del Estado de Nayarit o de una entidad federativa. Dicho trámite se presenta más adelante, al igual que en la tabla 6, se pagarían 3 derechos y, dependiendo de si presenta Re-factura o cesión de derechos, se le sumaría el importe a pagar por el Impuesto de Adquisición de Bienes, conocido como compra-venta, el cual depende del modelo y versión del vehículo.</w:t>
      </w:r>
    </w:p>
    <w:p w14:paraId="541C6BA1" w14:textId="77777777" w:rsidR="0051191B" w:rsidRPr="00D45D7D" w:rsidRDefault="00000000">
      <w:pPr>
        <w:pStyle w:val="Prrafodelista"/>
        <w:numPr>
          <w:ilvl w:val="0"/>
          <w:numId w:val="2"/>
        </w:numPr>
        <w:spacing w:line="360" w:lineRule="auto"/>
        <w:rPr>
          <w:rFonts w:ascii="Times New Roman" w:eastAsia="Times New Roman" w:hAnsi="Times New Roman" w:cs="Times New Roman"/>
          <w:color w:val="000000" w:themeColor="text1"/>
          <w:shd w:val="clear" w:color="auto" w:fill="FFFFFF"/>
          <w:lang w:eastAsia="es-MX"/>
        </w:rPr>
      </w:pPr>
      <w:r>
        <w:rPr>
          <w:rFonts w:ascii="Times New Roman" w:hAnsi="Times New Roman" w:cs="Times New Roman"/>
          <w:color w:val="000000" w:themeColor="text1"/>
          <w:shd w:val="clear" w:color="auto" w:fill="FFFFFF"/>
          <w:lang w:val="es-MX"/>
        </w:rPr>
        <w:t xml:space="preserve">Baja en el padrón vehicular: para este trámite existen tres formas. La primera es necesario estar al corriente en sus pagos y tener registro en Nayarit. La segunda forma es en el caso de vehículos que porten placas de otras entidades federativas y quieran </w:t>
      </w:r>
      <w:r>
        <w:rPr>
          <w:rFonts w:ascii="Times New Roman" w:hAnsi="Times New Roman" w:cs="Times New Roman"/>
          <w:color w:val="000000" w:themeColor="text1"/>
          <w:shd w:val="clear" w:color="auto" w:fill="FFFFFF"/>
          <w:lang w:val="es-MX"/>
        </w:rPr>
        <w:lastRenderedPageBreak/>
        <w:t xml:space="preserve">dar de baja en el Estado de Nayarit. Podrán hacerlo siempre y cuando cubran el derecho especial por falta de baja y realicen el procedimiento de alta al padrón vehicular. La tercera forma es cuando el contribuyente manifieste el extravío o robo parcial o total de las placas. Deberá presentar la denuncia ante el ministerio público, señalando el número de serie del vehículo y la placa correspondiente. </w:t>
      </w:r>
      <w:proofErr w:type="gramStart"/>
      <w:r>
        <w:rPr>
          <w:rFonts w:ascii="Times New Roman" w:hAnsi="Times New Roman" w:cs="Times New Roman"/>
          <w:color w:val="000000" w:themeColor="text1"/>
          <w:shd w:val="clear" w:color="auto" w:fill="FFFFFF"/>
          <w:lang w:val="es-MX"/>
        </w:rPr>
        <w:t>Los montos a pagar</w:t>
      </w:r>
      <w:proofErr w:type="gramEnd"/>
      <w:r>
        <w:rPr>
          <w:rFonts w:ascii="Times New Roman" w:hAnsi="Times New Roman" w:cs="Times New Roman"/>
          <w:color w:val="000000" w:themeColor="text1"/>
          <w:shd w:val="clear" w:color="auto" w:fill="FFFFFF"/>
          <w:lang w:val="es-MX"/>
        </w:rPr>
        <w:t xml:space="preserve"> se presentan en la tabla 7.</w:t>
      </w:r>
    </w:p>
    <w:p w14:paraId="214DD641" w14:textId="77777777" w:rsidR="00D45D7D" w:rsidRPr="00D45D7D" w:rsidRDefault="00D45D7D" w:rsidP="00D45D7D">
      <w:pPr>
        <w:spacing w:line="360" w:lineRule="auto"/>
        <w:ind w:left="360"/>
        <w:rPr>
          <w:color w:val="000000" w:themeColor="text1"/>
          <w:shd w:val="clear" w:color="auto" w:fill="FFFFFF"/>
        </w:rPr>
      </w:pPr>
    </w:p>
    <w:p w14:paraId="6159D521"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7</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Ejemplo de monto a pagar para dar de baja en el padrón vehicular</w:t>
      </w:r>
    </w:p>
    <w:tbl>
      <w:tblPr>
        <w:tblW w:w="5098" w:type="dxa"/>
        <w:jc w:val="center"/>
        <w:tblLayout w:type="fixed"/>
        <w:tblCellMar>
          <w:left w:w="70" w:type="dxa"/>
          <w:right w:w="70" w:type="dxa"/>
        </w:tblCellMar>
        <w:tblLook w:val="04A0" w:firstRow="1" w:lastRow="0" w:firstColumn="1" w:lastColumn="0" w:noHBand="0" w:noVBand="1"/>
      </w:tblPr>
      <w:tblGrid>
        <w:gridCol w:w="3257"/>
        <w:gridCol w:w="1841"/>
      </w:tblGrid>
      <w:tr w:rsidR="0051191B" w:rsidRPr="00B84DFD" w14:paraId="46428EE3" w14:textId="77777777">
        <w:trPr>
          <w:trHeight w:val="512"/>
          <w:jc w:val="center"/>
        </w:trPr>
        <w:tc>
          <w:tcPr>
            <w:tcW w:w="32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52446E" w14:textId="77777777" w:rsidR="0051191B" w:rsidRPr="00B84DFD" w:rsidRDefault="00000000">
            <w:pPr>
              <w:widowControl w:val="0"/>
              <w:jc w:val="center"/>
            </w:pPr>
            <w:r w:rsidRPr="00B84DFD">
              <w:t>Concepto</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809F3" w14:textId="77777777" w:rsidR="0051191B" w:rsidRPr="00B84DFD" w:rsidRDefault="00000000">
            <w:pPr>
              <w:widowControl w:val="0"/>
              <w:jc w:val="center"/>
              <w:rPr>
                <w:color w:val="000000"/>
              </w:rPr>
            </w:pPr>
            <w:r w:rsidRPr="00B84DFD">
              <w:rPr>
                <w:color w:val="000000"/>
              </w:rPr>
              <w:t>Monto a pagar</w:t>
            </w:r>
          </w:p>
        </w:tc>
      </w:tr>
      <w:tr w:rsidR="0051191B" w:rsidRPr="00B84DFD" w14:paraId="1A4778CE" w14:textId="77777777">
        <w:trPr>
          <w:trHeight w:val="346"/>
          <w:jc w:val="center"/>
        </w:trPr>
        <w:tc>
          <w:tcPr>
            <w:tcW w:w="32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706B9E" w14:textId="77777777" w:rsidR="0051191B" w:rsidRPr="00B84DFD" w:rsidRDefault="00000000">
            <w:pPr>
              <w:widowControl w:val="0"/>
            </w:pPr>
            <w:r w:rsidRPr="00B84DFD">
              <w:t>Baja estatal</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D3503" w14:textId="77777777" w:rsidR="0051191B" w:rsidRPr="00B84DFD" w:rsidRDefault="00000000">
            <w:pPr>
              <w:widowControl w:val="0"/>
              <w:jc w:val="right"/>
              <w:rPr>
                <w:color w:val="000000"/>
              </w:rPr>
            </w:pPr>
            <w:r w:rsidRPr="00B84DFD">
              <w:rPr>
                <w:color w:val="000000"/>
              </w:rPr>
              <w:t xml:space="preserve"> $   264.93 </w:t>
            </w:r>
          </w:p>
        </w:tc>
      </w:tr>
      <w:tr w:rsidR="0051191B" w:rsidRPr="00B84DFD" w14:paraId="7FFF9480" w14:textId="77777777">
        <w:trPr>
          <w:trHeight w:val="346"/>
          <w:jc w:val="center"/>
        </w:trPr>
        <w:tc>
          <w:tcPr>
            <w:tcW w:w="32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F2309B" w14:textId="52464C54" w:rsidR="0051191B" w:rsidRPr="00B84DFD" w:rsidRDefault="00000000">
            <w:pPr>
              <w:widowControl w:val="0"/>
            </w:pPr>
            <w:r w:rsidRPr="00B84DFD">
              <w:t xml:space="preserve">Baja </w:t>
            </w:r>
            <w:r w:rsidR="00B84DFD" w:rsidRPr="00B84DFD">
              <w:t>foránea</w:t>
            </w:r>
          </w:p>
        </w:tc>
        <w:tc>
          <w:tcPr>
            <w:tcW w:w="18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3F85DF" w14:textId="77777777" w:rsidR="0051191B" w:rsidRPr="00B84DFD" w:rsidRDefault="00000000">
            <w:pPr>
              <w:widowControl w:val="0"/>
              <w:jc w:val="right"/>
              <w:rPr>
                <w:color w:val="000000"/>
              </w:rPr>
            </w:pPr>
            <w:r w:rsidRPr="00B84DFD">
              <w:rPr>
                <w:color w:val="000000"/>
              </w:rPr>
              <w:t xml:space="preserve"> $   514.97 </w:t>
            </w:r>
          </w:p>
        </w:tc>
      </w:tr>
      <w:tr w:rsidR="0051191B" w:rsidRPr="00B84DFD" w14:paraId="028DD536" w14:textId="77777777">
        <w:trPr>
          <w:trHeight w:val="346"/>
          <w:jc w:val="center"/>
        </w:trPr>
        <w:tc>
          <w:tcPr>
            <w:tcW w:w="32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F0E033" w14:textId="77777777" w:rsidR="0051191B" w:rsidRPr="00B84DFD" w:rsidRDefault="00000000">
            <w:pPr>
              <w:widowControl w:val="0"/>
            </w:pPr>
            <w:r w:rsidRPr="00B84DFD">
              <w:t>Baja administrativa</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5B501" w14:textId="77777777" w:rsidR="0051191B" w:rsidRPr="00B84DFD" w:rsidRDefault="00000000">
            <w:pPr>
              <w:widowControl w:val="0"/>
              <w:jc w:val="right"/>
              <w:rPr>
                <w:color w:val="000000"/>
              </w:rPr>
            </w:pPr>
            <w:r w:rsidRPr="00B84DFD">
              <w:rPr>
                <w:color w:val="000000"/>
              </w:rPr>
              <w:t xml:space="preserve"> $   389.95 </w:t>
            </w:r>
          </w:p>
        </w:tc>
      </w:tr>
      <w:tr w:rsidR="0051191B" w:rsidRPr="00B84DFD" w14:paraId="40565EC2" w14:textId="77777777">
        <w:trPr>
          <w:trHeight w:val="346"/>
          <w:jc w:val="center"/>
        </w:trPr>
        <w:tc>
          <w:tcPr>
            <w:tcW w:w="32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393709" w14:textId="77777777" w:rsidR="0051191B" w:rsidRPr="00B84DFD" w:rsidRDefault="00000000">
            <w:pPr>
              <w:widowControl w:val="0"/>
            </w:pPr>
            <w:r w:rsidRPr="00B84DFD">
              <w:t>Baja motocicleta</w:t>
            </w:r>
          </w:p>
        </w:tc>
        <w:tc>
          <w:tcPr>
            <w:tcW w:w="184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011383" w14:textId="77777777" w:rsidR="0051191B" w:rsidRPr="00B84DFD" w:rsidRDefault="00000000">
            <w:pPr>
              <w:widowControl w:val="0"/>
              <w:jc w:val="right"/>
              <w:rPr>
                <w:color w:val="000000"/>
              </w:rPr>
            </w:pPr>
            <w:r w:rsidRPr="00B84DFD">
              <w:rPr>
                <w:color w:val="000000"/>
              </w:rPr>
              <w:t xml:space="preserve"> $   264.93 </w:t>
            </w:r>
          </w:p>
        </w:tc>
      </w:tr>
      <w:tr w:rsidR="0051191B" w:rsidRPr="00B84DFD" w14:paraId="3BD1BDD0" w14:textId="77777777">
        <w:trPr>
          <w:trHeight w:val="512"/>
          <w:jc w:val="center"/>
        </w:trPr>
        <w:tc>
          <w:tcPr>
            <w:tcW w:w="32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7E0DF8" w14:textId="77777777" w:rsidR="0051191B" w:rsidRPr="00B84DFD" w:rsidRDefault="00000000">
            <w:pPr>
              <w:widowControl w:val="0"/>
            </w:pPr>
            <w:r w:rsidRPr="00B84DFD">
              <w:t xml:space="preserve">Baja motocicleta administrativa </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AC69A" w14:textId="77777777" w:rsidR="0051191B" w:rsidRPr="00B84DFD" w:rsidRDefault="00000000">
            <w:pPr>
              <w:widowControl w:val="0"/>
              <w:jc w:val="right"/>
              <w:rPr>
                <w:color w:val="000000"/>
              </w:rPr>
            </w:pPr>
            <w:r w:rsidRPr="00B84DFD">
              <w:rPr>
                <w:color w:val="000000"/>
              </w:rPr>
              <w:t xml:space="preserve"> $   389.95 </w:t>
            </w:r>
          </w:p>
        </w:tc>
      </w:tr>
    </w:tbl>
    <w:p w14:paraId="56CF0E6D" w14:textId="7AC4997A" w:rsidR="0051191B" w:rsidRPr="00D45D7D" w:rsidRDefault="00000000" w:rsidP="00D45D7D">
      <w:pPr>
        <w:spacing w:line="360" w:lineRule="auto"/>
        <w:jc w:val="center"/>
        <w:rPr>
          <w:color w:val="000000" w:themeColor="text1"/>
        </w:rPr>
      </w:pPr>
      <w:r>
        <w:rPr>
          <w:color w:val="000000" w:themeColor="text1"/>
        </w:rPr>
        <w:t xml:space="preserve">Fuente: Elaboración propia </w:t>
      </w:r>
    </w:p>
    <w:p w14:paraId="60693D7E" w14:textId="6C67390D" w:rsidR="0051191B" w:rsidRDefault="00000000">
      <w:pPr>
        <w:pStyle w:val="Prrafodelista"/>
        <w:numPr>
          <w:ilvl w:val="0"/>
          <w:numId w:val="2"/>
        </w:numPr>
        <w:spacing w:line="360" w:lineRule="auto"/>
        <w:rPr>
          <w:rFonts w:ascii="Times New Roman" w:hAnsi="Times New Roman" w:cs="Times New Roman"/>
          <w:color w:val="000000" w:themeColor="text1"/>
          <w:shd w:val="clear" w:color="auto" w:fill="FFFFFF"/>
        </w:rPr>
      </w:pPr>
      <w:proofErr w:type="spellStart"/>
      <w:r>
        <w:rPr>
          <w:rFonts w:ascii="Times New Roman" w:hAnsi="Times New Roman" w:cs="Times New Roman"/>
          <w:color w:val="000000" w:themeColor="text1"/>
          <w:shd w:val="clear" w:color="auto" w:fill="FFFFFF"/>
        </w:rPr>
        <w:t>Reemplacamiento</w:t>
      </w:r>
      <w:proofErr w:type="spellEnd"/>
      <w:r>
        <w:rPr>
          <w:rFonts w:ascii="Times New Roman" w:hAnsi="Times New Roman" w:cs="Times New Roman"/>
          <w:color w:val="000000" w:themeColor="text1"/>
          <w:shd w:val="clear" w:color="auto" w:fill="FFFFFF"/>
        </w:rPr>
        <w:t xml:space="preserve"> de vehículo de servicio público: es el trámite donde se actualiza el padrón vehicular y se revisan cuestiones de seguridad para los usuarios. </w:t>
      </w:r>
      <w:r w:rsidR="00FA07F3">
        <w:rPr>
          <w:rFonts w:ascii="Times New Roman" w:hAnsi="Times New Roman" w:cs="Times New Roman"/>
          <w:color w:val="000000" w:themeColor="text1"/>
          <w:shd w:val="clear" w:color="auto" w:fill="FFFFFF"/>
        </w:rPr>
        <w:t>El monto por pagar</w:t>
      </w:r>
      <w:r>
        <w:rPr>
          <w:rFonts w:ascii="Times New Roman" w:hAnsi="Times New Roman" w:cs="Times New Roman"/>
          <w:color w:val="000000" w:themeColor="text1"/>
          <w:shd w:val="clear" w:color="auto" w:fill="FFFFFF"/>
        </w:rPr>
        <w:t xml:space="preserve"> es de $3,504.57, como se muestra en la tabla 8.</w:t>
      </w:r>
    </w:p>
    <w:p w14:paraId="6BCD41AB" w14:textId="77777777" w:rsidR="00B84DFD" w:rsidRPr="00B84DFD" w:rsidRDefault="00B84DFD" w:rsidP="00B84DFD">
      <w:pPr>
        <w:spacing w:line="360" w:lineRule="auto"/>
        <w:rPr>
          <w:color w:val="000000" w:themeColor="text1"/>
          <w:shd w:val="clear" w:color="auto" w:fill="FFFFFF"/>
        </w:rPr>
      </w:pPr>
    </w:p>
    <w:p w14:paraId="4068F911"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8</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Ejemplo de monto a pagar de un reemplacamiento de vehículo de servicio público</w:t>
      </w:r>
    </w:p>
    <w:tbl>
      <w:tblPr>
        <w:tblW w:w="5816" w:type="dxa"/>
        <w:jc w:val="center"/>
        <w:tblLayout w:type="fixed"/>
        <w:tblCellMar>
          <w:left w:w="70" w:type="dxa"/>
          <w:right w:w="70" w:type="dxa"/>
        </w:tblCellMar>
        <w:tblLook w:val="04A0" w:firstRow="1" w:lastRow="0" w:firstColumn="1" w:lastColumn="0" w:noHBand="0" w:noVBand="1"/>
      </w:tblPr>
      <w:tblGrid>
        <w:gridCol w:w="4538"/>
        <w:gridCol w:w="1278"/>
      </w:tblGrid>
      <w:tr w:rsidR="0051191B" w:rsidRPr="00B84DFD" w14:paraId="589CE205" w14:textId="77777777">
        <w:trPr>
          <w:trHeight w:val="626"/>
          <w:jc w:val="center"/>
        </w:trPr>
        <w:tc>
          <w:tcPr>
            <w:tcW w:w="45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27E967" w14:textId="77777777" w:rsidR="0051191B" w:rsidRPr="00B84DFD" w:rsidRDefault="00000000">
            <w:pPr>
              <w:widowControl w:val="0"/>
              <w:jc w:val="center"/>
              <w:rPr>
                <w:szCs w:val="28"/>
              </w:rPr>
            </w:pPr>
            <w:r w:rsidRPr="00B84DFD">
              <w:rPr>
                <w:szCs w:val="28"/>
              </w:rPr>
              <w:t>Concepto</w:t>
            </w:r>
          </w:p>
        </w:tc>
        <w:tc>
          <w:tcPr>
            <w:tcW w:w="1278" w:type="dxa"/>
            <w:tcBorders>
              <w:top w:val="single" w:sz="4" w:space="0" w:color="000000"/>
              <w:bottom w:val="single" w:sz="4" w:space="0" w:color="000000"/>
              <w:right w:val="single" w:sz="4" w:space="0" w:color="000000"/>
            </w:tcBorders>
            <w:shd w:val="clear" w:color="auto" w:fill="auto"/>
            <w:vAlign w:val="center"/>
          </w:tcPr>
          <w:p w14:paraId="1431E14C" w14:textId="77777777" w:rsidR="0051191B" w:rsidRPr="00B84DFD" w:rsidRDefault="00000000">
            <w:pPr>
              <w:widowControl w:val="0"/>
              <w:jc w:val="center"/>
              <w:rPr>
                <w:color w:val="000000"/>
                <w:szCs w:val="28"/>
              </w:rPr>
            </w:pPr>
            <w:r w:rsidRPr="00B84DFD">
              <w:rPr>
                <w:color w:val="000000"/>
                <w:szCs w:val="28"/>
              </w:rPr>
              <w:t>Monto a pagar</w:t>
            </w:r>
          </w:p>
        </w:tc>
      </w:tr>
      <w:tr w:rsidR="0051191B" w:rsidRPr="00B84DFD" w14:paraId="5282D5BE" w14:textId="77777777">
        <w:trPr>
          <w:trHeight w:val="288"/>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1597C99D" w14:textId="77777777" w:rsidR="0051191B" w:rsidRPr="00B84DFD" w:rsidRDefault="00000000">
            <w:pPr>
              <w:widowControl w:val="0"/>
              <w:jc w:val="center"/>
              <w:rPr>
                <w:szCs w:val="28"/>
              </w:rPr>
            </w:pPr>
            <w:r w:rsidRPr="00B84DFD">
              <w:rPr>
                <w:szCs w:val="28"/>
              </w:rPr>
              <w:t xml:space="preserve">Reemplacamiendo servicio público </w:t>
            </w:r>
          </w:p>
        </w:tc>
        <w:tc>
          <w:tcPr>
            <w:tcW w:w="1278" w:type="dxa"/>
            <w:tcBorders>
              <w:bottom w:val="single" w:sz="4" w:space="0" w:color="000000"/>
              <w:right w:val="single" w:sz="4" w:space="0" w:color="000000"/>
            </w:tcBorders>
            <w:shd w:val="clear" w:color="auto" w:fill="auto"/>
            <w:vAlign w:val="center"/>
          </w:tcPr>
          <w:p w14:paraId="7B1E3FCF" w14:textId="77777777" w:rsidR="0051191B" w:rsidRPr="00B84DFD" w:rsidRDefault="00000000">
            <w:pPr>
              <w:widowControl w:val="0"/>
              <w:jc w:val="right"/>
              <w:rPr>
                <w:color w:val="000000"/>
                <w:szCs w:val="28"/>
              </w:rPr>
            </w:pPr>
            <w:r w:rsidRPr="00B84DFD">
              <w:rPr>
                <w:color w:val="000000"/>
                <w:szCs w:val="28"/>
              </w:rPr>
              <w:t xml:space="preserve"> 1 904.08</w:t>
            </w:r>
          </w:p>
        </w:tc>
      </w:tr>
      <w:tr w:rsidR="0051191B" w:rsidRPr="00B84DFD" w14:paraId="40840EE8" w14:textId="77777777">
        <w:trPr>
          <w:trHeight w:val="356"/>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004EC972" w14:textId="77777777" w:rsidR="0051191B" w:rsidRPr="00B84DFD" w:rsidRDefault="00000000">
            <w:pPr>
              <w:widowControl w:val="0"/>
              <w:jc w:val="center"/>
              <w:rPr>
                <w:szCs w:val="28"/>
              </w:rPr>
            </w:pPr>
            <w:r w:rsidRPr="00B84DFD">
              <w:rPr>
                <w:szCs w:val="28"/>
              </w:rPr>
              <w:t>Tarjeta de circulación</w:t>
            </w:r>
          </w:p>
        </w:tc>
        <w:tc>
          <w:tcPr>
            <w:tcW w:w="1278" w:type="dxa"/>
            <w:tcBorders>
              <w:bottom w:val="single" w:sz="4" w:space="0" w:color="000000"/>
              <w:right w:val="single" w:sz="4" w:space="0" w:color="000000"/>
            </w:tcBorders>
            <w:shd w:val="clear" w:color="auto" w:fill="auto"/>
            <w:vAlign w:val="center"/>
          </w:tcPr>
          <w:p w14:paraId="6992D1B5" w14:textId="77777777" w:rsidR="0051191B" w:rsidRPr="00B84DFD" w:rsidRDefault="00000000">
            <w:pPr>
              <w:widowControl w:val="0"/>
              <w:jc w:val="right"/>
              <w:rPr>
                <w:color w:val="000000"/>
                <w:szCs w:val="28"/>
              </w:rPr>
            </w:pPr>
            <w:r w:rsidRPr="00B84DFD">
              <w:rPr>
                <w:color w:val="000000"/>
                <w:szCs w:val="28"/>
              </w:rPr>
              <w:t xml:space="preserve">  514.97</w:t>
            </w:r>
          </w:p>
        </w:tc>
      </w:tr>
      <w:tr w:rsidR="0051191B" w:rsidRPr="00B84DFD" w14:paraId="775F74A9" w14:textId="77777777">
        <w:trPr>
          <w:trHeight w:val="339"/>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253CAFB4" w14:textId="77777777" w:rsidR="0051191B" w:rsidRPr="00B84DFD" w:rsidRDefault="00000000">
            <w:pPr>
              <w:widowControl w:val="0"/>
              <w:jc w:val="center"/>
              <w:rPr>
                <w:szCs w:val="28"/>
              </w:rPr>
            </w:pPr>
            <w:r w:rsidRPr="00B84DFD">
              <w:rPr>
                <w:szCs w:val="28"/>
              </w:rPr>
              <w:t>Verificación vehicular</w:t>
            </w:r>
          </w:p>
        </w:tc>
        <w:tc>
          <w:tcPr>
            <w:tcW w:w="1278" w:type="dxa"/>
            <w:tcBorders>
              <w:bottom w:val="single" w:sz="4" w:space="0" w:color="000000"/>
              <w:right w:val="single" w:sz="4" w:space="0" w:color="000000"/>
            </w:tcBorders>
            <w:shd w:val="clear" w:color="auto" w:fill="auto"/>
            <w:vAlign w:val="center"/>
          </w:tcPr>
          <w:p w14:paraId="242D4291" w14:textId="77777777" w:rsidR="0051191B" w:rsidRPr="00B84DFD" w:rsidRDefault="00000000">
            <w:pPr>
              <w:widowControl w:val="0"/>
              <w:jc w:val="right"/>
              <w:rPr>
                <w:color w:val="000000"/>
                <w:szCs w:val="28"/>
              </w:rPr>
            </w:pPr>
            <w:r w:rsidRPr="00B84DFD">
              <w:rPr>
                <w:color w:val="000000"/>
                <w:szCs w:val="28"/>
              </w:rPr>
              <w:t xml:space="preserve"> 70.46</w:t>
            </w:r>
          </w:p>
        </w:tc>
      </w:tr>
      <w:tr w:rsidR="0051191B" w:rsidRPr="00B84DFD" w14:paraId="0758EE19" w14:textId="77777777">
        <w:trPr>
          <w:trHeight w:val="288"/>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240B7C3F" w14:textId="77777777" w:rsidR="0051191B" w:rsidRPr="00B84DFD" w:rsidRDefault="00000000">
            <w:pPr>
              <w:widowControl w:val="0"/>
              <w:jc w:val="center"/>
              <w:rPr>
                <w:szCs w:val="28"/>
              </w:rPr>
            </w:pPr>
            <w:r w:rsidRPr="00B84DFD">
              <w:rPr>
                <w:szCs w:val="28"/>
              </w:rPr>
              <w:t>Revalidación de permiso de servicio público</w:t>
            </w:r>
          </w:p>
        </w:tc>
        <w:tc>
          <w:tcPr>
            <w:tcW w:w="1278" w:type="dxa"/>
            <w:tcBorders>
              <w:bottom w:val="single" w:sz="4" w:space="0" w:color="000000"/>
              <w:right w:val="single" w:sz="4" w:space="0" w:color="000000"/>
            </w:tcBorders>
            <w:shd w:val="clear" w:color="auto" w:fill="auto"/>
            <w:vAlign w:val="center"/>
          </w:tcPr>
          <w:p w14:paraId="67AA324F" w14:textId="77777777" w:rsidR="0051191B" w:rsidRPr="00B84DFD" w:rsidRDefault="00000000">
            <w:pPr>
              <w:widowControl w:val="0"/>
              <w:jc w:val="right"/>
              <w:rPr>
                <w:color w:val="000000"/>
                <w:szCs w:val="28"/>
              </w:rPr>
            </w:pPr>
            <w:r w:rsidRPr="00B84DFD">
              <w:rPr>
                <w:color w:val="000000"/>
                <w:szCs w:val="28"/>
              </w:rPr>
              <w:t xml:space="preserve"> 1 015.06</w:t>
            </w:r>
          </w:p>
        </w:tc>
      </w:tr>
      <w:tr w:rsidR="0051191B" w:rsidRPr="00B84DFD" w14:paraId="5A31155E" w14:textId="77777777">
        <w:trPr>
          <w:trHeight w:val="288"/>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79B2F00C" w14:textId="77777777" w:rsidR="0051191B" w:rsidRPr="00B84DFD" w:rsidRDefault="00000000">
            <w:pPr>
              <w:widowControl w:val="0"/>
              <w:jc w:val="center"/>
              <w:rPr>
                <w:szCs w:val="28"/>
              </w:rPr>
            </w:pPr>
            <w:r w:rsidRPr="00B84DFD">
              <w:rPr>
                <w:szCs w:val="28"/>
              </w:rPr>
              <w:t>Total a pagar</w:t>
            </w:r>
          </w:p>
        </w:tc>
        <w:tc>
          <w:tcPr>
            <w:tcW w:w="1278" w:type="dxa"/>
            <w:tcBorders>
              <w:bottom w:val="single" w:sz="4" w:space="0" w:color="000000"/>
              <w:right w:val="single" w:sz="4" w:space="0" w:color="000000"/>
            </w:tcBorders>
            <w:shd w:val="clear" w:color="000000" w:fill="FFFFFF"/>
            <w:vAlign w:val="center"/>
          </w:tcPr>
          <w:p w14:paraId="60AFFAB0" w14:textId="77777777" w:rsidR="0051191B" w:rsidRPr="00B84DFD" w:rsidRDefault="00000000">
            <w:pPr>
              <w:widowControl w:val="0"/>
              <w:jc w:val="right"/>
              <w:rPr>
                <w:color w:val="000000"/>
                <w:szCs w:val="28"/>
              </w:rPr>
            </w:pPr>
            <w:r w:rsidRPr="00B84DFD">
              <w:rPr>
                <w:color w:val="000000"/>
                <w:szCs w:val="28"/>
              </w:rPr>
              <w:t>3 504.57</w:t>
            </w:r>
          </w:p>
        </w:tc>
      </w:tr>
    </w:tbl>
    <w:p w14:paraId="2BB6A920" w14:textId="0D89E339" w:rsidR="0051191B" w:rsidRPr="00B84DFD" w:rsidRDefault="00000000" w:rsidP="00B84DFD">
      <w:pPr>
        <w:pStyle w:val="Prrafodelista"/>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Fuente: Elaboración propia</w:t>
      </w:r>
    </w:p>
    <w:p w14:paraId="52E7AC65" w14:textId="37705B04" w:rsidR="0051191B" w:rsidRPr="00D45D7D" w:rsidRDefault="00000000" w:rsidP="00D45D7D">
      <w:pPr>
        <w:pStyle w:val="Prrafodelista"/>
        <w:numPr>
          <w:ilvl w:val="0"/>
          <w:numId w:val="2"/>
        </w:numPr>
        <w:spacing w:line="36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lang w:val="es-MX"/>
        </w:rPr>
        <w:t>Cambio de vehículo para servicio público: para realizar este trámite es necesario primero realizar la baja del vehículo registrado como servicio público. Posteriormente, se realiza el cambio de vehículo, el cual pagaría cuatro derechos y, dependiendo de si presenta Re-factura o cesión de derechos, se le sumaría el importe a pagar por el Impuesto de Adquisición de Bienes. Este impuesto depende del vehículo, modelo y versión, como se presenta en la tabla 9.</w:t>
      </w:r>
    </w:p>
    <w:p w14:paraId="1CCD7443"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lastRenderedPageBreak/>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9</w:t>
      </w:r>
      <w:r>
        <w:rPr>
          <w:rFonts w:ascii="Times New Roman" w:hAnsi="Times New Roman" w:cs="Times New Roman"/>
          <w:b/>
          <w:bCs/>
          <w:i w:val="0"/>
          <w:iCs w:val="0"/>
          <w:color w:val="000000"/>
          <w:sz w:val="24"/>
          <w:szCs w:val="24"/>
        </w:rPr>
        <w:fldChar w:fldCharType="end"/>
      </w:r>
      <w:r>
        <w:rPr>
          <w:rFonts w:ascii="Times New Roman" w:hAnsi="Times New Roman" w:cs="Times New Roman"/>
          <w:i w:val="0"/>
          <w:iCs w:val="0"/>
          <w:color w:val="000000" w:themeColor="text1"/>
          <w:sz w:val="24"/>
          <w:szCs w:val="24"/>
        </w:rPr>
        <w:t>. Ejemplo de cambio de vehículo para servicio público</w:t>
      </w:r>
    </w:p>
    <w:tbl>
      <w:tblPr>
        <w:tblW w:w="5816" w:type="dxa"/>
        <w:jc w:val="center"/>
        <w:tblLayout w:type="fixed"/>
        <w:tblCellMar>
          <w:left w:w="70" w:type="dxa"/>
          <w:right w:w="70" w:type="dxa"/>
        </w:tblCellMar>
        <w:tblLook w:val="04A0" w:firstRow="1" w:lastRow="0" w:firstColumn="1" w:lastColumn="0" w:noHBand="0" w:noVBand="1"/>
      </w:tblPr>
      <w:tblGrid>
        <w:gridCol w:w="4538"/>
        <w:gridCol w:w="1278"/>
      </w:tblGrid>
      <w:tr w:rsidR="0051191B" w:rsidRPr="00B84DFD" w14:paraId="6874FAB2" w14:textId="77777777">
        <w:trPr>
          <w:trHeight w:val="626"/>
          <w:jc w:val="center"/>
        </w:trPr>
        <w:tc>
          <w:tcPr>
            <w:tcW w:w="453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0F1F274" w14:textId="77777777" w:rsidR="0051191B" w:rsidRPr="00B84DFD" w:rsidRDefault="00000000">
            <w:pPr>
              <w:widowControl w:val="0"/>
              <w:jc w:val="center"/>
              <w:rPr>
                <w:szCs w:val="28"/>
              </w:rPr>
            </w:pPr>
            <w:r w:rsidRPr="00B84DFD">
              <w:rPr>
                <w:szCs w:val="28"/>
              </w:rPr>
              <w:t>Concepto</w:t>
            </w:r>
          </w:p>
        </w:tc>
        <w:tc>
          <w:tcPr>
            <w:tcW w:w="1278" w:type="dxa"/>
            <w:tcBorders>
              <w:top w:val="single" w:sz="4" w:space="0" w:color="000000"/>
              <w:bottom w:val="single" w:sz="4" w:space="0" w:color="000000"/>
              <w:right w:val="single" w:sz="4" w:space="0" w:color="000000"/>
            </w:tcBorders>
            <w:shd w:val="clear" w:color="auto" w:fill="auto"/>
            <w:vAlign w:val="center"/>
          </w:tcPr>
          <w:p w14:paraId="2CEF03E4" w14:textId="77777777" w:rsidR="0051191B" w:rsidRPr="00B84DFD" w:rsidRDefault="00000000">
            <w:pPr>
              <w:widowControl w:val="0"/>
              <w:jc w:val="center"/>
              <w:rPr>
                <w:color w:val="000000"/>
                <w:szCs w:val="28"/>
              </w:rPr>
            </w:pPr>
            <w:r w:rsidRPr="00B84DFD">
              <w:rPr>
                <w:color w:val="000000"/>
                <w:szCs w:val="28"/>
              </w:rPr>
              <w:t xml:space="preserve">Monto a pagar </w:t>
            </w:r>
          </w:p>
        </w:tc>
      </w:tr>
      <w:tr w:rsidR="0051191B" w:rsidRPr="00B84DFD" w14:paraId="04DB84BA" w14:textId="77777777">
        <w:trPr>
          <w:trHeight w:val="288"/>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6AC279B2" w14:textId="77777777" w:rsidR="0051191B" w:rsidRPr="00B84DFD" w:rsidRDefault="00000000">
            <w:pPr>
              <w:widowControl w:val="0"/>
            </w:pPr>
            <w:r w:rsidRPr="00B84DFD">
              <w:t>Dotación de placas</w:t>
            </w:r>
          </w:p>
        </w:tc>
        <w:tc>
          <w:tcPr>
            <w:tcW w:w="1278" w:type="dxa"/>
            <w:tcBorders>
              <w:bottom w:val="single" w:sz="4" w:space="0" w:color="000000"/>
              <w:right w:val="single" w:sz="4" w:space="0" w:color="000000"/>
            </w:tcBorders>
            <w:shd w:val="clear" w:color="auto" w:fill="auto"/>
            <w:vAlign w:val="center"/>
          </w:tcPr>
          <w:p w14:paraId="41C3853E" w14:textId="77777777" w:rsidR="0051191B" w:rsidRPr="00B84DFD" w:rsidRDefault="00000000">
            <w:pPr>
              <w:widowControl w:val="0"/>
              <w:jc w:val="right"/>
              <w:rPr>
                <w:color w:val="000000"/>
              </w:rPr>
            </w:pPr>
            <w:r w:rsidRPr="00B84DFD">
              <w:rPr>
                <w:color w:val="000000"/>
              </w:rPr>
              <w:t xml:space="preserve">  1 904.08 </w:t>
            </w:r>
          </w:p>
        </w:tc>
      </w:tr>
      <w:tr w:rsidR="0051191B" w:rsidRPr="00B84DFD" w14:paraId="1DEA6823" w14:textId="77777777">
        <w:trPr>
          <w:trHeight w:val="356"/>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747F87F1" w14:textId="77777777" w:rsidR="0051191B" w:rsidRPr="00B84DFD" w:rsidRDefault="00000000">
            <w:pPr>
              <w:widowControl w:val="0"/>
            </w:pPr>
            <w:r w:rsidRPr="00B84DFD">
              <w:t>Tarjeta de circulación</w:t>
            </w:r>
          </w:p>
        </w:tc>
        <w:tc>
          <w:tcPr>
            <w:tcW w:w="1278" w:type="dxa"/>
            <w:tcBorders>
              <w:bottom w:val="single" w:sz="4" w:space="0" w:color="000000"/>
              <w:right w:val="single" w:sz="4" w:space="0" w:color="000000"/>
            </w:tcBorders>
            <w:shd w:val="clear" w:color="auto" w:fill="auto"/>
            <w:vAlign w:val="center"/>
          </w:tcPr>
          <w:p w14:paraId="5B8F277A" w14:textId="77777777" w:rsidR="0051191B" w:rsidRPr="00B84DFD" w:rsidRDefault="00000000">
            <w:pPr>
              <w:widowControl w:val="0"/>
              <w:jc w:val="right"/>
              <w:rPr>
                <w:color w:val="000000"/>
              </w:rPr>
            </w:pPr>
            <w:r w:rsidRPr="00B84DFD">
              <w:rPr>
                <w:color w:val="000000"/>
              </w:rPr>
              <w:t xml:space="preserve">   514.97       </w:t>
            </w:r>
          </w:p>
        </w:tc>
      </w:tr>
      <w:tr w:rsidR="0051191B" w:rsidRPr="00B84DFD" w14:paraId="20248E66" w14:textId="77777777">
        <w:trPr>
          <w:trHeight w:val="339"/>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44A9C102" w14:textId="77777777" w:rsidR="0051191B" w:rsidRPr="00B84DFD" w:rsidRDefault="00000000">
            <w:pPr>
              <w:widowControl w:val="0"/>
            </w:pPr>
            <w:r w:rsidRPr="00B84DFD">
              <w:t>Verificación vehicular por primera vez</w:t>
            </w:r>
          </w:p>
        </w:tc>
        <w:tc>
          <w:tcPr>
            <w:tcW w:w="1278" w:type="dxa"/>
            <w:tcBorders>
              <w:bottom w:val="single" w:sz="4" w:space="0" w:color="000000"/>
              <w:right w:val="single" w:sz="4" w:space="0" w:color="000000"/>
            </w:tcBorders>
            <w:shd w:val="clear" w:color="auto" w:fill="auto"/>
            <w:vAlign w:val="center"/>
          </w:tcPr>
          <w:p w14:paraId="3F5E4FB4" w14:textId="77777777" w:rsidR="0051191B" w:rsidRPr="00B84DFD" w:rsidRDefault="00000000">
            <w:pPr>
              <w:widowControl w:val="0"/>
              <w:jc w:val="right"/>
              <w:rPr>
                <w:color w:val="000000"/>
              </w:rPr>
            </w:pPr>
            <w:r w:rsidRPr="00B84DFD">
              <w:rPr>
                <w:color w:val="000000"/>
              </w:rPr>
              <w:t xml:space="preserve">    389.95 </w:t>
            </w:r>
          </w:p>
        </w:tc>
      </w:tr>
      <w:tr w:rsidR="0051191B" w:rsidRPr="00B84DFD" w14:paraId="4DE118DA" w14:textId="77777777">
        <w:trPr>
          <w:trHeight w:val="288"/>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3577A903" w14:textId="77777777" w:rsidR="0051191B" w:rsidRPr="00B84DFD" w:rsidRDefault="00000000">
            <w:pPr>
              <w:widowControl w:val="0"/>
            </w:pPr>
            <w:r w:rsidRPr="00B84DFD">
              <w:t>Revalidación de permiso de servicio público</w:t>
            </w:r>
          </w:p>
        </w:tc>
        <w:tc>
          <w:tcPr>
            <w:tcW w:w="1278" w:type="dxa"/>
            <w:tcBorders>
              <w:bottom w:val="single" w:sz="4" w:space="0" w:color="000000"/>
              <w:right w:val="single" w:sz="4" w:space="0" w:color="000000"/>
            </w:tcBorders>
            <w:shd w:val="clear" w:color="auto" w:fill="auto"/>
            <w:vAlign w:val="center"/>
          </w:tcPr>
          <w:p w14:paraId="4A9B9648" w14:textId="77777777" w:rsidR="0051191B" w:rsidRPr="00B84DFD" w:rsidRDefault="00000000">
            <w:pPr>
              <w:widowControl w:val="0"/>
              <w:jc w:val="right"/>
              <w:rPr>
                <w:color w:val="000000"/>
              </w:rPr>
            </w:pPr>
            <w:r w:rsidRPr="00B84DFD">
              <w:rPr>
                <w:color w:val="000000"/>
              </w:rPr>
              <w:t xml:space="preserve">  1 015.06   </w:t>
            </w:r>
          </w:p>
        </w:tc>
      </w:tr>
      <w:tr w:rsidR="0051191B" w:rsidRPr="00B84DFD" w14:paraId="24F0E4D8" w14:textId="77777777">
        <w:trPr>
          <w:trHeight w:val="288"/>
          <w:jc w:val="center"/>
        </w:trPr>
        <w:tc>
          <w:tcPr>
            <w:tcW w:w="4537" w:type="dxa"/>
            <w:tcBorders>
              <w:left w:val="single" w:sz="4" w:space="0" w:color="000000"/>
              <w:bottom w:val="single" w:sz="4" w:space="0" w:color="000000"/>
              <w:right w:val="single" w:sz="4" w:space="0" w:color="000000"/>
            </w:tcBorders>
            <w:shd w:val="clear" w:color="000000" w:fill="FFFFFF"/>
            <w:vAlign w:val="bottom"/>
          </w:tcPr>
          <w:p w14:paraId="4F835516" w14:textId="77777777" w:rsidR="0051191B" w:rsidRPr="00B84DFD" w:rsidRDefault="00000000">
            <w:pPr>
              <w:widowControl w:val="0"/>
            </w:pPr>
            <w:r w:rsidRPr="00B84DFD">
              <w:t>Total a pagar</w:t>
            </w:r>
          </w:p>
        </w:tc>
        <w:tc>
          <w:tcPr>
            <w:tcW w:w="1278" w:type="dxa"/>
            <w:tcBorders>
              <w:bottom w:val="single" w:sz="4" w:space="0" w:color="000000"/>
              <w:right w:val="single" w:sz="4" w:space="0" w:color="000000"/>
            </w:tcBorders>
            <w:shd w:val="clear" w:color="auto" w:fill="auto"/>
            <w:vAlign w:val="center"/>
          </w:tcPr>
          <w:p w14:paraId="7C640A6D" w14:textId="77777777" w:rsidR="0051191B" w:rsidRPr="00B84DFD" w:rsidRDefault="00000000">
            <w:pPr>
              <w:widowControl w:val="0"/>
              <w:jc w:val="right"/>
              <w:rPr>
                <w:color w:val="000000"/>
              </w:rPr>
            </w:pPr>
            <w:r w:rsidRPr="00B84DFD">
              <w:rPr>
                <w:color w:val="000000"/>
              </w:rPr>
              <w:t>3 824.06</w:t>
            </w:r>
          </w:p>
        </w:tc>
      </w:tr>
    </w:tbl>
    <w:p w14:paraId="48880603" w14:textId="77777777" w:rsidR="0051191B" w:rsidRDefault="00000000">
      <w:pPr>
        <w:pStyle w:val="Prrafodelista"/>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Fuente: Elaboración propia</w:t>
      </w:r>
    </w:p>
    <w:p w14:paraId="255B8F3D" w14:textId="77777777" w:rsidR="0051191B" w:rsidRDefault="0051191B">
      <w:pPr>
        <w:rPr>
          <w:b/>
          <w:bCs/>
          <w:lang w:val="es-ES"/>
        </w:rPr>
      </w:pPr>
    </w:p>
    <w:p w14:paraId="4492CB16" w14:textId="77777777" w:rsidR="0051191B" w:rsidRDefault="00000000" w:rsidP="00B84DFD">
      <w:pPr>
        <w:pStyle w:val="show"/>
        <w:spacing w:beforeAutospacing="0" w:afterAutospacing="0" w:line="360" w:lineRule="auto"/>
        <w:jc w:val="center"/>
        <w:rPr>
          <w:b/>
          <w:bCs/>
          <w:color w:val="000000" w:themeColor="text1"/>
          <w:sz w:val="32"/>
          <w:szCs w:val="32"/>
        </w:rPr>
      </w:pPr>
      <w:r>
        <w:rPr>
          <w:b/>
          <w:bCs/>
          <w:color w:val="000000" w:themeColor="text1"/>
          <w:sz w:val="32"/>
          <w:szCs w:val="32"/>
        </w:rPr>
        <w:t>Método</w:t>
      </w:r>
    </w:p>
    <w:p w14:paraId="4E85E01C" w14:textId="77777777" w:rsidR="0051191B" w:rsidRDefault="00000000" w:rsidP="00B84DFD">
      <w:pPr>
        <w:spacing w:line="360" w:lineRule="auto"/>
        <w:jc w:val="both"/>
      </w:pPr>
      <w:r>
        <w:t>La presente investigación se llevó a cabo en las instalaciones de la Recaudación de Rentas de Tepic, Nayarit, México, ubicada en Av. Rey Nayar esquina con Av. de los Insurgentes, sin número, en la colonia Burócrata Federal. El estudio se divide en dos secciones: la primera es de tipo cuantitativa con un enfoque descriptivo, debido a que se recolecta la información sobre las variables de estudio (Hernández y Mendoza, 2018); y la segunda parte es de tipo correlacional, mediante un modelo multivariable se analizó la relación de las variables independientes con respecto a una variable dependiente.</w:t>
      </w:r>
    </w:p>
    <w:p w14:paraId="4DD33A86" w14:textId="77777777" w:rsidR="00B84DFD" w:rsidRDefault="00B84DFD" w:rsidP="00B84DFD">
      <w:pPr>
        <w:spacing w:line="360" w:lineRule="auto"/>
        <w:rPr>
          <w:b/>
          <w:bCs/>
          <w:sz w:val="28"/>
          <w:szCs w:val="28"/>
          <w:shd w:val="clear" w:color="auto" w:fill="FFFFFF"/>
        </w:rPr>
      </w:pPr>
    </w:p>
    <w:p w14:paraId="00F37934" w14:textId="78436DAB" w:rsidR="0051191B" w:rsidRDefault="00000000" w:rsidP="00B84DFD">
      <w:pPr>
        <w:spacing w:line="360" w:lineRule="auto"/>
        <w:jc w:val="center"/>
        <w:rPr>
          <w:b/>
          <w:bCs/>
          <w:color w:val="000000" w:themeColor="text1"/>
          <w:sz w:val="28"/>
          <w:szCs w:val="28"/>
          <w:shd w:val="clear" w:color="auto" w:fill="FFFFFF"/>
        </w:rPr>
      </w:pPr>
      <w:r>
        <w:rPr>
          <w:b/>
          <w:bCs/>
          <w:sz w:val="28"/>
          <w:szCs w:val="28"/>
          <w:shd w:val="clear" w:color="auto" w:fill="FFFFFF"/>
        </w:rPr>
        <w:t>Población, muestra y métodos de muestreo</w:t>
      </w:r>
    </w:p>
    <w:p w14:paraId="41585EFD" w14:textId="2A55542A" w:rsidR="0051191B" w:rsidRPr="00B84DFD" w:rsidRDefault="00000000" w:rsidP="00B84DFD">
      <w:pPr>
        <w:spacing w:line="360" w:lineRule="auto"/>
        <w:jc w:val="both"/>
        <w:rPr>
          <w:color w:val="000000" w:themeColor="text1"/>
          <w:shd w:val="clear" w:color="auto" w:fill="FFFFFF"/>
        </w:rPr>
      </w:pPr>
      <w:r>
        <w:rPr>
          <w:color w:val="000000" w:themeColor="text1"/>
          <w:shd w:val="clear" w:color="auto" w:fill="FFFFFF"/>
        </w:rPr>
        <w:t>La población de estudio fue de 519,899 contribuyentes que tienen registrado un vehículo en Nayarit (INEGI, 2022). Dadas las características del estudio, se utilizó la fórmula de población finita, con un nivel de confianza (Z) del 95%, un margen de error permitido (e) del 5%, y una probabilidad de éxito (p) y fracaso (q) iguales a 0.5.</w:t>
      </w:r>
    </w:p>
    <w:p w14:paraId="7640DED8" w14:textId="77777777" w:rsidR="0051191B" w:rsidRDefault="00000000">
      <w:pPr>
        <w:spacing w:line="360" w:lineRule="auto"/>
        <w:jc w:val="center"/>
        <w:rPr>
          <w:rFonts w:eastAsia="Batang"/>
          <w:color w:val="000000" w:themeColor="text1"/>
          <w:shd w:val="clear" w:color="auto" w:fill="FFFFFF"/>
        </w:rPr>
      </w:pPr>
      <w:r>
        <w:rPr>
          <w:rFonts w:eastAsia="Batang"/>
          <w:color w:val="000000" w:themeColor="text1"/>
          <w:shd w:val="clear" w:color="auto" w:fill="FFFFFF"/>
        </w:rPr>
        <w:t xml:space="preserve">n= </w:t>
      </w:r>
      <w:r>
        <w:rPr>
          <w:rFonts w:eastAsia="Batang"/>
          <w:color w:val="000000" w:themeColor="text1"/>
          <w:u w:val="single"/>
          <w:shd w:val="clear" w:color="auto" w:fill="FFFFFF"/>
        </w:rPr>
        <w:t xml:space="preserve">       N Z2  p q</w:t>
      </w:r>
    </w:p>
    <w:p w14:paraId="149835C0" w14:textId="3B78F4D5" w:rsidR="0051191B" w:rsidRDefault="00000000" w:rsidP="00B84DFD">
      <w:pPr>
        <w:spacing w:line="360" w:lineRule="auto"/>
        <w:jc w:val="center"/>
        <w:rPr>
          <w:rFonts w:eastAsia="Batang"/>
          <w:color w:val="000000" w:themeColor="text1"/>
          <w:shd w:val="clear" w:color="auto" w:fill="FFFFFF"/>
        </w:rPr>
      </w:pPr>
      <w:r>
        <w:rPr>
          <w:rFonts w:eastAsia="Batang"/>
          <w:color w:val="000000" w:themeColor="text1"/>
          <w:shd w:val="clear" w:color="auto" w:fill="FFFFFF"/>
        </w:rPr>
        <w:t xml:space="preserve">        (N-1) e2 + Z2 pq</w:t>
      </w:r>
    </w:p>
    <w:p w14:paraId="2E52C1A5"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Es así como se establece una muestra mínima de 97 contribuyentes, los cuales se seleccionaron mediante el método de aleatorio simple durante los meses de enero a agosto del 2022.</w:t>
      </w:r>
    </w:p>
    <w:p w14:paraId="39BEBE15" w14:textId="77777777" w:rsidR="00B84DFD" w:rsidRDefault="00B84DFD" w:rsidP="00B84DFD">
      <w:pPr>
        <w:pStyle w:val="show"/>
        <w:spacing w:beforeAutospacing="0" w:afterAutospacing="0" w:line="360" w:lineRule="auto"/>
        <w:jc w:val="center"/>
        <w:rPr>
          <w:b/>
          <w:bCs/>
          <w:color w:val="000000" w:themeColor="text1"/>
          <w:sz w:val="28"/>
          <w:szCs w:val="28"/>
        </w:rPr>
      </w:pPr>
    </w:p>
    <w:p w14:paraId="4DA70697" w14:textId="77777777" w:rsidR="00D45D7D" w:rsidRDefault="00D45D7D" w:rsidP="00B84DFD">
      <w:pPr>
        <w:pStyle w:val="show"/>
        <w:spacing w:beforeAutospacing="0" w:afterAutospacing="0" w:line="360" w:lineRule="auto"/>
        <w:jc w:val="center"/>
        <w:rPr>
          <w:b/>
          <w:bCs/>
          <w:color w:val="000000" w:themeColor="text1"/>
          <w:sz w:val="28"/>
          <w:szCs w:val="28"/>
        </w:rPr>
      </w:pPr>
    </w:p>
    <w:p w14:paraId="7D0902B6" w14:textId="77777777" w:rsidR="00D45D7D" w:rsidRDefault="00D45D7D" w:rsidP="00B84DFD">
      <w:pPr>
        <w:pStyle w:val="show"/>
        <w:spacing w:beforeAutospacing="0" w:afterAutospacing="0" w:line="360" w:lineRule="auto"/>
        <w:jc w:val="center"/>
        <w:rPr>
          <w:b/>
          <w:bCs/>
          <w:color w:val="000000" w:themeColor="text1"/>
          <w:sz w:val="28"/>
          <w:szCs w:val="28"/>
        </w:rPr>
      </w:pPr>
    </w:p>
    <w:p w14:paraId="438E5CD4" w14:textId="77777777" w:rsidR="00D45D7D" w:rsidRDefault="00D45D7D" w:rsidP="00B84DFD">
      <w:pPr>
        <w:pStyle w:val="show"/>
        <w:spacing w:beforeAutospacing="0" w:afterAutospacing="0" w:line="360" w:lineRule="auto"/>
        <w:jc w:val="center"/>
        <w:rPr>
          <w:b/>
          <w:bCs/>
          <w:color w:val="000000" w:themeColor="text1"/>
          <w:sz w:val="28"/>
          <w:szCs w:val="28"/>
        </w:rPr>
      </w:pPr>
    </w:p>
    <w:p w14:paraId="37DBA7F1" w14:textId="1E18D561" w:rsidR="0051191B" w:rsidRDefault="00000000" w:rsidP="00B84DFD">
      <w:pPr>
        <w:pStyle w:val="show"/>
        <w:spacing w:beforeAutospacing="0" w:afterAutospacing="0" w:line="360" w:lineRule="auto"/>
        <w:jc w:val="center"/>
        <w:rPr>
          <w:b/>
          <w:bCs/>
          <w:color w:val="000000" w:themeColor="text1"/>
          <w:sz w:val="28"/>
          <w:szCs w:val="28"/>
        </w:rPr>
      </w:pPr>
      <w:r>
        <w:rPr>
          <w:b/>
          <w:bCs/>
          <w:color w:val="000000" w:themeColor="text1"/>
          <w:sz w:val="28"/>
          <w:szCs w:val="28"/>
        </w:rPr>
        <w:lastRenderedPageBreak/>
        <w:t>Instrumento de investigación</w:t>
      </w:r>
    </w:p>
    <w:p w14:paraId="00C68998" w14:textId="5980B482" w:rsidR="0051191B" w:rsidRDefault="00000000" w:rsidP="00B84DFD">
      <w:pPr>
        <w:spacing w:line="360" w:lineRule="auto"/>
        <w:jc w:val="both"/>
        <w:rPr>
          <w:color w:val="000000" w:themeColor="text1"/>
          <w:shd w:val="clear" w:color="auto" w:fill="FFFFFF"/>
        </w:rPr>
      </w:pPr>
      <w:r>
        <w:rPr>
          <w:color w:val="000000" w:themeColor="text1"/>
          <w:shd w:val="clear" w:color="auto" w:fill="FFFFFF"/>
        </w:rPr>
        <w:t>El instrumento utilizado para conocer si la percepción de los contribuyentes en los trámites de registro y control vehicular se relaciona con los ingresos propios captados en la recaudación mencionada consistió en una encuesta estructurada en línea a través de los formularios de Google, utilizando una escala de Likert de 1 a 5, donde 1 representó "excelente" y 5 "muy pésimo". El instrumento constó de 5 preguntas sobre la percepción del contribuyente en temas como: marco legal, facilidades administrativas, cantidades a pagar, estímulos y exenciones y el proceso actual. Previamente, el cuestionario fue sometido a una prueba de fiabilidad mediante el alfa de Cronbach, y se obtuvieron resultados satisfactorios (0.728), ya que se encuentra en el rango deseado, es decir, es consistente internamente (Vaske</w:t>
      </w:r>
      <w:r w:rsidR="00FA07F3">
        <w:rPr>
          <w:color w:val="000000" w:themeColor="text1"/>
          <w:shd w:val="clear" w:color="auto" w:fill="FFFFFF"/>
        </w:rPr>
        <w:t xml:space="preserve"> et al</w:t>
      </w:r>
      <w:r>
        <w:rPr>
          <w:color w:val="000000" w:themeColor="text1"/>
          <w:shd w:val="clear" w:color="auto" w:fill="FFFFFF"/>
        </w:rPr>
        <w:t>, 2017). Por lo tanto, la evaluación es confiable, ya que los ítems del formulario están correlacionados estadísticamente (Tabla 10).</w:t>
      </w:r>
    </w:p>
    <w:p w14:paraId="5B9932CE" w14:textId="77777777" w:rsidR="0051191B" w:rsidRDefault="0051191B">
      <w:pPr>
        <w:spacing w:line="360" w:lineRule="auto"/>
        <w:jc w:val="both"/>
        <w:rPr>
          <w:color w:val="000000" w:themeColor="text1"/>
          <w:shd w:val="clear" w:color="auto" w:fill="FFFFFF"/>
        </w:rPr>
      </w:pPr>
    </w:p>
    <w:p w14:paraId="1F3EF795"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10</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Análisis de fiabilidad</w:t>
      </w:r>
    </w:p>
    <w:tbl>
      <w:tblPr>
        <w:tblStyle w:val="Tablaconcuadrcula"/>
        <w:tblW w:w="3872" w:type="dxa"/>
        <w:jc w:val="center"/>
        <w:tblLayout w:type="fixed"/>
        <w:tblLook w:val="04A0" w:firstRow="1" w:lastRow="0" w:firstColumn="1" w:lastColumn="0" w:noHBand="0" w:noVBand="1"/>
      </w:tblPr>
      <w:tblGrid>
        <w:gridCol w:w="2043"/>
        <w:gridCol w:w="1829"/>
      </w:tblGrid>
      <w:tr w:rsidR="0051191B" w14:paraId="045682D4" w14:textId="77777777">
        <w:trPr>
          <w:jc w:val="center"/>
        </w:trPr>
        <w:tc>
          <w:tcPr>
            <w:tcW w:w="2042" w:type="dxa"/>
          </w:tcPr>
          <w:p w14:paraId="4DACDFE7"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Alfa de Cronbach</w:t>
            </w:r>
          </w:p>
        </w:tc>
        <w:tc>
          <w:tcPr>
            <w:tcW w:w="1829" w:type="dxa"/>
          </w:tcPr>
          <w:p w14:paraId="7C167369"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N de elementos</w:t>
            </w:r>
          </w:p>
        </w:tc>
      </w:tr>
      <w:tr w:rsidR="0051191B" w14:paraId="59C022EB" w14:textId="77777777">
        <w:trPr>
          <w:jc w:val="center"/>
        </w:trPr>
        <w:tc>
          <w:tcPr>
            <w:tcW w:w="2042" w:type="dxa"/>
          </w:tcPr>
          <w:p w14:paraId="05E59FEA"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0.764</w:t>
            </w:r>
          </w:p>
        </w:tc>
        <w:tc>
          <w:tcPr>
            <w:tcW w:w="1829" w:type="dxa"/>
          </w:tcPr>
          <w:p w14:paraId="55347D84"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5</w:t>
            </w:r>
          </w:p>
        </w:tc>
      </w:tr>
    </w:tbl>
    <w:p w14:paraId="4E9B160E" w14:textId="658F0F48" w:rsidR="0051191B" w:rsidRPr="00B84DFD" w:rsidRDefault="00000000" w:rsidP="00B84DFD">
      <w:pPr>
        <w:pStyle w:val="Prrafodelista"/>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Fuente: Elaboración propia</w:t>
      </w:r>
    </w:p>
    <w:p w14:paraId="2EA9EADB"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ab/>
        <w:t>De las preguntas realizadas en el instrumento, se describe el objetivo de cada variable como se presenta en la Tabla 11.</w:t>
      </w:r>
    </w:p>
    <w:p w14:paraId="47A3B03F" w14:textId="77777777" w:rsidR="0051191B" w:rsidRDefault="0051191B">
      <w:pPr>
        <w:spacing w:line="360" w:lineRule="auto"/>
        <w:ind w:firstLine="708"/>
        <w:jc w:val="both"/>
        <w:rPr>
          <w:color w:val="000000" w:themeColor="text1"/>
          <w:shd w:val="clear" w:color="auto" w:fill="FFFFFF"/>
        </w:rPr>
      </w:pPr>
    </w:p>
    <w:p w14:paraId="6DAD2ECF"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11</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Descripción de las variables utilizadas</w:t>
      </w:r>
    </w:p>
    <w:tbl>
      <w:tblPr>
        <w:tblStyle w:val="Tablaconcuadrcula"/>
        <w:tblW w:w="9351" w:type="dxa"/>
        <w:tblLayout w:type="fixed"/>
        <w:tblLook w:val="04A0" w:firstRow="1" w:lastRow="0" w:firstColumn="1" w:lastColumn="0" w:noHBand="0" w:noVBand="1"/>
      </w:tblPr>
      <w:tblGrid>
        <w:gridCol w:w="2889"/>
        <w:gridCol w:w="6462"/>
      </w:tblGrid>
      <w:tr w:rsidR="0051191B" w14:paraId="635BC0DD" w14:textId="77777777">
        <w:tc>
          <w:tcPr>
            <w:tcW w:w="2889" w:type="dxa"/>
          </w:tcPr>
          <w:p w14:paraId="27E9B7CF" w14:textId="77777777" w:rsidR="0051191B" w:rsidRDefault="00000000">
            <w:pPr>
              <w:jc w:val="center"/>
              <w:rPr>
                <w:color w:val="000000" w:themeColor="text1"/>
                <w:shd w:val="clear" w:color="auto" w:fill="FFFFFF"/>
              </w:rPr>
            </w:pPr>
            <w:r>
              <w:rPr>
                <w:color w:val="000000" w:themeColor="text1"/>
                <w:shd w:val="clear" w:color="auto" w:fill="FFFFFF"/>
              </w:rPr>
              <w:t>Variable</w:t>
            </w:r>
          </w:p>
        </w:tc>
        <w:tc>
          <w:tcPr>
            <w:tcW w:w="6461" w:type="dxa"/>
          </w:tcPr>
          <w:p w14:paraId="4C3D365F" w14:textId="77777777" w:rsidR="0051191B" w:rsidRDefault="00000000">
            <w:pPr>
              <w:jc w:val="center"/>
              <w:rPr>
                <w:color w:val="000000" w:themeColor="text1"/>
                <w:shd w:val="clear" w:color="auto" w:fill="FFFFFF"/>
              </w:rPr>
            </w:pPr>
            <w:r>
              <w:rPr>
                <w:color w:val="000000" w:themeColor="text1"/>
                <w:shd w:val="clear" w:color="auto" w:fill="FFFFFF"/>
              </w:rPr>
              <w:t>Descripción</w:t>
            </w:r>
          </w:p>
        </w:tc>
      </w:tr>
      <w:tr w:rsidR="0051191B" w14:paraId="70D46338" w14:textId="77777777">
        <w:tc>
          <w:tcPr>
            <w:tcW w:w="2889" w:type="dxa"/>
          </w:tcPr>
          <w:p w14:paraId="5202BCC5" w14:textId="77777777" w:rsidR="0051191B" w:rsidRDefault="00000000">
            <w:pPr>
              <w:jc w:val="both"/>
              <w:rPr>
                <w:color w:val="000000" w:themeColor="text1"/>
                <w:shd w:val="clear" w:color="auto" w:fill="FFFFFF"/>
              </w:rPr>
            </w:pPr>
            <w:r>
              <w:rPr>
                <w:color w:val="000000" w:themeColor="text1"/>
                <w:shd w:val="clear" w:color="auto" w:fill="FFFFFF"/>
              </w:rPr>
              <w:t>Marco legal</w:t>
            </w:r>
          </w:p>
        </w:tc>
        <w:tc>
          <w:tcPr>
            <w:tcW w:w="6461" w:type="dxa"/>
          </w:tcPr>
          <w:p w14:paraId="4E10AD47" w14:textId="77777777" w:rsidR="0051191B" w:rsidRDefault="00000000">
            <w:pPr>
              <w:jc w:val="both"/>
              <w:rPr>
                <w:color w:val="000000" w:themeColor="text1"/>
                <w:shd w:val="clear" w:color="auto" w:fill="FFFFFF"/>
              </w:rPr>
            </w:pPr>
            <w:r>
              <w:rPr>
                <w:color w:val="000000" w:themeColor="text1"/>
                <w:shd w:val="clear" w:color="auto" w:fill="FFFFFF"/>
              </w:rPr>
              <w:t>Conocer si es entendible el marco legal para realizar los trámites de registro y control vehicular.</w:t>
            </w:r>
          </w:p>
        </w:tc>
      </w:tr>
      <w:tr w:rsidR="0051191B" w14:paraId="17A1DE93" w14:textId="77777777">
        <w:tc>
          <w:tcPr>
            <w:tcW w:w="2889" w:type="dxa"/>
          </w:tcPr>
          <w:p w14:paraId="1EEF40CD" w14:textId="77777777" w:rsidR="0051191B" w:rsidRDefault="00000000">
            <w:pPr>
              <w:jc w:val="both"/>
              <w:rPr>
                <w:color w:val="000000" w:themeColor="text1"/>
                <w:shd w:val="clear" w:color="auto" w:fill="FFFFFF"/>
              </w:rPr>
            </w:pPr>
            <w:r>
              <w:rPr>
                <w:color w:val="000000" w:themeColor="text1"/>
                <w:shd w:val="clear" w:color="auto" w:fill="FFFFFF"/>
              </w:rPr>
              <w:t>Facilidades administrativas</w:t>
            </w:r>
          </w:p>
        </w:tc>
        <w:tc>
          <w:tcPr>
            <w:tcW w:w="6461" w:type="dxa"/>
          </w:tcPr>
          <w:p w14:paraId="5B95A9D9" w14:textId="77777777" w:rsidR="0051191B" w:rsidRDefault="00000000">
            <w:pPr>
              <w:jc w:val="both"/>
              <w:rPr>
                <w:color w:val="000000" w:themeColor="text1"/>
                <w:shd w:val="clear" w:color="auto" w:fill="FFFFFF"/>
              </w:rPr>
            </w:pPr>
            <w:r>
              <w:rPr>
                <w:color w:val="000000" w:themeColor="text1"/>
                <w:shd w:val="clear" w:color="auto" w:fill="FFFFFF"/>
              </w:rPr>
              <w:t>Percepción de la forma de captar los ingresos en los trámites de registro y control vehicular.</w:t>
            </w:r>
          </w:p>
        </w:tc>
      </w:tr>
      <w:tr w:rsidR="0051191B" w14:paraId="23FCE6C1" w14:textId="77777777">
        <w:tc>
          <w:tcPr>
            <w:tcW w:w="2889" w:type="dxa"/>
          </w:tcPr>
          <w:p w14:paraId="37E460BB" w14:textId="77777777" w:rsidR="0051191B" w:rsidRDefault="00000000">
            <w:pPr>
              <w:jc w:val="both"/>
              <w:rPr>
                <w:color w:val="000000" w:themeColor="text1"/>
                <w:shd w:val="clear" w:color="auto" w:fill="FFFFFF"/>
              </w:rPr>
            </w:pPr>
            <w:r>
              <w:rPr>
                <w:color w:val="000000" w:themeColor="text1"/>
                <w:shd w:val="clear" w:color="auto" w:fill="FFFFFF"/>
              </w:rPr>
              <w:t>Cantidades a pagar</w:t>
            </w:r>
          </w:p>
        </w:tc>
        <w:tc>
          <w:tcPr>
            <w:tcW w:w="6461" w:type="dxa"/>
          </w:tcPr>
          <w:p w14:paraId="4F5FA9AB" w14:textId="77777777" w:rsidR="0051191B" w:rsidRDefault="00000000">
            <w:pPr>
              <w:jc w:val="both"/>
              <w:rPr>
                <w:color w:val="000000" w:themeColor="text1"/>
                <w:shd w:val="clear" w:color="auto" w:fill="FFFFFF"/>
              </w:rPr>
            </w:pPr>
            <w:r>
              <w:rPr>
                <w:color w:val="000000" w:themeColor="text1"/>
                <w:shd w:val="clear" w:color="auto" w:fill="FFFFFF"/>
              </w:rPr>
              <w:t>Es referente a las contribuciones que deben de pagar los ciudadanos en realizar los trámites de registro y control vehicular.</w:t>
            </w:r>
          </w:p>
        </w:tc>
      </w:tr>
      <w:tr w:rsidR="0051191B" w14:paraId="3C105B7E" w14:textId="77777777">
        <w:tc>
          <w:tcPr>
            <w:tcW w:w="2889" w:type="dxa"/>
          </w:tcPr>
          <w:p w14:paraId="382D4797" w14:textId="77777777" w:rsidR="0051191B" w:rsidRDefault="00000000">
            <w:pPr>
              <w:jc w:val="both"/>
              <w:rPr>
                <w:color w:val="000000" w:themeColor="text1"/>
                <w:shd w:val="clear" w:color="auto" w:fill="FFFFFF"/>
              </w:rPr>
            </w:pPr>
            <w:r>
              <w:rPr>
                <w:color w:val="000000" w:themeColor="text1"/>
                <w:shd w:val="clear" w:color="auto" w:fill="FFFFFF"/>
              </w:rPr>
              <w:t>Estímulos y excenciones</w:t>
            </w:r>
          </w:p>
        </w:tc>
        <w:tc>
          <w:tcPr>
            <w:tcW w:w="6461" w:type="dxa"/>
          </w:tcPr>
          <w:p w14:paraId="3C203EA7" w14:textId="77777777" w:rsidR="0051191B" w:rsidRDefault="00000000">
            <w:pPr>
              <w:jc w:val="both"/>
              <w:rPr>
                <w:color w:val="000000" w:themeColor="text1"/>
                <w:shd w:val="clear" w:color="auto" w:fill="FFFFFF"/>
              </w:rPr>
            </w:pPr>
            <w:r>
              <w:rPr>
                <w:color w:val="000000" w:themeColor="text1"/>
                <w:shd w:val="clear" w:color="auto" w:fill="FFFFFF"/>
              </w:rPr>
              <w:t>Percepción sobre las estrategias de recaudación en los trámites de registro y control vehicular.</w:t>
            </w:r>
          </w:p>
        </w:tc>
      </w:tr>
      <w:tr w:rsidR="0051191B" w14:paraId="02E8BE56" w14:textId="77777777">
        <w:tc>
          <w:tcPr>
            <w:tcW w:w="2889" w:type="dxa"/>
          </w:tcPr>
          <w:p w14:paraId="5A92CDE8" w14:textId="77777777" w:rsidR="0051191B" w:rsidRDefault="00000000">
            <w:pPr>
              <w:jc w:val="both"/>
              <w:rPr>
                <w:color w:val="000000" w:themeColor="text1"/>
                <w:shd w:val="clear" w:color="auto" w:fill="FFFFFF"/>
              </w:rPr>
            </w:pPr>
            <w:r>
              <w:rPr>
                <w:color w:val="000000" w:themeColor="text1"/>
                <w:shd w:val="clear" w:color="auto" w:fill="FFFFFF"/>
              </w:rPr>
              <w:t>Proceso actual</w:t>
            </w:r>
          </w:p>
        </w:tc>
        <w:tc>
          <w:tcPr>
            <w:tcW w:w="6461" w:type="dxa"/>
          </w:tcPr>
          <w:p w14:paraId="4CF23504" w14:textId="77777777" w:rsidR="0051191B" w:rsidRDefault="00000000">
            <w:pPr>
              <w:jc w:val="both"/>
              <w:rPr>
                <w:color w:val="000000" w:themeColor="text1"/>
                <w:shd w:val="clear" w:color="auto" w:fill="FFFFFF"/>
              </w:rPr>
            </w:pPr>
            <w:r>
              <w:rPr>
                <w:color w:val="000000" w:themeColor="text1"/>
                <w:shd w:val="clear" w:color="auto" w:fill="FFFFFF"/>
              </w:rPr>
              <w:t>Satisfacción al realizar trámites de registro y control vehicular.</w:t>
            </w:r>
          </w:p>
        </w:tc>
      </w:tr>
    </w:tbl>
    <w:p w14:paraId="35DAA197" w14:textId="77777777" w:rsidR="0051191B" w:rsidRDefault="00000000">
      <w:pPr>
        <w:pStyle w:val="Prrafodelista"/>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Fuente: Elaboración propia</w:t>
      </w:r>
    </w:p>
    <w:p w14:paraId="1F75E81D" w14:textId="77777777" w:rsidR="0051191B" w:rsidRDefault="0051191B">
      <w:pPr>
        <w:spacing w:line="360" w:lineRule="auto"/>
        <w:jc w:val="center"/>
        <w:rPr>
          <w:b/>
          <w:bCs/>
          <w:color w:val="000000" w:themeColor="text1"/>
          <w:sz w:val="28"/>
          <w:szCs w:val="28"/>
          <w:shd w:val="clear" w:color="auto" w:fill="FFFFFF"/>
        </w:rPr>
      </w:pPr>
    </w:p>
    <w:p w14:paraId="63F09510" w14:textId="77777777" w:rsidR="00D45D7D" w:rsidRDefault="00D45D7D">
      <w:pPr>
        <w:spacing w:line="360" w:lineRule="auto"/>
        <w:jc w:val="center"/>
        <w:rPr>
          <w:b/>
          <w:bCs/>
          <w:color w:val="000000" w:themeColor="text1"/>
          <w:sz w:val="28"/>
          <w:szCs w:val="28"/>
          <w:shd w:val="clear" w:color="auto" w:fill="FFFFFF"/>
        </w:rPr>
      </w:pPr>
    </w:p>
    <w:p w14:paraId="7728B338" w14:textId="77777777" w:rsidR="00D45D7D" w:rsidRDefault="00D45D7D">
      <w:pPr>
        <w:spacing w:line="360" w:lineRule="auto"/>
        <w:jc w:val="center"/>
        <w:rPr>
          <w:b/>
          <w:bCs/>
          <w:color w:val="000000" w:themeColor="text1"/>
          <w:sz w:val="28"/>
          <w:szCs w:val="28"/>
          <w:shd w:val="clear" w:color="auto" w:fill="FFFFFF"/>
        </w:rPr>
      </w:pPr>
    </w:p>
    <w:p w14:paraId="09566B3E" w14:textId="77777777" w:rsidR="0051191B" w:rsidRDefault="00000000" w:rsidP="00B84DFD">
      <w:pPr>
        <w:spacing w:line="360" w:lineRule="auto"/>
        <w:jc w:val="center"/>
        <w:rPr>
          <w:b/>
          <w:bCs/>
          <w:color w:val="000000" w:themeColor="text1"/>
          <w:sz w:val="28"/>
          <w:szCs w:val="28"/>
          <w:shd w:val="clear" w:color="auto" w:fill="FFFFFF"/>
        </w:rPr>
      </w:pPr>
      <w:r>
        <w:rPr>
          <w:b/>
          <w:bCs/>
          <w:color w:val="000000" w:themeColor="text1"/>
          <w:sz w:val="28"/>
          <w:szCs w:val="28"/>
          <w:shd w:val="clear" w:color="auto" w:fill="FFFFFF"/>
        </w:rPr>
        <w:lastRenderedPageBreak/>
        <w:t>Análisis de los datos</w:t>
      </w:r>
    </w:p>
    <w:p w14:paraId="535CE0AB"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 xml:space="preserve">La información fue recopilada mediante la plataforma de Google a través de un formulario, posteriormente, el procesamiento y la interpretación de la información se llevó cabo a través del programa estadístico Statistical Package for the Social Sciences (SPSS) versión 22. </w:t>
      </w:r>
    </w:p>
    <w:p w14:paraId="2D23F456"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Expuesto lo anterior, se presentan los resultados obtenidos de las variables mencionadas en la tabla 12:</w:t>
      </w:r>
    </w:p>
    <w:p w14:paraId="57615684" w14:textId="77777777" w:rsidR="0051191B" w:rsidRDefault="0051191B">
      <w:pPr>
        <w:spacing w:line="360" w:lineRule="auto"/>
        <w:ind w:firstLine="708"/>
        <w:jc w:val="both"/>
        <w:rPr>
          <w:color w:val="000000" w:themeColor="text1"/>
          <w:shd w:val="clear" w:color="auto" w:fill="FFFFFF"/>
        </w:rPr>
      </w:pPr>
    </w:p>
    <w:p w14:paraId="4C40E689"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12</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Resultados de las variables de estudio</w:t>
      </w:r>
    </w:p>
    <w:tbl>
      <w:tblPr>
        <w:tblStyle w:val="Tablaconcuadrcula"/>
        <w:tblW w:w="8217" w:type="dxa"/>
        <w:jc w:val="center"/>
        <w:tblLayout w:type="fixed"/>
        <w:tblLook w:val="04A0" w:firstRow="1" w:lastRow="0" w:firstColumn="1" w:lastColumn="0" w:noHBand="0" w:noVBand="1"/>
      </w:tblPr>
      <w:tblGrid>
        <w:gridCol w:w="1684"/>
        <w:gridCol w:w="519"/>
        <w:gridCol w:w="646"/>
        <w:gridCol w:w="692"/>
        <w:gridCol w:w="636"/>
        <w:gridCol w:w="640"/>
        <w:gridCol w:w="709"/>
        <w:gridCol w:w="567"/>
        <w:gridCol w:w="849"/>
        <w:gridCol w:w="567"/>
        <w:gridCol w:w="708"/>
      </w:tblGrid>
      <w:tr w:rsidR="0051191B" w14:paraId="72F5D081" w14:textId="77777777">
        <w:trPr>
          <w:jc w:val="center"/>
        </w:trPr>
        <w:tc>
          <w:tcPr>
            <w:tcW w:w="1683" w:type="dxa"/>
            <w:vMerge w:val="restart"/>
          </w:tcPr>
          <w:p w14:paraId="70D8F4C7"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Variable</w:t>
            </w:r>
          </w:p>
        </w:tc>
        <w:tc>
          <w:tcPr>
            <w:tcW w:w="1164" w:type="dxa"/>
            <w:gridSpan w:val="2"/>
          </w:tcPr>
          <w:p w14:paraId="4E335C6B"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Excelente</w:t>
            </w:r>
          </w:p>
        </w:tc>
        <w:tc>
          <w:tcPr>
            <w:tcW w:w="1328" w:type="dxa"/>
            <w:gridSpan w:val="2"/>
          </w:tcPr>
          <w:p w14:paraId="236D64E4"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Buenas</w:t>
            </w:r>
          </w:p>
        </w:tc>
        <w:tc>
          <w:tcPr>
            <w:tcW w:w="1349" w:type="dxa"/>
            <w:gridSpan w:val="2"/>
          </w:tcPr>
          <w:p w14:paraId="36C44782"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Regular</w:t>
            </w:r>
          </w:p>
        </w:tc>
        <w:tc>
          <w:tcPr>
            <w:tcW w:w="1416" w:type="dxa"/>
            <w:gridSpan w:val="2"/>
          </w:tcPr>
          <w:p w14:paraId="22F82769"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Malas</w:t>
            </w:r>
          </w:p>
        </w:tc>
        <w:tc>
          <w:tcPr>
            <w:tcW w:w="1275" w:type="dxa"/>
            <w:gridSpan w:val="2"/>
          </w:tcPr>
          <w:p w14:paraId="250CB12D"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Pésimas</w:t>
            </w:r>
          </w:p>
        </w:tc>
      </w:tr>
      <w:tr w:rsidR="0051191B" w14:paraId="3D4E5AAA" w14:textId="77777777">
        <w:trPr>
          <w:jc w:val="center"/>
        </w:trPr>
        <w:tc>
          <w:tcPr>
            <w:tcW w:w="1683" w:type="dxa"/>
            <w:vMerge/>
          </w:tcPr>
          <w:p w14:paraId="5B4CD7CD" w14:textId="77777777" w:rsidR="0051191B" w:rsidRDefault="0051191B">
            <w:pPr>
              <w:spacing w:line="360" w:lineRule="auto"/>
              <w:jc w:val="both"/>
              <w:rPr>
                <w:color w:val="000000" w:themeColor="text1"/>
                <w:shd w:val="clear" w:color="auto" w:fill="FFFFFF"/>
              </w:rPr>
            </w:pPr>
          </w:p>
        </w:tc>
        <w:tc>
          <w:tcPr>
            <w:tcW w:w="518" w:type="dxa"/>
          </w:tcPr>
          <w:p w14:paraId="2DFFC5E4"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F</w:t>
            </w:r>
          </w:p>
        </w:tc>
        <w:tc>
          <w:tcPr>
            <w:tcW w:w="646" w:type="dxa"/>
          </w:tcPr>
          <w:p w14:paraId="48577D51"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w:t>
            </w:r>
          </w:p>
        </w:tc>
        <w:tc>
          <w:tcPr>
            <w:tcW w:w="692" w:type="dxa"/>
          </w:tcPr>
          <w:p w14:paraId="5F6F5CD2"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F</w:t>
            </w:r>
          </w:p>
        </w:tc>
        <w:tc>
          <w:tcPr>
            <w:tcW w:w="636" w:type="dxa"/>
          </w:tcPr>
          <w:p w14:paraId="4E48E0AB"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w:t>
            </w:r>
          </w:p>
        </w:tc>
        <w:tc>
          <w:tcPr>
            <w:tcW w:w="640" w:type="dxa"/>
          </w:tcPr>
          <w:p w14:paraId="5CDFEE0A"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F</w:t>
            </w:r>
          </w:p>
        </w:tc>
        <w:tc>
          <w:tcPr>
            <w:tcW w:w="709" w:type="dxa"/>
          </w:tcPr>
          <w:p w14:paraId="15BBE162"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w:t>
            </w:r>
          </w:p>
        </w:tc>
        <w:tc>
          <w:tcPr>
            <w:tcW w:w="567" w:type="dxa"/>
          </w:tcPr>
          <w:p w14:paraId="63C227B8"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F</w:t>
            </w:r>
          </w:p>
        </w:tc>
        <w:tc>
          <w:tcPr>
            <w:tcW w:w="849" w:type="dxa"/>
          </w:tcPr>
          <w:p w14:paraId="2A7AA3BF"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w:t>
            </w:r>
          </w:p>
        </w:tc>
        <w:tc>
          <w:tcPr>
            <w:tcW w:w="567" w:type="dxa"/>
          </w:tcPr>
          <w:p w14:paraId="3DE8B16D"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F</w:t>
            </w:r>
          </w:p>
        </w:tc>
        <w:tc>
          <w:tcPr>
            <w:tcW w:w="708" w:type="dxa"/>
          </w:tcPr>
          <w:p w14:paraId="22EB70AD" w14:textId="77777777" w:rsidR="0051191B" w:rsidRDefault="00000000">
            <w:pPr>
              <w:spacing w:line="360" w:lineRule="auto"/>
              <w:jc w:val="center"/>
              <w:rPr>
                <w:color w:val="000000" w:themeColor="text1"/>
                <w:shd w:val="clear" w:color="auto" w:fill="FFFFFF"/>
              </w:rPr>
            </w:pPr>
            <w:r>
              <w:rPr>
                <w:color w:val="000000" w:themeColor="text1"/>
                <w:shd w:val="clear" w:color="auto" w:fill="FFFFFF"/>
              </w:rPr>
              <w:t>%</w:t>
            </w:r>
          </w:p>
        </w:tc>
      </w:tr>
      <w:tr w:rsidR="0051191B" w14:paraId="106F2E59" w14:textId="77777777">
        <w:trPr>
          <w:jc w:val="center"/>
        </w:trPr>
        <w:tc>
          <w:tcPr>
            <w:tcW w:w="1683" w:type="dxa"/>
          </w:tcPr>
          <w:p w14:paraId="01F8FFFB"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Marco legal</w:t>
            </w:r>
          </w:p>
        </w:tc>
        <w:tc>
          <w:tcPr>
            <w:tcW w:w="518" w:type="dxa"/>
          </w:tcPr>
          <w:p w14:paraId="4880F9F4"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w:t>
            </w:r>
          </w:p>
        </w:tc>
        <w:tc>
          <w:tcPr>
            <w:tcW w:w="646" w:type="dxa"/>
          </w:tcPr>
          <w:p w14:paraId="1701E135"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w:t>
            </w:r>
          </w:p>
        </w:tc>
        <w:tc>
          <w:tcPr>
            <w:tcW w:w="692" w:type="dxa"/>
          </w:tcPr>
          <w:p w14:paraId="3E297762"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33</w:t>
            </w:r>
          </w:p>
        </w:tc>
        <w:tc>
          <w:tcPr>
            <w:tcW w:w="636" w:type="dxa"/>
          </w:tcPr>
          <w:p w14:paraId="57D5CF3B"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34</w:t>
            </w:r>
          </w:p>
        </w:tc>
        <w:tc>
          <w:tcPr>
            <w:tcW w:w="640" w:type="dxa"/>
          </w:tcPr>
          <w:p w14:paraId="407BE21A"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29</w:t>
            </w:r>
          </w:p>
        </w:tc>
        <w:tc>
          <w:tcPr>
            <w:tcW w:w="709" w:type="dxa"/>
          </w:tcPr>
          <w:p w14:paraId="6B9DC6DA"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29.9</w:t>
            </w:r>
          </w:p>
        </w:tc>
        <w:tc>
          <w:tcPr>
            <w:tcW w:w="567" w:type="dxa"/>
          </w:tcPr>
          <w:p w14:paraId="1EE27702"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20</w:t>
            </w:r>
          </w:p>
        </w:tc>
        <w:tc>
          <w:tcPr>
            <w:tcW w:w="849" w:type="dxa"/>
          </w:tcPr>
          <w:p w14:paraId="70FC4B16"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20.6</w:t>
            </w:r>
          </w:p>
        </w:tc>
        <w:tc>
          <w:tcPr>
            <w:tcW w:w="567" w:type="dxa"/>
          </w:tcPr>
          <w:p w14:paraId="19D97026"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14</w:t>
            </w:r>
          </w:p>
        </w:tc>
        <w:tc>
          <w:tcPr>
            <w:tcW w:w="708" w:type="dxa"/>
          </w:tcPr>
          <w:p w14:paraId="45B01DAC"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14.4</w:t>
            </w:r>
          </w:p>
        </w:tc>
      </w:tr>
      <w:tr w:rsidR="0051191B" w14:paraId="480F53A8" w14:textId="77777777">
        <w:trPr>
          <w:jc w:val="center"/>
        </w:trPr>
        <w:tc>
          <w:tcPr>
            <w:tcW w:w="1683" w:type="dxa"/>
          </w:tcPr>
          <w:p w14:paraId="1451BE2A"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Facilidades administrativas</w:t>
            </w:r>
          </w:p>
        </w:tc>
        <w:tc>
          <w:tcPr>
            <w:tcW w:w="518" w:type="dxa"/>
          </w:tcPr>
          <w:p w14:paraId="1EF8FCB8"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0</w:t>
            </w:r>
          </w:p>
        </w:tc>
        <w:tc>
          <w:tcPr>
            <w:tcW w:w="646" w:type="dxa"/>
          </w:tcPr>
          <w:p w14:paraId="5103DFCE"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0</w:t>
            </w:r>
          </w:p>
        </w:tc>
        <w:tc>
          <w:tcPr>
            <w:tcW w:w="692" w:type="dxa"/>
          </w:tcPr>
          <w:p w14:paraId="1CADCE2F"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28</w:t>
            </w:r>
          </w:p>
        </w:tc>
        <w:tc>
          <w:tcPr>
            <w:tcW w:w="636" w:type="dxa"/>
          </w:tcPr>
          <w:p w14:paraId="52CBAD93"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28.9</w:t>
            </w:r>
          </w:p>
        </w:tc>
        <w:tc>
          <w:tcPr>
            <w:tcW w:w="640" w:type="dxa"/>
          </w:tcPr>
          <w:p w14:paraId="6ACECBB3"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47</w:t>
            </w:r>
          </w:p>
        </w:tc>
        <w:tc>
          <w:tcPr>
            <w:tcW w:w="709" w:type="dxa"/>
          </w:tcPr>
          <w:p w14:paraId="1A697011"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48.5</w:t>
            </w:r>
          </w:p>
        </w:tc>
        <w:tc>
          <w:tcPr>
            <w:tcW w:w="567" w:type="dxa"/>
          </w:tcPr>
          <w:p w14:paraId="59FCEE27"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9</w:t>
            </w:r>
          </w:p>
        </w:tc>
        <w:tc>
          <w:tcPr>
            <w:tcW w:w="849" w:type="dxa"/>
          </w:tcPr>
          <w:p w14:paraId="57492DED"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9.3</w:t>
            </w:r>
          </w:p>
        </w:tc>
        <w:tc>
          <w:tcPr>
            <w:tcW w:w="567" w:type="dxa"/>
          </w:tcPr>
          <w:p w14:paraId="2D73BC2F"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13</w:t>
            </w:r>
          </w:p>
        </w:tc>
        <w:tc>
          <w:tcPr>
            <w:tcW w:w="708" w:type="dxa"/>
          </w:tcPr>
          <w:p w14:paraId="4C071DCE"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13.4</w:t>
            </w:r>
          </w:p>
        </w:tc>
      </w:tr>
      <w:tr w:rsidR="0051191B" w14:paraId="14DC46BE" w14:textId="77777777">
        <w:trPr>
          <w:jc w:val="center"/>
        </w:trPr>
        <w:tc>
          <w:tcPr>
            <w:tcW w:w="1683" w:type="dxa"/>
          </w:tcPr>
          <w:p w14:paraId="0F093C7C"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Cantidades a pagar</w:t>
            </w:r>
          </w:p>
        </w:tc>
        <w:tc>
          <w:tcPr>
            <w:tcW w:w="518" w:type="dxa"/>
          </w:tcPr>
          <w:p w14:paraId="70621C76"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0</w:t>
            </w:r>
          </w:p>
        </w:tc>
        <w:tc>
          <w:tcPr>
            <w:tcW w:w="646" w:type="dxa"/>
          </w:tcPr>
          <w:p w14:paraId="7EEADCA4"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0</w:t>
            </w:r>
          </w:p>
        </w:tc>
        <w:tc>
          <w:tcPr>
            <w:tcW w:w="692" w:type="dxa"/>
          </w:tcPr>
          <w:p w14:paraId="131F7080"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w:t>
            </w:r>
          </w:p>
        </w:tc>
        <w:tc>
          <w:tcPr>
            <w:tcW w:w="636" w:type="dxa"/>
          </w:tcPr>
          <w:p w14:paraId="382B87C9"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w:t>
            </w:r>
          </w:p>
        </w:tc>
        <w:tc>
          <w:tcPr>
            <w:tcW w:w="640" w:type="dxa"/>
          </w:tcPr>
          <w:p w14:paraId="79050714"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16</w:t>
            </w:r>
          </w:p>
        </w:tc>
        <w:tc>
          <w:tcPr>
            <w:tcW w:w="709" w:type="dxa"/>
          </w:tcPr>
          <w:p w14:paraId="50ED7B08"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16.5</w:t>
            </w:r>
          </w:p>
        </w:tc>
        <w:tc>
          <w:tcPr>
            <w:tcW w:w="567" w:type="dxa"/>
          </w:tcPr>
          <w:p w14:paraId="4195C9FB"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4</w:t>
            </w:r>
          </w:p>
        </w:tc>
        <w:tc>
          <w:tcPr>
            <w:tcW w:w="849" w:type="dxa"/>
          </w:tcPr>
          <w:p w14:paraId="2A72877D"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4.1</w:t>
            </w:r>
          </w:p>
        </w:tc>
        <w:tc>
          <w:tcPr>
            <w:tcW w:w="567" w:type="dxa"/>
          </w:tcPr>
          <w:p w14:paraId="06C49012"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76</w:t>
            </w:r>
          </w:p>
        </w:tc>
        <w:tc>
          <w:tcPr>
            <w:tcW w:w="708" w:type="dxa"/>
          </w:tcPr>
          <w:p w14:paraId="3DD7A4DB"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78.4</w:t>
            </w:r>
          </w:p>
        </w:tc>
      </w:tr>
      <w:tr w:rsidR="0051191B" w14:paraId="7C403315" w14:textId="77777777">
        <w:trPr>
          <w:jc w:val="center"/>
        </w:trPr>
        <w:tc>
          <w:tcPr>
            <w:tcW w:w="1683" w:type="dxa"/>
          </w:tcPr>
          <w:p w14:paraId="6192B10D"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Estímulos y excenciones</w:t>
            </w:r>
          </w:p>
        </w:tc>
        <w:tc>
          <w:tcPr>
            <w:tcW w:w="518" w:type="dxa"/>
          </w:tcPr>
          <w:p w14:paraId="539F2B3E"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0</w:t>
            </w:r>
          </w:p>
        </w:tc>
        <w:tc>
          <w:tcPr>
            <w:tcW w:w="646" w:type="dxa"/>
          </w:tcPr>
          <w:p w14:paraId="1C4ADC77"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0</w:t>
            </w:r>
          </w:p>
        </w:tc>
        <w:tc>
          <w:tcPr>
            <w:tcW w:w="692" w:type="dxa"/>
          </w:tcPr>
          <w:p w14:paraId="7EF88D21"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17</w:t>
            </w:r>
          </w:p>
        </w:tc>
        <w:tc>
          <w:tcPr>
            <w:tcW w:w="636" w:type="dxa"/>
          </w:tcPr>
          <w:p w14:paraId="204B2B45"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17.5</w:t>
            </w:r>
          </w:p>
        </w:tc>
        <w:tc>
          <w:tcPr>
            <w:tcW w:w="640" w:type="dxa"/>
          </w:tcPr>
          <w:p w14:paraId="7EC7A857"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54</w:t>
            </w:r>
          </w:p>
        </w:tc>
        <w:tc>
          <w:tcPr>
            <w:tcW w:w="709" w:type="dxa"/>
          </w:tcPr>
          <w:p w14:paraId="4C920D3D"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55.7</w:t>
            </w:r>
          </w:p>
        </w:tc>
        <w:tc>
          <w:tcPr>
            <w:tcW w:w="567" w:type="dxa"/>
          </w:tcPr>
          <w:p w14:paraId="1A12ABEA"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14</w:t>
            </w:r>
          </w:p>
        </w:tc>
        <w:tc>
          <w:tcPr>
            <w:tcW w:w="849" w:type="dxa"/>
          </w:tcPr>
          <w:p w14:paraId="5959DFD0"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14.4</w:t>
            </w:r>
          </w:p>
        </w:tc>
        <w:tc>
          <w:tcPr>
            <w:tcW w:w="567" w:type="dxa"/>
          </w:tcPr>
          <w:p w14:paraId="67EC040E"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12</w:t>
            </w:r>
          </w:p>
        </w:tc>
        <w:tc>
          <w:tcPr>
            <w:tcW w:w="708" w:type="dxa"/>
          </w:tcPr>
          <w:p w14:paraId="64647097"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12.4</w:t>
            </w:r>
          </w:p>
        </w:tc>
      </w:tr>
      <w:tr w:rsidR="0051191B" w14:paraId="68C24A4F" w14:textId="77777777">
        <w:trPr>
          <w:jc w:val="center"/>
        </w:trPr>
        <w:tc>
          <w:tcPr>
            <w:tcW w:w="1683" w:type="dxa"/>
          </w:tcPr>
          <w:p w14:paraId="45F4B1DA" w14:textId="77777777" w:rsidR="0051191B" w:rsidRDefault="00000000">
            <w:pPr>
              <w:spacing w:line="360" w:lineRule="auto"/>
              <w:jc w:val="both"/>
              <w:rPr>
                <w:color w:val="000000" w:themeColor="text1"/>
                <w:shd w:val="clear" w:color="auto" w:fill="FFFFFF"/>
              </w:rPr>
            </w:pPr>
            <w:r>
              <w:rPr>
                <w:color w:val="000000" w:themeColor="text1"/>
                <w:shd w:val="clear" w:color="auto" w:fill="FFFFFF"/>
              </w:rPr>
              <w:t>Proceso actual</w:t>
            </w:r>
          </w:p>
        </w:tc>
        <w:tc>
          <w:tcPr>
            <w:tcW w:w="518" w:type="dxa"/>
          </w:tcPr>
          <w:p w14:paraId="5757D089"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w:t>
            </w:r>
          </w:p>
        </w:tc>
        <w:tc>
          <w:tcPr>
            <w:tcW w:w="646" w:type="dxa"/>
          </w:tcPr>
          <w:p w14:paraId="5EE7F787"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w:t>
            </w:r>
          </w:p>
        </w:tc>
        <w:tc>
          <w:tcPr>
            <w:tcW w:w="692" w:type="dxa"/>
          </w:tcPr>
          <w:p w14:paraId="040FD522"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28</w:t>
            </w:r>
          </w:p>
        </w:tc>
        <w:tc>
          <w:tcPr>
            <w:tcW w:w="636" w:type="dxa"/>
          </w:tcPr>
          <w:p w14:paraId="6E7019B8"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28.9</w:t>
            </w:r>
          </w:p>
        </w:tc>
        <w:tc>
          <w:tcPr>
            <w:tcW w:w="640" w:type="dxa"/>
          </w:tcPr>
          <w:p w14:paraId="5D9793AA"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45</w:t>
            </w:r>
          </w:p>
        </w:tc>
        <w:tc>
          <w:tcPr>
            <w:tcW w:w="709" w:type="dxa"/>
          </w:tcPr>
          <w:p w14:paraId="1B08C949"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46.4</w:t>
            </w:r>
          </w:p>
        </w:tc>
        <w:tc>
          <w:tcPr>
            <w:tcW w:w="567" w:type="dxa"/>
          </w:tcPr>
          <w:p w14:paraId="3B1EB7E8"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22</w:t>
            </w:r>
          </w:p>
        </w:tc>
        <w:tc>
          <w:tcPr>
            <w:tcW w:w="849" w:type="dxa"/>
          </w:tcPr>
          <w:p w14:paraId="24821693"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22.7</w:t>
            </w:r>
          </w:p>
        </w:tc>
        <w:tc>
          <w:tcPr>
            <w:tcW w:w="567" w:type="dxa"/>
          </w:tcPr>
          <w:p w14:paraId="2DA8D055"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w:t>
            </w:r>
          </w:p>
        </w:tc>
        <w:tc>
          <w:tcPr>
            <w:tcW w:w="708" w:type="dxa"/>
          </w:tcPr>
          <w:p w14:paraId="404D18EE" w14:textId="77777777" w:rsidR="0051191B" w:rsidRDefault="00000000">
            <w:pPr>
              <w:spacing w:line="360" w:lineRule="auto"/>
              <w:jc w:val="right"/>
              <w:rPr>
                <w:color w:val="000000" w:themeColor="text1"/>
                <w:shd w:val="clear" w:color="auto" w:fill="FFFFFF"/>
              </w:rPr>
            </w:pPr>
            <w:r>
              <w:rPr>
                <w:color w:val="000000" w:themeColor="text1"/>
                <w:shd w:val="clear" w:color="auto" w:fill="FFFFFF"/>
              </w:rPr>
              <w:t>1</w:t>
            </w:r>
          </w:p>
        </w:tc>
      </w:tr>
    </w:tbl>
    <w:p w14:paraId="08BD17E3" w14:textId="323ADB04" w:rsidR="0051191B" w:rsidRPr="00D45D7D" w:rsidRDefault="00000000" w:rsidP="00D45D7D">
      <w:pPr>
        <w:pStyle w:val="Prrafodelista"/>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Fuente: Elaboración propia</w:t>
      </w:r>
    </w:p>
    <w:p w14:paraId="0CC7E211" w14:textId="3C4A2D53" w:rsidR="0051191B" w:rsidRDefault="00000000" w:rsidP="00B84DFD">
      <w:pPr>
        <w:spacing w:line="360" w:lineRule="auto"/>
        <w:ind w:firstLine="708"/>
        <w:jc w:val="both"/>
        <w:rPr>
          <w:color w:val="000000" w:themeColor="text1"/>
          <w:shd w:val="clear" w:color="auto" w:fill="FFFFFF"/>
        </w:rPr>
      </w:pPr>
      <w:r>
        <w:rPr>
          <w:color w:val="000000" w:themeColor="text1"/>
          <w:shd w:val="clear" w:color="auto" w:fill="FFFFFF"/>
        </w:rPr>
        <w:t>Como se muestra en la Tabla 12, se puede describir lo siguiente:</w:t>
      </w:r>
    </w:p>
    <w:p w14:paraId="6B386FE7" w14:textId="77777777" w:rsidR="0051191B" w:rsidRDefault="00000000">
      <w:pPr>
        <w:numPr>
          <w:ilvl w:val="0"/>
          <w:numId w:val="4"/>
        </w:numPr>
        <w:spacing w:line="360" w:lineRule="auto"/>
        <w:jc w:val="both"/>
      </w:pPr>
      <w:r>
        <w:rPr>
          <w:color w:val="000000" w:themeColor="text1"/>
          <w:shd w:val="clear" w:color="auto" w:fill="FFFFFF"/>
        </w:rPr>
        <w:t>Primera variable: resultando una percepción de regular a buena en el marco legal para realizar los trámites de registro y control vehicular.</w:t>
      </w:r>
    </w:p>
    <w:p w14:paraId="6F29E6ED" w14:textId="77777777" w:rsidR="0051191B" w:rsidRDefault="00000000">
      <w:pPr>
        <w:numPr>
          <w:ilvl w:val="0"/>
          <w:numId w:val="3"/>
        </w:numPr>
        <w:spacing w:line="360" w:lineRule="auto"/>
        <w:jc w:val="both"/>
      </w:pPr>
      <w:r>
        <w:rPr>
          <w:color w:val="000000" w:themeColor="text1"/>
          <w:shd w:val="clear" w:color="auto" w:fill="FFFFFF"/>
        </w:rPr>
        <w:t>Segunda variable: aproximadamente 50 contribuyentes opinan que han sido regulares las facilidades administrativas, creando un área de oportunidad en mejorar las estrategias en capacidad institucional, capacitación del personal y en tramitología.</w:t>
      </w:r>
    </w:p>
    <w:p w14:paraId="358D1599" w14:textId="77777777" w:rsidR="0051191B" w:rsidRDefault="00000000">
      <w:pPr>
        <w:numPr>
          <w:ilvl w:val="0"/>
          <w:numId w:val="3"/>
        </w:numPr>
        <w:spacing w:line="360" w:lineRule="auto"/>
        <w:jc w:val="both"/>
      </w:pPr>
      <w:r>
        <w:rPr>
          <w:color w:val="000000" w:themeColor="text1"/>
          <w:shd w:val="clear" w:color="auto" w:fill="FFFFFF"/>
        </w:rPr>
        <w:t>Tercera variable: son considerados de regulares a pésimos, lo que origina un exceso o el desconocimiento de los contribuyentes en saber cómo se aplica el ingreso propio captado en la recaudación de estudio.</w:t>
      </w:r>
    </w:p>
    <w:p w14:paraId="00826009" w14:textId="77777777" w:rsidR="0051191B" w:rsidRDefault="00000000">
      <w:pPr>
        <w:numPr>
          <w:ilvl w:val="0"/>
          <w:numId w:val="3"/>
        </w:numPr>
        <w:spacing w:line="360" w:lineRule="auto"/>
        <w:jc w:val="both"/>
      </w:pPr>
      <w:r>
        <w:rPr>
          <w:color w:val="000000" w:themeColor="text1"/>
          <w:shd w:val="clear" w:color="auto" w:fill="FFFFFF"/>
        </w:rPr>
        <w:t>Cuarta variable: se obtuvo como principales resultados con más del 50% de los encuestados, que han sido regulares los estímulos y exenciones que el Gobierno del Estado de Nayarit ha realizado.</w:t>
      </w:r>
    </w:p>
    <w:p w14:paraId="24AAD765" w14:textId="77777777" w:rsidR="0051191B" w:rsidRDefault="00000000">
      <w:pPr>
        <w:numPr>
          <w:ilvl w:val="0"/>
          <w:numId w:val="3"/>
        </w:numPr>
        <w:spacing w:line="360" w:lineRule="auto"/>
        <w:jc w:val="both"/>
        <w:rPr>
          <w:color w:val="000000" w:themeColor="text1"/>
          <w:shd w:val="clear" w:color="auto" w:fill="FFFFFF"/>
        </w:rPr>
      </w:pPr>
      <w:r>
        <w:rPr>
          <w:color w:val="000000" w:themeColor="text1"/>
          <w:shd w:val="clear" w:color="auto" w:fill="FFFFFF"/>
        </w:rPr>
        <w:lastRenderedPageBreak/>
        <w:t>Quinta variable: un alto porcentaje de respuestas, de bueno a regular con más del 70%, lo cual, da como referencia que el proceso es bueno, pero se pueden crear mejoras, como calidad en atención, tiempo en realizar el trámite y acompañamiento al contribuyente, con ello crear un valor agregado.</w:t>
      </w:r>
    </w:p>
    <w:p w14:paraId="4915F1EB"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Una vez presentada la información de las variables independientes en estudio, se procedió a realizar la segunda parte de la investigación, que es de tipo correlacional, donde se analizó la relación de variables independientes respecto a una variable dependiente.</w:t>
      </w:r>
    </w:p>
    <w:p w14:paraId="69EE9A80" w14:textId="77777777" w:rsidR="0051191B" w:rsidRDefault="00000000">
      <w:pPr>
        <w:spacing w:line="360" w:lineRule="auto"/>
        <w:ind w:firstLine="708"/>
        <w:jc w:val="both"/>
        <w:rPr>
          <w:color w:val="000000" w:themeColor="text1"/>
          <w:shd w:val="clear" w:color="auto" w:fill="FFFFFF"/>
        </w:rPr>
      </w:pPr>
      <w:r>
        <w:rPr>
          <w:color w:val="000000" w:themeColor="text1"/>
          <w:shd w:val="clear" w:color="auto" w:fill="FFFFFF"/>
        </w:rPr>
        <w:t>Para ello, se define la variable dependiente como los ingresos propios captados en la Recaudación de Rentas de Tepic, Nayarit, durante el periodo de enero a agosto del 2022. Los cuales fueron obtenidos mediante un muestreo de conveniencia, mediante una entrevista al responsable de la recaudación en estudio, teniendo como promedio $13,795,433.50 (trece millones setecientos noventa y cinco mil cuatrocientos treinta y tres pesos con cincuenta centavos) y siendo el mes de junio en el que se recaudó más, como se observa en la Figura 2.</w:t>
      </w:r>
    </w:p>
    <w:p w14:paraId="01AA05A8" w14:textId="77777777" w:rsidR="0051191B" w:rsidRDefault="0051191B">
      <w:pPr>
        <w:spacing w:line="360" w:lineRule="auto"/>
        <w:ind w:firstLine="708"/>
        <w:jc w:val="both"/>
        <w:rPr>
          <w:color w:val="000000" w:themeColor="text1"/>
          <w:shd w:val="clear" w:color="auto" w:fill="FFFFFF"/>
        </w:rPr>
      </w:pPr>
    </w:p>
    <w:p w14:paraId="72A7B9BF" w14:textId="77777777" w:rsidR="0051191B" w:rsidRDefault="00000000">
      <w:pPr>
        <w:pStyle w:val="Descripcin"/>
        <w:keepNext/>
        <w:spacing w:line="360" w:lineRule="auto"/>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Figura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Figura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2</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 xml:space="preserve">. </w:t>
      </w:r>
      <w:r>
        <w:rPr>
          <w:rFonts w:ascii="Times New Roman" w:hAnsi="Times New Roman" w:cs="Times New Roman"/>
          <w:i w:val="0"/>
          <w:iCs w:val="0"/>
          <w:color w:val="000000" w:themeColor="text1"/>
          <w:sz w:val="24"/>
          <w:szCs w:val="24"/>
        </w:rPr>
        <w:t>Ingresos propios captados en la Recaudación de Rentas de Tepic.</w:t>
      </w:r>
    </w:p>
    <w:p w14:paraId="278DCBAD" w14:textId="77777777" w:rsidR="0051191B" w:rsidRDefault="00000000">
      <w:pPr>
        <w:jc w:val="center"/>
      </w:pPr>
      <w:r>
        <w:rPr>
          <w:noProof/>
        </w:rPr>
        <w:drawing>
          <wp:inline distT="0" distB="0" distL="0" distR="0" wp14:anchorId="2B313E46" wp14:editId="1B2EBC27">
            <wp:extent cx="4572000" cy="2755900"/>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noChangeArrowheads="1"/>
                    </pic:cNvPicPr>
                  </pic:nvPicPr>
                  <pic:blipFill>
                    <a:blip r:embed="rId10"/>
                    <a:stretch>
                      <a:fillRect/>
                    </a:stretch>
                  </pic:blipFill>
                  <pic:spPr bwMode="auto">
                    <a:xfrm>
                      <a:off x="0" y="0"/>
                      <a:ext cx="4572000" cy="2755900"/>
                    </a:xfrm>
                    <a:prstGeom prst="rect">
                      <a:avLst/>
                    </a:prstGeom>
                  </pic:spPr>
                </pic:pic>
              </a:graphicData>
            </a:graphic>
          </wp:inline>
        </w:drawing>
      </w:r>
    </w:p>
    <w:p w14:paraId="05CB7176" w14:textId="77777777" w:rsidR="0051191B" w:rsidRDefault="00000000">
      <w:pPr>
        <w:pStyle w:val="Prrafodelista"/>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Fuente: Elaboración propia</w:t>
      </w:r>
    </w:p>
    <w:p w14:paraId="68CC6586" w14:textId="77777777" w:rsidR="0051191B" w:rsidRDefault="00000000">
      <w:pPr>
        <w:pStyle w:val="NormalWeb"/>
        <w:spacing w:before="280" w:after="280" w:line="360" w:lineRule="auto"/>
        <w:ind w:firstLine="708"/>
        <w:jc w:val="both"/>
        <w:rPr>
          <w:color w:val="000000" w:themeColor="text1"/>
        </w:rPr>
      </w:pPr>
      <w:r>
        <w:rPr>
          <w:color w:val="000000" w:themeColor="text1"/>
        </w:rPr>
        <w:t xml:space="preserve">Para poder aplicar la regresión, se validaron los siguientes supuestos: </w:t>
      </w:r>
    </w:p>
    <w:p w14:paraId="045FC596" w14:textId="77777777" w:rsidR="0051191B" w:rsidRDefault="00000000">
      <w:pPr>
        <w:pStyle w:val="NormalWeb"/>
        <w:spacing w:before="280" w:after="280" w:line="360" w:lineRule="auto"/>
        <w:ind w:firstLine="708"/>
        <w:jc w:val="both"/>
        <w:rPr>
          <w:color w:val="000000" w:themeColor="text1"/>
        </w:rPr>
      </w:pPr>
      <w:r>
        <w:rPr>
          <w:color w:val="000000" w:themeColor="text1"/>
        </w:rPr>
        <w:lastRenderedPageBreak/>
        <w:t>Medición: En las variables independientes, se utilizó la medición intervarial, es decir en escala de likert y para la variable dependiente se empleó la medición escalar, debido a que los ingresos propios captados dependen del mes.</w:t>
      </w:r>
    </w:p>
    <w:p w14:paraId="692BC14A" w14:textId="77777777" w:rsidR="0051191B" w:rsidRDefault="00000000">
      <w:pPr>
        <w:pStyle w:val="NormalWeb"/>
        <w:spacing w:before="280" w:after="280" w:line="360" w:lineRule="auto"/>
        <w:ind w:firstLine="708"/>
        <w:jc w:val="both"/>
        <w:rPr>
          <w:color w:val="000000" w:themeColor="text1"/>
        </w:rPr>
      </w:pPr>
      <w:r>
        <w:rPr>
          <w:color w:val="000000" w:themeColor="text1"/>
        </w:rPr>
        <w:t>Normalidad: La variable dependiente debe ser normal. Para ello, se utilizó la gráfica de histograma, el diagrama de caja y bigote, ya que se tenía una muestra pequeña. El resultado fue que los datos no son normales, como se muestra en la figura 3.</w:t>
      </w:r>
    </w:p>
    <w:p w14:paraId="4EA31DC2" w14:textId="77777777" w:rsidR="0051191B" w:rsidRDefault="00000000">
      <w:pPr>
        <w:pStyle w:val="Descripcin"/>
        <w:keepNext/>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Figura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Figura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3</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Diagrama de caja y bigote</w:t>
      </w:r>
    </w:p>
    <w:p w14:paraId="62B96834" w14:textId="77777777" w:rsidR="0051191B" w:rsidRDefault="00000000">
      <w:pPr>
        <w:jc w:val="center"/>
        <w:rPr>
          <w:lang w:eastAsia="en-US"/>
        </w:rPr>
      </w:pPr>
      <w:r>
        <w:rPr>
          <w:noProof/>
        </w:rPr>
        <w:drawing>
          <wp:inline distT="0" distB="0" distL="0" distR="0" wp14:anchorId="6AF4EAE6" wp14:editId="50E46560">
            <wp:extent cx="5314315" cy="330898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1"/>
                    <a:stretch>
                      <a:fillRect/>
                    </a:stretch>
                  </pic:blipFill>
                  <pic:spPr bwMode="auto">
                    <a:xfrm>
                      <a:off x="0" y="0"/>
                      <a:ext cx="5314315" cy="3308985"/>
                    </a:xfrm>
                    <a:prstGeom prst="rect">
                      <a:avLst/>
                    </a:prstGeom>
                  </pic:spPr>
                </pic:pic>
              </a:graphicData>
            </a:graphic>
          </wp:inline>
        </w:drawing>
      </w:r>
    </w:p>
    <w:p w14:paraId="7DDF6CBA" w14:textId="77777777" w:rsidR="0051191B" w:rsidRDefault="00000000" w:rsidP="00B84DFD">
      <w:pPr>
        <w:spacing w:line="360" w:lineRule="auto"/>
        <w:jc w:val="center"/>
        <w:rPr>
          <w:color w:val="000000" w:themeColor="text1"/>
        </w:rPr>
      </w:pPr>
      <w:r>
        <w:rPr>
          <w:color w:val="000000" w:themeColor="text1"/>
        </w:rPr>
        <w:t>Fuente: Elaboración propia</w:t>
      </w:r>
    </w:p>
    <w:p w14:paraId="7F5B139A" w14:textId="5CE6F22E" w:rsidR="0051191B" w:rsidRDefault="00000000" w:rsidP="00B84DFD">
      <w:pPr>
        <w:pStyle w:val="show"/>
        <w:spacing w:beforeAutospacing="0" w:afterAutospacing="0" w:line="360" w:lineRule="auto"/>
        <w:ind w:firstLine="708"/>
        <w:jc w:val="both"/>
      </w:pPr>
      <w:r>
        <w:t>Con base en los resultados anteriores, se utilizó la prueba no paramétrica de tipo Spearman, dando como resultado los que se muestran en la tabla 1</w:t>
      </w:r>
      <w:r w:rsidR="00985228">
        <w:t>3</w:t>
      </w:r>
      <w:r>
        <w:t>.</w:t>
      </w:r>
    </w:p>
    <w:p w14:paraId="720E096D" w14:textId="77777777" w:rsidR="00B84DFD" w:rsidRDefault="00B84DFD" w:rsidP="00B84DFD">
      <w:pPr>
        <w:pStyle w:val="Descripcin"/>
        <w:keepNext/>
        <w:spacing w:after="0" w:line="360" w:lineRule="auto"/>
        <w:jc w:val="center"/>
        <w:rPr>
          <w:rFonts w:ascii="Times New Roman" w:hAnsi="Times New Roman" w:cs="Times New Roman"/>
          <w:b/>
          <w:bCs/>
          <w:i w:val="0"/>
          <w:iCs w:val="0"/>
          <w:color w:val="000000" w:themeColor="text1"/>
          <w:sz w:val="24"/>
          <w:szCs w:val="24"/>
        </w:rPr>
      </w:pPr>
    </w:p>
    <w:p w14:paraId="3AA33312" w14:textId="5A798056" w:rsidR="0051191B" w:rsidRPr="00B84DFD" w:rsidRDefault="00000000" w:rsidP="00B84DFD">
      <w:pPr>
        <w:pStyle w:val="Descripcin"/>
        <w:keepNext/>
        <w:spacing w:after="0" w:line="360" w:lineRule="auto"/>
        <w:jc w:val="center"/>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Tabla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sz w:val="24"/>
          <w:szCs w:val="24"/>
        </w:rPr>
        <w:instrText>SEQ Tabla \* ARABIC</w:instrText>
      </w:r>
      <w:r>
        <w:rPr>
          <w:rFonts w:ascii="Times New Roman" w:hAnsi="Times New Roman" w:cs="Times New Roman"/>
          <w:b/>
          <w:bCs/>
          <w:i w:val="0"/>
          <w:iCs w:val="0"/>
          <w:color w:val="000000"/>
          <w:sz w:val="24"/>
          <w:szCs w:val="24"/>
        </w:rPr>
        <w:fldChar w:fldCharType="separate"/>
      </w:r>
      <w:r>
        <w:rPr>
          <w:rFonts w:ascii="Times New Roman" w:hAnsi="Times New Roman" w:cs="Times New Roman"/>
          <w:b/>
          <w:bCs/>
          <w:i w:val="0"/>
          <w:iCs w:val="0"/>
          <w:color w:val="000000"/>
          <w:sz w:val="24"/>
          <w:szCs w:val="24"/>
        </w:rPr>
        <w:t>13</w:t>
      </w:r>
      <w:r>
        <w:rPr>
          <w:rFonts w:ascii="Times New Roman" w:hAnsi="Times New Roman" w:cs="Times New Roman"/>
          <w:b/>
          <w:bCs/>
          <w:i w:val="0"/>
          <w:iCs w:val="0"/>
          <w:color w:val="000000"/>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Correlación</w:t>
      </w:r>
    </w:p>
    <w:tbl>
      <w:tblPr>
        <w:tblStyle w:val="Tablaconcuadrcula"/>
        <w:tblW w:w="8501" w:type="dxa"/>
        <w:jc w:val="center"/>
        <w:tblLayout w:type="fixed"/>
        <w:tblLook w:val="04A0" w:firstRow="1" w:lastRow="0" w:firstColumn="1" w:lastColumn="0" w:noHBand="0" w:noVBand="1"/>
      </w:tblPr>
      <w:tblGrid>
        <w:gridCol w:w="1178"/>
        <w:gridCol w:w="1163"/>
        <w:gridCol w:w="1077"/>
        <w:gridCol w:w="973"/>
        <w:gridCol w:w="992"/>
        <w:gridCol w:w="993"/>
        <w:gridCol w:w="991"/>
        <w:gridCol w:w="1134"/>
      </w:tblGrid>
      <w:tr w:rsidR="0051191B" w14:paraId="1490C7E0" w14:textId="77777777">
        <w:trPr>
          <w:jc w:val="center"/>
        </w:trPr>
        <w:tc>
          <w:tcPr>
            <w:tcW w:w="1177" w:type="dxa"/>
          </w:tcPr>
          <w:p w14:paraId="21EB0405" w14:textId="77777777" w:rsidR="0051191B" w:rsidRDefault="0051191B">
            <w:pPr>
              <w:rPr>
                <w:lang w:eastAsia="en-US"/>
              </w:rPr>
            </w:pPr>
          </w:p>
        </w:tc>
        <w:tc>
          <w:tcPr>
            <w:tcW w:w="1163" w:type="dxa"/>
          </w:tcPr>
          <w:p w14:paraId="5005FC6C" w14:textId="77777777" w:rsidR="0051191B" w:rsidRDefault="0051191B">
            <w:pPr>
              <w:rPr>
                <w:lang w:eastAsia="en-US"/>
              </w:rPr>
            </w:pPr>
          </w:p>
        </w:tc>
        <w:tc>
          <w:tcPr>
            <w:tcW w:w="1077" w:type="dxa"/>
          </w:tcPr>
          <w:p w14:paraId="10B19574" w14:textId="77777777" w:rsidR="0051191B" w:rsidRDefault="00000000">
            <w:pPr>
              <w:jc w:val="center"/>
              <w:rPr>
                <w:lang w:eastAsia="en-US"/>
              </w:rPr>
            </w:pPr>
            <w:r>
              <w:rPr>
                <w:lang w:eastAsia="en-US"/>
              </w:rPr>
              <w:t>Ingresos</w:t>
            </w:r>
          </w:p>
        </w:tc>
        <w:tc>
          <w:tcPr>
            <w:tcW w:w="973" w:type="dxa"/>
          </w:tcPr>
          <w:p w14:paraId="07BF2AEE" w14:textId="77777777" w:rsidR="0051191B" w:rsidRDefault="00000000">
            <w:pPr>
              <w:jc w:val="center"/>
              <w:rPr>
                <w:lang w:eastAsia="en-US"/>
              </w:rPr>
            </w:pPr>
            <w:r>
              <w:rPr>
                <w:lang w:eastAsia="en-US"/>
              </w:rPr>
              <w:t>Marco legal</w:t>
            </w:r>
          </w:p>
        </w:tc>
        <w:tc>
          <w:tcPr>
            <w:tcW w:w="992" w:type="dxa"/>
          </w:tcPr>
          <w:p w14:paraId="4BDEB13F" w14:textId="77777777" w:rsidR="0051191B" w:rsidRDefault="00000000">
            <w:pPr>
              <w:jc w:val="center"/>
              <w:rPr>
                <w:lang w:eastAsia="en-US"/>
              </w:rPr>
            </w:pPr>
            <w:r>
              <w:rPr>
                <w:lang w:eastAsia="en-US"/>
              </w:rPr>
              <w:t>Fac. Adm</w:t>
            </w:r>
          </w:p>
        </w:tc>
        <w:tc>
          <w:tcPr>
            <w:tcW w:w="993" w:type="dxa"/>
          </w:tcPr>
          <w:p w14:paraId="39428DFC" w14:textId="77777777" w:rsidR="0051191B" w:rsidRDefault="00000000">
            <w:pPr>
              <w:jc w:val="center"/>
              <w:rPr>
                <w:lang w:eastAsia="en-US"/>
              </w:rPr>
            </w:pPr>
            <w:r>
              <w:rPr>
                <w:lang w:eastAsia="en-US"/>
              </w:rPr>
              <w:t>Monto a pagar</w:t>
            </w:r>
          </w:p>
        </w:tc>
        <w:tc>
          <w:tcPr>
            <w:tcW w:w="991" w:type="dxa"/>
          </w:tcPr>
          <w:p w14:paraId="494DDD0E" w14:textId="77777777" w:rsidR="0051191B" w:rsidRDefault="00000000">
            <w:pPr>
              <w:jc w:val="center"/>
              <w:rPr>
                <w:lang w:eastAsia="en-US"/>
              </w:rPr>
            </w:pPr>
            <w:r>
              <w:rPr>
                <w:lang w:eastAsia="en-US"/>
              </w:rPr>
              <w:t>Est. y Exc.</w:t>
            </w:r>
          </w:p>
        </w:tc>
        <w:tc>
          <w:tcPr>
            <w:tcW w:w="1134" w:type="dxa"/>
          </w:tcPr>
          <w:p w14:paraId="4B263A20" w14:textId="77777777" w:rsidR="0051191B" w:rsidRDefault="00000000">
            <w:pPr>
              <w:jc w:val="center"/>
              <w:rPr>
                <w:lang w:eastAsia="en-US"/>
              </w:rPr>
            </w:pPr>
            <w:r>
              <w:rPr>
                <w:lang w:eastAsia="en-US"/>
              </w:rPr>
              <w:t>Proceso act.</w:t>
            </w:r>
          </w:p>
        </w:tc>
      </w:tr>
      <w:tr w:rsidR="0051191B" w14:paraId="4D1B7DE5" w14:textId="77777777">
        <w:trPr>
          <w:jc w:val="center"/>
        </w:trPr>
        <w:tc>
          <w:tcPr>
            <w:tcW w:w="1177" w:type="dxa"/>
          </w:tcPr>
          <w:p w14:paraId="1150A595" w14:textId="77777777" w:rsidR="0051191B" w:rsidRDefault="00000000">
            <w:pPr>
              <w:jc w:val="center"/>
              <w:rPr>
                <w:lang w:eastAsia="en-US"/>
              </w:rPr>
            </w:pPr>
            <w:r>
              <w:rPr>
                <w:lang w:eastAsia="en-US"/>
              </w:rPr>
              <w:t>Rho de Spearman</w:t>
            </w:r>
          </w:p>
        </w:tc>
        <w:tc>
          <w:tcPr>
            <w:tcW w:w="1163" w:type="dxa"/>
          </w:tcPr>
          <w:p w14:paraId="5DED0A5C" w14:textId="77777777" w:rsidR="0051191B" w:rsidRDefault="00000000">
            <w:pPr>
              <w:jc w:val="center"/>
              <w:rPr>
                <w:lang w:eastAsia="en-US"/>
              </w:rPr>
            </w:pPr>
            <w:r>
              <w:rPr>
                <w:lang w:eastAsia="en-US"/>
              </w:rPr>
              <w:t>Ingresos</w:t>
            </w:r>
          </w:p>
        </w:tc>
        <w:tc>
          <w:tcPr>
            <w:tcW w:w="1077" w:type="dxa"/>
          </w:tcPr>
          <w:p w14:paraId="69B36554" w14:textId="77777777" w:rsidR="0051191B" w:rsidRDefault="00000000">
            <w:pPr>
              <w:jc w:val="right"/>
              <w:rPr>
                <w:lang w:eastAsia="en-US"/>
              </w:rPr>
            </w:pPr>
            <w:r>
              <w:rPr>
                <w:lang w:eastAsia="en-US"/>
              </w:rPr>
              <w:t>1.000</w:t>
            </w:r>
          </w:p>
        </w:tc>
        <w:tc>
          <w:tcPr>
            <w:tcW w:w="973" w:type="dxa"/>
          </w:tcPr>
          <w:p w14:paraId="224335AA" w14:textId="77777777" w:rsidR="0051191B" w:rsidRDefault="00000000">
            <w:pPr>
              <w:jc w:val="right"/>
              <w:rPr>
                <w:lang w:eastAsia="en-US"/>
              </w:rPr>
            </w:pPr>
            <w:r>
              <w:rPr>
                <w:lang w:eastAsia="en-US"/>
              </w:rPr>
              <w:t>.814</w:t>
            </w:r>
          </w:p>
        </w:tc>
        <w:tc>
          <w:tcPr>
            <w:tcW w:w="992" w:type="dxa"/>
          </w:tcPr>
          <w:p w14:paraId="076E6EB0" w14:textId="77777777" w:rsidR="0051191B" w:rsidRDefault="00000000">
            <w:pPr>
              <w:jc w:val="right"/>
              <w:rPr>
                <w:lang w:eastAsia="en-US"/>
              </w:rPr>
            </w:pPr>
            <w:r>
              <w:rPr>
                <w:lang w:eastAsia="en-US"/>
              </w:rPr>
              <w:t>.857</w:t>
            </w:r>
          </w:p>
        </w:tc>
        <w:tc>
          <w:tcPr>
            <w:tcW w:w="993" w:type="dxa"/>
          </w:tcPr>
          <w:p w14:paraId="329904B2" w14:textId="77777777" w:rsidR="0051191B" w:rsidRDefault="00000000">
            <w:pPr>
              <w:jc w:val="right"/>
              <w:rPr>
                <w:lang w:eastAsia="en-US"/>
              </w:rPr>
            </w:pPr>
            <w:r>
              <w:rPr>
                <w:lang w:eastAsia="en-US"/>
              </w:rPr>
              <w:t>.690</w:t>
            </w:r>
          </w:p>
        </w:tc>
        <w:tc>
          <w:tcPr>
            <w:tcW w:w="991" w:type="dxa"/>
          </w:tcPr>
          <w:p w14:paraId="3355E154" w14:textId="77777777" w:rsidR="0051191B" w:rsidRDefault="00000000">
            <w:pPr>
              <w:jc w:val="right"/>
              <w:rPr>
                <w:lang w:eastAsia="en-US"/>
              </w:rPr>
            </w:pPr>
            <w:r>
              <w:rPr>
                <w:lang w:eastAsia="en-US"/>
              </w:rPr>
              <w:t>.690</w:t>
            </w:r>
          </w:p>
        </w:tc>
        <w:tc>
          <w:tcPr>
            <w:tcW w:w="1134" w:type="dxa"/>
          </w:tcPr>
          <w:p w14:paraId="00B223FE" w14:textId="77777777" w:rsidR="0051191B" w:rsidRDefault="00000000">
            <w:pPr>
              <w:jc w:val="right"/>
              <w:rPr>
                <w:lang w:eastAsia="en-US"/>
              </w:rPr>
            </w:pPr>
            <w:r>
              <w:rPr>
                <w:lang w:eastAsia="en-US"/>
              </w:rPr>
              <w:t>.359</w:t>
            </w:r>
          </w:p>
        </w:tc>
      </w:tr>
      <w:tr w:rsidR="0051191B" w14:paraId="7A1C097F" w14:textId="77777777">
        <w:trPr>
          <w:jc w:val="center"/>
        </w:trPr>
        <w:tc>
          <w:tcPr>
            <w:tcW w:w="1177" w:type="dxa"/>
          </w:tcPr>
          <w:p w14:paraId="32B9A3FE" w14:textId="77777777" w:rsidR="0051191B" w:rsidRDefault="0051191B">
            <w:pPr>
              <w:jc w:val="center"/>
              <w:rPr>
                <w:lang w:eastAsia="en-US"/>
              </w:rPr>
            </w:pPr>
          </w:p>
        </w:tc>
        <w:tc>
          <w:tcPr>
            <w:tcW w:w="1163" w:type="dxa"/>
          </w:tcPr>
          <w:p w14:paraId="16D51880" w14:textId="77777777" w:rsidR="0051191B" w:rsidRDefault="00000000">
            <w:pPr>
              <w:jc w:val="center"/>
              <w:rPr>
                <w:lang w:eastAsia="en-US"/>
              </w:rPr>
            </w:pPr>
            <w:r>
              <w:rPr>
                <w:lang w:eastAsia="en-US"/>
              </w:rPr>
              <w:t>Sig (bilateral)</w:t>
            </w:r>
          </w:p>
        </w:tc>
        <w:tc>
          <w:tcPr>
            <w:tcW w:w="1077" w:type="dxa"/>
          </w:tcPr>
          <w:p w14:paraId="08199615" w14:textId="77777777" w:rsidR="0051191B" w:rsidRDefault="00000000">
            <w:pPr>
              <w:jc w:val="right"/>
              <w:rPr>
                <w:lang w:eastAsia="en-US"/>
              </w:rPr>
            </w:pPr>
            <w:r>
              <w:rPr>
                <w:lang w:eastAsia="en-US"/>
              </w:rPr>
              <w:t>0</w:t>
            </w:r>
          </w:p>
        </w:tc>
        <w:tc>
          <w:tcPr>
            <w:tcW w:w="973" w:type="dxa"/>
          </w:tcPr>
          <w:p w14:paraId="589F6437" w14:textId="77777777" w:rsidR="0051191B" w:rsidRDefault="00000000">
            <w:pPr>
              <w:jc w:val="right"/>
              <w:rPr>
                <w:lang w:eastAsia="en-US"/>
              </w:rPr>
            </w:pPr>
            <w:r>
              <w:rPr>
                <w:lang w:eastAsia="en-US"/>
              </w:rPr>
              <w:t>.014</w:t>
            </w:r>
          </w:p>
        </w:tc>
        <w:tc>
          <w:tcPr>
            <w:tcW w:w="992" w:type="dxa"/>
          </w:tcPr>
          <w:p w14:paraId="75D481D8" w14:textId="77777777" w:rsidR="0051191B" w:rsidRDefault="00000000">
            <w:pPr>
              <w:jc w:val="right"/>
              <w:rPr>
                <w:lang w:eastAsia="en-US"/>
              </w:rPr>
            </w:pPr>
            <w:r>
              <w:rPr>
                <w:lang w:eastAsia="en-US"/>
              </w:rPr>
              <w:t>.007</w:t>
            </w:r>
          </w:p>
        </w:tc>
        <w:tc>
          <w:tcPr>
            <w:tcW w:w="993" w:type="dxa"/>
          </w:tcPr>
          <w:p w14:paraId="748642F0" w14:textId="77777777" w:rsidR="0051191B" w:rsidRDefault="00000000">
            <w:pPr>
              <w:jc w:val="right"/>
              <w:rPr>
                <w:lang w:eastAsia="en-US"/>
              </w:rPr>
            </w:pPr>
            <w:r>
              <w:rPr>
                <w:lang w:eastAsia="en-US"/>
              </w:rPr>
              <w:t>.058</w:t>
            </w:r>
          </w:p>
        </w:tc>
        <w:tc>
          <w:tcPr>
            <w:tcW w:w="991" w:type="dxa"/>
          </w:tcPr>
          <w:p w14:paraId="5DC2DA9C" w14:textId="77777777" w:rsidR="0051191B" w:rsidRDefault="00000000">
            <w:pPr>
              <w:jc w:val="right"/>
              <w:rPr>
                <w:lang w:eastAsia="en-US"/>
              </w:rPr>
            </w:pPr>
            <w:r>
              <w:rPr>
                <w:lang w:eastAsia="en-US"/>
              </w:rPr>
              <w:t>.058</w:t>
            </w:r>
          </w:p>
        </w:tc>
        <w:tc>
          <w:tcPr>
            <w:tcW w:w="1134" w:type="dxa"/>
          </w:tcPr>
          <w:p w14:paraId="17498265" w14:textId="77777777" w:rsidR="0051191B" w:rsidRDefault="00000000">
            <w:pPr>
              <w:jc w:val="right"/>
              <w:rPr>
                <w:lang w:eastAsia="en-US"/>
              </w:rPr>
            </w:pPr>
            <w:r>
              <w:rPr>
                <w:lang w:eastAsia="en-US"/>
              </w:rPr>
              <w:t>.382</w:t>
            </w:r>
          </w:p>
        </w:tc>
      </w:tr>
    </w:tbl>
    <w:p w14:paraId="20A53ECE" w14:textId="77777777" w:rsidR="0051191B" w:rsidRDefault="00000000">
      <w:pPr>
        <w:pStyle w:val="Prrafodelista"/>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Fuente: Elaboración propia</w:t>
      </w:r>
    </w:p>
    <w:p w14:paraId="7E672D70" w14:textId="172B6E36" w:rsidR="0051191B" w:rsidRDefault="00000000" w:rsidP="00B84DFD">
      <w:pPr>
        <w:pStyle w:val="show"/>
        <w:spacing w:beforeAutospacing="0" w:afterAutospacing="0" w:line="360" w:lineRule="auto"/>
        <w:ind w:firstLine="708"/>
        <w:jc w:val="both"/>
      </w:pPr>
      <w:r>
        <w:lastRenderedPageBreak/>
        <w:t>Dando como resultado que la variable ingresos se asocia en un .814 y .857 con las variables marco legal y facilidades administrativas, respectivamente, mientras que con las variables monto a pagar, estímulos y exenciones con .690 cada una, mientras que con la variable proceso actual con un .359</w:t>
      </w:r>
      <w:r w:rsidR="00985228">
        <w:t>, como se muestra en la tabla 13</w:t>
      </w:r>
      <w:r>
        <w:t>.</w:t>
      </w:r>
    </w:p>
    <w:p w14:paraId="57472243" w14:textId="77777777" w:rsidR="0051191B" w:rsidRDefault="0051191B" w:rsidP="00B84DFD">
      <w:pPr>
        <w:pStyle w:val="show"/>
        <w:spacing w:beforeAutospacing="0" w:afterAutospacing="0" w:line="360" w:lineRule="auto"/>
        <w:ind w:left="360"/>
        <w:jc w:val="center"/>
        <w:rPr>
          <w:b/>
          <w:bCs/>
          <w:color w:val="000000" w:themeColor="text1"/>
          <w:sz w:val="32"/>
          <w:szCs w:val="32"/>
        </w:rPr>
      </w:pPr>
    </w:p>
    <w:p w14:paraId="5EFA58DA" w14:textId="77777777" w:rsidR="0051191B" w:rsidRDefault="00000000" w:rsidP="00B84DFD">
      <w:pPr>
        <w:pStyle w:val="show"/>
        <w:spacing w:beforeAutospacing="0" w:afterAutospacing="0" w:line="360" w:lineRule="auto"/>
        <w:jc w:val="center"/>
        <w:rPr>
          <w:b/>
          <w:bCs/>
          <w:color w:val="000000" w:themeColor="text1"/>
          <w:sz w:val="32"/>
          <w:szCs w:val="32"/>
        </w:rPr>
      </w:pPr>
      <w:r>
        <w:rPr>
          <w:b/>
          <w:bCs/>
          <w:color w:val="000000" w:themeColor="text1"/>
          <w:sz w:val="32"/>
          <w:szCs w:val="32"/>
        </w:rPr>
        <w:t>Resultados</w:t>
      </w:r>
    </w:p>
    <w:p w14:paraId="452F8E58" w14:textId="77777777" w:rsidR="0051191B" w:rsidRDefault="00000000" w:rsidP="00B84DFD">
      <w:pPr>
        <w:pStyle w:val="show"/>
        <w:spacing w:beforeAutospacing="0" w:afterAutospacing="0" w:line="360" w:lineRule="auto"/>
        <w:rPr>
          <w:b/>
          <w:bCs/>
          <w:color w:val="000000" w:themeColor="text1"/>
          <w:sz w:val="32"/>
          <w:szCs w:val="32"/>
        </w:rPr>
      </w:pPr>
      <w:r>
        <w:rPr>
          <w:color w:val="000000" w:themeColor="text1"/>
          <w:shd w:val="clear" w:color="auto" w:fill="FFFFFF"/>
        </w:rPr>
        <w:t>Analizando los supuestos paramétricos, se concluye en utilizar la correlación de Spearman, lo que permite conocer la correlación fuerte y positiva que existe entre la variable ingresos y las variables marco legal y facilidades administrativas. Mientras tanto, existe una relación moderada entre la variable ingresos y las variables monto a pagar, estímulos y exenciones, y, por último, no hay correlación con la variable proceso actual.</w:t>
      </w:r>
    </w:p>
    <w:p w14:paraId="5B8AA895" w14:textId="77777777" w:rsidR="00B84DFD" w:rsidRDefault="00B84DFD" w:rsidP="00B84DFD">
      <w:pPr>
        <w:pStyle w:val="show"/>
        <w:spacing w:beforeAutospacing="0" w:afterAutospacing="0" w:line="360" w:lineRule="auto"/>
        <w:jc w:val="center"/>
        <w:rPr>
          <w:b/>
          <w:bCs/>
          <w:color w:val="000000" w:themeColor="text1"/>
          <w:sz w:val="32"/>
          <w:szCs w:val="32"/>
        </w:rPr>
      </w:pPr>
    </w:p>
    <w:p w14:paraId="4C749611" w14:textId="1027A251" w:rsidR="0051191B" w:rsidRDefault="00000000" w:rsidP="00B84DFD">
      <w:pPr>
        <w:pStyle w:val="show"/>
        <w:spacing w:beforeAutospacing="0" w:afterAutospacing="0" w:line="360" w:lineRule="auto"/>
        <w:jc w:val="center"/>
        <w:rPr>
          <w:b/>
          <w:bCs/>
          <w:color w:val="000000" w:themeColor="text1"/>
          <w:sz w:val="32"/>
          <w:szCs w:val="32"/>
        </w:rPr>
      </w:pPr>
      <w:r>
        <w:rPr>
          <w:b/>
          <w:bCs/>
          <w:color w:val="000000" w:themeColor="text1"/>
          <w:sz w:val="32"/>
          <w:szCs w:val="32"/>
        </w:rPr>
        <w:t>Discusión</w:t>
      </w:r>
    </w:p>
    <w:p w14:paraId="2FADEAAF" w14:textId="77777777" w:rsidR="0051191B" w:rsidRDefault="00000000" w:rsidP="00B84DFD">
      <w:pPr>
        <w:spacing w:line="360" w:lineRule="auto"/>
        <w:jc w:val="both"/>
        <w:rPr>
          <w:color w:val="000000" w:themeColor="text1"/>
          <w:shd w:val="clear" w:color="auto" w:fill="FFFFFF"/>
        </w:rPr>
      </w:pPr>
      <w:r>
        <w:rPr>
          <w:color w:val="000000" w:themeColor="text1"/>
          <w:shd w:val="clear" w:color="auto" w:fill="FFFFFF"/>
        </w:rPr>
        <w:t>El conocimiento de la gestión en la captación de ingresos propios va de la mano con la percepción de los contribuyentes, el diseño en las contribuciones a pagar y las facilidades administrativas que un gobierno otorgue.</w:t>
      </w:r>
    </w:p>
    <w:p w14:paraId="3E11139E" w14:textId="77777777" w:rsidR="0051191B" w:rsidRDefault="00000000" w:rsidP="00B84DFD">
      <w:pPr>
        <w:spacing w:line="360" w:lineRule="auto"/>
        <w:jc w:val="both"/>
        <w:rPr>
          <w:color w:val="000000" w:themeColor="text1"/>
          <w:shd w:val="clear" w:color="auto" w:fill="FFFFFF"/>
        </w:rPr>
      </w:pPr>
      <w:r>
        <w:rPr>
          <w:color w:val="000000" w:themeColor="text1"/>
          <w:shd w:val="clear" w:color="auto" w:fill="FFFFFF"/>
        </w:rPr>
        <w:tab/>
        <w:t>El primer resultado que se obtuvo es que la Recaudación de Rentas de Tepic recibe ingresos propios por un promedio de $13,795,433.50 (trece millones setecientos noventa y cinco mil cuatrocientos treinta y tres pesos con cincuenta centavos) y una desviación estándar de $3,851,653.45 (tres millones ochocientos cincuenta y un mil seiscientos cincuenta y tres pesos con cuarenta y cinco centavos), lo que obliga a la gerencia pública a crear las mejores estrategias y políticas de recaudación idóneas para que los contribuyentes sigan acudiendo a la mencionada recaudación a realizar el pago de sus tributos. Recordando que el nivel de desarrollo de un estado está relacionado con su esfuerzo fiscal, transparencia y rendición de cuentas (Mendoza, 2019).</w:t>
      </w:r>
    </w:p>
    <w:p w14:paraId="302A5849" w14:textId="77777777" w:rsidR="0051191B" w:rsidRDefault="00000000" w:rsidP="00B84DFD">
      <w:pPr>
        <w:spacing w:line="360" w:lineRule="auto"/>
        <w:jc w:val="both"/>
        <w:rPr>
          <w:color w:val="000000" w:themeColor="text1"/>
          <w:shd w:val="clear" w:color="auto" w:fill="FFFFFF"/>
        </w:rPr>
      </w:pPr>
      <w:r>
        <w:rPr>
          <w:color w:val="000000" w:themeColor="text1"/>
          <w:shd w:val="clear" w:color="auto" w:fill="FFFFFF"/>
        </w:rPr>
        <w:tab/>
        <w:t xml:space="preserve">El segundo hallazgo presenta que no hay buena percepción de los contribuyentes por la justificación legal al momento de contribuir al estado, creando un punto importante para realizar una revisión de las facultades impositivas en el marco legal para registrar un vehículo particular y evitar la evasión. Ahora bien, el siguiente hallazgo es sobre las facilidades administrativas, el cual tiene una correlación muy fuerte con los ingresos para el estado. </w:t>
      </w:r>
      <w:r>
        <w:rPr>
          <w:color w:val="000000" w:themeColor="text1"/>
          <w:shd w:val="clear" w:color="auto" w:fill="FFFFFF"/>
        </w:rPr>
        <w:lastRenderedPageBreak/>
        <w:t>Entonces, se debe tener la capacidad para incentivar al contribuyente que tiene adeudo y motivar al que está al corriente.</w:t>
      </w:r>
    </w:p>
    <w:p w14:paraId="6389B1B9" w14:textId="77777777" w:rsidR="0051191B" w:rsidRDefault="00000000" w:rsidP="00B84DFD">
      <w:pPr>
        <w:spacing w:line="360" w:lineRule="auto"/>
        <w:jc w:val="both"/>
        <w:rPr>
          <w:color w:val="000000" w:themeColor="text1"/>
          <w:shd w:val="clear" w:color="auto" w:fill="FFFFFF"/>
        </w:rPr>
      </w:pPr>
      <w:r>
        <w:rPr>
          <w:color w:val="000000" w:themeColor="text1"/>
          <w:shd w:val="clear" w:color="auto" w:fill="FFFFFF"/>
        </w:rPr>
        <w:tab/>
        <w:t>Continuando con el siguiente hallazgo, las tasas o montos a pagar deben ser acordes a las condiciones de los contribuyentes o tener la capacidad de reformar las tasas o montos comunes con las entidades federativas. Lo anterior es mencionado en un estudio realizado por Alcantar et al. (2019), donde los ingresos autogenerados son producto de implementar instrumentos y políticas dirigidas en conceptos como capacidad institucional, administrativa y financiera, además de comunicación con los contribuyentes, donde se transparente el ingreso y egreso del estado. Lo mencionado obliga a los estados a estar en constante actualización en procesos administrativos, difusión y rendición de cuentas. Por último, en un estudio presentado por Cervantes-Contreras (2022), se menciona que las medidas tecnológicas han sido aplicadas también por los gobiernos para hacer más eficiente la recaudación y simplificar las labores administrativas correspondientes. Considerando lo anterior y los resultados obtenidos, es importante invertir en el mejoramiento de un proceso recaudatorio, esto ayudará a fortalecer la capacidad recaudatoria y contribuir a reducir la evasión fiscal en el estado.</w:t>
      </w:r>
    </w:p>
    <w:p w14:paraId="49251362" w14:textId="77777777" w:rsidR="00B84DFD" w:rsidRDefault="00B84DFD" w:rsidP="00B84DFD">
      <w:pPr>
        <w:pStyle w:val="show"/>
        <w:spacing w:beforeAutospacing="0" w:afterAutospacing="0" w:line="360" w:lineRule="auto"/>
        <w:rPr>
          <w:b/>
          <w:bCs/>
          <w:color w:val="000000" w:themeColor="text1"/>
          <w:sz w:val="32"/>
          <w:szCs w:val="32"/>
        </w:rPr>
      </w:pPr>
    </w:p>
    <w:p w14:paraId="3473F1CE" w14:textId="71724DF1" w:rsidR="0051191B" w:rsidRDefault="00000000" w:rsidP="00B84DFD">
      <w:pPr>
        <w:pStyle w:val="show"/>
        <w:spacing w:beforeAutospacing="0" w:afterAutospacing="0" w:line="360" w:lineRule="auto"/>
        <w:jc w:val="center"/>
        <w:rPr>
          <w:b/>
          <w:bCs/>
          <w:color w:val="000000" w:themeColor="text1"/>
          <w:sz w:val="32"/>
          <w:szCs w:val="32"/>
        </w:rPr>
      </w:pPr>
      <w:r>
        <w:rPr>
          <w:b/>
          <w:bCs/>
          <w:color w:val="000000" w:themeColor="text1"/>
          <w:sz w:val="32"/>
          <w:szCs w:val="32"/>
        </w:rPr>
        <w:t>Conclusiones</w:t>
      </w:r>
    </w:p>
    <w:p w14:paraId="5F103F61" w14:textId="77777777" w:rsidR="0051191B" w:rsidRDefault="00000000" w:rsidP="00B84DFD">
      <w:pPr>
        <w:spacing w:line="360" w:lineRule="auto"/>
        <w:jc w:val="both"/>
        <w:rPr>
          <w:color w:val="000000" w:themeColor="text1"/>
          <w:shd w:val="clear" w:color="auto" w:fill="FFFFFF"/>
        </w:rPr>
      </w:pPr>
      <w:r>
        <w:rPr>
          <w:color w:val="000000" w:themeColor="text1"/>
          <w:shd w:val="clear" w:color="auto" w:fill="FFFFFF"/>
        </w:rPr>
        <w:t xml:space="preserve">A partir del presente estudio, se concluye que la generación o captación de ingresos propios para un estado tiene relación con la gestión o políticas que un gobierno aplica mediante las facilidades administrativas. </w:t>
      </w:r>
    </w:p>
    <w:p w14:paraId="0D5C5A63" w14:textId="77777777" w:rsidR="0051191B" w:rsidRDefault="00000000" w:rsidP="00B84DFD">
      <w:pPr>
        <w:spacing w:line="360" w:lineRule="auto"/>
        <w:jc w:val="both"/>
        <w:rPr>
          <w:color w:val="000000" w:themeColor="text1"/>
          <w:shd w:val="clear" w:color="auto" w:fill="FFFFFF"/>
        </w:rPr>
      </w:pPr>
      <w:r>
        <w:rPr>
          <w:color w:val="000000" w:themeColor="text1"/>
          <w:shd w:val="clear" w:color="auto" w:fill="FFFFFF"/>
        </w:rPr>
        <w:tab/>
        <w:t>La generación de estrategias y políticas debe ir de la mano de las tasas o montos a pagar, es decir, acorde a las condiciones de los contribuyentes. Con ello, se ayudaría a disminuir la evasión de ingresos propios. La difusión de dichos estímulos y exenciones contribuirá a mejorar la educación tributaria del estado. Para ello, es importante transparentar el recurso recaudado y ejercerlo con responsabilidad.</w:t>
      </w:r>
    </w:p>
    <w:p w14:paraId="2B043BE4" w14:textId="77777777" w:rsidR="0051191B" w:rsidRDefault="00000000" w:rsidP="00B84DFD">
      <w:pPr>
        <w:spacing w:line="360" w:lineRule="auto"/>
        <w:jc w:val="both"/>
        <w:rPr>
          <w:color w:val="000000" w:themeColor="text1"/>
          <w:shd w:val="clear" w:color="auto" w:fill="FFFFFF"/>
        </w:rPr>
      </w:pPr>
      <w:r>
        <w:rPr>
          <w:color w:val="000000" w:themeColor="text1"/>
          <w:shd w:val="clear" w:color="auto" w:fill="FFFFFF"/>
        </w:rPr>
        <w:tab/>
        <w:t>Finalmente, con una percepción positiva en el proceso mencionado, se ayudará a captar de forma correcta y rápida el ingreso propio para el Estado de Nayarit, México.</w:t>
      </w:r>
    </w:p>
    <w:p w14:paraId="02640A13" w14:textId="77777777" w:rsidR="00B84DFD" w:rsidRDefault="00B84DFD" w:rsidP="00B84DFD">
      <w:pPr>
        <w:pStyle w:val="show"/>
        <w:spacing w:beforeAutospacing="0" w:afterAutospacing="0" w:line="360" w:lineRule="auto"/>
        <w:rPr>
          <w:b/>
          <w:bCs/>
          <w:color w:val="000000" w:themeColor="text1"/>
          <w:sz w:val="32"/>
          <w:szCs w:val="32"/>
        </w:rPr>
      </w:pPr>
    </w:p>
    <w:p w14:paraId="350BFEC6" w14:textId="77777777" w:rsidR="00D45D7D" w:rsidRDefault="00D45D7D" w:rsidP="00B84DFD">
      <w:pPr>
        <w:pStyle w:val="show"/>
        <w:spacing w:beforeAutospacing="0" w:afterAutospacing="0" w:line="360" w:lineRule="auto"/>
        <w:rPr>
          <w:b/>
          <w:bCs/>
          <w:color w:val="000000" w:themeColor="text1"/>
          <w:sz w:val="32"/>
          <w:szCs w:val="32"/>
        </w:rPr>
      </w:pPr>
    </w:p>
    <w:p w14:paraId="4D1CECCC" w14:textId="77777777" w:rsidR="00D45D7D" w:rsidRDefault="00D45D7D" w:rsidP="00B84DFD">
      <w:pPr>
        <w:pStyle w:val="show"/>
        <w:spacing w:beforeAutospacing="0" w:afterAutospacing="0" w:line="360" w:lineRule="auto"/>
        <w:rPr>
          <w:b/>
          <w:bCs/>
          <w:color w:val="000000" w:themeColor="text1"/>
          <w:sz w:val="32"/>
          <w:szCs w:val="32"/>
        </w:rPr>
      </w:pPr>
    </w:p>
    <w:p w14:paraId="5C7A6EF2" w14:textId="2E6561C2" w:rsidR="0051191B" w:rsidRPr="00B84DFD" w:rsidRDefault="00000000" w:rsidP="00B84DFD">
      <w:pPr>
        <w:pStyle w:val="show"/>
        <w:spacing w:beforeAutospacing="0" w:afterAutospacing="0" w:line="360" w:lineRule="auto"/>
        <w:jc w:val="center"/>
        <w:rPr>
          <w:b/>
          <w:bCs/>
          <w:color w:val="000000" w:themeColor="text1"/>
          <w:sz w:val="28"/>
          <w:szCs w:val="28"/>
        </w:rPr>
      </w:pPr>
      <w:r w:rsidRPr="00B84DFD">
        <w:rPr>
          <w:b/>
          <w:bCs/>
          <w:color w:val="000000" w:themeColor="text1"/>
          <w:sz w:val="28"/>
          <w:szCs w:val="28"/>
        </w:rPr>
        <w:lastRenderedPageBreak/>
        <w:t>Futuras líneas de investigación</w:t>
      </w:r>
    </w:p>
    <w:p w14:paraId="5FFF20F0" w14:textId="77777777" w:rsidR="0051191B" w:rsidRDefault="00000000" w:rsidP="00B84DFD">
      <w:pPr>
        <w:spacing w:line="360" w:lineRule="auto"/>
        <w:jc w:val="both"/>
        <w:rPr>
          <w:color w:val="000000" w:themeColor="text1"/>
          <w:shd w:val="clear" w:color="auto" w:fill="FFFFFF"/>
        </w:rPr>
      </w:pPr>
      <w:r>
        <w:rPr>
          <w:color w:val="000000" w:themeColor="text1"/>
          <w:shd w:val="clear" w:color="auto" w:fill="FFFFFF"/>
        </w:rPr>
        <w:t>Con relación a lo anterior, se prevé: revisar las facultades impositivas con la finalidad de crear impuestos verdes o ecológicos en el registro vehicular, generando ingresos propios para el estado; analizar y proponer estrategias que incentiven la recaudación; analizar otras Recaudaciones de Rentas en la entidad para fortalecer la capacidad recaudatoria y contribuir a reducir la evasión y elusión de ingresos propios; y analizar y proponer la conveniencia de establecer tasas comunes con los estados de la República Mexicana para el registro vehicular.</w:t>
      </w:r>
    </w:p>
    <w:p w14:paraId="66A1FD3F" w14:textId="77777777" w:rsidR="00D45D7D" w:rsidRDefault="00D45D7D" w:rsidP="00B84DFD">
      <w:pPr>
        <w:pStyle w:val="show"/>
        <w:spacing w:beforeAutospacing="0" w:afterAutospacing="0" w:line="360" w:lineRule="auto"/>
        <w:rPr>
          <w:rFonts w:asciiTheme="minorHAnsi" w:hAnsiTheme="minorHAnsi" w:cstheme="minorHAnsi"/>
          <w:b/>
          <w:bCs/>
          <w:color w:val="000000" w:themeColor="text1"/>
          <w:sz w:val="28"/>
          <w:szCs w:val="28"/>
        </w:rPr>
      </w:pPr>
    </w:p>
    <w:p w14:paraId="599F8E06" w14:textId="69B52D91" w:rsidR="0051191B" w:rsidRPr="00B84DFD" w:rsidRDefault="00000000" w:rsidP="00B84DFD">
      <w:pPr>
        <w:pStyle w:val="show"/>
        <w:spacing w:beforeAutospacing="0" w:afterAutospacing="0" w:line="360" w:lineRule="auto"/>
        <w:rPr>
          <w:rFonts w:asciiTheme="minorHAnsi" w:hAnsiTheme="minorHAnsi" w:cstheme="minorHAnsi"/>
          <w:color w:val="000000" w:themeColor="text1"/>
          <w:sz w:val="28"/>
          <w:szCs w:val="28"/>
        </w:rPr>
      </w:pPr>
      <w:r w:rsidRPr="00B84DFD">
        <w:rPr>
          <w:rFonts w:asciiTheme="minorHAnsi" w:hAnsiTheme="minorHAnsi" w:cstheme="minorHAnsi"/>
          <w:b/>
          <w:bCs/>
          <w:color w:val="000000" w:themeColor="text1"/>
          <w:sz w:val="28"/>
          <w:szCs w:val="28"/>
        </w:rPr>
        <w:t>Referencias</w:t>
      </w:r>
    </w:p>
    <w:p w14:paraId="37B73B8B" w14:textId="77777777" w:rsidR="00985228" w:rsidRPr="005130FC" w:rsidRDefault="00985228" w:rsidP="00985228">
      <w:pPr>
        <w:spacing w:line="360" w:lineRule="auto"/>
        <w:ind w:left="709" w:hanging="709"/>
        <w:jc w:val="both"/>
        <w:rPr>
          <w:color w:val="222222"/>
          <w:shd w:val="clear" w:color="auto" w:fill="FFFFFF"/>
        </w:rPr>
      </w:pPr>
      <w:r w:rsidRPr="005130FC">
        <w:rPr>
          <w:color w:val="222222"/>
          <w:shd w:val="clear" w:color="auto" w:fill="FFFFFF"/>
        </w:rPr>
        <w:t>Alcantar López, C. O., Palos Sosa, M. E., &amp; Flores Ortega, G. (2019). Propuesta de política pública transversal para el cumplimiento de la corresponsabilidad recaudatoria.</w:t>
      </w:r>
      <w:r w:rsidRPr="005130FC">
        <w:rPr>
          <w:rStyle w:val="apple-converted-space"/>
          <w:color w:val="222222"/>
          <w:shd w:val="clear" w:color="auto" w:fill="FFFFFF"/>
        </w:rPr>
        <w:t> </w:t>
      </w:r>
      <w:r w:rsidRPr="005130FC">
        <w:rPr>
          <w:i/>
          <w:iCs/>
          <w:color w:val="222222"/>
        </w:rPr>
        <w:t>Retos de la Dirección</w:t>
      </w:r>
      <w:r w:rsidRPr="005130FC">
        <w:rPr>
          <w:color w:val="222222"/>
          <w:shd w:val="clear" w:color="auto" w:fill="FFFFFF"/>
        </w:rPr>
        <w:t>,</w:t>
      </w:r>
      <w:r w:rsidRPr="005130FC">
        <w:rPr>
          <w:rStyle w:val="apple-converted-space"/>
          <w:color w:val="222222"/>
          <w:shd w:val="clear" w:color="auto" w:fill="FFFFFF"/>
        </w:rPr>
        <w:t> </w:t>
      </w:r>
      <w:r w:rsidRPr="005130FC">
        <w:rPr>
          <w:i/>
          <w:iCs/>
          <w:color w:val="222222"/>
        </w:rPr>
        <w:t>13</w:t>
      </w:r>
      <w:r w:rsidRPr="005130FC">
        <w:rPr>
          <w:color w:val="222222"/>
          <w:shd w:val="clear" w:color="auto" w:fill="FFFFFF"/>
        </w:rPr>
        <w:t>(1), 145-169.</w:t>
      </w:r>
    </w:p>
    <w:p w14:paraId="0B7421AF" w14:textId="77777777" w:rsidR="00985228" w:rsidRPr="005130FC" w:rsidRDefault="00985228" w:rsidP="00985228">
      <w:pPr>
        <w:spacing w:line="360" w:lineRule="auto"/>
        <w:ind w:left="1416" w:hanging="709"/>
        <w:jc w:val="both"/>
        <w:rPr>
          <w:color w:val="000000" w:themeColor="text1"/>
          <w:sz w:val="28"/>
          <w:szCs w:val="28"/>
          <w:shd w:val="clear" w:color="auto" w:fill="FFFFFF"/>
        </w:rPr>
      </w:pPr>
      <w:r w:rsidRPr="005130FC">
        <w:rPr>
          <w:color w:val="000000" w:themeColor="text1"/>
          <w:shd w:val="clear" w:color="auto" w:fill="FFFFFF"/>
        </w:rPr>
        <w:t>http://scielo.sld.cu/scielo.php?script=sci_arttext&amp;pid=S2306-91552019000100145</w:t>
      </w:r>
    </w:p>
    <w:p w14:paraId="013CF66B" w14:textId="77777777" w:rsidR="00985228" w:rsidRPr="005130FC" w:rsidRDefault="00985228" w:rsidP="00985228">
      <w:pPr>
        <w:spacing w:line="360" w:lineRule="auto"/>
        <w:ind w:left="709" w:hanging="709"/>
        <w:jc w:val="both"/>
        <w:rPr>
          <w:color w:val="000000" w:themeColor="text1"/>
          <w:shd w:val="clear" w:color="auto" w:fill="FFFFFF"/>
        </w:rPr>
      </w:pPr>
      <w:r w:rsidRPr="005130FC">
        <w:rPr>
          <w:color w:val="000000" w:themeColor="text1"/>
          <w:shd w:val="clear" w:color="auto" w:fill="FFFFFF"/>
        </w:rPr>
        <w:t>Álvarez, R. G., Bernal, I. M., Montoya, J. P. S., Cárdenas, J. F. G., &amp; Beas, J. F. H. (2022). El desempeño gubernativo mediante un análisis de indicadores de ingresos del Gobierno de Nayarit 2015-2019.</w:t>
      </w:r>
      <w:r w:rsidRPr="005130FC">
        <w:rPr>
          <w:rStyle w:val="apple-converted-space"/>
          <w:color w:val="000000" w:themeColor="text1"/>
          <w:shd w:val="clear" w:color="auto" w:fill="FFFFFF"/>
        </w:rPr>
        <w:t> </w:t>
      </w:r>
      <w:r w:rsidRPr="005130FC">
        <w:rPr>
          <w:i/>
          <w:iCs/>
          <w:color w:val="000000" w:themeColor="text1"/>
        </w:rPr>
        <w:t>RIDE Revista Iberoamericana para la Investigación y el Desarrollo Educativo</w:t>
      </w:r>
      <w:r w:rsidRPr="005130FC">
        <w:rPr>
          <w:color w:val="000000" w:themeColor="text1"/>
          <w:shd w:val="clear" w:color="auto" w:fill="FFFFFF"/>
        </w:rPr>
        <w:t>,</w:t>
      </w:r>
      <w:r w:rsidRPr="005130FC">
        <w:rPr>
          <w:rStyle w:val="apple-converted-space"/>
          <w:color w:val="000000" w:themeColor="text1"/>
          <w:shd w:val="clear" w:color="auto" w:fill="FFFFFF"/>
        </w:rPr>
        <w:t> </w:t>
      </w:r>
      <w:r w:rsidRPr="005130FC">
        <w:rPr>
          <w:i/>
          <w:iCs/>
          <w:color w:val="000000" w:themeColor="text1"/>
        </w:rPr>
        <w:t>13</w:t>
      </w:r>
      <w:r w:rsidRPr="005130FC">
        <w:rPr>
          <w:color w:val="000000" w:themeColor="text1"/>
          <w:shd w:val="clear" w:color="auto" w:fill="FFFFFF"/>
        </w:rPr>
        <w:t>(25).</w:t>
      </w:r>
    </w:p>
    <w:p w14:paraId="1AC6110F" w14:textId="36915A8E" w:rsidR="00985228" w:rsidRPr="005130FC" w:rsidRDefault="00985228" w:rsidP="00985228">
      <w:pPr>
        <w:spacing w:line="360" w:lineRule="auto"/>
        <w:ind w:left="709" w:hanging="1"/>
        <w:jc w:val="both"/>
        <w:rPr>
          <w:color w:val="000000" w:themeColor="text1"/>
          <w:lang w:val="es-ES"/>
        </w:rPr>
      </w:pPr>
      <w:r w:rsidRPr="005130FC">
        <w:t xml:space="preserve"> </w:t>
      </w:r>
      <w:r w:rsidRPr="00D45D7D">
        <w:rPr>
          <w:color w:val="000000" w:themeColor="text1"/>
          <w:shd w:val="clear" w:color="auto" w:fill="FFFFFF"/>
        </w:rPr>
        <w:t>https://doi.org/10.23913/ride.v13i25.1251.</w:t>
      </w:r>
    </w:p>
    <w:p w14:paraId="3B892A0B" w14:textId="77777777" w:rsidR="00985228" w:rsidRPr="005130FC" w:rsidRDefault="00985228" w:rsidP="00985228">
      <w:pPr>
        <w:spacing w:line="360" w:lineRule="auto"/>
        <w:ind w:left="709" w:hanging="709"/>
        <w:jc w:val="both"/>
        <w:rPr>
          <w:color w:val="000000" w:themeColor="text1"/>
        </w:rPr>
      </w:pPr>
      <w:r w:rsidRPr="005130FC">
        <w:rPr>
          <w:color w:val="000000" w:themeColor="text1"/>
        </w:rPr>
        <w:t xml:space="preserve">Arévalos, E. A., y Tello. A. F., (2018). Determinantes de la recaudación estatal de impuestos en México. Paradigma económico. </w:t>
      </w:r>
      <w:r w:rsidRPr="005130FC">
        <w:rPr>
          <w:i/>
          <w:iCs/>
          <w:color w:val="000000" w:themeColor="text1"/>
        </w:rPr>
        <w:t>Revista de economía regional y sectorial</w:t>
      </w:r>
      <w:r w:rsidRPr="005130FC">
        <w:rPr>
          <w:color w:val="000000" w:themeColor="text1"/>
        </w:rPr>
        <w:t>, 10(1),155-174.</w:t>
      </w:r>
    </w:p>
    <w:p w14:paraId="181EB2D1" w14:textId="77777777" w:rsidR="00985228" w:rsidRPr="005130FC" w:rsidRDefault="00985228" w:rsidP="00985228">
      <w:pPr>
        <w:spacing w:line="360" w:lineRule="auto"/>
        <w:ind w:left="709" w:hanging="1"/>
        <w:jc w:val="both"/>
        <w:rPr>
          <w:color w:val="000000" w:themeColor="text1"/>
        </w:rPr>
      </w:pPr>
      <w:r w:rsidRPr="005130FC">
        <w:rPr>
          <w:color w:val="000000" w:themeColor="text1"/>
        </w:rPr>
        <w:t>https://www.redalyc.org/articulo.oa?id=431564569006</w:t>
      </w:r>
    </w:p>
    <w:p w14:paraId="6CBEAA61" w14:textId="77777777" w:rsidR="00985228" w:rsidRPr="005130FC" w:rsidRDefault="00985228" w:rsidP="00985228">
      <w:pPr>
        <w:spacing w:line="360" w:lineRule="auto"/>
        <w:ind w:left="709" w:hanging="709"/>
        <w:jc w:val="both"/>
        <w:rPr>
          <w:color w:val="000000" w:themeColor="text1"/>
          <w:shd w:val="clear" w:color="auto" w:fill="FFFFFF"/>
        </w:rPr>
      </w:pPr>
      <w:r w:rsidRPr="005130FC">
        <w:rPr>
          <w:color w:val="000000" w:themeColor="text1"/>
          <w:shd w:val="clear" w:color="auto" w:fill="FFFFFF"/>
        </w:rPr>
        <w:t xml:space="preserve">Centro de Estudios de Finanzas Públicas [CEFP]. (2022). </w:t>
      </w:r>
      <w:r w:rsidRPr="005130FC">
        <w:rPr>
          <w:i/>
          <w:iCs/>
          <w:color w:val="000000" w:themeColor="text1"/>
          <w:shd w:val="clear" w:color="auto" w:fill="FFFFFF"/>
        </w:rPr>
        <w:t>Participación de los principales impuestos en los Ingresos tributarios, 2006.-2021.</w:t>
      </w:r>
      <w:r w:rsidRPr="005130FC">
        <w:rPr>
          <w:color w:val="000000" w:themeColor="text1"/>
          <w:shd w:val="clear" w:color="auto" w:fill="FFFFFF"/>
        </w:rPr>
        <w:t xml:space="preserve"> </w:t>
      </w:r>
      <w:hyperlink r:id="rId12">
        <w:r w:rsidRPr="00950233">
          <w:rPr>
            <w:color w:val="000000" w:themeColor="text1"/>
          </w:rPr>
          <w:t>https://www.cefp.gob.mx/publicaciones/nota/2022/notacefp0342022.pdf</w:t>
        </w:r>
      </w:hyperlink>
    </w:p>
    <w:p w14:paraId="699B3CC1" w14:textId="77777777" w:rsidR="00985228" w:rsidRPr="005130FC" w:rsidRDefault="00985228" w:rsidP="00985228">
      <w:pPr>
        <w:spacing w:line="360" w:lineRule="auto"/>
        <w:ind w:left="709" w:hanging="709"/>
        <w:jc w:val="both"/>
        <w:rPr>
          <w:color w:val="000000" w:themeColor="text1"/>
          <w:shd w:val="clear" w:color="auto" w:fill="FFFFFF"/>
        </w:rPr>
      </w:pPr>
      <w:r w:rsidRPr="00950233">
        <w:rPr>
          <w:color w:val="000000" w:themeColor="text1"/>
          <w:shd w:val="clear" w:color="auto" w:fill="FFFFFF"/>
        </w:rPr>
        <w:t>Cervantes-Contreras, D. A. (2020). Obligaciones Digitales, Marco Legal, Fiscal y potencial recaudatorio en IEPS por Juegos y Sorteos: México. http://www.web.facpya.uanl.mx/vinculategica/Vinculategica6_2/62_Cervantes.pdf</w:t>
      </w:r>
    </w:p>
    <w:p w14:paraId="03769926" w14:textId="77777777" w:rsidR="00985228" w:rsidRPr="00950233" w:rsidRDefault="00985228" w:rsidP="00985228">
      <w:pPr>
        <w:spacing w:line="360" w:lineRule="auto"/>
        <w:ind w:left="709" w:hanging="709"/>
        <w:jc w:val="both"/>
        <w:rPr>
          <w:shd w:val="clear" w:color="auto" w:fill="FFFFFF"/>
        </w:rPr>
      </w:pPr>
      <w:r w:rsidRPr="00950233">
        <w:rPr>
          <w:color w:val="000000" w:themeColor="text1"/>
          <w:shd w:val="clear" w:color="auto" w:fill="FFFFFF"/>
        </w:rPr>
        <w:t xml:space="preserve">Comisión Económica para América Latina y el Caribe [CEPAL]. (2021), Panorama Fiscal de América Latina y el Caribe, 2021. </w:t>
      </w:r>
      <w:hyperlink r:id="rId13">
        <w:r w:rsidRPr="00950233">
          <w:rPr>
            <w:color w:val="000000" w:themeColor="text1"/>
            <w:shd w:val="clear" w:color="auto" w:fill="FFFFFF"/>
          </w:rPr>
          <w:t>https://repositorio.cepal.org/bitstream/handle/11362/46808/1/S2100170_es.pdf</w:t>
        </w:r>
      </w:hyperlink>
    </w:p>
    <w:p w14:paraId="77DE02E5" w14:textId="77777777" w:rsidR="00985228" w:rsidRPr="005130FC" w:rsidRDefault="00985228" w:rsidP="00985228">
      <w:pPr>
        <w:spacing w:line="360" w:lineRule="auto"/>
        <w:ind w:left="709" w:hanging="709"/>
        <w:jc w:val="both"/>
        <w:rPr>
          <w:color w:val="000000" w:themeColor="text1"/>
        </w:rPr>
      </w:pPr>
      <w:r w:rsidRPr="005130FC">
        <w:rPr>
          <w:color w:val="000000" w:themeColor="text1"/>
        </w:rPr>
        <w:lastRenderedPageBreak/>
        <w:t>Fondo Monetario Internacional [</w:t>
      </w:r>
      <w:r w:rsidRPr="005130FC">
        <w:rPr>
          <w:color w:val="000000" w:themeColor="text1"/>
          <w:shd w:val="clear" w:color="auto" w:fill="FFFFFF"/>
        </w:rPr>
        <w:t>FMI</w:t>
      </w:r>
      <w:r w:rsidRPr="005130FC">
        <w:rPr>
          <w:color w:val="000000" w:themeColor="text1"/>
        </w:rPr>
        <w:t>]</w:t>
      </w:r>
      <w:r w:rsidRPr="005130FC">
        <w:rPr>
          <w:color w:val="000000" w:themeColor="text1"/>
          <w:shd w:val="clear" w:color="auto" w:fill="FFFFFF"/>
        </w:rPr>
        <w:t>.</w:t>
      </w:r>
      <w:r w:rsidRPr="005130FC">
        <w:rPr>
          <w:color w:val="000000" w:themeColor="text1"/>
        </w:rPr>
        <w:t xml:space="preserve"> (2014). </w:t>
      </w:r>
      <w:r w:rsidRPr="005130FC">
        <w:rPr>
          <w:i/>
          <w:iCs/>
          <w:color w:val="000000" w:themeColor="text1"/>
        </w:rPr>
        <w:t xml:space="preserve">Manual de estadísticas de finanzas públicas. </w:t>
      </w:r>
      <w:r w:rsidRPr="005130FC">
        <w:rPr>
          <w:color w:val="000000" w:themeColor="text1"/>
        </w:rPr>
        <w:t xml:space="preserve">Washington D.C.: Fondo Monetario Intenracional. </w:t>
      </w:r>
      <w:hyperlink r:id="rId14">
        <w:r w:rsidRPr="00950233">
          <w:rPr>
            <w:color w:val="000000" w:themeColor="text1"/>
          </w:rPr>
          <w:t>https://www.imf.org/external/Pubs/FT/GFS/Manual/2014/GFSM_2014_SPA.pdf</w:t>
        </w:r>
      </w:hyperlink>
      <w:r w:rsidRPr="005130FC">
        <w:rPr>
          <w:color w:val="000000" w:themeColor="text1"/>
        </w:rPr>
        <w:t xml:space="preserve"> </w:t>
      </w:r>
    </w:p>
    <w:p w14:paraId="1B21FEF5" w14:textId="77777777" w:rsidR="00985228" w:rsidRPr="00950233" w:rsidRDefault="00985228" w:rsidP="00985228">
      <w:pPr>
        <w:spacing w:line="360" w:lineRule="auto"/>
        <w:ind w:left="709" w:hanging="709"/>
        <w:jc w:val="both"/>
        <w:rPr>
          <w:color w:val="000000" w:themeColor="text1"/>
        </w:rPr>
      </w:pPr>
      <w:r w:rsidRPr="005130FC">
        <w:rPr>
          <w:color w:val="000000" w:themeColor="text1"/>
        </w:rPr>
        <w:t xml:space="preserve">Hernández,  R.  y Mendoza,  C.  P.  (2018). </w:t>
      </w:r>
      <w:r w:rsidRPr="00950233">
        <w:rPr>
          <w:color w:val="000000" w:themeColor="text1"/>
        </w:rPr>
        <w:t>Metodología  de  la  investigación. Las  rutas cuantitativa, cualitativa y mixta.México</w:t>
      </w:r>
      <w:r w:rsidRPr="005130FC">
        <w:rPr>
          <w:color w:val="000000" w:themeColor="text1"/>
        </w:rPr>
        <w:t>: McGraw-Hill Interamericana.</w:t>
      </w:r>
    </w:p>
    <w:p w14:paraId="023EC8E9" w14:textId="77777777" w:rsidR="00985228" w:rsidRPr="00950233" w:rsidRDefault="00985228" w:rsidP="00985228">
      <w:pPr>
        <w:spacing w:line="360" w:lineRule="auto"/>
        <w:ind w:left="709" w:hanging="709"/>
        <w:jc w:val="both"/>
        <w:rPr>
          <w:color w:val="000000" w:themeColor="text1"/>
        </w:rPr>
      </w:pPr>
      <w:r w:rsidRPr="00950233">
        <w:rPr>
          <w:color w:val="000000" w:themeColor="text1"/>
        </w:rPr>
        <w:t>Instituto Mexicano para la Competitividad A.C. [IMCO]. (2020). Hablemos de ingresos en los Estados. Instituto Mexicano para La Competitividad A.C.</w:t>
      </w:r>
    </w:p>
    <w:p w14:paraId="3DAE4632" w14:textId="77777777" w:rsidR="00985228" w:rsidRPr="00950233" w:rsidRDefault="00000000" w:rsidP="00985228">
      <w:pPr>
        <w:spacing w:line="360" w:lineRule="auto"/>
        <w:ind w:left="709" w:hanging="1"/>
        <w:jc w:val="both"/>
        <w:rPr>
          <w:color w:val="000000" w:themeColor="text1"/>
        </w:rPr>
      </w:pPr>
      <w:hyperlink r:id="rId15">
        <w:r w:rsidR="00985228" w:rsidRPr="00950233">
          <w:rPr>
            <w:color w:val="000000" w:themeColor="text1"/>
          </w:rPr>
          <w:t>https://imco.org.mx/hablemos-de-ingresos-en-los-estados/</w:t>
        </w:r>
      </w:hyperlink>
    </w:p>
    <w:p w14:paraId="61C7C4CE" w14:textId="77777777" w:rsidR="00985228" w:rsidRPr="005130FC" w:rsidRDefault="00985228" w:rsidP="00985228">
      <w:pPr>
        <w:spacing w:line="360" w:lineRule="auto"/>
        <w:ind w:left="709" w:hanging="709"/>
        <w:jc w:val="both"/>
        <w:rPr>
          <w:color w:val="000000" w:themeColor="text1"/>
          <w:shd w:val="clear" w:color="auto" w:fill="FFFFFF"/>
        </w:rPr>
      </w:pPr>
      <w:r w:rsidRPr="005130FC">
        <w:rPr>
          <w:color w:val="000000" w:themeColor="text1"/>
          <w:shd w:val="clear" w:color="auto" w:fill="FFFFFF"/>
        </w:rPr>
        <w:t xml:space="preserve">Instituto Mexicano para la Competitividad A.C. [IMCO].  (2021). </w:t>
      </w:r>
      <w:r w:rsidRPr="005130FC">
        <w:rPr>
          <w:i/>
          <w:iCs/>
          <w:color w:val="000000" w:themeColor="text1"/>
          <w:shd w:val="clear" w:color="auto" w:fill="FFFFFF"/>
        </w:rPr>
        <w:t>Hablemos de ingresos en los Estados</w:t>
      </w:r>
      <w:r w:rsidRPr="005130FC">
        <w:rPr>
          <w:color w:val="000000" w:themeColor="text1"/>
          <w:shd w:val="clear" w:color="auto" w:fill="FFFFFF"/>
        </w:rPr>
        <w:t>. Instituto Mexicano para La Competitividad A.C.</w:t>
      </w:r>
    </w:p>
    <w:p w14:paraId="47D5FF1B" w14:textId="77777777" w:rsidR="00985228" w:rsidRPr="005130FC" w:rsidRDefault="00985228" w:rsidP="00985228">
      <w:pPr>
        <w:spacing w:line="360" w:lineRule="auto"/>
        <w:ind w:left="709" w:hanging="1"/>
        <w:jc w:val="both"/>
        <w:rPr>
          <w:color w:val="000000" w:themeColor="text1"/>
          <w:shd w:val="clear" w:color="auto" w:fill="FFFFFF"/>
        </w:rPr>
      </w:pPr>
      <w:r w:rsidRPr="005130FC">
        <w:rPr>
          <w:color w:val="000000" w:themeColor="text1"/>
          <w:shd w:val="clear" w:color="auto" w:fill="FFFFFF"/>
        </w:rPr>
        <w:t>https://imco.org.mx/wp-content/uploads/2021/04/20210304_HablemosDeIngresos_2021_Documento.pdf</w:t>
      </w:r>
    </w:p>
    <w:p w14:paraId="77A89AB4" w14:textId="77777777" w:rsidR="00985228" w:rsidRPr="005130FC" w:rsidRDefault="00985228" w:rsidP="00985228">
      <w:pPr>
        <w:spacing w:line="360" w:lineRule="auto"/>
        <w:ind w:left="709" w:hanging="709"/>
        <w:jc w:val="both"/>
        <w:rPr>
          <w:color w:val="000000" w:themeColor="text1"/>
          <w:shd w:val="clear" w:color="auto" w:fill="FFFFFF"/>
        </w:rPr>
      </w:pPr>
      <w:r w:rsidRPr="005130FC">
        <w:rPr>
          <w:color w:val="000000" w:themeColor="text1"/>
          <w:shd w:val="clear" w:color="auto" w:fill="FFFFFF"/>
        </w:rPr>
        <w:t xml:space="preserve">Instituto Mexicano para la Competitividad A.C. [IMCO]. </w:t>
      </w:r>
      <w:r w:rsidRPr="005130FC">
        <w:rPr>
          <w:color w:val="000000" w:themeColor="text1"/>
        </w:rPr>
        <w:t>(</w:t>
      </w:r>
      <w:r w:rsidRPr="005130FC">
        <w:rPr>
          <w:color w:val="000000" w:themeColor="text1"/>
          <w:shd w:val="clear" w:color="auto" w:fill="FFFFFF"/>
        </w:rPr>
        <w:t xml:space="preserve">2022). </w:t>
      </w:r>
      <w:r w:rsidRPr="005130FC">
        <w:rPr>
          <w:i/>
          <w:iCs/>
          <w:color w:val="000000" w:themeColor="text1"/>
          <w:shd w:val="clear" w:color="auto" w:fill="FFFFFF"/>
        </w:rPr>
        <w:t>82% de los Ingresos Estatales Provienen de las Transferencias Federales.</w:t>
      </w:r>
      <w:r w:rsidRPr="005130FC">
        <w:rPr>
          <w:color w:val="000000" w:themeColor="text1"/>
          <w:shd w:val="clear" w:color="auto" w:fill="FFFFFF"/>
        </w:rPr>
        <w:t xml:space="preserve"> Instituto Mexicano para la Competitividad S.A. https://imco.org.mx/82-de-los-ingresos-estatales-provienen-de-las-transferencias-federales/</w:t>
      </w:r>
    </w:p>
    <w:p w14:paraId="1A43DAD0" w14:textId="77777777" w:rsidR="00985228" w:rsidRPr="005130FC" w:rsidRDefault="00985228" w:rsidP="00985228">
      <w:pPr>
        <w:spacing w:line="360" w:lineRule="auto"/>
        <w:ind w:left="709" w:hanging="709"/>
        <w:jc w:val="both"/>
        <w:rPr>
          <w:i/>
          <w:iCs/>
        </w:rPr>
      </w:pPr>
      <w:r w:rsidRPr="005130FC">
        <w:rPr>
          <w:color w:val="000000" w:themeColor="text1"/>
          <w:shd w:val="clear" w:color="auto" w:fill="FFFFFF"/>
        </w:rPr>
        <w:t xml:space="preserve">Instituto Nacional de Estadística y Geografía [INEGI]. (31 de agosto de 2022). </w:t>
      </w:r>
      <w:r w:rsidRPr="005130FC">
        <w:rPr>
          <w:i/>
          <w:iCs/>
          <w:color w:val="000000" w:themeColor="text1"/>
          <w:shd w:val="clear" w:color="auto" w:fill="FFFFFF"/>
        </w:rPr>
        <w:t xml:space="preserve">Vehículos de motor registrados en circulación. </w:t>
      </w:r>
      <w:r w:rsidRPr="005130FC">
        <w:rPr>
          <w:color w:val="000000" w:themeColor="text1"/>
          <w:shd w:val="clear" w:color="auto" w:fill="FFFFFF"/>
        </w:rPr>
        <w:t>https://www.inegi.org.mx/programas/vehiculosmotor/</w:t>
      </w:r>
    </w:p>
    <w:p w14:paraId="382E14EF" w14:textId="77777777" w:rsidR="00985228" w:rsidRPr="005130FC" w:rsidRDefault="00985228" w:rsidP="00985228">
      <w:pPr>
        <w:pStyle w:val="NormalWeb"/>
        <w:shd w:val="clear" w:color="auto" w:fill="FFFFFF"/>
        <w:spacing w:beforeAutospacing="0" w:afterAutospacing="0" w:line="360" w:lineRule="auto"/>
        <w:ind w:left="709" w:hanging="709"/>
        <w:jc w:val="both"/>
        <w:rPr>
          <w:i/>
          <w:iCs/>
          <w:color w:val="000000" w:themeColor="text1"/>
          <w:shd w:val="clear" w:color="auto" w:fill="FFFFFF"/>
        </w:rPr>
      </w:pPr>
      <w:r w:rsidRPr="005130FC">
        <w:rPr>
          <w:color w:val="000000" w:themeColor="text1"/>
          <w:shd w:val="clear" w:color="auto" w:fill="FFFFFF"/>
        </w:rPr>
        <w:t xml:space="preserve">Instituto Nacional de Estadística y Geografía [INEGI]. (12 de mayo de 2022). </w:t>
      </w:r>
      <w:r w:rsidRPr="005130FC">
        <w:rPr>
          <w:i/>
          <w:iCs/>
          <w:color w:val="000000" w:themeColor="text1"/>
          <w:shd w:val="clear" w:color="auto" w:fill="FFFFFF"/>
        </w:rPr>
        <w:t>Finanzas Públicas Estatales y Municipales</w:t>
      </w:r>
    </w:p>
    <w:p w14:paraId="5AE5F794" w14:textId="77777777" w:rsidR="00985228" w:rsidRPr="00950233" w:rsidRDefault="00000000" w:rsidP="00985228">
      <w:pPr>
        <w:pStyle w:val="NormalWeb"/>
        <w:shd w:val="clear" w:color="auto" w:fill="FFFFFF"/>
        <w:spacing w:beforeAutospacing="0" w:afterAutospacing="0" w:line="360" w:lineRule="auto"/>
        <w:ind w:left="709" w:hanging="1"/>
        <w:jc w:val="both"/>
        <w:rPr>
          <w:color w:val="000000" w:themeColor="text1"/>
          <w:shd w:val="clear" w:color="auto" w:fill="FFFFFF"/>
        </w:rPr>
      </w:pPr>
      <w:hyperlink r:id="rId16" w:anchor="Regreso&amp;c=11288" w:history="1">
        <w:r w:rsidR="00985228" w:rsidRPr="00950233">
          <w:rPr>
            <w:color w:val="000000" w:themeColor="text1"/>
            <w:shd w:val="clear" w:color="auto" w:fill="FFFFFF"/>
          </w:rPr>
          <w:t>https://www.inegi.org.mx/sistemas/olap/consulta/general_ver4/MDXQueryDatos.asp?#Regreso&amp;c=11288</w:t>
        </w:r>
      </w:hyperlink>
    </w:p>
    <w:p w14:paraId="4357D20A" w14:textId="77777777" w:rsidR="00985228" w:rsidRPr="00950233" w:rsidRDefault="00985228" w:rsidP="00985228">
      <w:pPr>
        <w:pStyle w:val="NormalWeb"/>
        <w:shd w:val="clear" w:color="auto" w:fill="FFFFFF"/>
        <w:spacing w:beforeAutospacing="0" w:afterAutospacing="0" w:line="360" w:lineRule="auto"/>
        <w:ind w:left="709" w:hanging="709"/>
        <w:jc w:val="both"/>
        <w:rPr>
          <w:color w:val="000000" w:themeColor="text1"/>
          <w:shd w:val="clear" w:color="auto" w:fill="FFFFFF"/>
        </w:rPr>
      </w:pPr>
      <w:r w:rsidRPr="00950233">
        <w:rPr>
          <w:color w:val="000000" w:themeColor="text1"/>
          <w:shd w:val="clear" w:color="auto" w:fill="FFFFFF"/>
        </w:rPr>
        <w:t>Madrigal, G. (2021). Recaudación del impuesto predial en México: desafío del federalismo fiscal.InvestigaciónAdministrativa,50(127).</w:t>
      </w:r>
    </w:p>
    <w:p w14:paraId="1B21AB58" w14:textId="77777777" w:rsidR="00985228" w:rsidRPr="00950233" w:rsidRDefault="00000000" w:rsidP="00985228">
      <w:pPr>
        <w:pStyle w:val="NormalWeb"/>
        <w:shd w:val="clear" w:color="auto" w:fill="FFFFFF"/>
        <w:spacing w:beforeAutospacing="0" w:afterAutospacing="0" w:line="360" w:lineRule="auto"/>
        <w:ind w:left="709" w:hanging="1"/>
        <w:jc w:val="both"/>
        <w:rPr>
          <w:color w:val="000000" w:themeColor="text1"/>
          <w:shd w:val="clear" w:color="auto" w:fill="FFFFFF"/>
        </w:rPr>
      </w:pPr>
      <w:hyperlink r:id="rId17">
        <w:r w:rsidR="00985228" w:rsidRPr="00950233">
          <w:rPr>
            <w:color w:val="000000" w:themeColor="text1"/>
            <w:shd w:val="clear" w:color="auto" w:fill="FFFFFF"/>
          </w:rPr>
          <w:t>https://doi.org/10.35426/iav50n127.09</w:t>
        </w:r>
      </w:hyperlink>
      <w:r w:rsidR="00985228" w:rsidRPr="00950233">
        <w:rPr>
          <w:color w:val="000000" w:themeColor="text1"/>
          <w:shd w:val="clear" w:color="auto" w:fill="FFFFFF"/>
        </w:rPr>
        <w:t>.</w:t>
      </w:r>
    </w:p>
    <w:p w14:paraId="75B6FD0C" w14:textId="77777777" w:rsidR="00985228" w:rsidRPr="005130FC" w:rsidRDefault="00985228" w:rsidP="00985228">
      <w:pPr>
        <w:pStyle w:val="NormalWeb"/>
        <w:shd w:val="clear" w:color="auto" w:fill="FFFFFF"/>
        <w:spacing w:beforeAutospacing="0" w:afterAutospacing="0" w:line="360" w:lineRule="auto"/>
        <w:ind w:left="709" w:hanging="709"/>
        <w:jc w:val="both"/>
        <w:rPr>
          <w:color w:val="000000"/>
          <w:shd w:val="clear" w:color="auto" w:fill="FFFFFF"/>
        </w:rPr>
      </w:pPr>
      <w:r w:rsidRPr="005130FC">
        <w:rPr>
          <w:color w:val="000000"/>
          <w:shd w:val="clear" w:color="auto" w:fill="FFFFFF"/>
        </w:rPr>
        <w:t xml:space="preserve">Mendoza, A. (2019). ¿Pueden las transferencias federales afectar el esfuerzo fiscal, la transparencia y la rendición de cuentas de los gobiernos locales? México 2003-2013. El Trimestre Económico, 86(342), 307-342. </w:t>
      </w:r>
      <w:hyperlink r:id="rId18">
        <w:r w:rsidRPr="00950233">
          <w:rPr>
            <w:color w:val="000000"/>
          </w:rPr>
          <w:t>https://doi.org/10.20430/ete.v86i342.747</w:t>
        </w:r>
      </w:hyperlink>
      <w:r w:rsidRPr="005130FC">
        <w:rPr>
          <w:color w:val="000000"/>
          <w:shd w:val="clear" w:color="auto" w:fill="FFFFFF"/>
        </w:rPr>
        <w:t>.</w:t>
      </w:r>
    </w:p>
    <w:p w14:paraId="0816AA67" w14:textId="77777777" w:rsidR="00985228" w:rsidRPr="005130FC" w:rsidRDefault="00985228" w:rsidP="00985228">
      <w:pPr>
        <w:spacing w:line="360" w:lineRule="auto"/>
        <w:ind w:left="709" w:hanging="709"/>
        <w:jc w:val="both"/>
        <w:rPr>
          <w:color w:val="000000" w:themeColor="text1"/>
        </w:rPr>
      </w:pPr>
      <w:r w:rsidRPr="005130FC">
        <w:rPr>
          <w:color w:val="000000" w:themeColor="text1"/>
        </w:rPr>
        <w:t xml:space="preserve">Periódico Oficial del estado de Nayarit (2021). Ley de ingresos del estado libre y soberano de Nayarit para el ejercicio fiscal 2022. </w:t>
      </w:r>
    </w:p>
    <w:p w14:paraId="6893DA67" w14:textId="77777777" w:rsidR="00985228" w:rsidRPr="005130FC" w:rsidRDefault="00000000" w:rsidP="00985228">
      <w:pPr>
        <w:spacing w:line="360" w:lineRule="auto"/>
        <w:ind w:left="709" w:hanging="1"/>
        <w:jc w:val="both"/>
        <w:rPr>
          <w:color w:val="000000" w:themeColor="text1"/>
        </w:rPr>
      </w:pPr>
      <w:hyperlink r:id="rId19">
        <w:r w:rsidR="00985228" w:rsidRPr="00950233">
          <w:rPr>
            <w:color w:val="000000" w:themeColor="text1"/>
          </w:rPr>
          <w:t>https://www.hacienda-nayarit.gob.mx/Documentos/leyIngresos2022.pdf</w:t>
        </w:r>
      </w:hyperlink>
    </w:p>
    <w:p w14:paraId="0B2E88F9" w14:textId="77777777" w:rsidR="00985228" w:rsidRPr="005130FC" w:rsidRDefault="00985228" w:rsidP="00985228">
      <w:pPr>
        <w:spacing w:line="360" w:lineRule="auto"/>
        <w:jc w:val="both"/>
        <w:rPr>
          <w:color w:val="000000" w:themeColor="text1"/>
        </w:rPr>
      </w:pPr>
      <w:r w:rsidRPr="005130FC">
        <w:rPr>
          <w:color w:val="000000" w:themeColor="text1"/>
        </w:rPr>
        <w:lastRenderedPageBreak/>
        <w:t>Periódico Oficial del estado de Nayarit (2021). Ley de movilidad del estado de Nayarit.</w:t>
      </w:r>
    </w:p>
    <w:p w14:paraId="13496CFC" w14:textId="77777777" w:rsidR="00985228" w:rsidRPr="005130FC" w:rsidRDefault="00985228" w:rsidP="00985228">
      <w:pPr>
        <w:spacing w:line="360" w:lineRule="auto"/>
        <w:ind w:left="709" w:hanging="1"/>
        <w:jc w:val="both"/>
        <w:rPr>
          <w:color w:val="000000" w:themeColor="text1"/>
        </w:rPr>
      </w:pPr>
      <w:r w:rsidRPr="005130FC">
        <w:rPr>
          <w:color w:val="000000" w:themeColor="text1"/>
        </w:rPr>
        <w:t>https://contraloria.nayarit.gob.mx/assets/pdf/normateca/40.%20LEY%20DE%20MOVILIDAD%20DEL%20ESTADO%20DE%20NAYARIT.pdf</w:t>
      </w:r>
    </w:p>
    <w:p w14:paraId="02E6BFB1" w14:textId="77777777" w:rsidR="00985228" w:rsidRPr="005130FC" w:rsidRDefault="00985228" w:rsidP="00985228">
      <w:pPr>
        <w:spacing w:line="360" w:lineRule="auto"/>
        <w:jc w:val="both"/>
        <w:rPr>
          <w:color w:val="000000" w:themeColor="text1"/>
        </w:rPr>
      </w:pPr>
      <w:r w:rsidRPr="005130FC">
        <w:rPr>
          <w:color w:val="000000" w:themeColor="text1"/>
        </w:rPr>
        <w:t>Periódico Oficial del estado de Nayarit (2019). Ley de hacienda del estado de Nayarit.</w:t>
      </w:r>
    </w:p>
    <w:p w14:paraId="695488FE" w14:textId="77777777" w:rsidR="00985228" w:rsidRPr="005130FC" w:rsidRDefault="00985228" w:rsidP="00985228">
      <w:pPr>
        <w:spacing w:line="360" w:lineRule="auto"/>
        <w:ind w:left="709" w:hanging="1"/>
        <w:jc w:val="both"/>
        <w:rPr>
          <w:color w:val="000000" w:themeColor="text1"/>
        </w:rPr>
      </w:pPr>
      <w:r w:rsidRPr="005130FC">
        <w:rPr>
          <w:color w:val="000000" w:themeColor="text1"/>
        </w:rPr>
        <w:t>https://www.nayarit.gob.mx/transparenciafiscal/des/1_marco_regulatorio/ley_hacienda.pdf</w:t>
      </w:r>
    </w:p>
    <w:p w14:paraId="6B18721B" w14:textId="77777777" w:rsidR="00985228" w:rsidRPr="005130FC" w:rsidRDefault="00985228" w:rsidP="00985228">
      <w:pPr>
        <w:pStyle w:val="NormalWeb"/>
        <w:shd w:val="clear" w:color="auto" w:fill="FFFFFF"/>
        <w:spacing w:beforeAutospacing="0" w:afterAutospacing="0" w:line="360" w:lineRule="auto"/>
        <w:ind w:left="709" w:hanging="709"/>
        <w:jc w:val="both"/>
        <w:rPr>
          <w:color w:val="000000" w:themeColor="text1"/>
        </w:rPr>
      </w:pPr>
      <w:r w:rsidRPr="005130FC">
        <w:rPr>
          <w:color w:val="000000" w:themeColor="text1"/>
          <w:shd w:val="clear" w:color="auto" w:fill="FFFFFF"/>
        </w:rPr>
        <w:t>Rodríguez,  R.  R.,  Espinal,  A.  E.,  Carreño,  M.  Á.  D.,  y Cordero,  A.  T.  (2017).  Capacidad, productividad  y  desempeño  fiscal  en  las  entidades  federativas  de  México,  2010-2014.Paradigma Económico,9(2),93-126. https://paradigmaeconomico.uaemex.mx/article/view/9391/7878</w:t>
      </w:r>
    </w:p>
    <w:p w14:paraId="23DE73FD" w14:textId="77777777" w:rsidR="00985228" w:rsidRPr="005130FC" w:rsidRDefault="00985228" w:rsidP="00985228">
      <w:pPr>
        <w:pStyle w:val="NormalWeb"/>
        <w:shd w:val="clear" w:color="auto" w:fill="FFFFFF"/>
        <w:spacing w:beforeAutospacing="0" w:afterAutospacing="0" w:line="360" w:lineRule="auto"/>
        <w:ind w:left="709" w:hanging="709"/>
        <w:jc w:val="both"/>
        <w:rPr>
          <w:color w:val="000000" w:themeColor="text1"/>
        </w:rPr>
      </w:pPr>
      <w:r w:rsidRPr="005130FC">
        <w:rPr>
          <w:color w:val="000000" w:themeColor="text1"/>
        </w:rPr>
        <w:t xml:space="preserve">Ruiz, A. y García, N. (2020). Las transferencias intergubernamentales y los ingresos de los gobiernos estatales mexicanos: Un análisis econométrico. </w:t>
      </w:r>
    </w:p>
    <w:p w14:paraId="28148641" w14:textId="77777777" w:rsidR="00985228" w:rsidRPr="005130FC" w:rsidRDefault="00985228" w:rsidP="00985228">
      <w:pPr>
        <w:pStyle w:val="NormalWeb"/>
        <w:shd w:val="clear" w:color="auto" w:fill="FFFFFF"/>
        <w:spacing w:beforeAutospacing="0" w:afterAutospacing="0" w:line="360" w:lineRule="auto"/>
        <w:ind w:left="709" w:hanging="709"/>
        <w:jc w:val="both"/>
        <w:rPr>
          <w:color w:val="000000" w:themeColor="text1"/>
        </w:rPr>
      </w:pPr>
      <w:r w:rsidRPr="005130FC">
        <w:rPr>
          <w:color w:val="000000" w:themeColor="text1"/>
          <w:shd w:val="clear" w:color="auto" w:fill="FFFFFF"/>
        </w:rPr>
        <w:t>Torres-Melo, J., &amp; Santander, J. (2013).</w:t>
      </w:r>
      <w:r w:rsidRPr="005130FC">
        <w:rPr>
          <w:rStyle w:val="apple-converted-space"/>
          <w:color w:val="000000" w:themeColor="text1"/>
          <w:shd w:val="clear" w:color="auto" w:fill="FFFFFF"/>
        </w:rPr>
        <w:t> </w:t>
      </w:r>
      <w:r w:rsidRPr="005130FC">
        <w:rPr>
          <w:i/>
          <w:iCs/>
          <w:color w:val="000000" w:themeColor="text1"/>
        </w:rPr>
        <w:t>Introducción a las políticas públicas: conceptos y herramientas desde la relación entre Estado y ciudadanía</w:t>
      </w:r>
      <w:r w:rsidRPr="005130FC">
        <w:rPr>
          <w:color w:val="000000" w:themeColor="text1"/>
          <w:shd w:val="clear" w:color="auto" w:fill="FFFFFF"/>
        </w:rPr>
        <w:t>. IEMP ediciones.</w:t>
      </w:r>
    </w:p>
    <w:p w14:paraId="366F412F" w14:textId="77777777" w:rsidR="00985228" w:rsidRPr="005130FC" w:rsidRDefault="00985228" w:rsidP="00985228">
      <w:pPr>
        <w:spacing w:line="360" w:lineRule="auto"/>
        <w:ind w:left="709" w:hanging="709"/>
        <w:jc w:val="both"/>
        <w:rPr>
          <w:color w:val="000000" w:themeColor="text1"/>
          <w:shd w:val="clear" w:color="auto" w:fill="FFFFFF"/>
        </w:rPr>
      </w:pPr>
      <w:r w:rsidRPr="005130FC">
        <w:rPr>
          <w:color w:val="000000" w:themeColor="text1"/>
          <w:shd w:val="clear" w:color="auto" w:fill="FFFFFF"/>
        </w:rPr>
        <w:t>Torres, F. E. A., González, D. E. D., García, M. P. M., Vargas, J. J. Y., Sánchez, D. J. L., Morales, M. L. V., &amp; Rangel, H. F. G. (2022). La gestión de revisión fiscalizadora en México y su impacto en la recaudación de ISR.</w:t>
      </w:r>
      <w:r w:rsidRPr="005130FC">
        <w:rPr>
          <w:rStyle w:val="apple-converted-space"/>
          <w:color w:val="000000" w:themeColor="text1"/>
          <w:shd w:val="clear" w:color="auto" w:fill="FFFFFF"/>
        </w:rPr>
        <w:t> </w:t>
      </w:r>
      <w:r w:rsidRPr="005130FC">
        <w:rPr>
          <w:i/>
          <w:iCs/>
          <w:color w:val="000000" w:themeColor="text1"/>
        </w:rPr>
        <w:t>JÓVENES EN LA CIENCIA</w:t>
      </w:r>
      <w:r w:rsidRPr="005130FC">
        <w:rPr>
          <w:color w:val="000000" w:themeColor="text1"/>
          <w:shd w:val="clear" w:color="auto" w:fill="FFFFFF"/>
        </w:rPr>
        <w:t>,</w:t>
      </w:r>
      <w:r w:rsidRPr="005130FC">
        <w:rPr>
          <w:rStyle w:val="apple-converted-space"/>
          <w:color w:val="000000" w:themeColor="text1"/>
          <w:shd w:val="clear" w:color="auto" w:fill="FFFFFF"/>
        </w:rPr>
        <w:t> </w:t>
      </w:r>
      <w:r w:rsidRPr="005130FC">
        <w:rPr>
          <w:i/>
          <w:iCs/>
          <w:color w:val="000000" w:themeColor="text1"/>
        </w:rPr>
        <w:t>16</w:t>
      </w:r>
      <w:r w:rsidRPr="005130FC">
        <w:rPr>
          <w:color w:val="000000" w:themeColor="text1"/>
          <w:shd w:val="clear" w:color="auto" w:fill="FFFFFF"/>
        </w:rPr>
        <w:t>.</w:t>
      </w:r>
      <w:r w:rsidRPr="005130FC">
        <w:t xml:space="preserve"> </w:t>
      </w:r>
      <w:r w:rsidRPr="005130FC">
        <w:rPr>
          <w:color w:val="000000" w:themeColor="text1"/>
          <w:shd w:val="clear" w:color="auto" w:fill="FFFFFF"/>
        </w:rPr>
        <w:t>https://www.jovenesenlaciencia.ugto.mx/index.php/jovenesenlaciencia/article/view/3689.</w:t>
      </w:r>
    </w:p>
    <w:p w14:paraId="65246C2F" w14:textId="77777777" w:rsidR="00985228" w:rsidRPr="005130FC" w:rsidRDefault="00985228" w:rsidP="00985228">
      <w:pPr>
        <w:spacing w:line="360" w:lineRule="auto"/>
        <w:ind w:left="709" w:hanging="709"/>
        <w:jc w:val="both"/>
        <w:rPr>
          <w:color w:val="000000" w:themeColor="text1"/>
          <w:shd w:val="clear" w:color="auto" w:fill="FFFFFF"/>
        </w:rPr>
      </w:pPr>
      <w:r w:rsidRPr="005130FC">
        <w:rPr>
          <w:color w:val="000000" w:themeColor="text1"/>
          <w:shd w:val="clear" w:color="auto" w:fill="FFFFFF"/>
        </w:rPr>
        <w:t>Unda, M. (2021). Una hacienda local pobre:¿qué explica la recaudación predial en México?Estudios Demográficos y Urbanos,36(1), 49-88. https://doi.org/10.24201/edu.v36i1.1871.</w:t>
      </w:r>
    </w:p>
    <w:p w14:paraId="4157252F" w14:textId="77777777" w:rsidR="00985228" w:rsidRDefault="00985228" w:rsidP="00985228">
      <w:pPr>
        <w:spacing w:line="360" w:lineRule="auto"/>
        <w:ind w:left="709" w:hanging="709"/>
        <w:jc w:val="both"/>
        <w:rPr>
          <w:color w:val="000000" w:themeColor="text1"/>
        </w:rPr>
      </w:pPr>
      <w:proofErr w:type="spellStart"/>
      <w:proofErr w:type="gramStart"/>
      <w:r w:rsidRPr="005130FC">
        <w:rPr>
          <w:color w:val="000000" w:themeColor="text1"/>
          <w:lang w:val="en-US"/>
        </w:rPr>
        <w:t>Vaske</w:t>
      </w:r>
      <w:proofErr w:type="spellEnd"/>
      <w:r w:rsidRPr="005130FC">
        <w:rPr>
          <w:color w:val="000000" w:themeColor="text1"/>
          <w:lang w:val="en-US"/>
        </w:rPr>
        <w:t>,  J.</w:t>
      </w:r>
      <w:proofErr w:type="gramEnd"/>
      <w:r w:rsidRPr="005130FC">
        <w:rPr>
          <w:color w:val="000000" w:themeColor="text1"/>
          <w:lang w:val="en-US"/>
        </w:rPr>
        <w:t xml:space="preserve">  J.</w:t>
      </w:r>
      <w:proofErr w:type="gramStart"/>
      <w:r w:rsidRPr="005130FC">
        <w:rPr>
          <w:color w:val="000000" w:themeColor="text1"/>
          <w:lang w:val="en-US"/>
        </w:rPr>
        <w:t>,  Beaman</w:t>
      </w:r>
      <w:proofErr w:type="gramEnd"/>
      <w:r w:rsidRPr="005130FC">
        <w:rPr>
          <w:color w:val="000000" w:themeColor="text1"/>
          <w:lang w:val="en-US"/>
        </w:rPr>
        <w:t xml:space="preserve">,  J. and </w:t>
      </w:r>
      <w:proofErr w:type="spellStart"/>
      <w:r w:rsidRPr="005130FC">
        <w:rPr>
          <w:color w:val="000000" w:themeColor="text1"/>
          <w:lang w:val="en-US"/>
        </w:rPr>
        <w:t>Sponarski</w:t>
      </w:r>
      <w:proofErr w:type="spellEnd"/>
      <w:r w:rsidRPr="005130FC">
        <w:rPr>
          <w:color w:val="000000" w:themeColor="text1"/>
          <w:lang w:val="en-US"/>
        </w:rPr>
        <w:t xml:space="preserve">,  C.  C.  (2017). </w:t>
      </w:r>
      <w:proofErr w:type="gramStart"/>
      <w:r w:rsidRPr="005130FC">
        <w:rPr>
          <w:color w:val="000000" w:themeColor="text1"/>
          <w:lang w:val="en-US"/>
        </w:rPr>
        <w:t>Rethinking  Internal</w:t>
      </w:r>
      <w:proofErr w:type="gramEnd"/>
      <w:r w:rsidRPr="005130FC">
        <w:rPr>
          <w:color w:val="000000" w:themeColor="text1"/>
          <w:lang w:val="en-US"/>
        </w:rPr>
        <w:t xml:space="preserve">  Consistency  in Cronbach’s  Alpha. </w:t>
      </w:r>
      <w:r w:rsidRPr="005130FC">
        <w:rPr>
          <w:color w:val="000000" w:themeColor="text1"/>
        </w:rPr>
        <w:t>Leisure     Sciences, 39(2),     163-173. Retrieved     fromhttps://doi.org/10.1080/01490400.2015.1127189.</w:t>
      </w:r>
    </w:p>
    <w:p w14:paraId="6B55513C" w14:textId="09E9014E" w:rsidR="0051191B" w:rsidRDefault="0051191B">
      <w:pPr>
        <w:spacing w:line="360" w:lineRule="auto"/>
        <w:ind w:left="709" w:hanging="709"/>
        <w:jc w:val="both"/>
        <w:rPr>
          <w:color w:val="000000" w:themeColor="text1"/>
        </w:rPr>
      </w:pPr>
    </w:p>
    <w:p w14:paraId="0AE6355C" w14:textId="77777777" w:rsidR="002169D2" w:rsidRDefault="002169D2">
      <w:pPr>
        <w:spacing w:line="360" w:lineRule="auto"/>
        <w:ind w:left="709" w:hanging="709"/>
        <w:jc w:val="both"/>
        <w:rPr>
          <w:color w:val="000000" w:themeColor="text1"/>
        </w:rPr>
      </w:pPr>
    </w:p>
    <w:p w14:paraId="71506FA3" w14:textId="77777777" w:rsidR="002169D2" w:rsidRDefault="002169D2">
      <w:pPr>
        <w:spacing w:line="360" w:lineRule="auto"/>
        <w:ind w:left="709" w:hanging="709"/>
        <w:jc w:val="both"/>
        <w:rPr>
          <w:color w:val="000000" w:themeColor="text1"/>
        </w:rPr>
      </w:pPr>
    </w:p>
    <w:p w14:paraId="3011E539" w14:textId="77777777" w:rsidR="002169D2" w:rsidRDefault="002169D2">
      <w:pPr>
        <w:spacing w:line="360" w:lineRule="auto"/>
        <w:ind w:left="709" w:hanging="709"/>
        <w:jc w:val="both"/>
        <w:rPr>
          <w:color w:val="000000" w:themeColor="text1"/>
        </w:rPr>
      </w:pPr>
    </w:p>
    <w:p w14:paraId="6DBD4EF4" w14:textId="77777777" w:rsidR="002169D2" w:rsidRDefault="002169D2">
      <w:pPr>
        <w:spacing w:line="360" w:lineRule="auto"/>
        <w:ind w:left="709" w:hanging="709"/>
        <w:jc w:val="both"/>
        <w:rPr>
          <w:color w:val="000000" w:themeColor="text1"/>
        </w:rPr>
      </w:pPr>
    </w:p>
    <w:p w14:paraId="71011540" w14:textId="77777777" w:rsidR="002169D2" w:rsidRDefault="002169D2">
      <w:pPr>
        <w:spacing w:line="360" w:lineRule="auto"/>
        <w:ind w:left="709" w:hanging="709"/>
        <w:jc w:val="both"/>
        <w:rPr>
          <w:color w:val="000000" w:themeColor="text1"/>
        </w:rPr>
      </w:pPr>
    </w:p>
    <w:p w14:paraId="7E202B92" w14:textId="77777777" w:rsidR="002169D2" w:rsidRDefault="002169D2">
      <w:pPr>
        <w:spacing w:line="360" w:lineRule="auto"/>
        <w:ind w:left="709" w:hanging="709"/>
        <w:jc w:val="both"/>
        <w:rPr>
          <w:color w:val="000000" w:themeColor="text1"/>
        </w:rPr>
      </w:pPr>
    </w:p>
    <w:p w14:paraId="0053BA69" w14:textId="77777777" w:rsidR="002169D2" w:rsidRDefault="002169D2">
      <w:pPr>
        <w:spacing w:line="360" w:lineRule="auto"/>
        <w:ind w:left="709" w:hanging="709"/>
        <w:jc w:val="both"/>
        <w:rPr>
          <w:color w:val="000000" w:themeColor="text1"/>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169D2" w:rsidRPr="002169D2" w14:paraId="6D43297F" w14:textId="77777777" w:rsidTr="002169D2">
        <w:trPr>
          <w:jc w:val="center"/>
        </w:trPr>
        <w:tc>
          <w:tcPr>
            <w:tcW w:w="3045" w:type="dxa"/>
            <w:shd w:val="clear" w:color="auto" w:fill="auto"/>
            <w:tcMar>
              <w:top w:w="100" w:type="dxa"/>
              <w:left w:w="100" w:type="dxa"/>
              <w:bottom w:w="100" w:type="dxa"/>
              <w:right w:w="100" w:type="dxa"/>
            </w:tcMar>
          </w:tcPr>
          <w:p w14:paraId="65169D80" w14:textId="77777777" w:rsidR="002169D2" w:rsidRPr="002169D2" w:rsidRDefault="002169D2" w:rsidP="004F6913">
            <w:pPr>
              <w:pStyle w:val="Ttulo3"/>
              <w:widowControl w:val="0"/>
              <w:spacing w:before="0"/>
              <w:rPr>
                <w:rFonts w:ascii="Times New Roman" w:hAnsi="Times New Roman" w:cs="Times New Roman"/>
                <w:color w:val="000000" w:themeColor="text1"/>
              </w:rPr>
            </w:pPr>
            <w:r w:rsidRPr="002169D2">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2FA5232C" w14:textId="0206E676" w:rsidR="002169D2" w:rsidRPr="002169D2" w:rsidRDefault="002169D2" w:rsidP="004F6913">
            <w:pPr>
              <w:pStyle w:val="Ttulo3"/>
              <w:widowControl w:val="0"/>
              <w:spacing w:before="0"/>
              <w:rPr>
                <w:rFonts w:ascii="Times New Roman" w:hAnsi="Times New Roman" w:cs="Times New Roman"/>
                <w:color w:val="000000" w:themeColor="text1"/>
              </w:rPr>
            </w:pPr>
            <w:bookmarkStart w:id="0" w:name="_btsjgdfgjwkr" w:colFirst="0" w:colLast="0"/>
            <w:bookmarkEnd w:id="0"/>
            <w:r>
              <w:rPr>
                <w:rFonts w:ascii="Times New Roman" w:hAnsi="Times New Roman" w:cs="Times New Roman"/>
                <w:color w:val="000000" w:themeColor="text1"/>
              </w:rPr>
              <w:t>Autor (es)</w:t>
            </w:r>
          </w:p>
        </w:tc>
      </w:tr>
      <w:tr w:rsidR="002169D2" w:rsidRPr="002169D2" w14:paraId="17FC916B" w14:textId="77777777" w:rsidTr="002169D2">
        <w:trPr>
          <w:jc w:val="center"/>
        </w:trPr>
        <w:tc>
          <w:tcPr>
            <w:tcW w:w="3045" w:type="dxa"/>
            <w:shd w:val="clear" w:color="auto" w:fill="auto"/>
            <w:tcMar>
              <w:top w:w="100" w:type="dxa"/>
              <w:left w:w="100" w:type="dxa"/>
              <w:bottom w:w="100" w:type="dxa"/>
              <w:right w:w="100" w:type="dxa"/>
            </w:tcMar>
          </w:tcPr>
          <w:p w14:paraId="449BD729" w14:textId="77777777" w:rsidR="002169D2" w:rsidRPr="002169D2" w:rsidRDefault="002169D2" w:rsidP="004F6913">
            <w:pPr>
              <w:widowControl w:val="0"/>
              <w:rPr>
                <w:color w:val="000000" w:themeColor="text1"/>
              </w:rPr>
            </w:pPr>
            <w:r w:rsidRPr="002169D2">
              <w:rPr>
                <w:color w:val="000000" w:themeColor="text1"/>
              </w:rPr>
              <w:t>Conceptualización</w:t>
            </w:r>
          </w:p>
        </w:tc>
        <w:tc>
          <w:tcPr>
            <w:tcW w:w="6315" w:type="dxa"/>
            <w:shd w:val="clear" w:color="auto" w:fill="auto"/>
            <w:tcMar>
              <w:top w:w="100" w:type="dxa"/>
              <w:left w:w="100" w:type="dxa"/>
              <w:bottom w:w="100" w:type="dxa"/>
              <w:right w:w="100" w:type="dxa"/>
            </w:tcMar>
          </w:tcPr>
          <w:p w14:paraId="299A1AA2" w14:textId="77777777" w:rsidR="002169D2" w:rsidRPr="002169D2" w:rsidRDefault="002169D2" w:rsidP="004F6913">
            <w:pPr>
              <w:widowControl w:val="0"/>
              <w:rPr>
                <w:color w:val="000000" w:themeColor="text1"/>
              </w:rPr>
            </w:pPr>
            <w:r w:rsidRPr="002169D2">
              <w:rPr>
                <w:color w:val="000000" w:themeColor="text1"/>
              </w:rPr>
              <w:t>Ricardo Gómez Álvarez</w:t>
            </w:r>
          </w:p>
        </w:tc>
      </w:tr>
      <w:tr w:rsidR="002169D2" w:rsidRPr="002169D2" w14:paraId="1C880D9D" w14:textId="77777777" w:rsidTr="002169D2">
        <w:trPr>
          <w:jc w:val="center"/>
        </w:trPr>
        <w:tc>
          <w:tcPr>
            <w:tcW w:w="3045" w:type="dxa"/>
            <w:shd w:val="clear" w:color="auto" w:fill="auto"/>
            <w:tcMar>
              <w:top w:w="100" w:type="dxa"/>
              <w:left w:w="100" w:type="dxa"/>
              <w:bottom w:w="100" w:type="dxa"/>
              <w:right w:w="100" w:type="dxa"/>
            </w:tcMar>
          </w:tcPr>
          <w:p w14:paraId="4F63842C" w14:textId="77777777" w:rsidR="002169D2" w:rsidRPr="002169D2" w:rsidRDefault="002169D2" w:rsidP="004F6913">
            <w:pPr>
              <w:widowControl w:val="0"/>
              <w:rPr>
                <w:color w:val="000000" w:themeColor="text1"/>
              </w:rPr>
            </w:pPr>
            <w:r w:rsidRPr="002169D2">
              <w:rPr>
                <w:color w:val="000000" w:themeColor="text1"/>
              </w:rPr>
              <w:t>Metodología</w:t>
            </w:r>
          </w:p>
        </w:tc>
        <w:tc>
          <w:tcPr>
            <w:tcW w:w="6315" w:type="dxa"/>
            <w:shd w:val="clear" w:color="auto" w:fill="auto"/>
            <w:tcMar>
              <w:top w:w="100" w:type="dxa"/>
              <w:left w:w="100" w:type="dxa"/>
              <w:bottom w:w="100" w:type="dxa"/>
              <w:right w:w="100" w:type="dxa"/>
            </w:tcMar>
          </w:tcPr>
          <w:p w14:paraId="37D25EB5" w14:textId="77777777" w:rsidR="002169D2" w:rsidRPr="002169D2" w:rsidRDefault="002169D2" w:rsidP="004F6913">
            <w:pPr>
              <w:widowControl w:val="0"/>
              <w:rPr>
                <w:color w:val="000000" w:themeColor="text1"/>
              </w:rPr>
            </w:pPr>
            <w:r w:rsidRPr="002169D2">
              <w:rPr>
                <w:color w:val="000000" w:themeColor="text1"/>
              </w:rPr>
              <w:t xml:space="preserve">Ricardo Gómez Álvarez </w:t>
            </w:r>
          </w:p>
        </w:tc>
      </w:tr>
      <w:tr w:rsidR="002169D2" w:rsidRPr="002169D2" w14:paraId="504168E7" w14:textId="77777777" w:rsidTr="002169D2">
        <w:trPr>
          <w:jc w:val="center"/>
        </w:trPr>
        <w:tc>
          <w:tcPr>
            <w:tcW w:w="3045" w:type="dxa"/>
            <w:shd w:val="clear" w:color="auto" w:fill="auto"/>
            <w:tcMar>
              <w:top w:w="100" w:type="dxa"/>
              <w:left w:w="100" w:type="dxa"/>
              <w:bottom w:w="100" w:type="dxa"/>
              <w:right w:w="100" w:type="dxa"/>
            </w:tcMar>
          </w:tcPr>
          <w:p w14:paraId="2A7EFAEE" w14:textId="77777777" w:rsidR="002169D2" w:rsidRPr="002169D2" w:rsidRDefault="002169D2" w:rsidP="004F6913">
            <w:pPr>
              <w:widowControl w:val="0"/>
              <w:rPr>
                <w:color w:val="000000" w:themeColor="text1"/>
              </w:rPr>
            </w:pPr>
            <w:r w:rsidRPr="002169D2">
              <w:rPr>
                <w:color w:val="000000" w:themeColor="text1"/>
              </w:rPr>
              <w:t>Software</w:t>
            </w:r>
          </w:p>
        </w:tc>
        <w:tc>
          <w:tcPr>
            <w:tcW w:w="6315" w:type="dxa"/>
            <w:shd w:val="clear" w:color="auto" w:fill="auto"/>
            <w:tcMar>
              <w:top w:w="100" w:type="dxa"/>
              <w:left w:w="100" w:type="dxa"/>
              <w:bottom w:w="100" w:type="dxa"/>
              <w:right w:w="100" w:type="dxa"/>
            </w:tcMar>
          </w:tcPr>
          <w:p w14:paraId="646D4D75" w14:textId="77777777" w:rsidR="002169D2" w:rsidRPr="002169D2" w:rsidRDefault="002169D2" w:rsidP="004F6913">
            <w:pPr>
              <w:widowControl w:val="0"/>
              <w:rPr>
                <w:color w:val="000000" w:themeColor="text1"/>
              </w:rPr>
            </w:pPr>
            <w:r w:rsidRPr="002169D2">
              <w:rPr>
                <w:color w:val="000000" w:themeColor="text1"/>
              </w:rPr>
              <w:t>Ricardo Gómez Álvarez</w:t>
            </w:r>
          </w:p>
        </w:tc>
      </w:tr>
      <w:tr w:rsidR="002169D2" w:rsidRPr="002169D2" w14:paraId="354D792C" w14:textId="77777777" w:rsidTr="002169D2">
        <w:trPr>
          <w:jc w:val="center"/>
        </w:trPr>
        <w:tc>
          <w:tcPr>
            <w:tcW w:w="3045" w:type="dxa"/>
            <w:shd w:val="clear" w:color="auto" w:fill="auto"/>
            <w:tcMar>
              <w:top w:w="100" w:type="dxa"/>
              <w:left w:w="100" w:type="dxa"/>
              <w:bottom w:w="100" w:type="dxa"/>
              <w:right w:w="100" w:type="dxa"/>
            </w:tcMar>
          </w:tcPr>
          <w:p w14:paraId="7862593B" w14:textId="77777777" w:rsidR="002169D2" w:rsidRPr="002169D2" w:rsidRDefault="002169D2" w:rsidP="004F6913">
            <w:pPr>
              <w:widowControl w:val="0"/>
              <w:rPr>
                <w:color w:val="000000" w:themeColor="text1"/>
              </w:rPr>
            </w:pPr>
            <w:r w:rsidRPr="002169D2">
              <w:rPr>
                <w:color w:val="000000" w:themeColor="text1"/>
              </w:rPr>
              <w:t>Validación</w:t>
            </w:r>
          </w:p>
        </w:tc>
        <w:tc>
          <w:tcPr>
            <w:tcW w:w="6315" w:type="dxa"/>
            <w:shd w:val="clear" w:color="auto" w:fill="auto"/>
            <w:tcMar>
              <w:top w:w="100" w:type="dxa"/>
              <w:left w:w="100" w:type="dxa"/>
              <w:bottom w:w="100" w:type="dxa"/>
              <w:right w:w="100" w:type="dxa"/>
            </w:tcMar>
          </w:tcPr>
          <w:p w14:paraId="70061B2D" w14:textId="77777777" w:rsidR="002169D2" w:rsidRPr="002169D2" w:rsidRDefault="002169D2" w:rsidP="004F6913">
            <w:pPr>
              <w:widowControl w:val="0"/>
              <w:rPr>
                <w:color w:val="000000" w:themeColor="text1"/>
              </w:rPr>
            </w:pPr>
            <w:r w:rsidRPr="002169D2">
              <w:rPr>
                <w:color w:val="000000" w:themeColor="text1"/>
              </w:rPr>
              <w:t>Ricardo Gómez Álvarez</w:t>
            </w:r>
          </w:p>
        </w:tc>
      </w:tr>
      <w:tr w:rsidR="002169D2" w:rsidRPr="002169D2" w14:paraId="2BAF5A3E" w14:textId="77777777" w:rsidTr="002169D2">
        <w:trPr>
          <w:jc w:val="center"/>
        </w:trPr>
        <w:tc>
          <w:tcPr>
            <w:tcW w:w="3045" w:type="dxa"/>
            <w:shd w:val="clear" w:color="auto" w:fill="auto"/>
            <w:tcMar>
              <w:top w:w="100" w:type="dxa"/>
              <w:left w:w="100" w:type="dxa"/>
              <w:bottom w:w="100" w:type="dxa"/>
              <w:right w:w="100" w:type="dxa"/>
            </w:tcMar>
          </w:tcPr>
          <w:p w14:paraId="782E4F25" w14:textId="77777777" w:rsidR="002169D2" w:rsidRPr="002169D2" w:rsidRDefault="002169D2" w:rsidP="004F6913">
            <w:pPr>
              <w:widowControl w:val="0"/>
              <w:rPr>
                <w:color w:val="000000" w:themeColor="text1"/>
              </w:rPr>
            </w:pPr>
            <w:r w:rsidRPr="002169D2">
              <w:rPr>
                <w:color w:val="000000" w:themeColor="text1"/>
              </w:rPr>
              <w:t>Análisis Formal</w:t>
            </w:r>
          </w:p>
        </w:tc>
        <w:tc>
          <w:tcPr>
            <w:tcW w:w="6315" w:type="dxa"/>
            <w:shd w:val="clear" w:color="auto" w:fill="auto"/>
            <w:tcMar>
              <w:top w:w="100" w:type="dxa"/>
              <w:left w:w="100" w:type="dxa"/>
              <w:bottom w:w="100" w:type="dxa"/>
              <w:right w:w="100" w:type="dxa"/>
            </w:tcMar>
          </w:tcPr>
          <w:p w14:paraId="239F2731" w14:textId="77777777" w:rsidR="002169D2" w:rsidRPr="002169D2" w:rsidRDefault="002169D2" w:rsidP="004F6913">
            <w:pPr>
              <w:widowControl w:val="0"/>
              <w:rPr>
                <w:color w:val="000000" w:themeColor="text1"/>
              </w:rPr>
            </w:pPr>
            <w:r w:rsidRPr="002169D2">
              <w:rPr>
                <w:color w:val="000000" w:themeColor="text1"/>
              </w:rPr>
              <w:t>Ricardo Gómez Álvarez</w:t>
            </w:r>
          </w:p>
        </w:tc>
      </w:tr>
      <w:tr w:rsidR="002169D2" w:rsidRPr="002169D2" w14:paraId="529C2451" w14:textId="77777777" w:rsidTr="002169D2">
        <w:trPr>
          <w:jc w:val="center"/>
        </w:trPr>
        <w:tc>
          <w:tcPr>
            <w:tcW w:w="3045" w:type="dxa"/>
            <w:shd w:val="clear" w:color="auto" w:fill="auto"/>
            <w:tcMar>
              <w:top w:w="100" w:type="dxa"/>
              <w:left w:w="100" w:type="dxa"/>
              <w:bottom w:w="100" w:type="dxa"/>
              <w:right w:w="100" w:type="dxa"/>
            </w:tcMar>
          </w:tcPr>
          <w:p w14:paraId="0125D564" w14:textId="77777777" w:rsidR="002169D2" w:rsidRPr="002169D2" w:rsidRDefault="002169D2" w:rsidP="004F6913">
            <w:pPr>
              <w:widowControl w:val="0"/>
              <w:rPr>
                <w:color w:val="000000" w:themeColor="text1"/>
              </w:rPr>
            </w:pPr>
            <w:r w:rsidRPr="002169D2">
              <w:rPr>
                <w:color w:val="000000" w:themeColor="text1"/>
              </w:rPr>
              <w:t>Investigación</w:t>
            </w:r>
          </w:p>
        </w:tc>
        <w:tc>
          <w:tcPr>
            <w:tcW w:w="6315" w:type="dxa"/>
            <w:shd w:val="clear" w:color="auto" w:fill="auto"/>
            <w:tcMar>
              <w:top w:w="100" w:type="dxa"/>
              <w:left w:w="100" w:type="dxa"/>
              <w:bottom w:w="100" w:type="dxa"/>
              <w:right w:w="100" w:type="dxa"/>
            </w:tcMar>
          </w:tcPr>
          <w:p w14:paraId="23782124" w14:textId="77777777" w:rsidR="002169D2" w:rsidRPr="002169D2" w:rsidRDefault="002169D2" w:rsidP="004F6913">
            <w:pPr>
              <w:widowControl w:val="0"/>
              <w:rPr>
                <w:color w:val="000000" w:themeColor="text1"/>
              </w:rPr>
            </w:pPr>
            <w:r w:rsidRPr="002169D2">
              <w:rPr>
                <w:color w:val="000000" w:themeColor="text1"/>
              </w:rPr>
              <w:t>Ignacio Maldonado Bernal</w:t>
            </w:r>
          </w:p>
        </w:tc>
      </w:tr>
      <w:tr w:rsidR="002169D2" w:rsidRPr="002169D2" w14:paraId="790E3D78" w14:textId="77777777" w:rsidTr="002169D2">
        <w:trPr>
          <w:jc w:val="center"/>
        </w:trPr>
        <w:tc>
          <w:tcPr>
            <w:tcW w:w="3045" w:type="dxa"/>
            <w:shd w:val="clear" w:color="auto" w:fill="auto"/>
            <w:tcMar>
              <w:top w:w="100" w:type="dxa"/>
              <w:left w:w="100" w:type="dxa"/>
              <w:bottom w:w="100" w:type="dxa"/>
              <w:right w:w="100" w:type="dxa"/>
            </w:tcMar>
          </w:tcPr>
          <w:p w14:paraId="4B2A0C48" w14:textId="77777777" w:rsidR="002169D2" w:rsidRPr="002169D2" w:rsidRDefault="002169D2" w:rsidP="004F6913">
            <w:pPr>
              <w:widowControl w:val="0"/>
              <w:rPr>
                <w:color w:val="000000" w:themeColor="text1"/>
              </w:rPr>
            </w:pPr>
            <w:r w:rsidRPr="002169D2">
              <w:rPr>
                <w:color w:val="000000" w:themeColor="text1"/>
              </w:rPr>
              <w:t>Recursos</w:t>
            </w:r>
          </w:p>
        </w:tc>
        <w:tc>
          <w:tcPr>
            <w:tcW w:w="6315" w:type="dxa"/>
            <w:shd w:val="clear" w:color="auto" w:fill="auto"/>
            <w:tcMar>
              <w:top w:w="100" w:type="dxa"/>
              <w:left w:w="100" w:type="dxa"/>
              <w:bottom w:w="100" w:type="dxa"/>
              <w:right w:w="100" w:type="dxa"/>
            </w:tcMar>
          </w:tcPr>
          <w:p w14:paraId="27260804" w14:textId="77777777" w:rsidR="002169D2" w:rsidRPr="002169D2" w:rsidRDefault="002169D2" w:rsidP="004F6913">
            <w:pPr>
              <w:widowControl w:val="0"/>
              <w:rPr>
                <w:color w:val="000000" w:themeColor="text1"/>
              </w:rPr>
            </w:pPr>
            <w:r w:rsidRPr="002169D2">
              <w:rPr>
                <w:color w:val="000000" w:themeColor="text1"/>
              </w:rPr>
              <w:t>Ricardo Gómez Álvarez igual a Ignacio Maldonado Bernal</w:t>
            </w:r>
          </w:p>
        </w:tc>
      </w:tr>
      <w:tr w:rsidR="002169D2" w:rsidRPr="002169D2" w14:paraId="0CF3EB5E" w14:textId="77777777" w:rsidTr="002169D2">
        <w:trPr>
          <w:jc w:val="center"/>
        </w:trPr>
        <w:tc>
          <w:tcPr>
            <w:tcW w:w="3045" w:type="dxa"/>
            <w:shd w:val="clear" w:color="auto" w:fill="auto"/>
            <w:tcMar>
              <w:top w:w="100" w:type="dxa"/>
              <w:left w:w="100" w:type="dxa"/>
              <w:bottom w:w="100" w:type="dxa"/>
              <w:right w:w="100" w:type="dxa"/>
            </w:tcMar>
          </w:tcPr>
          <w:p w14:paraId="32591164" w14:textId="77777777" w:rsidR="002169D2" w:rsidRPr="002169D2" w:rsidRDefault="002169D2" w:rsidP="004F6913">
            <w:pPr>
              <w:widowControl w:val="0"/>
              <w:rPr>
                <w:color w:val="000000" w:themeColor="text1"/>
              </w:rPr>
            </w:pPr>
            <w:r w:rsidRPr="002169D2">
              <w:rPr>
                <w:color w:val="000000" w:themeColor="text1"/>
              </w:rPr>
              <w:t>Curación de datos</w:t>
            </w:r>
          </w:p>
        </w:tc>
        <w:tc>
          <w:tcPr>
            <w:tcW w:w="6315" w:type="dxa"/>
            <w:shd w:val="clear" w:color="auto" w:fill="auto"/>
            <w:tcMar>
              <w:top w:w="100" w:type="dxa"/>
              <w:left w:w="100" w:type="dxa"/>
              <w:bottom w:w="100" w:type="dxa"/>
              <w:right w:w="100" w:type="dxa"/>
            </w:tcMar>
          </w:tcPr>
          <w:p w14:paraId="1DFCF947" w14:textId="77777777" w:rsidR="002169D2" w:rsidRPr="002169D2" w:rsidRDefault="002169D2" w:rsidP="004F6913">
            <w:pPr>
              <w:widowControl w:val="0"/>
              <w:rPr>
                <w:color w:val="000000" w:themeColor="text1"/>
              </w:rPr>
            </w:pPr>
            <w:r w:rsidRPr="002169D2">
              <w:rPr>
                <w:color w:val="000000" w:themeColor="text1"/>
              </w:rPr>
              <w:t>Ricardo Gómez Álvarez</w:t>
            </w:r>
          </w:p>
        </w:tc>
      </w:tr>
      <w:tr w:rsidR="002169D2" w:rsidRPr="002169D2" w14:paraId="001B251A" w14:textId="77777777" w:rsidTr="002169D2">
        <w:trPr>
          <w:jc w:val="center"/>
        </w:trPr>
        <w:tc>
          <w:tcPr>
            <w:tcW w:w="3045" w:type="dxa"/>
            <w:shd w:val="clear" w:color="auto" w:fill="auto"/>
            <w:tcMar>
              <w:top w:w="100" w:type="dxa"/>
              <w:left w:w="100" w:type="dxa"/>
              <w:bottom w:w="100" w:type="dxa"/>
              <w:right w:w="100" w:type="dxa"/>
            </w:tcMar>
          </w:tcPr>
          <w:p w14:paraId="04992F12" w14:textId="77777777" w:rsidR="002169D2" w:rsidRPr="002169D2" w:rsidRDefault="002169D2" w:rsidP="004F6913">
            <w:pPr>
              <w:widowControl w:val="0"/>
              <w:rPr>
                <w:color w:val="000000" w:themeColor="text1"/>
              </w:rPr>
            </w:pPr>
            <w:r w:rsidRPr="002169D2">
              <w:rPr>
                <w:color w:val="000000" w:themeColor="text1"/>
              </w:rPr>
              <w:t>Escritura - Preparación del borrador original</w:t>
            </w:r>
          </w:p>
        </w:tc>
        <w:tc>
          <w:tcPr>
            <w:tcW w:w="6315" w:type="dxa"/>
            <w:shd w:val="clear" w:color="auto" w:fill="auto"/>
            <w:tcMar>
              <w:top w:w="100" w:type="dxa"/>
              <w:left w:w="100" w:type="dxa"/>
              <w:bottom w:w="100" w:type="dxa"/>
              <w:right w:w="100" w:type="dxa"/>
            </w:tcMar>
          </w:tcPr>
          <w:p w14:paraId="03AF88AE" w14:textId="77777777" w:rsidR="002169D2" w:rsidRPr="002169D2" w:rsidRDefault="002169D2" w:rsidP="004F6913">
            <w:pPr>
              <w:widowControl w:val="0"/>
              <w:rPr>
                <w:color w:val="000000" w:themeColor="text1"/>
              </w:rPr>
            </w:pPr>
            <w:r w:rsidRPr="002169D2">
              <w:rPr>
                <w:color w:val="000000" w:themeColor="text1"/>
              </w:rPr>
              <w:t>Ricardo Gómez Álvarez</w:t>
            </w:r>
          </w:p>
        </w:tc>
      </w:tr>
      <w:tr w:rsidR="002169D2" w:rsidRPr="002169D2" w14:paraId="28169979" w14:textId="77777777" w:rsidTr="002169D2">
        <w:trPr>
          <w:jc w:val="center"/>
        </w:trPr>
        <w:tc>
          <w:tcPr>
            <w:tcW w:w="3045" w:type="dxa"/>
            <w:shd w:val="clear" w:color="auto" w:fill="auto"/>
            <w:tcMar>
              <w:top w:w="100" w:type="dxa"/>
              <w:left w:w="100" w:type="dxa"/>
              <w:bottom w:w="100" w:type="dxa"/>
              <w:right w:w="100" w:type="dxa"/>
            </w:tcMar>
          </w:tcPr>
          <w:p w14:paraId="2C6AF82A" w14:textId="77777777" w:rsidR="002169D2" w:rsidRPr="002169D2" w:rsidRDefault="002169D2" w:rsidP="004F6913">
            <w:pPr>
              <w:widowControl w:val="0"/>
              <w:rPr>
                <w:color w:val="000000" w:themeColor="text1"/>
              </w:rPr>
            </w:pPr>
            <w:r w:rsidRPr="002169D2">
              <w:rPr>
                <w:color w:val="000000" w:themeColor="text1"/>
              </w:rPr>
              <w:t>Escritura - Revisión y edición</w:t>
            </w:r>
          </w:p>
        </w:tc>
        <w:tc>
          <w:tcPr>
            <w:tcW w:w="6315" w:type="dxa"/>
            <w:shd w:val="clear" w:color="auto" w:fill="auto"/>
            <w:tcMar>
              <w:top w:w="100" w:type="dxa"/>
              <w:left w:w="100" w:type="dxa"/>
              <w:bottom w:w="100" w:type="dxa"/>
              <w:right w:w="100" w:type="dxa"/>
            </w:tcMar>
          </w:tcPr>
          <w:p w14:paraId="1EBF330F" w14:textId="77777777" w:rsidR="002169D2" w:rsidRPr="002169D2" w:rsidRDefault="002169D2" w:rsidP="004F6913">
            <w:pPr>
              <w:widowControl w:val="0"/>
              <w:rPr>
                <w:color w:val="000000" w:themeColor="text1"/>
              </w:rPr>
            </w:pPr>
            <w:r w:rsidRPr="002169D2">
              <w:rPr>
                <w:color w:val="000000" w:themeColor="text1"/>
              </w:rPr>
              <w:t>Ignacio Maldonado Bernal</w:t>
            </w:r>
          </w:p>
        </w:tc>
      </w:tr>
      <w:tr w:rsidR="002169D2" w:rsidRPr="002169D2" w14:paraId="34B5AA98" w14:textId="77777777" w:rsidTr="002169D2">
        <w:trPr>
          <w:jc w:val="center"/>
        </w:trPr>
        <w:tc>
          <w:tcPr>
            <w:tcW w:w="3045" w:type="dxa"/>
            <w:shd w:val="clear" w:color="auto" w:fill="auto"/>
            <w:tcMar>
              <w:top w:w="100" w:type="dxa"/>
              <w:left w:w="100" w:type="dxa"/>
              <w:bottom w:w="100" w:type="dxa"/>
              <w:right w:w="100" w:type="dxa"/>
            </w:tcMar>
          </w:tcPr>
          <w:p w14:paraId="060A7454" w14:textId="77777777" w:rsidR="002169D2" w:rsidRPr="002169D2" w:rsidRDefault="002169D2" w:rsidP="004F6913">
            <w:pPr>
              <w:widowControl w:val="0"/>
              <w:rPr>
                <w:color w:val="000000" w:themeColor="text1"/>
              </w:rPr>
            </w:pPr>
            <w:r w:rsidRPr="002169D2">
              <w:rPr>
                <w:color w:val="000000" w:themeColor="text1"/>
              </w:rPr>
              <w:t>Visualización</w:t>
            </w:r>
          </w:p>
        </w:tc>
        <w:tc>
          <w:tcPr>
            <w:tcW w:w="6315" w:type="dxa"/>
            <w:shd w:val="clear" w:color="auto" w:fill="auto"/>
            <w:tcMar>
              <w:top w:w="100" w:type="dxa"/>
              <w:left w:w="100" w:type="dxa"/>
              <w:bottom w:w="100" w:type="dxa"/>
              <w:right w:w="100" w:type="dxa"/>
            </w:tcMar>
          </w:tcPr>
          <w:p w14:paraId="5A1D64EC" w14:textId="77777777" w:rsidR="002169D2" w:rsidRPr="002169D2" w:rsidRDefault="002169D2" w:rsidP="004F6913">
            <w:pPr>
              <w:widowControl w:val="0"/>
              <w:rPr>
                <w:color w:val="000000" w:themeColor="text1"/>
              </w:rPr>
            </w:pPr>
            <w:r w:rsidRPr="002169D2">
              <w:rPr>
                <w:color w:val="000000" w:themeColor="text1"/>
              </w:rPr>
              <w:t>Ignacio Maldonado Bernal</w:t>
            </w:r>
          </w:p>
        </w:tc>
      </w:tr>
      <w:tr w:rsidR="002169D2" w:rsidRPr="002169D2" w14:paraId="7656816A" w14:textId="77777777" w:rsidTr="002169D2">
        <w:trPr>
          <w:jc w:val="center"/>
        </w:trPr>
        <w:tc>
          <w:tcPr>
            <w:tcW w:w="3045" w:type="dxa"/>
            <w:shd w:val="clear" w:color="auto" w:fill="auto"/>
            <w:tcMar>
              <w:top w:w="100" w:type="dxa"/>
              <w:left w:w="100" w:type="dxa"/>
              <w:bottom w:w="100" w:type="dxa"/>
              <w:right w:w="100" w:type="dxa"/>
            </w:tcMar>
          </w:tcPr>
          <w:p w14:paraId="385E6289" w14:textId="77777777" w:rsidR="002169D2" w:rsidRPr="002169D2" w:rsidRDefault="002169D2" w:rsidP="004F6913">
            <w:pPr>
              <w:widowControl w:val="0"/>
              <w:rPr>
                <w:color w:val="000000" w:themeColor="text1"/>
              </w:rPr>
            </w:pPr>
            <w:r w:rsidRPr="002169D2">
              <w:rPr>
                <w:color w:val="000000" w:themeColor="text1"/>
              </w:rPr>
              <w:t>Supervisión</w:t>
            </w:r>
          </w:p>
        </w:tc>
        <w:tc>
          <w:tcPr>
            <w:tcW w:w="6315" w:type="dxa"/>
            <w:shd w:val="clear" w:color="auto" w:fill="auto"/>
            <w:tcMar>
              <w:top w:w="100" w:type="dxa"/>
              <w:left w:w="100" w:type="dxa"/>
              <w:bottom w:w="100" w:type="dxa"/>
              <w:right w:w="100" w:type="dxa"/>
            </w:tcMar>
          </w:tcPr>
          <w:p w14:paraId="17F6E907" w14:textId="77777777" w:rsidR="002169D2" w:rsidRPr="002169D2" w:rsidRDefault="002169D2" w:rsidP="004F6913">
            <w:pPr>
              <w:widowControl w:val="0"/>
              <w:rPr>
                <w:color w:val="000000" w:themeColor="text1"/>
              </w:rPr>
            </w:pPr>
            <w:r w:rsidRPr="002169D2">
              <w:rPr>
                <w:color w:val="000000" w:themeColor="text1"/>
              </w:rPr>
              <w:t>Ricardo Gómez Álvarez igual a Ignacio Maldonado Bernal</w:t>
            </w:r>
          </w:p>
        </w:tc>
      </w:tr>
      <w:tr w:rsidR="002169D2" w:rsidRPr="002169D2" w14:paraId="05E5B97F" w14:textId="77777777" w:rsidTr="002169D2">
        <w:trPr>
          <w:jc w:val="center"/>
        </w:trPr>
        <w:tc>
          <w:tcPr>
            <w:tcW w:w="3045" w:type="dxa"/>
            <w:shd w:val="clear" w:color="auto" w:fill="auto"/>
            <w:tcMar>
              <w:top w:w="100" w:type="dxa"/>
              <w:left w:w="100" w:type="dxa"/>
              <w:bottom w:w="100" w:type="dxa"/>
              <w:right w:w="100" w:type="dxa"/>
            </w:tcMar>
          </w:tcPr>
          <w:p w14:paraId="6FAFB179" w14:textId="77777777" w:rsidR="002169D2" w:rsidRPr="002169D2" w:rsidRDefault="002169D2" w:rsidP="004F6913">
            <w:pPr>
              <w:widowControl w:val="0"/>
              <w:rPr>
                <w:color w:val="000000" w:themeColor="text1"/>
              </w:rPr>
            </w:pPr>
            <w:r w:rsidRPr="002169D2">
              <w:rPr>
                <w:color w:val="000000" w:themeColor="text1"/>
              </w:rPr>
              <w:t>Administración de Proyectos</w:t>
            </w:r>
          </w:p>
        </w:tc>
        <w:tc>
          <w:tcPr>
            <w:tcW w:w="6315" w:type="dxa"/>
            <w:shd w:val="clear" w:color="auto" w:fill="auto"/>
            <w:tcMar>
              <w:top w:w="100" w:type="dxa"/>
              <w:left w:w="100" w:type="dxa"/>
              <w:bottom w:w="100" w:type="dxa"/>
              <w:right w:w="100" w:type="dxa"/>
            </w:tcMar>
          </w:tcPr>
          <w:p w14:paraId="42385370" w14:textId="77777777" w:rsidR="002169D2" w:rsidRPr="002169D2" w:rsidRDefault="002169D2" w:rsidP="004F6913">
            <w:pPr>
              <w:widowControl w:val="0"/>
              <w:rPr>
                <w:color w:val="000000" w:themeColor="text1"/>
              </w:rPr>
            </w:pPr>
            <w:r w:rsidRPr="002169D2">
              <w:rPr>
                <w:color w:val="000000" w:themeColor="text1"/>
              </w:rPr>
              <w:t>Ricardo Gómez Álvarez igual a Ignacio Maldonado Bernal</w:t>
            </w:r>
          </w:p>
        </w:tc>
      </w:tr>
      <w:tr w:rsidR="002169D2" w:rsidRPr="002169D2" w14:paraId="259597D9" w14:textId="77777777" w:rsidTr="002169D2">
        <w:trPr>
          <w:jc w:val="center"/>
        </w:trPr>
        <w:tc>
          <w:tcPr>
            <w:tcW w:w="3045" w:type="dxa"/>
            <w:shd w:val="clear" w:color="auto" w:fill="auto"/>
            <w:tcMar>
              <w:top w:w="100" w:type="dxa"/>
              <w:left w:w="100" w:type="dxa"/>
              <w:bottom w:w="100" w:type="dxa"/>
              <w:right w:w="100" w:type="dxa"/>
            </w:tcMar>
          </w:tcPr>
          <w:p w14:paraId="5909ED64" w14:textId="77777777" w:rsidR="002169D2" w:rsidRPr="002169D2" w:rsidRDefault="002169D2" w:rsidP="004F6913">
            <w:pPr>
              <w:widowControl w:val="0"/>
              <w:rPr>
                <w:color w:val="000000" w:themeColor="text1"/>
              </w:rPr>
            </w:pPr>
            <w:r w:rsidRPr="002169D2">
              <w:rPr>
                <w:color w:val="000000" w:themeColor="text1"/>
              </w:rPr>
              <w:t>Adquisición de fondos</w:t>
            </w:r>
          </w:p>
        </w:tc>
        <w:tc>
          <w:tcPr>
            <w:tcW w:w="6315" w:type="dxa"/>
            <w:shd w:val="clear" w:color="auto" w:fill="auto"/>
            <w:tcMar>
              <w:top w:w="100" w:type="dxa"/>
              <w:left w:w="100" w:type="dxa"/>
              <w:bottom w:w="100" w:type="dxa"/>
              <w:right w:w="100" w:type="dxa"/>
            </w:tcMar>
          </w:tcPr>
          <w:p w14:paraId="6CE4EE44" w14:textId="77777777" w:rsidR="002169D2" w:rsidRPr="002169D2" w:rsidRDefault="002169D2" w:rsidP="004F6913">
            <w:pPr>
              <w:widowControl w:val="0"/>
              <w:rPr>
                <w:color w:val="000000" w:themeColor="text1"/>
              </w:rPr>
            </w:pPr>
            <w:r w:rsidRPr="002169D2">
              <w:rPr>
                <w:color w:val="000000" w:themeColor="text1"/>
              </w:rPr>
              <w:t>Ricardo Gómez Álvarez igual a Ignacio Maldonado Bernal</w:t>
            </w:r>
          </w:p>
        </w:tc>
      </w:tr>
    </w:tbl>
    <w:p w14:paraId="0383B3A4" w14:textId="77777777" w:rsidR="002169D2" w:rsidRDefault="002169D2">
      <w:pPr>
        <w:spacing w:line="360" w:lineRule="auto"/>
        <w:ind w:left="709" w:hanging="709"/>
        <w:jc w:val="both"/>
        <w:rPr>
          <w:color w:val="000000" w:themeColor="text1"/>
        </w:rPr>
      </w:pPr>
    </w:p>
    <w:sectPr w:rsidR="002169D2" w:rsidSect="00B84DFD">
      <w:headerReference w:type="default" r:id="rId20"/>
      <w:footerReference w:type="default" r:id="rId21"/>
      <w:pgSz w:w="12240" w:h="15840"/>
      <w:pgMar w:top="1417" w:right="1701" w:bottom="851" w:left="1701" w:header="0" w:footer="9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96378" w14:textId="77777777" w:rsidR="00E435F1" w:rsidRDefault="00E435F1" w:rsidP="00B84DFD">
      <w:r>
        <w:separator/>
      </w:r>
    </w:p>
  </w:endnote>
  <w:endnote w:type="continuationSeparator" w:id="0">
    <w:p w14:paraId="2783044E" w14:textId="77777777" w:rsidR="00E435F1" w:rsidRDefault="00E435F1" w:rsidP="00B84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FBAD" w14:textId="44E7702B" w:rsidR="00B84DFD" w:rsidRDefault="00B84DFD">
    <w:pPr>
      <w:pStyle w:val="Piedepgina"/>
    </w:pPr>
    <w:r>
      <w:t xml:space="preserve">         </w:t>
    </w:r>
    <w:r w:rsidRPr="002A3D98">
      <w:rPr>
        <w:noProof/>
      </w:rPr>
      <w:drawing>
        <wp:inline distT="0" distB="0" distL="0" distR="0" wp14:anchorId="19438E9D" wp14:editId="4FC2CF3D">
          <wp:extent cx="1600200" cy="419100"/>
          <wp:effectExtent l="0" t="0" r="0" b="0"/>
          <wp:docPr id="1075002414" name="Imagen 107500241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A3829">
      <w:rPr>
        <w:rFonts w:asciiTheme="minorHAnsi" w:hAnsiTheme="minorHAnsi" w:cstheme="minorHAnsi"/>
        <w:b/>
        <w:szCs w:val="18"/>
      </w:rPr>
      <w:t>Vol. 1</w:t>
    </w:r>
    <w:r>
      <w:rPr>
        <w:rFonts w:asciiTheme="minorHAnsi" w:hAnsiTheme="minorHAnsi" w:cstheme="minorHAnsi"/>
        <w:b/>
        <w:szCs w:val="18"/>
      </w:rPr>
      <w:t>3</w:t>
    </w:r>
    <w:r w:rsidRPr="00CA3829">
      <w:rPr>
        <w:rFonts w:asciiTheme="minorHAnsi" w:hAnsiTheme="minorHAnsi" w:cstheme="minorHAnsi"/>
        <w:b/>
        <w:szCs w:val="18"/>
      </w:rPr>
      <w:t xml:space="preserve">, Núm. 26 </w:t>
    </w:r>
    <w:proofErr w:type="gramStart"/>
    <w:r w:rsidRPr="00CA3829">
      <w:rPr>
        <w:rFonts w:asciiTheme="minorHAnsi" w:hAnsiTheme="minorHAnsi" w:cstheme="minorHAnsi"/>
        <w:b/>
        <w:szCs w:val="18"/>
      </w:rPr>
      <w:t>Enero</w:t>
    </w:r>
    <w:proofErr w:type="gramEnd"/>
    <w:r w:rsidRPr="00CA3829">
      <w:rPr>
        <w:rFonts w:asciiTheme="minorHAnsi" w:hAnsiTheme="minorHAnsi" w:cstheme="minorHAnsi"/>
        <w:b/>
        <w:szCs w:val="18"/>
      </w:rPr>
      <w:t xml:space="preserve"> - Junio 2023, e</w:t>
    </w:r>
    <w:r w:rsidR="00AD7D67">
      <w:rPr>
        <w:rFonts w:asciiTheme="minorHAnsi" w:hAnsiTheme="minorHAnsi" w:cstheme="minorHAnsi"/>
        <w:b/>
        <w:szCs w:val="18"/>
      </w:rPr>
      <w:t>478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3B3CE" w14:textId="77777777" w:rsidR="00E435F1" w:rsidRDefault="00E435F1" w:rsidP="00B84DFD">
      <w:r>
        <w:separator/>
      </w:r>
    </w:p>
  </w:footnote>
  <w:footnote w:type="continuationSeparator" w:id="0">
    <w:p w14:paraId="53A88800" w14:textId="77777777" w:rsidR="00E435F1" w:rsidRDefault="00E435F1" w:rsidP="00B84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3211" w14:textId="69A687BB" w:rsidR="00B84DFD" w:rsidRDefault="00B84DFD" w:rsidP="00B84DFD">
    <w:pPr>
      <w:pStyle w:val="Encabezado"/>
      <w:jc w:val="center"/>
    </w:pPr>
    <w:r>
      <w:br/>
    </w:r>
    <w:r w:rsidRPr="002A3D98">
      <w:rPr>
        <w:noProof/>
        <w:lang w:val="es-ES" w:eastAsia="es-ES"/>
      </w:rPr>
      <w:drawing>
        <wp:inline distT="0" distB="0" distL="0" distR="0" wp14:anchorId="59848085" wp14:editId="4B43563E">
          <wp:extent cx="5397500" cy="635000"/>
          <wp:effectExtent l="0" t="0" r="0" b="0"/>
          <wp:docPr id="1871984388" name="Imagen 187198438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A2C29"/>
    <w:multiLevelType w:val="multilevel"/>
    <w:tmpl w:val="9272B5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8D97CE9"/>
    <w:multiLevelType w:val="multilevel"/>
    <w:tmpl w:val="80328F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A24104B"/>
    <w:multiLevelType w:val="multilevel"/>
    <w:tmpl w:val="9266F7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4F386E86"/>
    <w:multiLevelType w:val="multilevel"/>
    <w:tmpl w:val="9F2A7CA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0443E41"/>
    <w:multiLevelType w:val="multilevel"/>
    <w:tmpl w:val="27BCAE7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1807428936">
    <w:abstractNumId w:val="3"/>
  </w:num>
  <w:num w:numId="2" w16cid:durableId="1358775744">
    <w:abstractNumId w:val="1"/>
  </w:num>
  <w:num w:numId="3" w16cid:durableId="417605067">
    <w:abstractNumId w:val="4"/>
  </w:num>
  <w:num w:numId="4" w16cid:durableId="1497303923">
    <w:abstractNumId w:val="2"/>
  </w:num>
  <w:num w:numId="5" w16cid:durableId="2096239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91B"/>
    <w:rsid w:val="002169D2"/>
    <w:rsid w:val="0051191B"/>
    <w:rsid w:val="005E3E47"/>
    <w:rsid w:val="00666C1F"/>
    <w:rsid w:val="006B3134"/>
    <w:rsid w:val="00950233"/>
    <w:rsid w:val="00985228"/>
    <w:rsid w:val="00AD7D67"/>
    <w:rsid w:val="00B84DFD"/>
    <w:rsid w:val="00C339D2"/>
    <w:rsid w:val="00D45D7D"/>
    <w:rsid w:val="00E435F1"/>
    <w:rsid w:val="00FA07F3"/>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A5F21"/>
  <w15:docId w15:val="{C302CD56-EA03-461E-91F9-443895B4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FC9"/>
    <w:rPr>
      <w:rFonts w:ascii="Times New Roman" w:eastAsia="Times New Roman" w:hAnsi="Times New Roman" w:cs="Times New Roman"/>
      <w:lang w:eastAsia="es-MX"/>
    </w:rPr>
  </w:style>
  <w:style w:type="paragraph" w:styleId="Ttulo1">
    <w:name w:val="heading 1"/>
    <w:basedOn w:val="Normal"/>
    <w:link w:val="Ttulo1Car"/>
    <w:uiPriority w:val="9"/>
    <w:qFormat/>
    <w:rsid w:val="00940C60"/>
    <w:pPr>
      <w:spacing w:beforeAutospacing="1" w:afterAutospacing="1"/>
      <w:outlineLvl w:val="0"/>
    </w:pPr>
    <w:rPr>
      <w:b/>
      <w:bCs/>
      <w:kern w:val="2"/>
      <w:sz w:val="48"/>
      <w:szCs w:val="48"/>
    </w:rPr>
  </w:style>
  <w:style w:type="paragraph" w:styleId="Ttulo3">
    <w:name w:val="heading 3"/>
    <w:basedOn w:val="Normal"/>
    <w:next w:val="Normal"/>
    <w:link w:val="Ttulo3Car"/>
    <w:uiPriority w:val="9"/>
    <w:semiHidden/>
    <w:unhideWhenUsed/>
    <w:qFormat/>
    <w:rsid w:val="002169D2"/>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FA7CF5"/>
    <w:rPr>
      <w:color w:val="0563C1" w:themeColor="hyperlink"/>
      <w:u w:val="single"/>
    </w:rPr>
  </w:style>
  <w:style w:type="character" w:styleId="Mencinsinresolver">
    <w:name w:val="Unresolved Mention"/>
    <w:basedOn w:val="Fuentedeprrafopredeter"/>
    <w:uiPriority w:val="99"/>
    <w:semiHidden/>
    <w:unhideWhenUsed/>
    <w:qFormat/>
    <w:rsid w:val="00FA7CF5"/>
    <w:rPr>
      <w:color w:val="605E5C"/>
      <w:shd w:val="clear" w:color="auto" w:fill="E1DFDD"/>
    </w:rPr>
  </w:style>
  <w:style w:type="character" w:customStyle="1" w:styleId="apple-converted-space">
    <w:name w:val="apple-converted-space"/>
    <w:basedOn w:val="Fuentedeprrafopredeter"/>
    <w:qFormat/>
    <w:rsid w:val="00546D4B"/>
  </w:style>
  <w:style w:type="character" w:styleId="Textoennegrita">
    <w:name w:val="Strong"/>
    <w:uiPriority w:val="22"/>
    <w:qFormat/>
    <w:rsid w:val="0052122B"/>
    <w:rPr>
      <w:b/>
      <w:bCs/>
    </w:rPr>
  </w:style>
  <w:style w:type="character" w:customStyle="1" w:styleId="Ttulo1Car">
    <w:name w:val="Título 1 Car"/>
    <w:basedOn w:val="Fuentedeprrafopredeter"/>
    <w:link w:val="Ttulo1"/>
    <w:uiPriority w:val="9"/>
    <w:qFormat/>
    <w:rsid w:val="00940C60"/>
    <w:rPr>
      <w:rFonts w:ascii="Times New Roman" w:eastAsia="Times New Roman" w:hAnsi="Times New Roman" w:cs="Times New Roman"/>
      <w:b/>
      <w:bCs/>
      <w:kern w:val="2"/>
      <w:sz w:val="48"/>
      <w:szCs w:val="48"/>
      <w:lang w:eastAsia="es-MX"/>
    </w:rPr>
  </w:style>
  <w:style w:type="character" w:styleId="Refdecomentario">
    <w:name w:val="annotation reference"/>
    <w:basedOn w:val="Fuentedeprrafopredeter"/>
    <w:uiPriority w:val="99"/>
    <w:semiHidden/>
    <w:unhideWhenUsed/>
    <w:qFormat/>
    <w:rsid w:val="006A6AE8"/>
    <w:rPr>
      <w:sz w:val="16"/>
      <w:szCs w:val="16"/>
    </w:rPr>
  </w:style>
  <w:style w:type="character" w:customStyle="1" w:styleId="TextocomentarioCar">
    <w:name w:val="Texto comentario Car"/>
    <w:basedOn w:val="Fuentedeprrafopredeter"/>
    <w:link w:val="Textocomentario"/>
    <w:uiPriority w:val="99"/>
    <w:semiHidden/>
    <w:qFormat/>
    <w:rsid w:val="00737608"/>
    <w:rPr>
      <w:sz w:val="20"/>
      <w:szCs w:val="20"/>
    </w:rPr>
  </w:style>
  <w:style w:type="character" w:customStyle="1" w:styleId="TextodegloboCar">
    <w:name w:val="Texto de globo Car"/>
    <w:basedOn w:val="Fuentedeprrafopredeter"/>
    <w:link w:val="Textodeglobo"/>
    <w:uiPriority w:val="99"/>
    <w:semiHidden/>
    <w:qFormat/>
    <w:rsid w:val="005F63EF"/>
    <w:rPr>
      <w:rFonts w:ascii="Times New Roman" w:hAnsi="Times New Roman" w:cs="Times New Roman"/>
      <w:sz w:val="18"/>
      <w:szCs w:val="18"/>
    </w:rPr>
  </w:style>
  <w:style w:type="character" w:customStyle="1" w:styleId="AsuntodelcomentarioCar">
    <w:name w:val="Asunto del comentario Car"/>
    <w:basedOn w:val="TextocomentarioCar"/>
    <w:link w:val="Asuntodelcomentario"/>
    <w:uiPriority w:val="99"/>
    <w:semiHidden/>
    <w:qFormat/>
    <w:rsid w:val="007B11C5"/>
    <w:rPr>
      <w:b/>
      <w:bCs/>
      <w:sz w:val="20"/>
      <w:szCs w:val="20"/>
    </w:rPr>
  </w:style>
  <w:style w:type="character" w:customStyle="1" w:styleId="EnlacedeInternetvisitado">
    <w:name w:val="Enlace de Internet visitado"/>
    <w:basedOn w:val="Fuentedeprrafopredeter"/>
    <w:uiPriority w:val="99"/>
    <w:semiHidden/>
    <w:unhideWhenUsed/>
    <w:rsid w:val="00CF2DDA"/>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Noto Sans Devanagari"/>
    </w:rPr>
  </w:style>
  <w:style w:type="paragraph" w:styleId="Descripcin">
    <w:name w:val="caption"/>
    <w:basedOn w:val="Normal"/>
    <w:next w:val="Normal"/>
    <w:uiPriority w:val="35"/>
    <w:unhideWhenUsed/>
    <w:qFormat/>
    <w:rsid w:val="006A251A"/>
    <w:pPr>
      <w:spacing w:after="200"/>
    </w:pPr>
    <w:rPr>
      <w:rFonts w:asciiTheme="minorHAnsi" w:eastAsiaTheme="minorHAnsi" w:hAnsiTheme="minorHAnsi" w:cstheme="minorBidi"/>
      <w:i/>
      <w:iCs/>
      <w:color w:val="44546A" w:themeColor="text2"/>
      <w:sz w:val="18"/>
      <w:szCs w:val="18"/>
      <w:lang w:eastAsia="en-US"/>
    </w:rPr>
  </w:style>
  <w:style w:type="paragraph" w:customStyle="1" w:styleId="ndice">
    <w:name w:val="Índice"/>
    <w:basedOn w:val="Normal"/>
    <w:qFormat/>
    <w:pPr>
      <w:suppressLineNumbers/>
    </w:pPr>
    <w:rPr>
      <w:rFonts w:cs="Noto Sans Devanagari"/>
    </w:rPr>
  </w:style>
  <w:style w:type="paragraph" w:styleId="NormalWeb">
    <w:name w:val="Normal (Web)"/>
    <w:basedOn w:val="Normal"/>
    <w:uiPriority w:val="99"/>
    <w:unhideWhenUsed/>
    <w:qFormat/>
    <w:rsid w:val="00DE1880"/>
    <w:pPr>
      <w:spacing w:beforeAutospacing="1" w:afterAutospacing="1"/>
    </w:pPr>
  </w:style>
  <w:style w:type="paragraph" w:customStyle="1" w:styleId="show">
    <w:name w:val="show"/>
    <w:basedOn w:val="Normal"/>
    <w:qFormat/>
    <w:rsid w:val="004A0982"/>
    <w:pPr>
      <w:spacing w:beforeAutospacing="1" w:afterAutospacing="1"/>
    </w:pPr>
  </w:style>
  <w:style w:type="paragraph" w:styleId="Prrafodelista">
    <w:name w:val="List Paragraph"/>
    <w:basedOn w:val="Normal"/>
    <w:uiPriority w:val="34"/>
    <w:qFormat/>
    <w:rsid w:val="0052122B"/>
    <w:pPr>
      <w:spacing w:line="276" w:lineRule="auto"/>
      <w:ind w:left="720"/>
      <w:contextualSpacing/>
      <w:jc w:val="both"/>
    </w:pPr>
    <w:rPr>
      <w:rFonts w:ascii="Arial" w:eastAsiaTheme="minorHAnsi" w:hAnsi="Arial" w:cs="Arial"/>
      <w:color w:val="FFFFFF" w:themeColor="background1"/>
      <w:szCs w:val="22"/>
      <w:lang w:val="es-ES" w:eastAsia="es-ES"/>
    </w:rPr>
  </w:style>
  <w:style w:type="paragraph" w:styleId="Bibliografa">
    <w:name w:val="Bibliography"/>
    <w:basedOn w:val="Normal"/>
    <w:next w:val="Normal"/>
    <w:uiPriority w:val="37"/>
    <w:unhideWhenUsed/>
    <w:qFormat/>
    <w:rsid w:val="00EF33E3"/>
    <w:rPr>
      <w:rFonts w:asciiTheme="minorHAnsi" w:eastAsiaTheme="minorHAnsi" w:hAnsiTheme="minorHAnsi" w:cstheme="minorBidi"/>
      <w:lang w:eastAsia="en-US"/>
    </w:rPr>
  </w:style>
  <w:style w:type="paragraph" w:styleId="Textocomentario">
    <w:name w:val="annotation text"/>
    <w:basedOn w:val="Normal"/>
    <w:link w:val="TextocomentarioCar"/>
    <w:uiPriority w:val="99"/>
    <w:semiHidden/>
    <w:unhideWhenUsed/>
    <w:qFormat/>
    <w:rsid w:val="00737608"/>
    <w:rPr>
      <w:rFonts w:asciiTheme="minorHAnsi" w:eastAsiaTheme="minorHAnsi" w:hAnsiTheme="minorHAnsi" w:cstheme="minorBidi"/>
      <w:sz w:val="20"/>
      <w:szCs w:val="20"/>
      <w:lang w:eastAsia="en-US"/>
    </w:rPr>
  </w:style>
  <w:style w:type="paragraph" w:styleId="Textodeglobo">
    <w:name w:val="Balloon Text"/>
    <w:basedOn w:val="Normal"/>
    <w:link w:val="TextodegloboCar"/>
    <w:uiPriority w:val="99"/>
    <w:semiHidden/>
    <w:unhideWhenUsed/>
    <w:qFormat/>
    <w:rsid w:val="005F63EF"/>
    <w:rPr>
      <w:rFonts w:eastAsiaTheme="minorHAnsi"/>
      <w:sz w:val="18"/>
      <w:szCs w:val="18"/>
      <w:lang w:eastAsia="en-US"/>
    </w:rPr>
  </w:style>
  <w:style w:type="paragraph" w:styleId="Asuntodelcomentario">
    <w:name w:val="annotation subject"/>
    <w:basedOn w:val="Textocomentario"/>
    <w:next w:val="Textocomentario"/>
    <w:link w:val="AsuntodelcomentarioCar"/>
    <w:uiPriority w:val="99"/>
    <w:semiHidden/>
    <w:unhideWhenUsed/>
    <w:qFormat/>
    <w:rsid w:val="007B11C5"/>
    <w:rPr>
      <w:b/>
      <w:bCs/>
    </w:rPr>
  </w:style>
  <w:style w:type="paragraph" w:styleId="Revisin">
    <w:name w:val="Revision"/>
    <w:uiPriority w:val="99"/>
    <w:semiHidden/>
    <w:qFormat/>
    <w:rsid w:val="00EC10E6"/>
    <w:rPr>
      <w:rFonts w:ascii="Times New Roman" w:eastAsia="Times New Roman" w:hAnsi="Times New Roman" w:cs="Times New Roman"/>
      <w:lang w:eastAsia="es-MX"/>
    </w:rPr>
  </w:style>
  <w:style w:type="table" w:styleId="Tablaconcuadrcula">
    <w:name w:val="Table Grid"/>
    <w:basedOn w:val="Tablanormal"/>
    <w:uiPriority w:val="39"/>
    <w:rsid w:val="009A4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B84DFD"/>
    <w:pPr>
      <w:suppressAutoHyphens w:val="0"/>
    </w:pPr>
    <w:rPr>
      <w:rFonts w:ascii="Consolas" w:eastAsiaTheme="minorHAnsi" w:hAnsi="Consolas" w:cstheme="minorBidi"/>
      <w:sz w:val="20"/>
      <w:szCs w:val="20"/>
      <w:lang w:val="es-ES" w:eastAsia="en-US"/>
    </w:rPr>
  </w:style>
  <w:style w:type="character" w:customStyle="1" w:styleId="HTMLconformatoprevioCar">
    <w:name w:val="HTML con formato previo Car"/>
    <w:basedOn w:val="Fuentedeprrafopredeter"/>
    <w:link w:val="HTMLconformatoprevio"/>
    <w:uiPriority w:val="99"/>
    <w:rsid w:val="00B84DFD"/>
    <w:rPr>
      <w:rFonts w:ascii="Consolas" w:hAnsi="Consolas"/>
      <w:sz w:val="20"/>
      <w:szCs w:val="20"/>
      <w:lang w:val="es-ES"/>
    </w:rPr>
  </w:style>
  <w:style w:type="paragraph" w:styleId="Encabezado">
    <w:name w:val="header"/>
    <w:basedOn w:val="Normal"/>
    <w:link w:val="EncabezadoCar"/>
    <w:uiPriority w:val="99"/>
    <w:unhideWhenUsed/>
    <w:rsid w:val="00B84DFD"/>
    <w:pPr>
      <w:tabs>
        <w:tab w:val="center" w:pos="4419"/>
        <w:tab w:val="right" w:pos="8838"/>
      </w:tabs>
    </w:pPr>
  </w:style>
  <w:style w:type="character" w:customStyle="1" w:styleId="EncabezadoCar">
    <w:name w:val="Encabezado Car"/>
    <w:basedOn w:val="Fuentedeprrafopredeter"/>
    <w:link w:val="Encabezado"/>
    <w:uiPriority w:val="99"/>
    <w:rsid w:val="00B84DFD"/>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B84DFD"/>
    <w:pPr>
      <w:tabs>
        <w:tab w:val="center" w:pos="4419"/>
        <w:tab w:val="right" w:pos="8838"/>
      </w:tabs>
    </w:pPr>
  </w:style>
  <w:style w:type="character" w:customStyle="1" w:styleId="PiedepginaCar">
    <w:name w:val="Pie de página Car"/>
    <w:basedOn w:val="Fuentedeprrafopredeter"/>
    <w:link w:val="Piedepgina"/>
    <w:uiPriority w:val="99"/>
    <w:rsid w:val="00B84DFD"/>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semiHidden/>
    <w:rsid w:val="002169D2"/>
    <w:rPr>
      <w:rFonts w:asciiTheme="majorHAnsi" w:eastAsiaTheme="majorEastAsia" w:hAnsiTheme="majorHAnsi" w:cstheme="majorBidi"/>
      <w:color w:val="1F3763" w:themeColor="accent1" w:themeShade="7F"/>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ldonado24@uan.edu.mx" TargetMode="External"/><Relationship Id="rId13" Type="http://schemas.openxmlformats.org/officeDocument/2006/relationships/hyperlink" Target="https://repositorio.cepal.org/bitstream/handle/11362/46808/1/S2100170_es.pdf" TargetMode="External"/><Relationship Id="rId18" Type="http://schemas.openxmlformats.org/officeDocument/2006/relationships/hyperlink" Target="https://doi.org/10.20430/ete.v86i342.74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efp.gob.mx/publicaciones/nota/2022/notacefp0342022.pdf" TargetMode="External"/><Relationship Id="rId17" Type="http://schemas.openxmlformats.org/officeDocument/2006/relationships/hyperlink" Target="https://doi.org/10.35426/iav50n127.09" TargetMode="External"/><Relationship Id="rId2" Type="http://schemas.openxmlformats.org/officeDocument/2006/relationships/numbering" Target="numbering.xml"/><Relationship Id="rId16" Type="http://schemas.openxmlformats.org/officeDocument/2006/relationships/hyperlink" Target="https://www.inegi.org.mx/sistemas/olap/consulta/general_ver4/MDXQueryDatos.as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yperlink" Target="https://imco.org.mx/hablemos-de-ingresos-en-los-estado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hacienda-nayarit.gob.mx/Documentos/leyIngresos2022.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mf.org/external/Pubs/FT/GFS/Manual/2014/GFSM_2014_SPA.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CEP21</b:Tag>
    <b:SourceType>Book</b:SourceType>
    <b:Guid>{CCA4DAFE-3824-D640-952C-63BB56516D36}</b:Guid>
    <b:Author>
      <b:Author>
        <b:Corporate>CEPAL</b:Corporate>
      </b:Author>
    </b:Author>
    <b:Title>Panorama Fiscal de América Latina y el Caribe</b:Title>
    <b:City>Santiago</b:City>
    <b:Publisher>CEPAL</b:Publisher>
    <b:Year>2021</b:Year>
    <b:RefOrder>3</b:RefOrder>
  </b:Source>
  <b:Source>
    <b:Tag>CEF22</b:Tag>
    <b:SourceType>DocumentFromInternetSite</b:SourceType>
    <b:Guid>{8D75241C-B1AF-254C-80FB-E0C8EB6F7707}</b:Guid>
    <b:Author>
      <b:Author>
        <b:Corporate>CEFP</b:Corporate>
      </b:Author>
    </b:Author>
    <b:Title>https://www.cefp.gob.mx</b:Title>
    <b:InternetSiteTitle>https://www.cefp.gob.mx</b:InternetSiteTitle>
    <b:URL>https://www.cefp.gob.mx/publicaciones/nota/2022/notacefp0342022.pdf</b:URL>
    <b:Year>2022</b:Year>
    <b:Month>Mayo</b:Month>
    <b:Day>19</b:Day>
    <b:RefOrder>4</b:RefOrder>
  </b:Source>
  <b:Source>
    <b:Tag>Rod05</b:Tag>
    <b:SourceType>Book</b:SourceType>
    <b:Guid>{67516197-D7DD-484F-ADDF-5691ABD3AEBE}</b:Guid>
    <b:Title>Metodología de la Investigación</b:Title>
    <b:Year>2005</b:Year>
    <b:City>México</b:City>
    <b:Publisher>Universidad Juárez Autónoma de Tabasco</b:Publisher>
    <b:Author>
      <b:Author>
        <b:NameList>
          <b:Person>
            <b:Last>Rodríguez</b:Last>
            <b:First>Moguel</b:First>
            <b:Middle>Ernesto A</b:Middle>
          </b:Person>
        </b:NameList>
      </b:Author>
    </b:Author>
    <b:RefOrder>5</b:RefOrder>
  </b:Source>
  <b:Source>
    <b:Tag>INE</b:Tag>
    <b:SourceType>DocumentFromInternetSite</b:SourceType>
    <b:Guid>{16E11FBE-75E8-1449-8DEB-38EC5D46A584}</b:Guid>
    <b:Author>
      <b:Author>
        <b:Corporate>INEGI</b:Corporate>
      </b:Author>
    </b:Author>
    <b:Title>https://www.inegi.org.mx</b:Title>
    <b:URL>https://www.inegi.org.mx/sistemas/olap/consulta/general_ver4/MDXQueryDatos.asp?#Regreso&amp;c=</b:URL>
    <b:InternetSiteTitle>https://www.inegi.org.mx</b:InternetSiteTitle>
    <b:Year>2022</b:Year>
    <b:Month>SEPTIEMBRE</b:Month>
    <b:Day>28</b:Day>
    <b:RefOrder>6</b:RefOrder>
  </b:Source>
  <b:Source>
    <b:Tag>IMC20</b:Tag>
    <b:SourceType>DocumentFromInternetSite</b:SourceType>
    <b:Guid>{BD4F4A19-4060-0B4A-B8D0-C21337B491DD}</b:Guid>
    <b:Author>
      <b:Author>
        <b:Corporate>IMCO</b:Corporate>
      </b:Author>
    </b:Author>
    <b:Title>https://imco.org.mx/</b:Title>
    <b:InternetSiteTitle>INSTITUTO MEXICANO PARA LA COMPETITIVIDAD A.C.</b:InternetSiteTitle>
    <b:URL>https://imco.org.mx/hablemos-de-ingresos-en-los-estados/</b:URL>
    <b:Year>2020</b:Year>
    <b:Month>Febrero</b:Month>
    <b:Day>19</b:Day>
    <b:RefOrder>2</b:RefOrder>
  </b:Source>
  <b:Source>
    <b:Tag>IMC22</b:Tag>
    <b:SourceType>DocumentFromInternetSite</b:SourceType>
    <b:Guid>{436AF508-5BBC-264E-BF51-E029BA2BB093}</b:Guid>
    <b:Author>
      <b:Author>
        <b:Corporate>IMCO</b:Corporate>
      </b:Author>
    </b:Author>
    <b:Title>Instituto Mexicano para la Competitividad S.A.</b:Title>
    <b:InternetSiteTitle>https://imco.org.mx/</b:InternetSiteTitle>
    <b:URL>https://imco.org.mx/82-de-los-ingresos-estatales-provienen-de-las-transferencias-federales/</b:URL>
    <b:Year>2022</b:Year>
    <b:Month>Febrero</b:Month>
    <b:Day>28</b:Day>
    <b:RefOrder>1</b:RefOrder>
  </b:Source>
</b:Sources>
</file>

<file path=customXml/itemProps1.xml><?xml version="1.0" encoding="utf-8"?>
<ds:datastoreItem xmlns:ds="http://schemas.openxmlformats.org/officeDocument/2006/customXml" ds:itemID="{9B3705D6-6C3C-CC46-8302-E3076FB0E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22</Pages>
  <Words>6098</Words>
  <Characters>33541</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dc:description/>
  <cp:lastModifiedBy>Gustavo Toledo</cp:lastModifiedBy>
  <cp:revision>21</cp:revision>
  <dcterms:created xsi:type="dcterms:W3CDTF">2023-03-31T20:34:00Z</dcterms:created>
  <dcterms:modified xsi:type="dcterms:W3CDTF">2023-05-13T01:17:00Z</dcterms:modified>
  <dc:language>es-MX</dc:language>
</cp:coreProperties>
</file>