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EE696" w14:textId="4ABB4615" w:rsidR="00280E25" w:rsidRPr="00385338" w:rsidRDefault="00385338" w:rsidP="00280E25">
      <w:pPr>
        <w:spacing w:before="240" w:after="240" w:line="360" w:lineRule="auto"/>
        <w:jc w:val="right"/>
        <w:rPr>
          <w:b/>
          <w:bCs/>
          <w:i/>
          <w:iCs/>
          <w:color w:val="000000" w:themeColor="text1"/>
        </w:rPr>
      </w:pPr>
      <w:r w:rsidRPr="00385338">
        <w:rPr>
          <w:b/>
          <w:bCs/>
          <w:i/>
          <w:iCs/>
          <w:color w:val="000000" w:themeColor="text1"/>
        </w:rPr>
        <w:t>https://doi.org/10.23913/ride.v15i29.2214</w:t>
      </w:r>
    </w:p>
    <w:p w14:paraId="5F7A6310" w14:textId="0AD06B47" w:rsidR="00280E25" w:rsidRDefault="00280E25" w:rsidP="00280E25">
      <w:pPr>
        <w:spacing w:before="240" w:after="240" w:line="360" w:lineRule="auto"/>
        <w:jc w:val="right"/>
        <w:rPr>
          <w:b/>
          <w:color w:val="333333"/>
          <w:sz w:val="32"/>
          <w:szCs w:val="32"/>
        </w:rPr>
      </w:pPr>
      <w:r w:rsidRPr="004410CF">
        <w:rPr>
          <w:b/>
          <w:bCs/>
          <w:i/>
          <w:iCs/>
          <w:color w:val="000000" w:themeColor="text1"/>
        </w:rPr>
        <w:t>Artículos científicos</w:t>
      </w:r>
    </w:p>
    <w:p w14:paraId="3C493A0B" w14:textId="4B10D2F8" w:rsidR="006F46E7" w:rsidRPr="00280E25" w:rsidRDefault="00E546E2" w:rsidP="00280E25">
      <w:pPr>
        <w:spacing w:line="276" w:lineRule="auto"/>
        <w:jc w:val="right"/>
        <w:rPr>
          <w:rFonts w:ascii="Calibri" w:eastAsiaTheme="minorHAnsi" w:hAnsi="Calibri" w:cs="Calibri"/>
          <w:b/>
          <w:sz w:val="32"/>
          <w:szCs w:val="32"/>
        </w:rPr>
      </w:pPr>
      <w:r w:rsidRPr="00280E25">
        <w:rPr>
          <w:rFonts w:ascii="Calibri" w:eastAsiaTheme="minorHAnsi" w:hAnsi="Calibri" w:cs="Calibri"/>
          <w:b/>
          <w:sz w:val="32"/>
          <w:szCs w:val="32"/>
        </w:rPr>
        <w:t xml:space="preserve">Gasto público </w:t>
      </w:r>
      <w:r w:rsidR="00641F2A" w:rsidRPr="00280E25">
        <w:rPr>
          <w:rFonts w:ascii="Calibri" w:eastAsiaTheme="minorHAnsi" w:hAnsi="Calibri" w:cs="Calibri"/>
          <w:b/>
          <w:sz w:val="32"/>
          <w:szCs w:val="32"/>
        </w:rPr>
        <w:t xml:space="preserve">en educación para </w:t>
      </w:r>
      <w:r w:rsidR="00A64EFF" w:rsidRPr="00280E25">
        <w:rPr>
          <w:rFonts w:ascii="Calibri" w:eastAsiaTheme="minorHAnsi" w:hAnsi="Calibri" w:cs="Calibri"/>
          <w:b/>
          <w:sz w:val="32"/>
          <w:szCs w:val="32"/>
        </w:rPr>
        <w:t xml:space="preserve">la </w:t>
      </w:r>
      <w:r w:rsidRPr="00280E25">
        <w:rPr>
          <w:rFonts w:ascii="Calibri" w:eastAsiaTheme="minorHAnsi" w:hAnsi="Calibri" w:cs="Calibri"/>
          <w:b/>
          <w:sz w:val="32"/>
          <w:szCs w:val="32"/>
        </w:rPr>
        <w:t xml:space="preserve">formación </w:t>
      </w:r>
      <w:r w:rsidR="003D0576" w:rsidRPr="00280E25">
        <w:rPr>
          <w:rFonts w:ascii="Calibri" w:eastAsiaTheme="minorHAnsi" w:hAnsi="Calibri" w:cs="Calibri"/>
          <w:b/>
          <w:sz w:val="32"/>
          <w:szCs w:val="32"/>
        </w:rPr>
        <w:t xml:space="preserve">de </w:t>
      </w:r>
      <w:r w:rsidR="00C06901" w:rsidRPr="00280E25">
        <w:rPr>
          <w:rFonts w:ascii="Calibri" w:eastAsiaTheme="minorHAnsi" w:hAnsi="Calibri" w:cs="Calibri"/>
          <w:b/>
          <w:sz w:val="32"/>
          <w:szCs w:val="32"/>
        </w:rPr>
        <w:t>capital humano</w:t>
      </w:r>
      <w:r w:rsidRPr="00280E25">
        <w:rPr>
          <w:rFonts w:ascii="Calibri" w:eastAsiaTheme="minorHAnsi" w:hAnsi="Calibri" w:cs="Calibri"/>
          <w:b/>
          <w:sz w:val="32"/>
          <w:szCs w:val="32"/>
        </w:rPr>
        <w:t>:</w:t>
      </w:r>
      <w:r w:rsidR="00251C0C" w:rsidRPr="00280E25">
        <w:rPr>
          <w:rFonts w:ascii="Calibri" w:eastAsiaTheme="minorHAnsi" w:hAnsi="Calibri" w:cs="Calibri"/>
          <w:b/>
          <w:sz w:val="32"/>
          <w:szCs w:val="32"/>
        </w:rPr>
        <w:t xml:space="preserve"> </w:t>
      </w:r>
      <w:r w:rsidR="00AF6A4D" w:rsidRPr="00280E25">
        <w:rPr>
          <w:rFonts w:ascii="Calibri" w:eastAsiaTheme="minorHAnsi" w:hAnsi="Calibri" w:cs="Calibri"/>
          <w:b/>
          <w:sz w:val="32"/>
          <w:szCs w:val="32"/>
        </w:rPr>
        <w:t>l</w:t>
      </w:r>
      <w:r w:rsidR="00251C0C" w:rsidRPr="00280E25">
        <w:rPr>
          <w:rFonts w:ascii="Calibri" w:eastAsiaTheme="minorHAnsi" w:hAnsi="Calibri" w:cs="Calibri"/>
          <w:b/>
          <w:sz w:val="32"/>
          <w:szCs w:val="32"/>
        </w:rPr>
        <w:t>a experiencia</w:t>
      </w:r>
      <w:r w:rsidR="009B1BD8" w:rsidRPr="00280E25">
        <w:rPr>
          <w:rFonts w:ascii="Calibri" w:eastAsiaTheme="minorHAnsi" w:hAnsi="Calibri" w:cs="Calibri"/>
          <w:b/>
          <w:sz w:val="32"/>
          <w:szCs w:val="32"/>
        </w:rPr>
        <w:t xml:space="preserve"> de México</w:t>
      </w:r>
    </w:p>
    <w:p w14:paraId="604486D2" w14:textId="77777777" w:rsidR="002B4D18" w:rsidRPr="00280E25" w:rsidRDefault="002B4D18" w:rsidP="00280E25">
      <w:pPr>
        <w:spacing w:line="276" w:lineRule="auto"/>
        <w:jc w:val="right"/>
        <w:rPr>
          <w:rFonts w:ascii="Calibri" w:eastAsiaTheme="minorHAnsi" w:hAnsi="Calibri" w:cs="Calibri"/>
          <w:b/>
        </w:rPr>
      </w:pPr>
    </w:p>
    <w:p w14:paraId="35913DF9" w14:textId="52BA2031" w:rsidR="002B4D18" w:rsidRPr="00DA192F" w:rsidRDefault="005D101A" w:rsidP="00280E25">
      <w:pPr>
        <w:spacing w:line="276" w:lineRule="auto"/>
        <w:jc w:val="right"/>
        <w:rPr>
          <w:rFonts w:ascii="Calibri" w:eastAsiaTheme="minorHAnsi" w:hAnsi="Calibri" w:cs="Calibri"/>
          <w:b/>
          <w:i/>
          <w:iCs/>
          <w:sz w:val="28"/>
          <w:szCs w:val="28"/>
          <w:lang w:val="en-US"/>
        </w:rPr>
      </w:pPr>
      <w:r w:rsidRPr="00DA192F">
        <w:rPr>
          <w:rFonts w:ascii="Calibri" w:eastAsiaTheme="minorHAnsi" w:hAnsi="Calibri" w:cs="Calibri"/>
          <w:b/>
          <w:i/>
          <w:iCs/>
          <w:sz w:val="28"/>
          <w:szCs w:val="28"/>
          <w:lang w:val="en-US"/>
        </w:rPr>
        <w:t>Public spending on education for the formation of human capital: The experience of Mexico</w:t>
      </w:r>
    </w:p>
    <w:p w14:paraId="3660CD2B" w14:textId="77777777" w:rsidR="007F06F3" w:rsidRPr="00DA192F" w:rsidRDefault="007F06F3" w:rsidP="00280E25">
      <w:pPr>
        <w:spacing w:line="276" w:lineRule="auto"/>
        <w:jc w:val="right"/>
        <w:rPr>
          <w:rFonts w:ascii="Calibri" w:eastAsiaTheme="minorHAnsi" w:hAnsi="Calibri" w:cs="Calibri"/>
          <w:b/>
          <w:i/>
          <w:iCs/>
          <w:lang w:val="en-US"/>
        </w:rPr>
      </w:pPr>
    </w:p>
    <w:p w14:paraId="3AABB4E0" w14:textId="5AA6FBA5" w:rsidR="00A47139" w:rsidRPr="00280E25" w:rsidRDefault="005D101A" w:rsidP="00280E25">
      <w:pPr>
        <w:spacing w:line="276" w:lineRule="auto"/>
        <w:jc w:val="right"/>
        <w:rPr>
          <w:rFonts w:ascii="Calibri" w:eastAsiaTheme="minorHAnsi" w:hAnsi="Calibri" w:cs="Calibri"/>
          <w:b/>
          <w:i/>
          <w:iCs/>
          <w:sz w:val="28"/>
          <w:szCs w:val="28"/>
        </w:rPr>
      </w:pPr>
      <w:r w:rsidRPr="00280E25">
        <w:rPr>
          <w:rFonts w:ascii="Calibri" w:eastAsiaTheme="minorHAnsi" w:hAnsi="Calibri" w:cs="Calibri"/>
          <w:b/>
          <w:i/>
          <w:iCs/>
          <w:sz w:val="28"/>
          <w:szCs w:val="28"/>
        </w:rPr>
        <w:t xml:space="preserve">Gastos públicos em </w:t>
      </w:r>
      <w:proofErr w:type="spellStart"/>
      <w:r w:rsidRPr="00280E25">
        <w:rPr>
          <w:rFonts w:ascii="Calibri" w:eastAsiaTheme="minorHAnsi" w:hAnsi="Calibri" w:cs="Calibri"/>
          <w:b/>
          <w:i/>
          <w:iCs/>
          <w:sz w:val="28"/>
          <w:szCs w:val="28"/>
        </w:rPr>
        <w:t>educação</w:t>
      </w:r>
      <w:proofErr w:type="spellEnd"/>
      <w:r w:rsidRPr="00280E25">
        <w:rPr>
          <w:rFonts w:ascii="Calibri" w:eastAsiaTheme="minorHAnsi" w:hAnsi="Calibri" w:cs="Calibri"/>
          <w:b/>
          <w:i/>
          <w:iCs/>
          <w:sz w:val="28"/>
          <w:szCs w:val="28"/>
        </w:rPr>
        <w:t xml:space="preserve"> para a </w:t>
      </w:r>
      <w:proofErr w:type="spellStart"/>
      <w:r w:rsidRPr="00280E25">
        <w:rPr>
          <w:rFonts w:ascii="Calibri" w:eastAsiaTheme="minorHAnsi" w:hAnsi="Calibri" w:cs="Calibri"/>
          <w:b/>
          <w:i/>
          <w:iCs/>
          <w:sz w:val="28"/>
          <w:szCs w:val="28"/>
        </w:rPr>
        <w:t>formação</w:t>
      </w:r>
      <w:proofErr w:type="spellEnd"/>
      <w:r w:rsidRPr="00280E25">
        <w:rPr>
          <w:rFonts w:ascii="Calibri" w:eastAsiaTheme="minorHAnsi" w:hAnsi="Calibri" w:cs="Calibri"/>
          <w:b/>
          <w:i/>
          <w:iCs/>
          <w:sz w:val="28"/>
          <w:szCs w:val="28"/>
        </w:rPr>
        <w:t xml:space="preserve"> de capital humano: a </w:t>
      </w:r>
      <w:proofErr w:type="spellStart"/>
      <w:r w:rsidRPr="00280E25">
        <w:rPr>
          <w:rFonts w:ascii="Calibri" w:eastAsiaTheme="minorHAnsi" w:hAnsi="Calibri" w:cs="Calibri"/>
          <w:b/>
          <w:i/>
          <w:iCs/>
          <w:sz w:val="28"/>
          <w:szCs w:val="28"/>
        </w:rPr>
        <w:t>experiência</w:t>
      </w:r>
      <w:proofErr w:type="spellEnd"/>
      <w:r w:rsidRPr="00280E25">
        <w:rPr>
          <w:rFonts w:ascii="Calibri" w:eastAsiaTheme="minorHAnsi" w:hAnsi="Calibri" w:cs="Calibri"/>
          <w:b/>
          <w:i/>
          <w:iCs/>
          <w:sz w:val="28"/>
          <w:szCs w:val="28"/>
        </w:rPr>
        <w:t xml:space="preserve"> do México</w:t>
      </w:r>
    </w:p>
    <w:p w14:paraId="6C8E66E7" w14:textId="77777777" w:rsidR="00365694" w:rsidRPr="00C119EA" w:rsidRDefault="00365694" w:rsidP="00E1621D">
      <w:pPr>
        <w:spacing w:line="227" w:lineRule="atLeast"/>
        <w:jc w:val="right"/>
        <w:rPr>
          <w:b/>
          <w:i/>
          <w:color w:val="333333"/>
          <w:sz w:val="28"/>
          <w:szCs w:val="28"/>
        </w:rPr>
      </w:pPr>
    </w:p>
    <w:p w14:paraId="106B570F" w14:textId="77777777" w:rsidR="00365694" w:rsidRPr="00280E25" w:rsidRDefault="00365694" w:rsidP="00280E25">
      <w:pPr>
        <w:spacing w:line="276" w:lineRule="auto"/>
        <w:ind w:left="993"/>
        <w:jc w:val="right"/>
        <w:rPr>
          <w:rFonts w:asciiTheme="minorHAnsi" w:hAnsiTheme="minorHAnsi" w:cstheme="minorHAnsi"/>
          <w:b/>
          <w:color w:val="333333"/>
        </w:rPr>
      </w:pPr>
      <w:proofErr w:type="spellStart"/>
      <w:r w:rsidRPr="00280E25">
        <w:rPr>
          <w:rFonts w:asciiTheme="minorHAnsi" w:hAnsiTheme="minorHAnsi" w:cstheme="minorHAnsi"/>
          <w:b/>
          <w:color w:val="333333"/>
        </w:rPr>
        <w:t>Oshiel</w:t>
      </w:r>
      <w:proofErr w:type="spellEnd"/>
      <w:r w:rsidRPr="00280E25">
        <w:rPr>
          <w:rFonts w:asciiTheme="minorHAnsi" w:hAnsiTheme="minorHAnsi" w:cstheme="minorHAnsi"/>
          <w:b/>
          <w:color w:val="333333"/>
        </w:rPr>
        <w:t xml:space="preserve"> Martínez Chapa</w:t>
      </w:r>
    </w:p>
    <w:p w14:paraId="00F79340" w14:textId="5AA4123B" w:rsidR="00365694" w:rsidRPr="00280E25" w:rsidRDefault="00365694" w:rsidP="00280E25">
      <w:pPr>
        <w:spacing w:line="276" w:lineRule="auto"/>
        <w:ind w:left="993"/>
        <w:jc w:val="right"/>
        <w:rPr>
          <w:bCs/>
          <w:color w:val="333333"/>
        </w:rPr>
      </w:pPr>
      <w:r w:rsidRPr="00280E25">
        <w:rPr>
          <w:bCs/>
          <w:color w:val="333333"/>
        </w:rPr>
        <w:t>Universidad Autónoma de Tamaulipas</w:t>
      </w:r>
      <w:r w:rsidR="000027E5" w:rsidRPr="00280E25">
        <w:rPr>
          <w:bCs/>
          <w:color w:val="333333"/>
        </w:rPr>
        <w:t>, México</w:t>
      </w:r>
    </w:p>
    <w:p w14:paraId="34D8B117" w14:textId="77777777" w:rsidR="00365694" w:rsidRPr="00280E25" w:rsidRDefault="00365694" w:rsidP="00280E25">
      <w:pPr>
        <w:spacing w:line="276" w:lineRule="auto"/>
        <w:ind w:left="993"/>
        <w:jc w:val="right"/>
        <w:rPr>
          <w:rFonts w:asciiTheme="minorHAnsi" w:hAnsiTheme="minorHAnsi" w:cstheme="minorHAnsi"/>
          <w:color w:val="FF0000"/>
        </w:rPr>
      </w:pPr>
      <w:hyperlink r:id="rId8" w:history="1">
        <w:r w:rsidRPr="00280E25">
          <w:rPr>
            <w:rStyle w:val="Hipervnculo"/>
            <w:rFonts w:asciiTheme="minorHAnsi" w:hAnsiTheme="minorHAnsi" w:cstheme="minorHAnsi"/>
            <w:color w:val="FF0000"/>
            <w:u w:val="none"/>
          </w:rPr>
          <w:t>omartinez@uat.edu.mx</w:t>
        </w:r>
      </w:hyperlink>
    </w:p>
    <w:p w14:paraId="780E8F57" w14:textId="77777777" w:rsidR="00365694" w:rsidRPr="00C119EA" w:rsidRDefault="00365694" w:rsidP="00280E25">
      <w:pPr>
        <w:pStyle w:val="Textonotapie"/>
        <w:spacing w:line="276" w:lineRule="auto"/>
        <w:jc w:val="right"/>
        <w:rPr>
          <w:rFonts w:ascii="Times New Roman" w:hAnsi="Times New Roman"/>
          <w:sz w:val="24"/>
          <w:szCs w:val="24"/>
        </w:rPr>
      </w:pPr>
      <w:hyperlink r:id="rId9" w:history="1">
        <w:r w:rsidRPr="00C119EA">
          <w:rPr>
            <w:rStyle w:val="Hipervnculo"/>
            <w:rFonts w:ascii="Times New Roman" w:hAnsi="Times New Roman"/>
            <w:color w:val="auto"/>
            <w:sz w:val="24"/>
            <w:szCs w:val="24"/>
            <w:u w:val="none"/>
          </w:rPr>
          <w:t>http://orcid.org/0000-0001-9675-5472</w:t>
        </w:r>
      </w:hyperlink>
      <w:r w:rsidRPr="00C119EA">
        <w:rPr>
          <w:rFonts w:ascii="Times New Roman" w:hAnsi="Times New Roman"/>
          <w:sz w:val="24"/>
          <w:szCs w:val="24"/>
        </w:rPr>
        <w:t xml:space="preserve">  </w:t>
      </w:r>
    </w:p>
    <w:p w14:paraId="619DF158" w14:textId="77777777" w:rsidR="00365694" w:rsidRPr="00C119EA" w:rsidRDefault="00365694" w:rsidP="00280E25">
      <w:pPr>
        <w:spacing w:line="276" w:lineRule="auto"/>
        <w:ind w:left="993"/>
        <w:jc w:val="right"/>
        <w:rPr>
          <w:b/>
          <w:color w:val="333333"/>
        </w:rPr>
      </w:pPr>
    </w:p>
    <w:p w14:paraId="5FE654DF" w14:textId="77777777" w:rsidR="00365694" w:rsidRPr="00C119EA" w:rsidRDefault="00365694" w:rsidP="00280E25">
      <w:pPr>
        <w:spacing w:line="276" w:lineRule="auto"/>
        <w:ind w:left="993"/>
        <w:jc w:val="right"/>
        <w:rPr>
          <w:b/>
          <w:color w:val="333333"/>
        </w:rPr>
      </w:pPr>
      <w:r w:rsidRPr="00C119EA">
        <w:rPr>
          <w:b/>
          <w:color w:val="333333"/>
        </w:rPr>
        <w:t xml:space="preserve">           </w:t>
      </w:r>
      <w:r w:rsidRPr="00280E25">
        <w:rPr>
          <w:rFonts w:asciiTheme="minorHAnsi" w:hAnsiTheme="minorHAnsi" w:cstheme="minorHAnsi"/>
          <w:b/>
          <w:color w:val="333333"/>
        </w:rPr>
        <w:t xml:space="preserve">Jaime Gerardo Malacara </w:t>
      </w:r>
      <w:proofErr w:type="spellStart"/>
      <w:r w:rsidRPr="00280E25">
        <w:rPr>
          <w:rFonts w:asciiTheme="minorHAnsi" w:hAnsiTheme="minorHAnsi" w:cstheme="minorHAnsi"/>
          <w:b/>
          <w:color w:val="333333"/>
        </w:rPr>
        <w:t>Navejar</w:t>
      </w:r>
      <w:proofErr w:type="spellEnd"/>
    </w:p>
    <w:p w14:paraId="4CDDE1E3" w14:textId="77777777" w:rsidR="00280E25" w:rsidRPr="00280E25" w:rsidRDefault="00280E25" w:rsidP="00280E25">
      <w:pPr>
        <w:spacing w:line="276" w:lineRule="auto"/>
        <w:ind w:left="993"/>
        <w:jc w:val="right"/>
        <w:rPr>
          <w:bCs/>
          <w:color w:val="333333"/>
        </w:rPr>
      </w:pPr>
      <w:r w:rsidRPr="00280E25">
        <w:rPr>
          <w:bCs/>
          <w:color w:val="333333"/>
        </w:rPr>
        <w:t>Universidad Autónoma de Tamaulipas, México</w:t>
      </w:r>
    </w:p>
    <w:p w14:paraId="5CDEFCA5" w14:textId="77777777" w:rsidR="00365694" w:rsidRPr="00280E25" w:rsidRDefault="00365694" w:rsidP="00280E25">
      <w:pPr>
        <w:spacing w:line="276" w:lineRule="auto"/>
        <w:ind w:left="993"/>
        <w:jc w:val="right"/>
        <w:rPr>
          <w:rStyle w:val="Hipervnculo"/>
          <w:rFonts w:asciiTheme="minorHAnsi" w:hAnsiTheme="minorHAnsi" w:cstheme="minorHAnsi"/>
          <w:color w:val="FF0000"/>
          <w:u w:val="none"/>
        </w:rPr>
      </w:pPr>
      <w:hyperlink r:id="rId10" w:history="1">
        <w:r w:rsidRPr="00280E25">
          <w:rPr>
            <w:rStyle w:val="Hipervnculo"/>
            <w:rFonts w:asciiTheme="minorHAnsi" w:hAnsiTheme="minorHAnsi" w:cstheme="minorHAnsi"/>
            <w:color w:val="FF0000"/>
            <w:u w:val="none"/>
          </w:rPr>
          <w:t>jmalacara@docentes.uat.edu.mx</w:t>
        </w:r>
      </w:hyperlink>
    </w:p>
    <w:p w14:paraId="718F2EFD" w14:textId="77777777" w:rsidR="00365694" w:rsidRPr="00C119EA" w:rsidRDefault="00365694" w:rsidP="00280E25">
      <w:pPr>
        <w:spacing w:line="276" w:lineRule="auto"/>
        <w:ind w:left="4395" w:hanging="142"/>
        <w:jc w:val="right"/>
        <w:rPr>
          <w:color w:val="333333"/>
        </w:rPr>
      </w:pPr>
      <w:r w:rsidRPr="00C119EA">
        <w:rPr>
          <w:color w:val="333333"/>
        </w:rPr>
        <w:t xml:space="preserve">http://orcid.org/0000-0002-1914-2792 </w:t>
      </w:r>
    </w:p>
    <w:p w14:paraId="01BD6C28" w14:textId="77777777" w:rsidR="00365694" w:rsidRPr="00C119EA" w:rsidRDefault="00365694" w:rsidP="00E1621D">
      <w:pPr>
        <w:spacing w:line="227" w:lineRule="atLeast"/>
        <w:jc w:val="right"/>
        <w:rPr>
          <w:b/>
          <w:i/>
          <w:color w:val="333333"/>
          <w:sz w:val="28"/>
          <w:szCs w:val="28"/>
        </w:rPr>
      </w:pPr>
    </w:p>
    <w:p w14:paraId="2100BBD1" w14:textId="00A149BC" w:rsidR="00211862" w:rsidRPr="00280E25" w:rsidRDefault="006F46E7" w:rsidP="005D700E">
      <w:pPr>
        <w:spacing w:line="360" w:lineRule="auto"/>
        <w:jc w:val="both"/>
        <w:rPr>
          <w:rFonts w:asciiTheme="minorHAnsi" w:hAnsiTheme="minorHAnsi" w:cstheme="minorHAnsi"/>
          <w:sz w:val="28"/>
          <w:szCs w:val="28"/>
        </w:rPr>
      </w:pPr>
      <w:r w:rsidRPr="00280E25">
        <w:rPr>
          <w:rFonts w:asciiTheme="minorHAnsi" w:hAnsiTheme="minorHAnsi" w:cstheme="minorHAnsi"/>
          <w:b/>
          <w:sz w:val="28"/>
          <w:szCs w:val="28"/>
        </w:rPr>
        <w:t>R</w:t>
      </w:r>
      <w:r w:rsidR="006E7847" w:rsidRPr="00280E25">
        <w:rPr>
          <w:rFonts w:asciiTheme="minorHAnsi" w:hAnsiTheme="minorHAnsi" w:cstheme="minorHAnsi"/>
          <w:b/>
          <w:sz w:val="28"/>
          <w:szCs w:val="28"/>
        </w:rPr>
        <w:t>esumen</w:t>
      </w:r>
      <w:r w:rsidRPr="00280E25">
        <w:rPr>
          <w:rFonts w:asciiTheme="minorHAnsi" w:hAnsiTheme="minorHAnsi" w:cstheme="minorHAnsi"/>
          <w:sz w:val="28"/>
          <w:szCs w:val="28"/>
        </w:rPr>
        <w:t xml:space="preserve"> </w:t>
      </w:r>
    </w:p>
    <w:p w14:paraId="56D75210" w14:textId="32650D87" w:rsidR="00CC7854" w:rsidRPr="00C119EA" w:rsidRDefault="0076612C" w:rsidP="005D700E">
      <w:pPr>
        <w:spacing w:line="360" w:lineRule="auto"/>
        <w:jc w:val="both"/>
        <w:rPr>
          <w:bCs/>
        </w:rPr>
      </w:pPr>
      <w:r w:rsidRPr="00C119EA">
        <w:t xml:space="preserve">Es preciso que los gobiernos realicen </w:t>
      </w:r>
      <w:r w:rsidR="006F3F97" w:rsidRPr="00C119EA">
        <w:t xml:space="preserve">inversiones </w:t>
      </w:r>
      <w:r w:rsidRPr="00C119EA">
        <w:t xml:space="preserve">significativas </w:t>
      </w:r>
      <w:r w:rsidR="006F3F97" w:rsidRPr="00C119EA">
        <w:t>para desarrollar el capital humano</w:t>
      </w:r>
      <w:r w:rsidR="00251C0C" w:rsidRPr="00C119EA">
        <w:t xml:space="preserve"> en la perspectiva de alcanzar un mayor crecimiento</w:t>
      </w:r>
      <w:r w:rsidR="005E24E1" w:rsidRPr="00C119EA">
        <w:t xml:space="preserve"> económico</w:t>
      </w:r>
      <w:r w:rsidR="00E76B4C" w:rsidRPr="00C119EA">
        <w:t xml:space="preserve">. </w:t>
      </w:r>
      <w:r w:rsidRPr="00C119EA">
        <w:t xml:space="preserve">En este trabajo se </w:t>
      </w:r>
      <w:r w:rsidRPr="00280E25">
        <w:t>analizó</w:t>
      </w:r>
      <w:r w:rsidR="009B1BD8" w:rsidRPr="00C119EA">
        <w:t xml:space="preserve"> el gasto público en </w:t>
      </w:r>
      <w:r w:rsidRPr="00C119EA">
        <w:t xml:space="preserve">el capital humano, en específico en el relativo a la </w:t>
      </w:r>
      <w:r w:rsidR="009B1BD8" w:rsidRPr="00C119EA">
        <w:t>educación</w:t>
      </w:r>
      <w:r w:rsidR="007E2DE0" w:rsidRPr="00C119EA">
        <w:t>,</w:t>
      </w:r>
      <w:r w:rsidR="009B1BD8" w:rsidRPr="00C119EA">
        <w:t xml:space="preserve"> </w:t>
      </w:r>
      <w:r w:rsidR="00D009D6" w:rsidRPr="00C119EA">
        <w:t xml:space="preserve">tema </w:t>
      </w:r>
      <w:r w:rsidR="00203E88" w:rsidRPr="00C119EA">
        <w:t xml:space="preserve">importante entre aquellos países </w:t>
      </w:r>
      <w:r w:rsidR="007B4793" w:rsidRPr="00C119EA">
        <w:t xml:space="preserve">que </w:t>
      </w:r>
      <w:r w:rsidRPr="00C119EA">
        <w:t xml:space="preserve">conforman </w:t>
      </w:r>
      <w:r w:rsidR="00203E88" w:rsidRPr="00C119EA">
        <w:t xml:space="preserve">la </w:t>
      </w:r>
      <w:r w:rsidR="007B4793" w:rsidRPr="00C119EA">
        <w:t xml:space="preserve">Organización </w:t>
      </w:r>
      <w:r w:rsidR="00D009D6" w:rsidRPr="00C119EA">
        <w:t xml:space="preserve">para la </w:t>
      </w:r>
      <w:r w:rsidR="007B4793" w:rsidRPr="00C119EA">
        <w:t xml:space="preserve">Cooperación y </w:t>
      </w:r>
      <w:r w:rsidR="00D009D6" w:rsidRPr="00C119EA">
        <w:t xml:space="preserve">el </w:t>
      </w:r>
      <w:r w:rsidR="007B4793" w:rsidRPr="00C119EA">
        <w:t>Desarrollo Económico</w:t>
      </w:r>
      <w:r w:rsidR="00D009D6" w:rsidRPr="00C119EA">
        <w:t>s</w:t>
      </w:r>
      <w:r w:rsidR="005B4D7F" w:rsidRPr="00C119EA">
        <w:t xml:space="preserve"> (OCDE)</w:t>
      </w:r>
      <w:r w:rsidR="007B4793" w:rsidRPr="00C119EA">
        <w:t>, entr</w:t>
      </w:r>
      <w:r w:rsidR="00061B23" w:rsidRPr="00C119EA">
        <w:t>e</w:t>
      </w:r>
      <w:r w:rsidR="00D009D6" w:rsidRPr="00C119EA">
        <w:t xml:space="preserve"> lo</w:t>
      </w:r>
      <w:r w:rsidR="007B4793" w:rsidRPr="00C119EA">
        <w:t xml:space="preserve">s cuales se </w:t>
      </w:r>
      <w:r w:rsidR="00203E88" w:rsidRPr="00C119EA">
        <w:t>halla</w:t>
      </w:r>
      <w:r w:rsidR="007B4793" w:rsidRPr="00C119EA">
        <w:t xml:space="preserve"> México.</w:t>
      </w:r>
      <w:r w:rsidR="009B1BD8" w:rsidRPr="00C119EA">
        <w:t xml:space="preserve"> </w:t>
      </w:r>
      <w:r w:rsidR="00CF6155" w:rsidRPr="00C119EA">
        <w:rPr>
          <w:bCs/>
        </w:rPr>
        <w:t>La hipótesis</w:t>
      </w:r>
      <w:r w:rsidR="00E76B4C" w:rsidRPr="00C119EA">
        <w:rPr>
          <w:bCs/>
        </w:rPr>
        <w:t xml:space="preserve"> planteada es que los gobiernos que </w:t>
      </w:r>
      <w:r w:rsidRPr="00C119EA">
        <w:rPr>
          <w:bCs/>
        </w:rPr>
        <w:t xml:space="preserve">destinan un gasto público </w:t>
      </w:r>
      <w:r w:rsidR="008F0673" w:rsidRPr="00C119EA">
        <w:rPr>
          <w:bCs/>
        </w:rPr>
        <w:t>significativo y acorde a las necesidades para</w:t>
      </w:r>
      <w:r w:rsidRPr="00C119EA">
        <w:rPr>
          <w:bCs/>
        </w:rPr>
        <w:t xml:space="preserve"> la </w:t>
      </w:r>
      <w:r w:rsidR="00251C0C" w:rsidRPr="00C119EA">
        <w:rPr>
          <w:bCs/>
        </w:rPr>
        <w:t>formación de capital humano</w:t>
      </w:r>
      <w:r w:rsidR="00E76B4C" w:rsidRPr="00C119EA">
        <w:rPr>
          <w:bCs/>
        </w:rPr>
        <w:t xml:space="preserve"> mejoran el bienestar de sus ciudadanos.</w:t>
      </w:r>
      <w:r w:rsidR="00CF6155" w:rsidRPr="00C119EA">
        <w:rPr>
          <w:bCs/>
        </w:rPr>
        <w:t xml:space="preserve"> </w:t>
      </w:r>
      <w:r w:rsidR="008E72B0" w:rsidRPr="00C119EA">
        <w:rPr>
          <w:bCs/>
        </w:rPr>
        <w:t xml:space="preserve">La presente es </w:t>
      </w:r>
      <w:r w:rsidRPr="00C119EA">
        <w:t xml:space="preserve">una investigación </w:t>
      </w:r>
      <w:r w:rsidR="005E24E1" w:rsidRPr="00C119EA">
        <w:t xml:space="preserve">teórica y </w:t>
      </w:r>
      <w:r w:rsidRPr="00C119EA">
        <w:t>documental con enfoque explicativo</w:t>
      </w:r>
      <w:r w:rsidR="008F0673" w:rsidRPr="00C119EA">
        <w:t xml:space="preserve"> y recurre a </w:t>
      </w:r>
      <w:r w:rsidR="00CF6155" w:rsidRPr="00C119EA">
        <w:rPr>
          <w:bCs/>
        </w:rPr>
        <w:t>datos</w:t>
      </w:r>
      <w:r w:rsidR="00203E88" w:rsidRPr="00C119EA">
        <w:rPr>
          <w:bCs/>
        </w:rPr>
        <w:t xml:space="preserve"> pro</w:t>
      </w:r>
      <w:r w:rsidRPr="00C119EA">
        <w:rPr>
          <w:bCs/>
        </w:rPr>
        <w:t xml:space="preserve">cedentes </w:t>
      </w:r>
      <w:r w:rsidR="00CF6155" w:rsidRPr="00C119EA">
        <w:rPr>
          <w:bCs/>
        </w:rPr>
        <w:t>de</w:t>
      </w:r>
      <w:r w:rsidR="0060426D" w:rsidRPr="00C119EA">
        <w:rPr>
          <w:bCs/>
        </w:rPr>
        <w:t xml:space="preserve"> la Se</w:t>
      </w:r>
      <w:r w:rsidR="007E2DE0" w:rsidRPr="00C119EA">
        <w:rPr>
          <w:bCs/>
        </w:rPr>
        <w:t>cretaría de Educación Pública (SEP), l</w:t>
      </w:r>
      <w:r w:rsidR="0060426D" w:rsidRPr="00C119EA">
        <w:rPr>
          <w:bCs/>
        </w:rPr>
        <w:t xml:space="preserve">a </w:t>
      </w:r>
      <w:r w:rsidR="007E2DE0" w:rsidRPr="00C119EA">
        <w:rPr>
          <w:bCs/>
        </w:rPr>
        <w:t>OCDE</w:t>
      </w:r>
      <w:r w:rsidR="0060426D" w:rsidRPr="00C119EA">
        <w:rPr>
          <w:bCs/>
        </w:rPr>
        <w:t xml:space="preserve"> y la Comisión Económica para América Latina</w:t>
      </w:r>
      <w:r w:rsidR="007E2DE0" w:rsidRPr="00C119EA">
        <w:rPr>
          <w:bCs/>
        </w:rPr>
        <w:t xml:space="preserve"> (C</w:t>
      </w:r>
      <w:r w:rsidR="00CE2484" w:rsidRPr="00C119EA">
        <w:rPr>
          <w:bCs/>
        </w:rPr>
        <w:t>EPAL</w:t>
      </w:r>
      <w:r w:rsidR="007E2DE0" w:rsidRPr="00C119EA">
        <w:rPr>
          <w:bCs/>
        </w:rPr>
        <w:t>)</w:t>
      </w:r>
      <w:r w:rsidR="0060426D" w:rsidRPr="00C119EA">
        <w:rPr>
          <w:bCs/>
        </w:rPr>
        <w:t>.</w:t>
      </w:r>
      <w:r w:rsidR="00CF6155" w:rsidRPr="00C119EA">
        <w:rPr>
          <w:bCs/>
        </w:rPr>
        <w:t xml:space="preserve"> </w:t>
      </w:r>
      <w:r w:rsidR="00530090" w:rsidRPr="00C119EA">
        <w:rPr>
          <w:bCs/>
        </w:rPr>
        <w:t>L</w:t>
      </w:r>
      <w:r w:rsidR="00CF6155" w:rsidRPr="00C119EA">
        <w:rPr>
          <w:bCs/>
        </w:rPr>
        <w:t>os resultados</w:t>
      </w:r>
      <w:r w:rsidR="007E2DE0" w:rsidRPr="00C119EA">
        <w:rPr>
          <w:bCs/>
        </w:rPr>
        <w:t xml:space="preserve"> </w:t>
      </w:r>
      <w:r w:rsidRPr="00C119EA">
        <w:rPr>
          <w:bCs/>
        </w:rPr>
        <w:t xml:space="preserve">demostraron </w:t>
      </w:r>
      <w:r w:rsidR="0069501E" w:rsidRPr="00C119EA">
        <w:rPr>
          <w:bCs/>
        </w:rPr>
        <w:t>que,</w:t>
      </w:r>
      <w:r w:rsidR="007E2DE0" w:rsidRPr="00C119EA">
        <w:rPr>
          <w:bCs/>
        </w:rPr>
        <w:t xml:space="preserve"> si bien</w:t>
      </w:r>
      <w:r w:rsidR="00E76B4C" w:rsidRPr="00C119EA">
        <w:rPr>
          <w:bCs/>
        </w:rPr>
        <w:t xml:space="preserve"> en México se ha</w:t>
      </w:r>
      <w:r w:rsidR="007E2DE0" w:rsidRPr="00C119EA">
        <w:rPr>
          <w:bCs/>
        </w:rPr>
        <w:t>n</w:t>
      </w:r>
      <w:r w:rsidR="00E76B4C" w:rsidRPr="00C119EA">
        <w:rPr>
          <w:bCs/>
        </w:rPr>
        <w:t xml:space="preserve"> destinado más recursos</w:t>
      </w:r>
      <w:r w:rsidR="00251C0C" w:rsidRPr="00C119EA">
        <w:rPr>
          <w:bCs/>
        </w:rPr>
        <w:t xml:space="preserve"> a lo largo del tiempo</w:t>
      </w:r>
      <w:r w:rsidR="007E2DE0" w:rsidRPr="00C119EA">
        <w:rPr>
          <w:bCs/>
        </w:rPr>
        <w:t>, aú</w:t>
      </w:r>
      <w:r w:rsidR="00E76B4C" w:rsidRPr="00C119EA">
        <w:rPr>
          <w:bCs/>
        </w:rPr>
        <w:t xml:space="preserve">n hace falta </w:t>
      </w:r>
      <w:r w:rsidR="00432807" w:rsidRPr="00C119EA">
        <w:rPr>
          <w:bCs/>
        </w:rPr>
        <w:t>profundizar dicho gasto, en específico</w:t>
      </w:r>
      <w:r w:rsidR="00530090" w:rsidRPr="00C119EA">
        <w:rPr>
          <w:bCs/>
        </w:rPr>
        <w:t xml:space="preserve"> </w:t>
      </w:r>
      <w:r w:rsidR="00432807" w:rsidRPr="00C119EA">
        <w:rPr>
          <w:bCs/>
        </w:rPr>
        <w:t>p</w:t>
      </w:r>
      <w:r w:rsidR="007E2DE0" w:rsidRPr="00C119EA">
        <w:rPr>
          <w:bCs/>
        </w:rPr>
        <w:t xml:space="preserve">ara ampliar la cobertura y </w:t>
      </w:r>
      <w:r w:rsidR="00432807" w:rsidRPr="00C119EA">
        <w:rPr>
          <w:bCs/>
        </w:rPr>
        <w:t>modernizar su infraestructura.</w:t>
      </w:r>
      <w:r w:rsidR="00411CC0" w:rsidRPr="00C119EA">
        <w:rPr>
          <w:bCs/>
        </w:rPr>
        <w:t xml:space="preserve"> Se</w:t>
      </w:r>
      <w:r w:rsidR="00CF6155" w:rsidRPr="00C119EA">
        <w:rPr>
          <w:bCs/>
        </w:rPr>
        <w:t xml:space="preserve"> </w:t>
      </w:r>
      <w:r w:rsidRPr="00280E25">
        <w:rPr>
          <w:bCs/>
        </w:rPr>
        <w:t>concluyó</w:t>
      </w:r>
      <w:r w:rsidRPr="00C119EA">
        <w:rPr>
          <w:b/>
        </w:rPr>
        <w:t xml:space="preserve"> </w:t>
      </w:r>
      <w:r w:rsidR="00E76B4C" w:rsidRPr="00C119EA">
        <w:rPr>
          <w:bCs/>
        </w:rPr>
        <w:t xml:space="preserve">en la </w:t>
      </w:r>
      <w:r w:rsidR="00E76B4C" w:rsidRPr="00C119EA">
        <w:rPr>
          <w:bCs/>
        </w:rPr>
        <w:lastRenderedPageBreak/>
        <w:t xml:space="preserve">necesidad de </w:t>
      </w:r>
      <w:r w:rsidRPr="00C119EA">
        <w:rPr>
          <w:bCs/>
        </w:rPr>
        <w:t>p</w:t>
      </w:r>
      <w:r w:rsidR="00E76B4C" w:rsidRPr="00C119EA">
        <w:rPr>
          <w:bCs/>
        </w:rPr>
        <w:t>rivile</w:t>
      </w:r>
      <w:r w:rsidRPr="00C119EA">
        <w:rPr>
          <w:bCs/>
        </w:rPr>
        <w:t>giar</w:t>
      </w:r>
      <w:r w:rsidR="00E76B4C" w:rsidRPr="00C119EA">
        <w:rPr>
          <w:bCs/>
        </w:rPr>
        <w:t xml:space="preserve"> un mayor presupuesto, además de mejoras significativas en la calidad de los servicios educativos. </w:t>
      </w:r>
    </w:p>
    <w:p w14:paraId="1D740AC7" w14:textId="77777777" w:rsidR="004C0988" w:rsidRPr="00C119EA" w:rsidRDefault="00B702D1" w:rsidP="005D700E">
      <w:pPr>
        <w:spacing w:line="360" w:lineRule="auto"/>
        <w:jc w:val="both"/>
        <w:rPr>
          <w:rFonts w:ascii="Arial" w:hAnsi="Arial" w:cs="Arial"/>
          <w:bCs/>
          <w:sz w:val="22"/>
          <w:szCs w:val="22"/>
        </w:rPr>
      </w:pPr>
      <w:r w:rsidRPr="00280E25">
        <w:rPr>
          <w:rFonts w:asciiTheme="minorHAnsi" w:hAnsiTheme="minorHAnsi" w:cstheme="minorHAnsi"/>
          <w:b/>
          <w:sz w:val="28"/>
          <w:szCs w:val="28"/>
        </w:rPr>
        <w:t>P</w:t>
      </w:r>
      <w:r w:rsidR="006E7847" w:rsidRPr="00280E25">
        <w:rPr>
          <w:rFonts w:asciiTheme="minorHAnsi" w:hAnsiTheme="minorHAnsi" w:cstheme="minorHAnsi"/>
          <w:b/>
          <w:sz w:val="28"/>
          <w:szCs w:val="28"/>
        </w:rPr>
        <w:t>alabras clave</w:t>
      </w:r>
      <w:r w:rsidR="006F46E7" w:rsidRPr="00280E25">
        <w:rPr>
          <w:rFonts w:asciiTheme="minorHAnsi" w:hAnsiTheme="minorHAnsi" w:cstheme="minorHAnsi"/>
          <w:b/>
          <w:sz w:val="28"/>
          <w:szCs w:val="28"/>
        </w:rPr>
        <w:t>:</w:t>
      </w:r>
      <w:r w:rsidR="006F46E7" w:rsidRPr="00C119EA">
        <w:rPr>
          <w:bCs/>
        </w:rPr>
        <w:t xml:space="preserve"> </w:t>
      </w:r>
      <w:r w:rsidR="00CF6155" w:rsidRPr="00C119EA">
        <w:rPr>
          <w:bCs/>
        </w:rPr>
        <w:t xml:space="preserve">gasto </w:t>
      </w:r>
      <w:r w:rsidR="00411CC0" w:rsidRPr="00C119EA">
        <w:rPr>
          <w:bCs/>
        </w:rPr>
        <w:t>público</w:t>
      </w:r>
      <w:r w:rsidR="00CF6155" w:rsidRPr="00C119EA">
        <w:rPr>
          <w:bCs/>
        </w:rPr>
        <w:t xml:space="preserve"> </w:t>
      </w:r>
      <w:r w:rsidR="00573E03" w:rsidRPr="00C119EA">
        <w:rPr>
          <w:bCs/>
        </w:rPr>
        <w:t>educativo</w:t>
      </w:r>
      <w:r w:rsidR="00BE4F15" w:rsidRPr="00C119EA">
        <w:rPr>
          <w:bCs/>
        </w:rPr>
        <w:t xml:space="preserve">, </w:t>
      </w:r>
      <w:r w:rsidRPr="00C119EA">
        <w:rPr>
          <w:bCs/>
        </w:rPr>
        <w:t xml:space="preserve">formación de </w:t>
      </w:r>
      <w:r w:rsidR="00CF6155" w:rsidRPr="00C119EA">
        <w:rPr>
          <w:bCs/>
        </w:rPr>
        <w:t>c</w:t>
      </w:r>
      <w:r w:rsidR="006F46E7" w:rsidRPr="00C119EA">
        <w:rPr>
          <w:bCs/>
        </w:rPr>
        <w:t xml:space="preserve">apital </w:t>
      </w:r>
      <w:r w:rsidR="00CF6155" w:rsidRPr="00C119EA">
        <w:rPr>
          <w:bCs/>
        </w:rPr>
        <w:t>h</w:t>
      </w:r>
      <w:r w:rsidR="006F46E7" w:rsidRPr="00C119EA">
        <w:rPr>
          <w:bCs/>
        </w:rPr>
        <w:t xml:space="preserve">umano, </w:t>
      </w:r>
      <w:r w:rsidR="00411CC0" w:rsidRPr="00C119EA">
        <w:rPr>
          <w:bCs/>
        </w:rPr>
        <w:t>c</w:t>
      </w:r>
      <w:r w:rsidR="00BE4F15" w:rsidRPr="00C119EA">
        <w:rPr>
          <w:bCs/>
        </w:rPr>
        <w:t>recimiento</w:t>
      </w:r>
      <w:r w:rsidR="006F46E7" w:rsidRPr="00C119EA">
        <w:rPr>
          <w:bCs/>
        </w:rPr>
        <w:t xml:space="preserve"> </w:t>
      </w:r>
      <w:r w:rsidR="00411CC0" w:rsidRPr="00C119EA">
        <w:rPr>
          <w:bCs/>
        </w:rPr>
        <w:t>e</w:t>
      </w:r>
      <w:r w:rsidR="006F46E7" w:rsidRPr="00C119EA">
        <w:rPr>
          <w:bCs/>
        </w:rPr>
        <w:t>conómico</w:t>
      </w:r>
      <w:r w:rsidR="004373AC" w:rsidRPr="00C119EA">
        <w:rPr>
          <w:rFonts w:ascii="Arial" w:hAnsi="Arial" w:cs="Arial"/>
          <w:bCs/>
          <w:sz w:val="22"/>
          <w:szCs w:val="22"/>
        </w:rPr>
        <w:t>.</w:t>
      </w:r>
      <w:r w:rsidR="006F46E7" w:rsidRPr="00C119EA">
        <w:rPr>
          <w:rFonts w:ascii="Arial" w:hAnsi="Arial" w:cs="Arial"/>
          <w:bCs/>
          <w:sz w:val="22"/>
          <w:szCs w:val="22"/>
        </w:rPr>
        <w:t xml:space="preserve">  </w:t>
      </w:r>
    </w:p>
    <w:p w14:paraId="494765B4" w14:textId="77777777" w:rsidR="00280E25" w:rsidRDefault="00280E25" w:rsidP="005D700E">
      <w:pPr>
        <w:spacing w:line="360" w:lineRule="auto"/>
        <w:jc w:val="both"/>
        <w:rPr>
          <w:rFonts w:asciiTheme="minorHAnsi" w:hAnsiTheme="minorHAnsi" w:cstheme="minorHAnsi"/>
          <w:b/>
          <w:sz w:val="28"/>
          <w:szCs w:val="28"/>
        </w:rPr>
      </w:pPr>
    </w:p>
    <w:p w14:paraId="07CE3B67" w14:textId="39D8B292" w:rsidR="00415130" w:rsidRPr="00DA192F" w:rsidRDefault="0000525D" w:rsidP="005D700E">
      <w:pPr>
        <w:spacing w:line="360" w:lineRule="auto"/>
        <w:jc w:val="both"/>
        <w:rPr>
          <w:rFonts w:asciiTheme="minorHAnsi" w:hAnsiTheme="minorHAnsi" w:cstheme="minorHAnsi"/>
          <w:b/>
          <w:sz w:val="28"/>
          <w:szCs w:val="28"/>
          <w:lang w:val="en-US"/>
        </w:rPr>
      </w:pPr>
      <w:r w:rsidRPr="00DA192F">
        <w:rPr>
          <w:rFonts w:asciiTheme="minorHAnsi" w:hAnsiTheme="minorHAnsi" w:cstheme="minorHAnsi"/>
          <w:b/>
          <w:sz w:val="28"/>
          <w:szCs w:val="28"/>
          <w:lang w:val="en-US"/>
        </w:rPr>
        <w:t>Abstract</w:t>
      </w:r>
    </w:p>
    <w:p w14:paraId="057C0B62" w14:textId="3694DB5B" w:rsidR="0000525D" w:rsidRPr="00DA192F" w:rsidRDefault="009A06A6" w:rsidP="005D700E">
      <w:pPr>
        <w:spacing w:line="360" w:lineRule="auto"/>
        <w:jc w:val="both"/>
        <w:rPr>
          <w:bCs/>
          <w:lang w:val="en-US"/>
        </w:rPr>
      </w:pPr>
      <w:r w:rsidRPr="00DA192F">
        <w:rPr>
          <w:bCs/>
          <w:lang w:val="en-US"/>
        </w:rPr>
        <w:t>Governments need to make significant investments to develop human capital with a view to achieving greater economic growth. In this work, public spending on human capital was analyzed, specifically in relation to education, an important issue among those countries that make up the Organization for Economic Cooperation and Development (OECD), among which is Mexico. The hypothesis proposed is that governments that allocate significant public spending in accordance with the needs for the formation of human capital improve the well-being of their citizens. This is a theoretical and documentary investigation with an explanatory approach and it uses data from the Ministry of Public Education (SEP), the OECD and the Economic Commission for Latin America (ECLAC). The results showed that although more resources have been allocated in Mexico over time, this spending still needs to be deepened, specifically to expand coverage and modernize its infrastructure. It was concluded that there was a need to prioritize a larger budget, in addition to significant improvements in the quality of educational services.</w:t>
      </w:r>
    </w:p>
    <w:p w14:paraId="31266392" w14:textId="320F32CB" w:rsidR="0000525D" w:rsidRPr="00DA192F" w:rsidRDefault="0000525D" w:rsidP="005D700E">
      <w:pPr>
        <w:spacing w:line="360" w:lineRule="auto"/>
        <w:jc w:val="both"/>
        <w:rPr>
          <w:b/>
          <w:bCs/>
          <w:lang w:val="en-US"/>
        </w:rPr>
      </w:pPr>
      <w:r w:rsidRPr="00DA192F">
        <w:rPr>
          <w:rFonts w:asciiTheme="minorHAnsi" w:hAnsiTheme="minorHAnsi" w:cstheme="minorHAnsi"/>
          <w:b/>
          <w:sz w:val="28"/>
          <w:szCs w:val="28"/>
          <w:lang w:val="en-US"/>
        </w:rPr>
        <w:t>Keywords:</w:t>
      </w:r>
      <w:r w:rsidR="007F5A79" w:rsidRPr="00DA192F">
        <w:rPr>
          <w:lang w:val="en-US"/>
        </w:rPr>
        <w:t xml:space="preserve"> </w:t>
      </w:r>
      <w:r w:rsidR="007F5A79" w:rsidRPr="00DA192F">
        <w:rPr>
          <w:bCs/>
          <w:lang w:val="en-US"/>
        </w:rPr>
        <w:t>public educational spending, human capital formation, economic growth</w:t>
      </w:r>
    </w:p>
    <w:p w14:paraId="0DB31E8F" w14:textId="77777777" w:rsidR="007F5A79" w:rsidRPr="00DA192F" w:rsidRDefault="007F5A79" w:rsidP="005D700E">
      <w:pPr>
        <w:spacing w:line="360" w:lineRule="auto"/>
        <w:jc w:val="both"/>
        <w:rPr>
          <w:b/>
          <w:bCs/>
          <w:lang w:val="en-US"/>
        </w:rPr>
      </w:pPr>
    </w:p>
    <w:p w14:paraId="49C9B3FC" w14:textId="63CA4D39" w:rsidR="007F5A79" w:rsidRPr="00280E25" w:rsidRDefault="007F5A79" w:rsidP="005D700E">
      <w:pPr>
        <w:spacing w:line="360" w:lineRule="auto"/>
        <w:jc w:val="both"/>
        <w:rPr>
          <w:rFonts w:asciiTheme="minorHAnsi" w:hAnsiTheme="minorHAnsi" w:cstheme="minorHAnsi"/>
          <w:b/>
          <w:sz w:val="28"/>
          <w:szCs w:val="28"/>
        </w:rPr>
      </w:pPr>
      <w:r w:rsidRPr="00280E25">
        <w:rPr>
          <w:rFonts w:asciiTheme="minorHAnsi" w:hAnsiTheme="minorHAnsi" w:cstheme="minorHAnsi"/>
          <w:b/>
          <w:sz w:val="28"/>
          <w:szCs w:val="28"/>
        </w:rPr>
        <w:t>Resumo</w:t>
      </w:r>
    </w:p>
    <w:p w14:paraId="2BA80301" w14:textId="5886B1C9" w:rsidR="007F5A79" w:rsidRPr="00C119EA" w:rsidRDefault="007F5A79" w:rsidP="005D700E">
      <w:pPr>
        <w:spacing w:line="360" w:lineRule="auto"/>
        <w:jc w:val="both"/>
        <w:rPr>
          <w:bCs/>
        </w:rPr>
      </w:pPr>
      <w:r w:rsidRPr="00C119EA">
        <w:rPr>
          <w:bCs/>
        </w:rPr>
        <w:t xml:space="preserve">Os </w:t>
      </w:r>
      <w:proofErr w:type="spellStart"/>
      <w:r w:rsidRPr="00C119EA">
        <w:rPr>
          <w:bCs/>
        </w:rPr>
        <w:t>governos</w:t>
      </w:r>
      <w:proofErr w:type="spellEnd"/>
      <w:r w:rsidRPr="00C119EA">
        <w:rPr>
          <w:bCs/>
        </w:rPr>
        <w:t xml:space="preserve"> </w:t>
      </w:r>
      <w:proofErr w:type="spellStart"/>
      <w:r w:rsidRPr="00C119EA">
        <w:rPr>
          <w:bCs/>
        </w:rPr>
        <w:t>precisam</w:t>
      </w:r>
      <w:proofErr w:type="spellEnd"/>
      <w:r w:rsidRPr="00C119EA">
        <w:rPr>
          <w:bCs/>
        </w:rPr>
        <w:t xml:space="preserve"> de </w:t>
      </w:r>
      <w:proofErr w:type="spellStart"/>
      <w:r w:rsidRPr="00C119EA">
        <w:rPr>
          <w:bCs/>
        </w:rPr>
        <w:t>fazer</w:t>
      </w:r>
      <w:proofErr w:type="spellEnd"/>
      <w:r w:rsidRPr="00C119EA">
        <w:rPr>
          <w:bCs/>
        </w:rPr>
        <w:t xml:space="preserve"> investimentos significativos para desenvolver o capital humano </w:t>
      </w:r>
      <w:proofErr w:type="spellStart"/>
      <w:r w:rsidRPr="00C119EA">
        <w:rPr>
          <w:bCs/>
        </w:rPr>
        <w:t>com</w:t>
      </w:r>
      <w:proofErr w:type="spellEnd"/>
      <w:r w:rsidRPr="00C119EA">
        <w:rPr>
          <w:bCs/>
        </w:rPr>
        <w:t xml:space="preserve"> vista a </w:t>
      </w:r>
      <w:proofErr w:type="spellStart"/>
      <w:r w:rsidRPr="00C119EA">
        <w:rPr>
          <w:bCs/>
        </w:rPr>
        <w:t>alcançar</w:t>
      </w:r>
      <w:proofErr w:type="spellEnd"/>
      <w:r w:rsidRPr="00C119EA">
        <w:rPr>
          <w:bCs/>
        </w:rPr>
        <w:t xml:space="preserve"> </w:t>
      </w:r>
      <w:proofErr w:type="spellStart"/>
      <w:r w:rsidRPr="00C119EA">
        <w:rPr>
          <w:bCs/>
        </w:rPr>
        <w:t>um</w:t>
      </w:r>
      <w:proofErr w:type="spellEnd"/>
      <w:r w:rsidRPr="00C119EA">
        <w:rPr>
          <w:bCs/>
        </w:rPr>
        <w:t xml:space="preserve"> </w:t>
      </w:r>
      <w:proofErr w:type="spellStart"/>
      <w:r w:rsidRPr="00C119EA">
        <w:rPr>
          <w:bCs/>
        </w:rPr>
        <w:t>maior</w:t>
      </w:r>
      <w:proofErr w:type="spellEnd"/>
      <w:r w:rsidRPr="00C119EA">
        <w:rPr>
          <w:bCs/>
        </w:rPr>
        <w:t xml:space="preserve"> </w:t>
      </w:r>
      <w:proofErr w:type="spellStart"/>
      <w:r w:rsidRPr="00C119EA">
        <w:rPr>
          <w:bCs/>
        </w:rPr>
        <w:t>crescimento</w:t>
      </w:r>
      <w:proofErr w:type="spellEnd"/>
      <w:r w:rsidRPr="00C119EA">
        <w:rPr>
          <w:bCs/>
        </w:rPr>
        <w:t xml:space="preserve"> económico. </w:t>
      </w:r>
      <w:proofErr w:type="spellStart"/>
      <w:r w:rsidRPr="00C119EA">
        <w:rPr>
          <w:bCs/>
        </w:rPr>
        <w:t>Neste</w:t>
      </w:r>
      <w:proofErr w:type="spellEnd"/>
      <w:r w:rsidRPr="00C119EA">
        <w:rPr>
          <w:bCs/>
        </w:rPr>
        <w:t xml:space="preserve"> </w:t>
      </w:r>
      <w:proofErr w:type="spellStart"/>
      <w:r w:rsidRPr="00C119EA">
        <w:rPr>
          <w:bCs/>
        </w:rPr>
        <w:t>trabalho</w:t>
      </w:r>
      <w:proofErr w:type="spellEnd"/>
      <w:r w:rsidRPr="00C119EA">
        <w:rPr>
          <w:bCs/>
        </w:rPr>
        <w:t xml:space="preserve"> </w:t>
      </w:r>
      <w:proofErr w:type="spellStart"/>
      <w:r w:rsidRPr="00C119EA">
        <w:rPr>
          <w:bCs/>
        </w:rPr>
        <w:t>foram</w:t>
      </w:r>
      <w:proofErr w:type="spellEnd"/>
      <w:r w:rsidRPr="00C119EA">
        <w:rPr>
          <w:bCs/>
        </w:rPr>
        <w:t xml:space="preserve"> </w:t>
      </w:r>
      <w:proofErr w:type="spellStart"/>
      <w:r w:rsidRPr="00C119EA">
        <w:rPr>
          <w:bCs/>
        </w:rPr>
        <w:t>analisados</w:t>
      </w:r>
      <w:proofErr w:type="spellEnd"/>
      <w:r w:rsidRPr="00C119EA">
        <w:rPr>
          <w:bCs/>
        </w:rPr>
        <w:t xml:space="preserve"> ​​os gastos públicos </w:t>
      </w:r>
      <w:proofErr w:type="spellStart"/>
      <w:r w:rsidRPr="00C119EA">
        <w:rPr>
          <w:bCs/>
        </w:rPr>
        <w:t>com</w:t>
      </w:r>
      <w:proofErr w:type="spellEnd"/>
      <w:r w:rsidRPr="00C119EA">
        <w:rPr>
          <w:bCs/>
        </w:rPr>
        <w:t xml:space="preserve"> capital humano, </w:t>
      </w:r>
      <w:proofErr w:type="spellStart"/>
      <w:r w:rsidRPr="00C119EA">
        <w:rPr>
          <w:bCs/>
        </w:rPr>
        <w:t>especificamente</w:t>
      </w:r>
      <w:proofErr w:type="spellEnd"/>
      <w:r w:rsidRPr="00C119EA">
        <w:rPr>
          <w:bCs/>
        </w:rPr>
        <w:t xml:space="preserve"> em </w:t>
      </w:r>
      <w:proofErr w:type="spellStart"/>
      <w:r w:rsidRPr="00C119EA">
        <w:rPr>
          <w:bCs/>
        </w:rPr>
        <w:t>relação</w:t>
      </w:r>
      <w:proofErr w:type="spellEnd"/>
      <w:r w:rsidRPr="00C119EA">
        <w:rPr>
          <w:bCs/>
        </w:rPr>
        <w:t xml:space="preserve"> à </w:t>
      </w:r>
      <w:proofErr w:type="spellStart"/>
      <w:r w:rsidRPr="00C119EA">
        <w:rPr>
          <w:bCs/>
        </w:rPr>
        <w:t>educação</w:t>
      </w:r>
      <w:proofErr w:type="spellEnd"/>
      <w:r w:rsidRPr="00C119EA">
        <w:rPr>
          <w:bCs/>
        </w:rPr>
        <w:t xml:space="preserve">, </w:t>
      </w:r>
      <w:proofErr w:type="spellStart"/>
      <w:r w:rsidRPr="00C119EA">
        <w:rPr>
          <w:bCs/>
        </w:rPr>
        <w:t>questão</w:t>
      </w:r>
      <w:proofErr w:type="spellEnd"/>
      <w:r w:rsidRPr="00C119EA">
        <w:rPr>
          <w:bCs/>
        </w:rPr>
        <w:t xml:space="preserve"> importante entre os países que </w:t>
      </w:r>
      <w:proofErr w:type="spellStart"/>
      <w:r w:rsidRPr="00C119EA">
        <w:rPr>
          <w:bCs/>
        </w:rPr>
        <w:t>compõem</w:t>
      </w:r>
      <w:proofErr w:type="spellEnd"/>
      <w:r w:rsidRPr="00C119EA">
        <w:rPr>
          <w:bCs/>
        </w:rPr>
        <w:t xml:space="preserve"> a </w:t>
      </w:r>
      <w:proofErr w:type="spellStart"/>
      <w:r w:rsidRPr="00C119EA">
        <w:rPr>
          <w:bCs/>
        </w:rPr>
        <w:t>Organização</w:t>
      </w:r>
      <w:proofErr w:type="spellEnd"/>
      <w:r w:rsidRPr="00C119EA">
        <w:rPr>
          <w:bCs/>
        </w:rPr>
        <w:t xml:space="preserve"> para a </w:t>
      </w:r>
      <w:proofErr w:type="spellStart"/>
      <w:r w:rsidRPr="00C119EA">
        <w:rPr>
          <w:bCs/>
        </w:rPr>
        <w:t>Cooperação</w:t>
      </w:r>
      <w:proofErr w:type="spellEnd"/>
      <w:r w:rsidRPr="00C119EA">
        <w:rPr>
          <w:bCs/>
        </w:rPr>
        <w:t xml:space="preserve"> e o </w:t>
      </w:r>
      <w:proofErr w:type="spellStart"/>
      <w:r w:rsidRPr="00C119EA">
        <w:rPr>
          <w:bCs/>
        </w:rPr>
        <w:t>Desenvolvimento</w:t>
      </w:r>
      <w:proofErr w:type="spellEnd"/>
      <w:r w:rsidRPr="00C119EA">
        <w:rPr>
          <w:bCs/>
        </w:rPr>
        <w:t xml:space="preserve"> </w:t>
      </w:r>
      <w:proofErr w:type="spellStart"/>
      <w:r w:rsidRPr="00C119EA">
        <w:rPr>
          <w:bCs/>
        </w:rPr>
        <w:t>Econômico</w:t>
      </w:r>
      <w:proofErr w:type="spellEnd"/>
      <w:r w:rsidRPr="00C119EA">
        <w:rPr>
          <w:bCs/>
        </w:rPr>
        <w:t xml:space="preserve"> (OCDE), entre os </w:t>
      </w:r>
      <w:proofErr w:type="spellStart"/>
      <w:r w:rsidRPr="00C119EA">
        <w:rPr>
          <w:bCs/>
        </w:rPr>
        <w:t>quais</w:t>
      </w:r>
      <w:proofErr w:type="spellEnd"/>
      <w:r w:rsidRPr="00C119EA">
        <w:rPr>
          <w:bCs/>
        </w:rPr>
        <w:t xml:space="preserve"> está o México. A </w:t>
      </w:r>
      <w:proofErr w:type="spellStart"/>
      <w:r w:rsidRPr="00C119EA">
        <w:rPr>
          <w:bCs/>
        </w:rPr>
        <w:t>hipótese</w:t>
      </w:r>
      <w:proofErr w:type="spellEnd"/>
      <w:r w:rsidRPr="00C119EA">
        <w:rPr>
          <w:bCs/>
        </w:rPr>
        <w:t xml:space="preserve"> </w:t>
      </w:r>
      <w:proofErr w:type="spellStart"/>
      <w:r w:rsidRPr="00C119EA">
        <w:rPr>
          <w:bCs/>
        </w:rPr>
        <w:t>proposta</w:t>
      </w:r>
      <w:proofErr w:type="spellEnd"/>
      <w:r w:rsidRPr="00C119EA">
        <w:rPr>
          <w:bCs/>
        </w:rPr>
        <w:t xml:space="preserve"> é que os </w:t>
      </w:r>
      <w:proofErr w:type="spellStart"/>
      <w:r w:rsidRPr="00C119EA">
        <w:rPr>
          <w:bCs/>
        </w:rPr>
        <w:t>governos</w:t>
      </w:r>
      <w:proofErr w:type="spellEnd"/>
      <w:r w:rsidRPr="00C119EA">
        <w:rPr>
          <w:bCs/>
        </w:rPr>
        <w:t xml:space="preserve"> que </w:t>
      </w:r>
      <w:proofErr w:type="spellStart"/>
      <w:r w:rsidRPr="00C119EA">
        <w:rPr>
          <w:bCs/>
        </w:rPr>
        <w:t>alocam</w:t>
      </w:r>
      <w:proofErr w:type="spellEnd"/>
      <w:r w:rsidRPr="00C119EA">
        <w:rPr>
          <w:bCs/>
        </w:rPr>
        <w:t xml:space="preserve"> gastos públicos significativos de </w:t>
      </w:r>
      <w:proofErr w:type="spellStart"/>
      <w:r w:rsidRPr="00C119EA">
        <w:rPr>
          <w:bCs/>
        </w:rPr>
        <w:t>acordo</w:t>
      </w:r>
      <w:proofErr w:type="spellEnd"/>
      <w:r w:rsidRPr="00C119EA">
        <w:rPr>
          <w:bCs/>
        </w:rPr>
        <w:t xml:space="preserve"> </w:t>
      </w:r>
      <w:proofErr w:type="spellStart"/>
      <w:r w:rsidRPr="00C119EA">
        <w:rPr>
          <w:bCs/>
        </w:rPr>
        <w:t>com</w:t>
      </w:r>
      <w:proofErr w:type="spellEnd"/>
      <w:r w:rsidRPr="00C119EA">
        <w:rPr>
          <w:bCs/>
        </w:rPr>
        <w:t xml:space="preserve"> as </w:t>
      </w:r>
      <w:proofErr w:type="spellStart"/>
      <w:r w:rsidRPr="00C119EA">
        <w:rPr>
          <w:bCs/>
        </w:rPr>
        <w:t>necessidades</w:t>
      </w:r>
      <w:proofErr w:type="spellEnd"/>
      <w:r w:rsidRPr="00C119EA">
        <w:rPr>
          <w:bCs/>
        </w:rPr>
        <w:t xml:space="preserve"> de </w:t>
      </w:r>
      <w:proofErr w:type="spellStart"/>
      <w:r w:rsidRPr="00C119EA">
        <w:rPr>
          <w:bCs/>
        </w:rPr>
        <w:t>formação</w:t>
      </w:r>
      <w:proofErr w:type="spellEnd"/>
      <w:r w:rsidRPr="00C119EA">
        <w:rPr>
          <w:bCs/>
        </w:rPr>
        <w:t xml:space="preserve"> de capital humano </w:t>
      </w:r>
      <w:proofErr w:type="spellStart"/>
      <w:r w:rsidRPr="00C119EA">
        <w:rPr>
          <w:bCs/>
        </w:rPr>
        <w:t>melhoram</w:t>
      </w:r>
      <w:proofErr w:type="spellEnd"/>
      <w:r w:rsidRPr="00C119EA">
        <w:rPr>
          <w:bCs/>
        </w:rPr>
        <w:t xml:space="preserve"> o </w:t>
      </w:r>
      <w:proofErr w:type="spellStart"/>
      <w:r w:rsidRPr="00C119EA">
        <w:rPr>
          <w:bCs/>
        </w:rPr>
        <w:t>bem</w:t>
      </w:r>
      <w:proofErr w:type="spellEnd"/>
      <w:r w:rsidRPr="00C119EA">
        <w:rPr>
          <w:bCs/>
        </w:rPr>
        <w:t xml:space="preserve">-estar dos </w:t>
      </w:r>
      <w:proofErr w:type="spellStart"/>
      <w:r w:rsidRPr="00C119EA">
        <w:rPr>
          <w:bCs/>
        </w:rPr>
        <w:t>seus</w:t>
      </w:r>
      <w:proofErr w:type="spellEnd"/>
      <w:r w:rsidRPr="00C119EA">
        <w:rPr>
          <w:bCs/>
        </w:rPr>
        <w:t xml:space="preserve"> </w:t>
      </w:r>
      <w:proofErr w:type="spellStart"/>
      <w:r w:rsidRPr="00C119EA">
        <w:rPr>
          <w:bCs/>
        </w:rPr>
        <w:t>cidadãos</w:t>
      </w:r>
      <w:proofErr w:type="spellEnd"/>
      <w:r w:rsidRPr="00C119EA">
        <w:rPr>
          <w:bCs/>
        </w:rPr>
        <w:t xml:space="preserve">. Trata-se </w:t>
      </w:r>
      <w:proofErr w:type="spellStart"/>
      <w:r w:rsidRPr="00C119EA">
        <w:rPr>
          <w:bCs/>
        </w:rPr>
        <w:t>de</w:t>
      </w:r>
      <w:proofErr w:type="spellEnd"/>
      <w:r w:rsidRPr="00C119EA">
        <w:rPr>
          <w:bCs/>
        </w:rPr>
        <w:t xml:space="preserve"> </w:t>
      </w:r>
      <w:proofErr w:type="spellStart"/>
      <w:r w:rsidRPr="00C119EA">
        <w:rPr>
          <w:bCs/>
        </w:rPr>
        <w:t>uma</w:t>
      </w:r>
      <w:proofErr w:type="spellEnd"/>
      <w:r w:rsidRPr="00C119EA">
        <w:rPr>
          <w:bCs/>
        </w:rPr>
        <w:t xml:space="preserve"> </w:t>
      </w:r>
      <w:proofErr w:type="spellStart"/>
      <w:r w:rsidRPr="00C119EA">
        <w:rPr>
          <w:bCs/>
        </w:rPr>
        <w:t>investigação</w:t>
      </w:r>
      <w:proofErr w:type="spellEnd"/>
      <w:r w:rsidRPr="00C119EA">
        <w:rPr>
          <w:bCs/>
        </w:rPr>
        <w:t xml:space="preserve"> teórica </w:t>
      </w:r>
      <w:proofErr w:type="gramStart"/>
      <w:r w:rsidRPr="00C119EA">
        <w:rPr>
          <w:bCs/>
        </w:rPr>
        <w:t>e</w:t>
      </w:r>
      <w:proofErr w:type="gramEnd"/>
      <w:r w:rsidRPr="00C119EA">
        <w:rPr>
          <w:bCs/>
        </w:rPr>
        <w:t xml:space="preserve"> documental </w:t>
      </w:r>
      <w:proofErr w:type="spellStart"/>
      <w:r w:rsidRPr="00C119EA">
        <w:rPr>
          <w:bCs/>
        </w:rPr>
        <w:t>com</w:t>
      </w:r>
      <w:proofErr w:type="spellEnd"/>
      <w:r w:rsidRPr="00C119EA">
        <w:rPr>
          <w:bCs/>
        </w:rPr>
        <w:t xml:space="preserve"> </w:t>
      </w:r>
      <w:proofErr w:type="spellStart"/>
      <w:r w:rsidRPr="00C119EA">
        <w:rPr>
          <w:bCs/>
        </w:rPr>
        <w:t>abordagem</w:t>
      </w:r>
      <w:proofErr w:type="spellEnd"/>
      <w:r w:rsidRPr="00C119EA">
        <w:rPr>
          <w:bCs/>
        </w:rPr>
        <w:t xml:space="preserve"> explicativa e utiliza dados do </w:t>
      </w:r>
      <w:proofErr w:type="spellStart"/>
      <w:r w:rsidRPr="00C119EA">
        <w:rPr>
          <w:bCs/>
        </w:rPr>
        <w:t>Ministério</w:t>
      </w:r>
      <w:proofErr w:type="spellEnd"/>
      <w:r w:rsidRPr="00C119EA">
        <w:rPr>
          <w:bCs/>
        </w:rPr>
        <w:t xml:space="preserve"> da </w:t>
      </w:r>
      <w:proofErr w:type="spellStart"/>
      <w:r w:rsidRPr="00C119EA">
        <w:rPr>
          <w:bCs/>
        </w:rPr>
        <w:t>Educação</w:t>
      </w:r>
      <w:proofErr w:type="spellEnd"/>
      <w:r w:rsidRPr="00C119EA">
        <w:rPr>
          <w:bCs/>
        </w:rPr>
        <w:t xml:space="preserve"> Pública (SEP), da OCDE e da </w:t>
      </w:r>
      <w:proofErr w:type="spellStart"/>
      <w:r w:rsidRPr="00C119EA">
        <w:rPr>
          <w:bCs/>
        </w:rPr>
        <w:t>Comissão</w:t>
      </w:r>
      <w:proofErr w:type="spellEnd"/>
      <w:r w:rsidRPr="00C119EA">
        <w:rPr>
          <w:bCs/>
        </w:rPr>
        <w:t xml:space="preserve"> </w:t>
      </w:r>
      <w:proofErr w:type="spellStart"/>
      <w:r w:rsidRPr="00C119EA">
        <w:rPr>
          <w:bCs/>
        </w:rPr>
        <w:t>Econômica</w:t>
      </w:r>
      <w:proofErr w:type="spellEnd"/>
      <w:r w:rsidRPr="00C119EA">
        <w:rPr>
          <w:bCs/>
        </w:rPr>
        <w:t xml:space="preserve"> para a América Latina (CEPAL). Os resultados </w:t>
      </w:r>
      <w:proofErr w:type="spellStart"/>
      <w:r w:rsidRPr="00C119EA">
        <w:rPr>
          <w:bCs/>
        </w:rPr>
        <w:t>mostraram</w:t>
      </w:r>
      <w:proofErr w:type="spellEnd"/>
      <w:r w:rsidRPr="00C119EA">
        <w:rPr>
          <w:bCs/>
        </w:rPr>
        <w:t xml:space="preserve"> que, </w:t>
      </w:r>
      <w:proofErr w:type="spellStart"/>
      <w:r w:rsidRPr="00C119EA">
        <w:rPr>
          <w:bCs/>
        </w:rPr>
        <w:t>embora</w:t>
      </w:r>
      <w:proofErr w:type="spellEnd"/>
      <w:r w:rsidRPr="00C119EA">
        <w:rPr>
          <w:bCs/>
        </w:rPr>
        <w:t xml:space="preserve"> </w:t>
      </w:r>
      <w:proofErr w:type="spellStart"/>
      <w:r w:rsidRPr="00C119EA">
        <w:rPr>
          <w:bCs/>
        </w:rPr>
        <w:t>tenham</w:t>
      </w:r>
      <w:proofErr w:type="spellEnd"/>
      <w:r w:rsidRPr="00C119EA">
        <w:rPr>
          <w:bCs/>
        </w:rPr>
        <w:t xml:space="preserve"> sido </w:t>
      </w:r>
      <w:proofErr w:type="spellStart"/>
      <w:r w:rsidRPr="00C119EA">
        <w:rPr>
          <w:bCs/>
        </w:rPr>
        <w:t>atribuídos</w:t>
      </w:r>
      <w:proofErr w:type="spellEnd"/>
      <w:r w:rsidRPr="00C119EA">
        <w:rPr>
          <w:bCs/>
        </w:rPr>
        <w:t xml:space="preserve"> </w:t>
      </w:r>
      <w:proofErr w:type="spellStart"/>
      <w:r w:rsidRPr="00C119EA">
        <w:rPr>
          <w:bCs/>
        </w:rPr>
        <w:t>mais</w:t>
      </w:r>
      <w:proofErr w:type="spellEnd"/>
      <w:r w:rsidRPr="00C119EA">
        <w:rPr>
          <w:bCs/>
        </w:rPr>
        <w:t xml:space="preserve"> recursos </w:t>
      </w:r>
      <w:proofErr w:type="spellStart"/>
      <w:r w:rsidRPr="00C119EA">
        <w:rPr>
          <w:bCs/>
        </w:rPr>
        <w:t>ao</w:t>
      </w:r>
      <w:proofErr w:type="spellEnd"/>
      <w:r w:rsidRPr="00C119EA">
        <w:rPr>
          <w:bCs/>
        </w:rPr>
        <w:t xml:space="preserve"> </w:t>
      </w:r>
      <w:r w:rsidRPr="00C119EA">
        <w:rPr>
          <w:bCs/>
        </w:rPr>
        <w:lastRenderedPageBreak/>
        <w:t xml:space="preserve">México </w:t>
      </w:r>
      <w:proofErr w:type="spellStart"/>
      <w:r w:rsidRPr="00C119EA">
        <w:rPr>
          <w:bCs/>
        </w:rPr>
        <w:t>ao</w:t>
      </w:r>
      <w:proofErr w:type="spellEnd"/>
      <w:r w:rsidRPr="00C119EA">
        <w:rPr>
          <w:bCs/>
        </w:rPr>
        <w:t xml:space="preserve"> longo do tempo, esta despesa </w:t>
      </w:r>
      <w:proofErr w:type="spellStart"/>
      <w:r w:rsidRPr="00C119EA">
        <w:rPr>
          <w:bCs/>
        </w:rPr>
        <w:t>ainda</w:t>
      </w:r>
      <w:proofErr w:type="spellEnd"/>
      <w:r w:rsidRPr="00C119EA">
        <w:rPr>
          <w:bCs/>
        </w:rPr>
        <w:t xml:space="preserve"> precisa de ser </w:t>
      </w:r>
      <w:proofErr w:type="spellStart"/>
      <w:r w:rsidRPr="00C119EA">
        <w:rPr>
          <w:bCs/>
        </w:rPr>
        <w:t>aprofundada</w:t>
      </w:r>
      <w:proofErr w:type="spellEnd"/>
      <w:r w:rsidRPr="00C119EA">
        <w:rPr>
          <w:bCs/>
        </w:rPr>
        <w:t xml:space="preserve">, </w:t>
      </w:r>
      <w:proofErr w:type="spellStart"/>
      <w:r w:rsidRPr="00C119EA">
        <w:rPr>
          <w:bCs/>
        </w:rPr>
        <w:t>especificamente</w:t>
      </w:r>
      <w:proofErr w:type="spellEnd"/>
      <w:r w:rsidRPr="00C119EA">
        <w:rPr>
          <w:bCs/>
        </w:rPr>
        <w:t xml:space="preserve"> para expandir a cobertura </w:t>
      </w:r>
      <w:proofErr w:type="gramStart"/>
      <w:r w:rsidRPr="00C119EA">
        <w:rPr>
          <w:bCs/>
        </w:rPr>
        <w:t>e</w:t>
      </w:r>
      <w:proofErr w:type="gramEnd"/>
      <w:r w:rsidRPr="00C119EA">
        <w:rPr>
          <w:bCs/>
        </w:rPr>
        <w:t xml:space="preserve"> modernizar a </w:t>
      </w:r>
      <w:proofErr w:type="spellStart"/>
      <w:r w:rsidRPr="00C119EA">
        <w:rPr>
          <w:bCs/>
        </w:rPr>
        <w:t>sua</w:t>
      </w:r>
      <w:proofErr w:type="spellEnd"/>
      <w:r w:rsidRPr="00C119EA">
        <w:rPr>
          <w:bCs/>
        </w:rPr>
        <w:t xml:space="preserve"> </w:t>
      </w:r>
      <w:proofErr w:type="spellStart"/>
      <w:r w:rsidRPr="00C119EA">
        <w:rPr>
          <w:bCs/>
        </w:rPr>
        <w:t>infraestrutura</w:t>
      </w:r>
      <w:proofErr w:type="spellEnd"/>
      <w:r w:rsidRPr="00C119EA">
        <w:rPr>
          <w:bCs/>
        </w:rPr>
        <w:t xml:space="preserve">. </w:t>
      </w:r>
      <w:proofErr w:type="spellStart"/>
      <w:r w:rsidRPr="00C119EA">
        <w:rPr>
          <w:bCs/>
        </w:rPr>
        <w:t>Concluiuse</w:t>
      </w:r>
      <w:proofErr w:type="spellEnd"/>
      <w:r w:rsidRPr="00C119EA">
        <w:rPr>
          <w:bCs/>
        </w:rPr>
        <w:t xml:space="preserve"> que </w:t>
      </w:r>
      <w:proofErr w:type="spellStart"/>
      <w:r w:rsidRPr="00C119EA">
        <w:rPr>
          <w:bCs/>
        </w:rPr>
        <w:t>havia</w:t>
      </w:r>
      <w:proofErr w:type="spellEnd"/>
      <w:r w:rsidRPr="00C119EA">
        <w:rPr>
          <w:bCs/>
        </w:rPr>
        <w:t xml:space="preserve"> </w:t>
      </w:r>
      <w:proofErr w:type="spellStart"/>
      <w:r w:rsidRPr="00C119EA">
        <w:rPr>
          <w:bCs/>
        </w:rPr>
        <w:t>necessidade</w:t>
      </w:r>
      <w:proofErr w:type="spellEnd"/>
      <w:r w:rsidRPr="00C119EA">
        <w:rPr>
          <w:bCs/>
        </w:rPr>
        <w:t xml:space="preserve"> de priorizar </w:t>
      </w:r>
      <w:proofErr w:type="spellStart"/>
      <w:r w:rsidRPr="00C119EA">
        <w:rPr>
          <w:bCs/>
        </w:rPr>
        <w:t>um</w:t>
      </w:r>
      <w:proofErr w:type="spellEnd"/>
      <w:r w:rsidRPr="00C119EA">
        <w:rPr>
          <w:bCs/>
        </w:rPr>
        <w:t xml:space="preserve"> </w:t>
      </w:r>
      <w:proofErr w:type="spellStart"/>
      <w:r w:rsidRPr="00C119EA">
        <w:rPr>
          <w:bCs/>
        </w:rPr>
        <w:t>orçamento</w:t>
      </w:r>
      <w:proofErr w:type="spellEnd"/>
      <w:r w:rsidRPr="00C119EA">
        <w:rPr>
          <w:bCs/>
        </w:rPr>
        <w:t xml:space="preserve"> </w:t>
      </w:r>
      <w:proofErr w:type="spellStart"/>
      <w:r w:rsidRPr="00C119EA">
        <w:rPr>
          <w:bCs/>
        </w:rPr>
        <w:t>maior</w:t>
      </w:r>
      <w:proofErr w:type="spellEnd"/>
      <w:r w:rsidRPr="00C119EA">
        <w:rPr>
          <w:bCs/>
        </w:rPr>
        <w:t xml:space="preserve">, </w:t>
      </w:r>
      <w:proofErr w:type="spellStart"/>
      <w:r w:rsidRPr="00C119EA">
        <w:rPr>
          <w:bCs/>
        </w:rPr>
        <w:t>além</w:t>
      </w:r>
      <w:proofErr w:type="spellEnd"/>
      <w:r w:rsidRPr="00C119EA">
        <w:rPr>
          <w:bCs/>
        </w:rPr>
        <w:t xml:space="preserve"> de </w:t>
      </w:r>
      <w:proofErr w:type="spellStart"/>
      <w:r w:rsidRPr="00C119EA">
        <w:rPr>
          <w:bCs/>
        </w:rPr>
        <w:t>melhorias</w:t>
      </w:r>
      <w:proofErr w:type="spellEnd"/>
      <w:r w:rsidRPr="00C119EA">
        <w:rPr>
          <w:bCs/>
        </w:rPr>
        <w:t xml:space="preserve"> significativas </w:t>
      </w:r>
      <w:proofErr w:type="spellStart"/>
      <w:r w:rsidRPr="00C119EA">
        <w:rPr>
          <w:bCs/>
        </w:rPr>
        <w:t>na</w:t>
      </w:r>
      <w:proofErr w:type="spellEnd"/>
      <w:r w:rsidRPr="00C119EA">
        <w:rPr>
          <w:bCs/>
        </w:rPr>
        <w:t xml:space="preserve"> </w:t>
      </w:r>
      <w:proofErr w:type="spellStart"/>
      <w:r w:rsidRPr="00C119EA">
        <w:rPr>
          <w:bCs/>
        </w:rPr>
        <w:t>qualidade</w:t>
      </w:r>
      <w:proofErr w:type="spellEnd"/>
      <w:r w:rsidRPr="00C119EA">
        <w:rPr>
          <w:bCs/>
        </w:rPr>
        <w:t xml:space="preserve"> dos </w:t>
      </w:r>
      <w:proofErr w:type="spellStart"/>
      <w:r w:rsidRPr="00C119EA">
        <w:rPr>
          <w:bCs/>
        </w:rPr>
        <w:t>serviços</w:t>
      </w:r>
      <w:proofErr w:type="spellEnd"/>
      <w:r w:rsidRPr="00C119EA">
        <w:rPr>
          <w:bCs/>
        </w:rPr>
        <w:t xml:space="preserve"> </w:t>
      </w:r>
      <w:proofErr w:type="spellStart"/>
      <w:r w:rsidRPr="00C119EA">
        <w:rPr>
          <w:bCs/>
        </w:rPr>
        <w:t>educacionais</w:t>
      </w:r>
      <w:proofErr w:type="spellEnd"/>
      <w:r w:rsidRPr="00C119EA">
        <w:rPr>
          <w:bCs/>
        </w:rPr>
        <w:t>.</w:t>
      </w:r>
    </w:p>
    <w:p w14:paraId="6B95EE56" w14:textId="61DB313C" w:rsidR="007F5A79" w:rsidRDefault="007662CE" w:rsidP="005D700E">
      <w:pPr>
        <w:spacing w:line="360" w:lineRule="auto"/>
        <w:jc w:val="both"/>
        <w:rPr>
          <w:bCs/>
        </w:rPr>
      </w:pPr>
      <w:proofErr w:type="spellStart"/>
      <w:r w:rsidRPr="00280E25">
        <w:rPr>
          <w:rFonts w:asciiTheme="minorHAnsi" w:hAnsiTheme="minorHAnsi" w:cstheme="minorHAnsi"/>
          <w:b/>
          <w:sz w:val="28"/>
          <w:szCs w:val="28"/>
        </w:rPr>
        <w:t>P</w:t>
      </w:r>
      <w:r w:rsidR="007F5A79" w:rsidRPr="00280E25">
        <w:rPr>
          <w:rFonts w:asciiTheme="minorHAnsi" w:hAnsiTheme="minorHAnsi" w:cstheme="minorHAnsi"/>
          <w:b/>
          <w:sz w:val="28"/>
          <w:szCs w:val="28"/>
        </w:rPr>
        <w:t>alavras</w:t>
      </w:r>
      <w:proofErr w:type="spellEnd"/>
      <w:r w:rsidR="007F5A79" w:rsidRPr="00280E25">
        <w:rPr>
          <w:rFonts w:asciiTheme="minorHAnsi" w:hAnsiTheme="minorHAnsi" w:cstheme="minorHAnsi"/>
          <w:b/>
          <w:sz w:val="28"/>
          <w:szCs w:val="28"/>
        </w:rPr>
        <w:t>-chave:</w:t>
      </w:r>
      <w:r w:rsidR="007F5A79" w:rsidRPr="00C119EA">
        <w:rPr>
          <w:bCs/>
        </w:rPr>
        <w:t xml:space="preserve"> gastos públicos </w:t>
      </w:r>
      <w:proofErr w:type="spellStart"/>
      <w:r w:rsidR="007F5A79" w:rsidRPr="00C119EA">
        <w:rPr>
          <w:bCs/>
        </w:rPr>
        <w:t>com</w:t>
      </w:r>
      <w:proofErr w:type="spellEnd"/>
      <w:r w:rsidR="007F5A79" w:rsidRPr="00C119EA">
        <w:rPr>
          <w:bCs/>
        </w:rPr>
        <w:t xml:space="preserve"> </w:t>
      </w:r>
      <w:proofErr w:type="spellStart"/>
      <w:r w:rsidR="007F5A79" w:rsidRPr="00C119EA">
        <w:rPr>
          <w:bCs/>
        </w:rPr>
        <w:t>educação</w:t>
      </w:r>
      <w:proofErr w:type="spellEnd"/>
      <w:r w:rsidR="007F5A79" w:rsidRPr="00C119EA">
        <w:rPr>
          <w:bCs/>
        </w:rPr>
        <w:t xml:space="preserve">, </w:t>
      </w:r>
      <w:proofErr w:type="spellStart"/>
      <w:r w:rsidR="007F5A79" w:rsidRPr="00C119EA">
        <w:rPr>
          <w:bCs/>
        </w:rPr>
        <w:t>formação</w:t>
      </w:r>
      <w:proofErr w:type="spellEnd"/>
      <w:r w:rsidR="007F5A79" w:rsidRPr="00C119EA">
        <w:rPr>
          <w:bCs/>
        </w:rPr>
        <w:t xml:space="preserve"> de capital humano, </w:t>
      </w:r>
      <w:proofErr w:type="spellStart"/>
      <w:r w:rsidR="007F5A79" w:rsidRPr="00C119EA">
        <w:rPr>
          <w:bCs/>
        </w:rPr>
        <w:t>crescimento</w:t>
      </w:r>
      <w:proofErr w:type="spellEnd"/>
      <w:r w:rsidR="007F5A79" w:rsidRPr="00C119EA">
        <w:rPr>
          <w:bCs/>
        </w:rPr>
        <w:t xml:space="preserve"> </w:t>
      </w:r>
      <w:r w:rsidR="00280E25">
        <w:rPr>
          <w:bCs/>
        </w:rPr>
        <w:t>económico.</w:t>
      </w:r>
    </w:p>
    <w:p w14:paraId="53F866F5" w14:textId="72F08D80" w:rsidR="00280E25" w:rsidRPr="004334EF" w:rsidRDefault="00280E25" w:rsidP="00280E2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sidR="00EB54DE">
        <w:rPr>
          <w:rFonts w:ascii="Times New Roman" w:hAnsi="Times New Roman"/>
          <w:color w:val="000000"/>
          <w:sz w:val="24"/>
        </w:rPr>
        <w:t>julio</w:t>
      </w:r>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sidR="00EB54DE" w:rsidRPr="00280E25">
        <w:rPr>
          <w:rFonts w:ascii="Times New Roman" w:hAnsi="Times New Roman"/>
          <w:bCs/>
          <w:color w:val="000000"/>
          <w:sz w:val="24"/>
        </w:rPr>
        <w:t>diciembre</w:t>
      </w:r>
      <w:r w:rsidRPr="00906375">
        <w:rPr>
          <w:rFonts w:ascii="Times New Roman" w:hAnsi="Times New Roman"/>
          <w:color w:val="000000"/>
          <w:sz w:val="24"/>
        </w:rPr>
        <w:t xml:space="preserve"> 2024</w:t>
      </w:r>
    </w:p>
    <w:p w14:paraId="7B92B76B" w14:textId="77777777" w:rsidR="00280E25" w:rsidRPr="004F1719" w:rsidRDefault="00000000" w:rsidP="00280E25">
      <w:pPr>
        <w:spacing w:before="40" w:line="360" w:lineRule="auto"/>
        <w:jc w:val="both"/>
      </w:pPr>
      <w:r>
        <w:rPr>
          <w:noProof/>
          <w14:ligatures w14:val="standardContextual"/>
        </w:rPr>
        <w:pict w14:anchorId="770D4AB8">
          <v:rect id="_x0000_i1025" alt="" style="width:441.9pt;height:.05pt;mso-width-percent:0;mso-height-percent:0;mso-width-percent:0;mso-height-percent:0" o:hralign="center" o:hrstd="t" o:hr="t" fillcolor="#a0a0a0" stroked="f"/>
        </w:pict>
      </w:r>
    </w:p>
    <w:p w14:paraId="16DCF428" w14:textId="28283DB0" w:rsidR="006F46E7" w:rsidRPr="00C119EA" w:rsidRDefault="00B6506A" w:rsidP="00280E25">
      <w:pPr>
        <w:pStyle w:val="Textocomentario"/>
        <w:spacing w:line="360" w:lineRule="auto"/>
        <w:jc w:val="center"/>
        <w:rPr>
          <w:b/>
          <w:bCs/>
          <w:sz w:val="32"/>
          <w:szCs w:val="32"/>
        </w:rPr>
      </w:pPr>
      <w:r w:rsidRPr="00C119EA">
        <w:rPr>
          <w:b/>
          <w:bCs/>
          <w:sz w:val="32"/>
          <w:szCs w:val="32"/>
        </w:rPr>
        <w:t>Introducción</w:t>
      </w:r>
    </w:p>
    <w:p w14:paraId="358F5B1A" w14:textId="33539224" w:rsidR="00AD0CF1" w:rsidRPr="00C119EA" w:rsidRDefault="00203E88" w:rsidP="00C64ABC">
      <w:pPr>
        <w:spacing w:line="360" w:lineRule="auto"/>
        <w:ind w:firstLine="708"/>
        <w:jc w:val="both"/>
        <w:rPr>
          <w:lang w:eastAsia="es-MX"/>
        </w:rPr>
      </w:pPr>
      <w:r w:rsidRPr="00C119EA">
        <w:t xml:space="preserve">Según consta en </w:t>
      </w:r>
      <w:r w:rsidR="00D009D6" w:rsidRPr="00C119EA">
        <w:t>la Organización p</w:t>
      </w:r>
      <w:r w:rsidR="00AD0CF1" w:rsidRPr="00C119EA">
        <w:t xml:space="preserve">ara la Cooperación y Desarrollo </w:t>
      </w:r>
      <w:r w:rsidR="004C2195" w:rsidRPr="00C119EA">
        <w:t>Económico</w:t>
      </w:r>
      <w:r w:rsidR="00D009D6" w:rsidRPr="00C119EA">
        <w:t>s</w:t>
      </w:r>
      <w:r w:rsidR="004C2195" w:rsidRPr="00C119EA">
        <w:t xml:space="preserve"> </w:t>
      </w:r>
      <w:r w:rsidR="004C2195" w:rsidRPr="00C119EA">
        <w:rPr>
          <w:b/>
          <w:bCs/>
        </w:rPr>
        <w:t>(</w:t>
      </w:r>
      <w:r w:rsidR="004C2195" w:rsidRPr="00280E25">
        <w:t>OCDE</w:t>
      </w:r>
      <w:r w:rsidR="006C3603" w:rsidRPr="00C119EA">
        <w:rPr>
          <w:b/>
          <w:bCs/>
        </w:rPr>
        <w:t xml:space="preserve">, </w:t>
      </w:r>
      <w:r w:rsidR="006C3603" w:rsidRPr="00280E25">
        <w:t>2022</w:t>
      </w:r>
      <w:r w:rsidR="004C2195" w:rsidRPr="00C119EA">
        <w:rPr>
          <w:b/>
          <w:bCs/>
        </w:rPr>
        <w:t>)</w:t>
      </w:r>
      <w:r w:rsidR="007E2DE0" w:rsidRPr="00C119EA">
        <w:t>,</w:t>
      </w:r>
      <w:r w:rsidR="004C2195" w:rsidRPr="00C119EA">
        <w:t xml:space="preserve"> </w:t>
      </w:r>
      <w:r w:rsidR="00411CC0" w:rsidRPr="00C119EA">
        <w:t>e</w:t>
      </w:r>
      <w:r w:rsidR="00AD0CF1" w:rsidRPr="00C119EA">
        <w:t xml:space="preserve">l gasto público en </w:t>
      </w:r>
      <w:r w:rsidR="00251C0C" w:rsidRPr="00C119EA">
        <w:t>la formación de capital humano</w:t>
      </w:r>
      <w:r w:rsidR="00AD0CF1" w:rsidRPr="00C119EA">
        <w:t xml:space="preserve"> </w:t>
      </w:r>
      <w:r w:rsidRPr="00C119EA">
        <w:t>considera aspectos relativos a</w:t>
      </w:r>
      <w:r w:rsidR="00AD0CF1" w:rsidRPr="00C119EA">
        <w:rPr>
          <w:lang w:eastAsia="es-MX"/>
        </w:rPr>
        <w:t xml:space="preserve">l gasto directo en instituciones educativas, así como los subsidios públicos </w:t>
      </w:r>
      <w:r w:rsidRPr="00C119EA">
        <w:rPr>
          <w:lang w:eastAsia="es-MX"/>
        </w:rPr>
        <w:t xml:space="preserve">otorgados </w:t>
      </w:r>
      <w:r w:rsidR="00AD0CF1" w:rsidRPr="00C119EA">
        <w:rPr>
          <w:lang w:eastAsia="es-MX"/>
        </w:rPr>
        <w:t>relacionados con la educación</w:t>
      </w:r>
      <w:r w:rsidR="00837D5A">
        <w:rPr>
          <w:lang w:eastAsia="es-MX"/>
        </w:rPr>
        <w:t>,</w:t>
      </w:r>
      <w:r w:rsidR="00AD0CF1" w:rsidRPr="00C119EA">
        <w:rPr>
          <w:lang w:eastAsia="es-MX"/>
        </w:rPr>
        <w:t xml:space="preserve"> </w:t>
      </w:r>
      <w:r w:rsidR="008F0673" w:rsidRPr="00C119EA">
        <w:rPr>
          <w:lang w:eastAsia="es-MX"/>
        </w:rPr>
        <w:t xml:space="preserve">dirigidos </w:t>
      </w:r>
      <w:r w:rsidR="00AD0CF1" w:rsidRPr="00C119EA">
        <w:rPr>
          <w:lang w:eastAsia="es-MX"/>
        </w:rPr>
        <w:t xml:space="preserve">a los hogares y administrados por </w:t>
      </w:r>
      <w:r w:rsidR="003C2C11" w:rsidRPr="00C119EA">
        <w:rPr>
          <w:lang w:eastAsia="es-MX"/>
        </w:rPr>
        <w:t>dichas instituciones</w:t>
      </w:r>
      <w:r w:rsidR="00AD0CF1" w:rsidRPr="00C119EA">
        <w:rPr>
          <w:lang w:eastAsia="es-MX"/>
        </w:rPr>
        <w:t xml:space="preserve">. </w:t>
      </w:r>
      <w:r w:rsidRPr="00C119EA">
        <w:rPr>
          <w:lang w:eastAsia="es-MX"/>
        </w:rPr>
        <w:t xml:space="preserve">Cabe decir que el referido </w:t>
      </w:r>
      <w:r w:rsidR="00AD0CF1" w:rsidRPr="00C119EA">
        <w:rPr>
          <w:lang w:eastAsia="es-MX"/>
        </w:rPr>
        <w:t xml:space="preserve">indicador se muestra como un porcentaje del </w:t>
      </w:r>
      <w:r w:rsidR="00251C0C" w:rsidRPr="00C119EA">
        <w:rPr>
          <w:lang w:eastAsia="es-MX"/>
        </w:rPr>
        <w:t>Producto Interno Bruto (</w:t>
      </w:r>
      <w:r w:rsidR="00AD0CF1" w:rsidRPr="00C119EA">
        <w:rPr>
          <w:lang w:eastAsia="es-MX"/>
        </w:rPr>
        <w:t>PIB</w:t>
      </w:r>
      <w:r w:rsidR="00251C0C" w:rsidRPr="00C119EA">
        <w:rPr>
          <w:lang w:eastAsia="es-MX"/>
        </w:rPr>
        <w:t>)</w:t>
      </w:r>
      <w:r w:rsidRPr="00C119EA">
        <w:rPr>
          <w:lang w:eastAsia="es-MX"/>
        </w:rPr>
        <w:t>, el cual se divide atendiendo los</w:t>
      </w:r>
      <w:r w:rsidR="00AD0CF1" w:rsidRPr="00C119EA">
        <w:rPr>
          <w:lang w:eastAsia="es-MX"/>
        </w:rPr>
        <w:t xml:space="preserve"> niveles primario, secundario y terciario. Las entidades públicas incluyen ministerios </w:t>
      </w:r>
      <w:r w:rsidR="004C2195" w:rsidRPr="00C119EA">
        <w:rPr>
          <w:lang w:eastAsia="es-MX"/>
        </w:rPr>
        <w:t xml:space="preserve">o dependencias encargadas de </w:t>
      </w:r>
      <w:r w:rsidR="00251C0C" w:rsidRPr="00C119EA">
        <w:rPr>
          <w:lang w:eastAsia="es-MX"/>
        </w:rPr>
        <w:t>dicho rubro</w:t>
      </w:r>
      <w:r w:rsidR="00AD0CF1" w:rsidRPr="00C119EA">
        <w:rPr>
          <w:lang w:eastAsia="es-MX"/>
        </w:rPr>
        <w:t>.</w:t>
      </w:r>
      <w:r w:rsidR="00AA111E" w:rsidRPr="00C119EA">
        <w:rPr>
          <w:lang w:eastAsia="es-MX"/>
        </w:rPr>
        <w:t xml:space="preserve"> </w:t>
      </w:r>
      <w:r w:rsidR="00AD0CF1" w:rsidRPr="00C119EA">
        <w:rPr>
          <w:lang w:eastAsia="es-MX"/>
        </w:rPr>
        <w:t xml:space="preserve">Este indicador muestra la prioridad otorgada por los gobiernos a la educación </w:t>
      </w:r>
      <w:r w:rsidR="00D009D6" w:rsidRPr="00C119EA">
        <w:rPr>
          <w:lang w:eastAsia="es-MX"/>
        </w:rPr>
        <w:t>con respecto a</w:t>
      </w:r>
      <w:r w:rsidR="00AD0CF1" w:rsidRPr="00C119EA">
        <w:rPr>
          <w:lang w:eastAsia="es-MX"/>
        </w:rPr>
        <w:t xml:space="preserve"> otras áreas de inversión, como la salud, la seguridad social, la defensa y la seguridad</w:t>
      </w:r>
      <w:r w:rsidR="00AA111E" w:rsidRPr="00C119EA">
        <w:rPr>
          <w:lang w:eastAsia="es-MX"/>
        </w:rPr>
        <w:t xml:space="preserve"> pública</w:t>
      </w:r>
      <w:r w:rsidR="00AD0CF1" w:rsidRPr="00C119EA">
        <w:rPr>
          <w:lang w:eastAsia="es-MX"/>
        </w:rPr>
        <w:t xml:space="preserve">. </w:t>
      </w:r>
    </w:p>
    <w:p w14:paraId="57A6D39A" w14:textId="28B53AD0" w:rsidR="007405EE" w:rsidRPr="00C119EA" w:rsidRDefault="004C0988" w:rsidP="005D700E">
      <w:pPr>
        <w:spacing w:line="360" w:lineRule="auto"/>
        <w:ind w:firstLine="708"/>
        <w:jc w:val="both"/>
        <w:rPr>
          <w:b/>
          <w:bCs/>
        </w:rPr>
      </w:pPr>
      <w:r w:rsidRPr="00C119EA">
        <w:t>L</w:t>
      </w:r>
      <w:r w:rsidR="006F46E7" w:rsidRPr="00C119EA">
        <w:t>a inversión en educación</w:t>
      </w:r>
      <w:r w:rsidR="00364FD3" w:rsidRPr="00C119EA">
        <w:t xml:space="preserve"> es un </w:t>
      </w:r>
      <w:r w:rsidR="006F46E7" w:rsidRPr="00C119EA">
        <w:t xml:space="preserve">elemento central </w:t>
      </w:r>
      <w:r w:rsidR="00CF6155" w:rsidRPr="00C119EA">
        <w:t xml:space="preserve">para </w:t>
      </w:r>
      <w:r w:rsidR="006F46E7" w:rsidRPr="00C119EA">
        <w:t xml:space="preserve">el </w:t>
      </w:r>
      <w:r w:rsidR="00CF6155" w:rsidRPr="00C119EA">
        <w:t xml:space="preserve">desarrollo del </w:t>
      </w:r>
      <w:r w:rsidR="006F46E7" w:rsidRPr="00C119EA">
        <w:t>capital humano</w:t>
      </w:r>
      <w:r w:rsidR="00CF6155" w:rsidRPr="00C119EA">
        <w:t xml:space="preserve"> y</w:t>
      </w:r>
      <w:r w:rsidR="006F46E7" w:rsidRPr="00C119EA">
        <w:t xml:space="preserve"> reviste de creciente importancia en</w:t>
      </w:r>
      <w:r w:rsidR="005B4D7F" w:rsidRPr="00C119EA">
        <w:t xml:space="preserve">tre los </w:t>
      </w:r>
      <w:r w:rsidR="003C2C11" w:rsidRPr="00C119EA">
        <w:t xml:space="preserve">gobiernos </w:t>
      </w:r>
      <w:r w:rsidR="005B4D7F" w:rsidRPr="00C119EA">
        <w:t xml:space="preserve">que tienen como objetivo </w:t>
      </w:r>
      <w:r w:rsidR="00203E88" w:rsidRPr="00C119EA">
        <w:t xml:space="preserve">incrementar el </w:t>
      </w:r>
      <w:r w:rsidR="005B4D7F" w:rsidRPr="00C119EA">
        <w:t>bienestar de su población.</w:t>
      </w:r>
      <w:r w:rsidR="006F46E7" w:rsidRPr="00C119EA">
        <w:t xml:space="preserve"> </w:t>
      </w:r>
      <w:r w:rsidR="00CF6155" w:rsidRPr="00C119EA">
        <w:t>La</w:t>
      </w:r>
      <w:r w:rsidR="006F46E7" w:rsidRPr="00C119EA">
        <w:t xml:space="preserve"> inversión en educación</w:t>
      </w:r>
      <w:r w:rsidR="00CF6155" w:rsidRPr="00C119EA">
        <w:t xml:space="preserve"> se mide</w:t>
      </w:r>
      <w:r w:rsidR="006F46E7" w:rsidRPr="00C119EA">
        <w:t xml:space="preserve"> en términos </w:t>
      </w:r>
      <w:r w:rsidR="00CF6155" w:rsidRPr="00C119EA">
        <w:t>de gasto destinado al rubro de la e</w:t>
      </w:r>
      <w:r w:rsidR="006F46E7" w:rsidRPr="00C119EA">
        <w:t>scolaridad formal</w:t>
      </w:r>
      <w:r w:rsidR="00D009D6" w:rsidRPr="00C119EA">
        <w:t>, si bien se conviene en que</w:t>
      </w:r>
      <w:r w:rsidR="006F46E7" w:rsidRPr="00C119EA">
        <w:t xml:space="preserve"> </w:t>
      </w:r>
      <w:r w:rsidR="00FD4556" w:rsidRPr="00C119EA">
        <w:t>la</w:t>
      </w:r>
      <w:r w:rsidR="006F46E7" w:rsidRPr="00C119EA">
        <w:t xml:space="preserve"> dimensión </w:t>
      </w:r>
      <w:r w:rsidR="00FD4556" w:rsidRPr="00C119EA">
        <w:t xml:space="preserve">del fenómeno educativo </w:t>
      </w:r>
      <w:r w:rsidR="006F46E7" w:rsidRPr="00C119EA">
        <w:t>es más amplia</w:t>
      </w:r>
      <w:r w:rsidR="003C2C11" w:rsidRPr="00C119EA">
        <w:t>, pues no</w:t>
      </w:r>
      <w:r w:rsidR="00A64D59" w:rsidRPr="00C119EA">
        <w:t xml:space="preserve"> só</w:t>
      </w:r>
      <w:r w:rsidR="00CF6155" w:rsidRPr="00C119EA">
        <w:t xml:space="preserve">lo </w:t>
      </w:r>
      <w:r w:rsidR="00FD4556" w:rsidRPr="00C119EA">
        <w:t>se</w:t>
      </w:r>
      <w:r w:rsidR="00CF6155" w:rsidRPr="00C119EA">
        <w:t xml:space="preserve"> considera</w:t>
      </w:r>
      <w:r w:rsidR="00FD4556" w:rsidRPr="00C119EA">
        <w:t>n</w:t>
      </w:r>
      <w:r w:rsidR="00CF6155" w:rsidRPr="00C119EA">
        <w:t xml:space="preserve"> </w:t>
      </w:r>
      <w:r w:rsidR="006F46E7" w:rsidRPr="00C119EA">
        <w:t>los beneficios del mercado</w:t>
      </w:r>
      <w:r w:rsidR="002B55D1" w:rsidRPr="00C119EA">
        <w:t xml:space="preserve"> o</w:t>
      </w:r>
      <w:r w:rsidR="00B9112B" w:rsidRPr="00C119EA">
        <w:t xml:space="preserve"> </w:t>
      </w:r>
      <w:r w:rsidR="006F46E7" w:rsidRPr="00C119EA">
        <w:t>el incremento de l</w:t>
      </w:r>
      <w:r w:rsidR="002B55D1" w:rsidRPr="00C119EA">
        <w:t>as</w:t>
      </w:r>
      <w:r w:rsidR="006F46E7" w:rsidRPr="00C119EA">
        <w:t xml:space="preserve"> </w:t>
      </w:r>
      <w:r w:rsidR="002B55D1" w:rsidRPr="00C119EA">
        <w:t>remuneraciones</w:t>
      </w:r>
      <w:r w:rsidR="00900145" w:rsidRPr="00C119EA">
        <w:rPr>
          <w:b/>
          <w:bCs/>
        </w:rPr>
        <w:t xml:space="preserve"> </w:t>
      </w:r>
      <w:r w:rsidR="00900145" w:rsidRPr="00280E25">
        <w:t>(</w:t>
      </w:r>
      <w:r w:rsidR="00433CD4" w:rsidRPr="00280E25">
        <w:t>Solow, 1956;</w:t>
      </w:r>
      <w:r w:rsidR="00CD548B" w:rsidRPr="00280E25">
        <w:t xml:space="preserve"> Knowles y Owen, 1995; Temple, 1998; </w:t>
      </w:r>
      <w:r w:rsidR="00597E45" w:rsidRPr="00280E25">
        <w:t xml:space="preserve">Acevedo Muriel, 2018: </w:t>
      </w:r>
      <w:r w:rsidR="005D101A" w:rsidRPr="00280E25">
        <w:t>Lozano Rosales</w:t>
      </w:r>
      <w:r w:rsidR="00BE1DC5" w:rsidRPr="00280E25">
        <w:t xml:space="preserve"> </w:t>
      </w:r>
      <w:r w:rsidR="00BE1DC5" w:rsidRPr="00280E25">
        <w:rPr>
          <w:i/>
        </w:rPr>
        <w:t>et al</w:t>
      </w:r>
      <w:r w:rsidR="00BE1DC5" w:rsidRPr="00280E25">
        <w:t xml:space="preserve">, </w:t>
      </w:r>
      <w:r w:rsidR="005D101A" w:rsidRPr="00280E25">
        <w:t xml:space="preserve">2021; Contreras López </w:t>
      </w:r>
      <w:r w:rsidR="005D101A" w:rsidRPr="00280E25">
        <w:rPr>
          <w:i/>
        </w:rPr>
        <w:t>et al</w:t>
      </w:r>
      <w:r w:rsidR="005D101A" w:rsidRPr="00280E25">
        <w:t>, 2021</w:t>
      </w:r>
      <w:r w:rsidR="005E24E1" w:rsidRPr="00280E25">
        <w:t>).</w:t>
      </w:r>
    </w:p>
    <w:p w14:paraId="3A6C44CA" w14:textId="7A1C9FF8" w:rsidR="005E24E1" w:rsidRPr="00C119EA" w:rsidRDefault="005E24E1" w:rsidP="005D700E">
      <w:pPr>
        <w:spacing w:line="360" w:lineRule="auto"/>
        <w:ind w:firstLine="708"/>
        <w:jc w:val="both"/>
        <w:rPr>
          <w:bCs/>
        </w:rPr>
      </w:pPr>
      <w:r w:rsidRPr="00C119EA">
        <w:rPr>
          <w:bCs/>
        </w:rPr>
        <w:t>La teoría sobre el capital humano adquiere relevancia respecto a la forma en la cual los individuos mejoran su condición socioeconómica una vez que se realizan inversiones importantes en aspectos relativos a la salud, educación, entrenamiento y en desarrollo científico y tecnológico. Las organizaciones e individuos alcanzan mayor potencial de desarrollo</w:t>
      </w:r>
      <w:r w:rsidR="00DE4255">
        <w:rPr>
          <w:bCs/>
        </w:rPr>
        <w:t>,</w:t>
      </w:r>
      <w:r w:rsidRPr="00C119EA">
        <w:rPr>
          <w:bCs/>
        </w:rPr>
        <w:t xml:space="preserve"> con lo cual se reduce la pobreza en los países</w:t>
      </w:r>
      <w:r w:rsidRPr="00DE4255">
        <w:rPr>
          <w:bCs/>
        </w:rPr>
        <w:t>.</w:t>
      </w:r>
      <w:r w:rsidR="008F0673" w:rsidRPr="00DE4255">
        <w:rPr>
          <w:bCs/>
        </w:rPr>
        <w:t xml:space="preserve"> </w:t>
      </w:r>
      <w:r w:rsidR="008F0673" w:rsidRPr="00280E25">
        <w:rPr>
          <w:bCs/>
        </w:rPr>
        <w:t>Acevedo Muriel (2018)</w:t>
      </w:r>
      <w:r w:rsidR="008F0673" w:rsidRPr="00C119EA">
        <w:rPr>
          <w:bCs/>
        </w:rPr>
        <w:t xml:space="preserve"> sostiene que el crecimiento económico de las naciones industrializadas tiene que ver con este tipo de inversiones, pues así consiguen mayores tasas de rentabilidad.</w:t>
      </w:r>
    </w:p>
    <w:p w14:paraId="3610AF03" w14:textId="3EBA5563" w:rsidR="00CD548B" w:rsidRDefault="00D628CB" w:rsidP="005D700E">
      <w:pPr>
        <w:spacing w:line="360" w:lineRule="auto"/>
        <w:ind w:firstLine="708"/>
        <w:jc w:val="both"/>
        <w:rPr>
          <w:bCs/>
        </w:rPr>
      </w:pPr>
      <w:r w:rsidRPr="00C119EA">
        <w:rPr>
          <w:bCs/>
        </w:rPr>
        <w:lastRenderedPageBreak/>
        <w:t xml:space="preserve"> </w:t>
      </w:r>
      <w:r w:rsidR="005E24E1" w:rsidRPr="00C119EA">
        <w:rPr>
          <w:bCs/>
        </w:rPr>
        <w:t xml:space="preserve">El objetivo fundamental del presente trabajo es analizar el impacto el gasto público en educación para la formación del capital humano. La hipótesis planteada es que los gobiernos que destinan un gasto público adecuado a la formación de capital humano mejoran el bienestar de sus ciudadanos. </w:t>
      </w:r>
      <w:r w:rsidR="007405EE" w:rsidRPr="00C119EA">
        <w:rPr>
          <w:bCs/>
        </w:rPr>
        <w:t xml:space="preserve">El presente trabajo se conforma de los siguientes apartados: </w:t>
      </w:r>
      <w:r w:rsidR="00933C74">
        <w:rPr>
          <w:bCs/>
        </w:rPr>
        <w:t>e</w:t>
      </w:r>
      <w:r w:rsidR="007405EE" w:rsidRPr="00C119EA">
        <w:rPr>
          <w:bCs/>
        </w:rPr>
        <w:t>n la primera parte se realiza la revisión de la literatura</w:t>
      </w:r>
      <w:r w:rsidR="00933C74">
        <w:rPr>
          <w:bCs/>
        </w:rPr>
        <w:t>, l</w:t>
      </w:r>
      <w:r w:rsidR="007405EE" w:rsidRPr="00C119EA">
        <w:rPr>
          <w:bCs/>
        </w:rPr>
        <w:t>a segunda tiene que ver con la utilización de los materiales y métodos</w:t>
      </w:r>
      <w:r w:rsidR="00933C74">
        <w:rPr>
          <w:bCs/>
        </w:rPr>
        <w:t>, l</w:t>
      </w:r>
      <w:r w:rsidR="007405EE" w:rsidRPr="00C119EA">
        <w:rPr>
          <w:bCs/>
        </w:rPr>
        <w:t>a tercera aborda los resultados</w:t>
      </w:r>
      <w:r w:rsidR="00933C74">
        <w:rPr>
          <w:bCs/>
        </w:rPr>
        <w:t>, l</w:t>
      </w:r>
      <w:r w:rsidR="00C8691F" w:rsidRPr="00C119EA">
        <w:rPr>
          <w:bCs/>
        </w:rPr>
        <w:t>a cuarta destaca la discusión</w:t>
      </w:r>
      <w:r w:rsidR="009A34B4">
        <w:rPr>
          <w:bCs/>
        </w:rPr>
        <w:t>, l</w:t>
      </w:r>
      <w:r w:rsidR="00C8691F" w:rsidRPr="00C119EA">
        <w:rPr>
          <w:bCs/>
        </w:rPr>
        <w:t xml:space="preserve">uego se </w:t>
      </w:r>
      <w:r w:rsidR="007405EE" w:rsidRPr="00C119EA">
        <w:rPr>
          <w:bCs/>
        </w:rPr>
        <w:t>señalan las conclusiones</w:t>
      </w:r>
      <w:r w:rsidR="00C8691F" w:rsidRPr="00C119EA">
        <w:rPr>
          <w:bCs/>
        </w:rPr>
        <w:t xml:space="preserve"> y finalmente se señala el trabajo a futuro.</w:t>
      </w:r>
    </w:p>
    <w:p w14:paraId="3347D1C4" w14:textId="77777777" w:rsidR="009A34B4" w:rsidRPr="00C119EA" w:rsidRDefault="009A34B4" w:rsidP="005D700E">
      <w:pPr>
        <w:spacing w:line="360" w:lineRule="auto"/>
        <w:ind w:firstLine="708"/>
        <w:jc w:val="both"/>
      </w:pPr>
    </w:p>
    <w:p w14:paraId="3916C76E" w14:textId="77777777" w:rsidR="00B6506A" w:rsidRPr="00280E25" w:rsidRDefault="00B6506A" w:rsidP="00B6506A">
      <w:pPr>
        <w:spacing w:line="360" w:lineRule="auto"/>
        <w:ind w:firstLine="708"/>
        <w:jc w:val="center"/>
        <w:rPr>
          <w:b/>
          <w:sz w:val="28"/>
          <w:szCs w:val="28"/>
        </w:rPr>
      </w:pPr>
      <w:r w:rsidRPr="00280E25">
        <w:rPr>
          <w:b/>
          <w:sz w:val="28"/>
          <w:szCs w:val="28"/>
        </w:rPr>
        <w:t>Revisión de la literatura</w:t>
      </w:r>
    </w:p>
    <w:p w14:paraId="39ED896C" w14:textId="473DF957" w:rsidR="008B472E" w:rsidRPr="00C119EA" w:rsidRDefault="009040ED" w:rsidP="005D700E">
      <w:pPr>
        <w:spacing w:line="360" w:lineRule="auto"/>
        <w:ind w:firstLine="708"/>
        <w:jc w:val="both"/>
      </w:pPr>
      <w:r w:rsidRPr="00C119EA">
        <w:t>La</w:t>
      </w:r>
      <w:r w:rsidR="00B9112B" w:rsidRPr="00C119EA">
        <w:t xml:space="preserve"> educación </w:t>
      </w:r>
      <w:r w:rsidRPr="00C119EA">
        <w:t xml:space="preserve">también debe </w:t>
      </w:r>
      <w:r w:rsidR="00CF6155" w:rsidRPr="00C119EA">
        <w:t>verse</w:t>
      </w:r>
      <w:r w:rsidRPr="00C119EA">
        <w:t xml:space="preserve"> como </w:t>
      </w:r>
      <w:r w:rsidR="00B9112B" w:rsidRPr="00C119EA">
        <w:t xml:space="preserve">un derecho fundamental </w:t>
      </w:r>
      <w:r w:rsidR="00CF6155" w:rsidRPr="00C119EA">
        <w:t xml:space="preserve">con externalidades </w:t>
      </w:r>
      <w:r w:rsidR="004C2195" w:rsidRPr="00C119EA">
        <w:t xml:space="preserve">expresadas </w:t>
      </w:r>
      <w:r w:rsidR="00CF6155" w:rsidRPr="00C119EA">
        <w:t xml:space="preserve">en cuanto a </w:t>
      </w:r>
      <w:r w:rsidR="00D009D6" w:rsidRPr="00C119EA">
        <w:t>qué</w:t>
      </w:r>
      <w:r w:rsidR="00A64D59" w:rsidRPr="00C119EA">
        <w:t xml:space="preserve"> </w:t>
      </w:r>
      <w:r w:rsidR="00B9112B" w:rsidRPr="00C119EA">
        <w:t xml:space="preserve">beneficios culturales y sociales van </w:t>
      </w:r>
      <w:r w:rsidR="00526223" w:rsidRPr="00C119EA">
        <w:t>más</w:t>
      </w:r>
      <w:r w:rsidR="00B9112B" w:rsidRPr="00C119EA">
        <w:t xml:space="preserve"> allá de la esfera puramente económica.</w:t>
      </w:r>
      <w:r w:rsidR="00CD548B" w:rsidRPr="00C119EA">
        <w:t xml:space="preserve"> </w:t>
      </w:r>
      <w:r w:rsidR="008B472E" w:rsidRPr="00C119EA">
        <w:t xml:space="preserve">El capital humano, en palabras de </w:t>
      </w:r>
      <w:r w:rsidR="008B472E" w:rsidRPr="00280E25">
        <w:t>Vecino Guerra y Záldivar Castro (2016)</w:t>
      </w:r>
      <w:r w:rsidR="00A64D59" w:rsidRPr="009A34B4">
        <w:t>,</w:t>
      </w:r>
      <w:r w:rsidR="008B472E" w:rsidRPr="00C119EA">
        <w:t xml:space="preserve"> es aquel que se expresa en forma de conocimientos científico-técnico</w:t>
      </w:r>
      <w:r w:rsidR="00D009D6" w:rsidRPr="00C119EA">
        <w:t xml:space="preserve">s, </w:t>
      </w:r>
      <w:r w:rsidR="008B472E" w:rsidRPr="00C119EA">
        <w:t>culturales y éticos, acumulados en personas independientes o agrupados en equipos de trabajo</w:t>
      </w:r>
      <w:r w:rsidR="00A64D59" w:rsidRPr="00C119EA">
        <w:t>,</w:t>
      </w:r>
      <w:r w:rsidR="008B472E" w:rsidRPr="00C119EA">
        <w:t xml:space="preserve"> en una empresa o en la sociedad</w:t>
      </w:r>
      <w:r w:rsidR="00A64D59" w:rsidRPr="00C119EA">
        <w:t>,</w:t>
      </w:r>
      <w:r w:rsidR="008B472E" w:rsidRPr="00C119EA">
        <w:t xml:space="preserve"> a fin de valorizar el trabajo a partir de la ut</w:t>
      </w:r>
      <w:r w:rsidR="00A64D59" w:rsidRPr="00C119EA">
        <w:t>ilización del conocimiento con la meta</w:t>
      </w:r>
      <w:r w:rsidR="008B472E" w:rsidRPr="00C119EA">
        <w:t xml:space="preserve"> de alcanzar objetivos productivos con valor social y económico.</w:t>
      </w:r>
      <w:r w:rsidR="00CD548B" w:rsidRPr="00C119EA">
        <w:t xml:space="preserve">  </w:t>
      </w:r>
    </w:p>
    <w:p w14:paraId="68BDD27E" w14:textId="144BA828" w:rsidR="00411D04" w:rsidRPr="00C119EA" w:rsidRDefault="006F46E7" w:rsidP="005D700E">
      <w:pPr>
        <w:spacing w:line="360" w:lineRule="auto"/>
        <w:jc w:val="both"/>
      </w:pPr>
      <w:r w:rsidRPr="00C119EA">
        <w:t xml:space="preserve"> </w:t>
      </w:r>
      <w:r w:rsidR="00411D04" w:rsidRPr="00C119EA">
        <w:tab/>
      </w:r>
      <w:r w:rsidR="00CF6155" w:rsidRPr="00C119EA">
        <w:rPr>
          <w:bCs/>
        </w:rPr>
        <w:t xml:space="preserve">Desde que México se ha </w:t>
      </w:r>
      <w:r w:rsidR="00CF6155" w:rsidRPr="00B217E2">
        <w:rPr>
          <w:bCs/>
        </w:rPr>
        <w:t xml:space="preserve">incorporó a la </w:t>
      </w:r>
      <w:r w:rsidR="00CF6155" w:rsidRPr="00280E25">
        <w:rPr>
          <w:bCs/>
        </w:rPr>
        <w:t>OCDE</w:t>
      </w:r>
      <w:r w:rsidR="00D628CB" w:rsidRPr="00280E25">
        <w:rPr>
          <w:bCs/>
        </w:rPr>
        <w:t xml:space="preserve"> </w:t>
      </w:r>
      <w:r w:rsidR="007B5C5A" w:rsidRPr="00280E25">
        <w:rPr>
          <w:bCs/>
        </w:rPr>
        <w:t>en 1994</w:t>
      </w:r>
      <w:r w:rsidR="00B217E2">
        <w:rPr>
          <w:bCs/>
        </w:rPr>
        <w:t>,</w:t>
      </w:r>
      <w:r w:rsidR="007F1937" w:rsidRPr="00C119EA">
        <w:rPr>
          <w:b/>
        </w:rPr>
        <w:t xml:space="preserve"> </w:t>
      </w:r>
      <w:r w:rsidR="007F1937" w:rsidRPr="00C119EA">
        <w:rPr>
          <w:bCs/>
        </w:rPr>
        <w:t>ha</w:t>
      </w:r>
      <w:r w:rsidR="00CF6155" w:rsidRPr="00C119EA">
        <w:rPr>
          <w:bCs/>
        </w:rPr>
        <w:t xml:space="preserve"> aumentado el nivel de gasto en materia educativa. No obstante, se </w:t>
      </w:r>
      <w:r w:rsidR="00D009D6" w:rsidRPr="00C119EA">
        <w:rPr>
          <w:bCs/>
        </w:rPr>
        <w:t>advierte una brecha entre</w:t>
      </w:r>
      <w:r w:rsidR="00CF6155" w:rsidRPr="00C119EA">
        <w:rPr>
          <w:bCs/>
        </w:rPr>
        <w:t xml:space="preserve"> </w:t>
      </w:r>
      <w:r w:rsidR="004C2195" w:rsidRPr="00C119EA">
        <w:rPr>
          <w:bCs/>
        </w:rPr>
        <w:t>dicho</w:t>
      </w:r>
      <w:r w:rsidR="00CF6155" w:rsidRPr="00C119EA">
        <w:rPr>
          <w:bCs/>
        </w:rPr>
        <w:t xml:space="preserve"> país con </w:t>
      </w:r>
      <w:r w:rsidR="00D009D6" w:rsidRPr="00C119EA">
        <w:rPr>
          <w:bCs/>
        </w:rPr>
        <w:t>relación</w:t>
      </w:r>
      <w:r w:rsidR="00CF6155" w:rsidRPr="00C119EA">
        <w:rPr>
          <w:bCs/>
        </w:rPr>
        <w:t xml:space="preserve"> a aquellos </w:t>
      </w:r>
      <w:r w:rsidR="004C2195" w:rsidRPr="00C119EA">
        <w:rPr>
          <w:bCs/>
        </w:rPr>
        <w:t xml:space="preserve">que han alcanzado mayores niveles de bienestar social. </w:t>
      </w:r>
      <w:r w:rsidR="00411D04" w:rsidRPr="00C119EA">
        <w:t>No debe despreciarse el hecho de que el incremento de la productividad observada en las naciones desarrolladas se explica por la contribución de la educación al desarrollo científico y tecnológico, así como la salud y demás condiciones de vida material.</w:t>
      </w:r>
    </w:p>
    <w:p w14:paraId="554118F1" w14:textId="2F936376" w:rsidR="00411D04" w:rsidRPr="00C119EA" w:rsidRDefault="00CD0544" w:rsidP="00E17DA5">
      <w:pPr>
        <w:tabs>
          <w:tab w:val="left" w:pos="709"/>
          <w:tab w:val="left" w:pos="5714"/>
        </w:tabs>
        <w:spacing w:line="360" w:lineRule="auto"/>
        <w:jc w:val="both"/>
      </w:pPr>
      <w:r w:rsidRPr="00C119EA">
        <w:rPr>
          <w:bCs/>
        </w:rPr>
        <w:t xml:space="preserve">         </w:t>
      </w:r>
      <w:r w:rsidR="00061A22" w:rsidRPr="00C119EA">
        <w:t xml:space="preserve">Entre los trabajos </w:t>
      </w:r>
      <w:r w:rsidR="003A6D46" w:rsidRPr="00C119EA">
        <w:t xml:space="preserve">pioneros y recientes </w:t>
      </w:r>
      <w:r w:rsidR="00061A22" w:rsidRPr="00C119EA">
        <w:t>que se han realizado en esta línea del conocimiento a nivel internacional y nacional</w:t>
      </w:r>
      <w:r w:rsidR="00D009D6" w:rsidRPr="00C119EA">
        <w:t>,</w:t>
      </w:r>
      <w:r w:rsidR="00061A22" w:rsidRPr="00C119EA">
        <w:t xml:space="preserve"> de</w:t>
      </w:r>
      <w:r w:rsidR="00E17DA5" w:rsidRPr="00C119EA">
        <w:t>ben destacarse los que se detallarán enseguida.</w:t>
      </w:r>
    </w:p>
    <w:p w14:paraId="2B2095F0" w14:textId="024DF650" w:rsidR="00766A02" w:rsidRPr="00C119EA" w:rsidRDefault="00766A02" w:rsidP="005D700E">
      <w:pPr>
        <w:spacing w:line="360" w:lineRule="auto"/>
        <w:ind w:firstLine="567"/>
        <w:jc w:val="both"/>
      </w:pPr>
      <w:r w:rsidRPr="00280E25">
        <w:t>Islam (199</w:t>
      </w:r>
      <w:r w:rsidR="00EC2DED" w:rsidRPr="00280E25">
        <w:t>8</w:t>
      </w:r>
      <w:r w:rsidRPr="00280E25">
        <w:t>)</w:t>
      </w:r>
      <w:r w:rsidRPr="00C119EA">
        <w:t xml:space="preserve"> estudia los patrones de convergencia entre los países a través de la función de producción agregada, advirtiendo las diferencias en el desempeño económico. En el trabajo referido se observa que las diferencias entre los países ocurren debido al pape</w:t>
      </w:r>
      <w:r w:rsidR="000C2620" w:rsidRPr="00C119EA">
        <w:t xml:space="preserve">l preponderante de condiciones como la gobernabilidad y </w:t>
      </w:r>
      <w:r w:rsidRPr="00C119EA">
        <w:t>la</w:t>
      </w:r>
      <w:r w:rsidR="000C2620" w:rsidRPr="00C119EA">
        <w:t xml:space="preserve"> existencia de una</w:t>
      </w:r>
      <w:r w:rsidRPr="00C119EA">
        <w:t xml:space="preserve"> política educativa, científica y tecnológica. Estos factores resultaron ser significativos en las exploraciones de los patrones de crecimiento económico.</w:t>
      </w:r>
    </w:p>
    <w:p w14:paraId="1C24D3FC" w14:textId="3FED10C9" w:rsidR="00766A02" w:rsidRPr="00C119EA" w:rsidRDefault="00766A02" w:rsidP="005D700E">
      <w:pPr>
        <w:autoSpaceDE w:val="0"/>
        <w:autoSpaceDN w:val="0"/>
        <w:adjustRightInd w:val="0"/>
        <w:spacing w:line="360" w:lineRule="auto"/>
        <w:ind w:firstLine="567"/>
        <w:jc w:val="both"/>
      </w:pPr>
      <w:r w:rsidRPr="00C119EA">
        <w:t xml:space="preserve">Continuando esta línea </w:t>
      </w:r>
      <w:r w:rsidR="00E17DA5" w:rsidRPr="00C119EA">
        <w:t xml:space="preserve">de investigación, </w:t>
      </w:r>
      <w:r w:rsidRPr="00280E25">
        <w:t>Iglesias y Neira (1996)</w:t>
      </w:r>
      <w:r w:rsidRPr="00B524BA">
        <w:t xml:space="preserve"> analizan</w:t>
      </w:r>
      <w:r w:rsidRPr="00C119EA">
        <w:t xml:space="preserve"> la evolución del gasto público en educación en términos de asignaciones monetarias, número de alumnos</w:t>
      </w:r>
      <w:r w:rsidR="00E17DA5" w:rsidRPr="00C119EA">
        <w:t xml:space="preserve"> </w:t>
      </w:r>
      <w:r w:rsidR="00E17DA5" w:rsidRPr="00C119EA">
        <w:lastRenderedPageBreak/>
        <w:t>y del PIB</w:t>
      </w:r>
      <w:r w:rsidRPr="00C119EA">
        <w:t xml:space="preserve"> per cápita en algunos países de la OCDE </w:t>
      </w:r>
      <w:r w:rsidR="00BE43E8">
        <w:t xml:space="preserve">de </w:t>
      </w:r>
      <w:r w:rsidRPr="00C119EA">
        <w:t>1985</w:t>
      </w:r>
      <w:r w:rsidR="00BE43E8">
        <w:t xml:space="preserve"> a</w:t>
      </w:r>
      <w:r w:rsidR="004513DA">
        <w:t xml:space="preserve"> </w:t>
      </w:r>
      <w:r w:rsidRPr="00C119EA">
        <w:t xml:space="preserve">1992. Los autores </w:t>
      </w:r>
      <w:r w:rsidR="00900145" w:rsidRPr="00C119EA">
        <w:t>utilizan</w:t>
      </w:r>
      <w:r w:rsidRPr="00C119EA">
        <w:t xml:space="preserve"> un modelo econométrico de Mínimos Cuadrados Ordinarios, empleando dichas variables expresadas en logaritmos. Los resultados revelan la existencia de impulsos divergentes </w:t>
      </w:r>
      <w:r w:rsidR="00900145" w:rsidRPr="00C119EA">
        <w:t xml:space="preserve">en el crecimiento </w:t>
      </w:r>
      <w:r w:rsidRPr="00C119EA">
        <w:t>entre los países en cuestión.</w:t>
      </w:r>
    </w:p>
    <w:p w14:paraId="4BE51C13" w14:textId="04A9BE67" w:rsidR="00411D04" w:rsidRPr="00C119EA" w:rsidRDefault="00411D04" w:rsidP="005D700E">
      <w:pPr>
        <w:pStyle w:val="Prrafodelista"/>
        <w:spacing w:line="360" w:lineRule="auto"/>
        <w:ind w:left="0" w:firstLine="567"/>
        <w:jc w:val="both"/>
      </w:pPr>
      <w:r w:rsidRPr="00C119EA">
        <w:t xml:space="preserve">Entre los estudios que muestran la relevancia de la inversión social deben señalarse </w:t>
      </w:r>
      <w:r w:rsidR="00E17DA5" w:rsidRPr="00C119EA">
        <w:t>los de</w:t>
      </w:r>
      <w:r w:rsidRPr="00C119EA">
        <w:t xml:space="preserve"> </w:t>
      </w:r>
      <w:r w:rsidR="0079260D" w:rsidRPr="00280E25">
        <w:t>Ray (2002</w:t>
      </w:r>
      <w:r w:rsidRPr="00280E25">
        <w:t>)</w:t>
      </w:r>
      <w:r w:rsidRPr="00E0451E">
        <w:t>,</w:t>
      </w:r>
      <w:r w:rsidRPr="00C119EA">
        <w:t xml:space="preserve"> quien puntualiza que con mayores niveles de crecimiento económico l</w:t>
      </w:r>
      <w:r w:rsidR="00AA111E" w:rsidRPr="00C119EA">
        <w:t xml:space="preserve">os ciudadanos </w:t>
      </w:r>
      <w:r w:rsidRPr="00C119EA">
        <w:t>tiene</w:t>
      </w:r>
      <w:r w:rsidR="00AA111E" w:rsidRPr="00C119EA">
        <w:t xml:space="preserve">n </w:t>
      </w:r>
      <w:r w:rsidRPr="00C119EA">
        <w:t xml:space="preserve">mayores </w:t>
      </w:r>
      <w:r w:rsidR="009D20A5" w:rsidRPr="00C119EA">
        <w:t>oportunidades</w:t>
      </w:r>
      <w:r w:rsidR="00E0451E">
        <w:t>,</w:t>
      </w:r>
      <w:r w:rsidR="009D20A5" w:rsidRPr="00C119EA">
        <w:t xml:space="preserve"> </w:t>
      </w:r>
      <w:r w:rsidR="00203E88" w:rsidRPr="00C119EA">
        <w:t xml:space="preserve">a fin de </w:t>
      </w:r>
      <w:r w:rsidRPr="00C119EA">
        <w:t xml:space="preserve">mejorar la </w:t>
      </w:r>
      <w:r w:rsidR="00203E88" w:rsidRPr="00C119EA">
        <w:t>alimentación, empleo</w:t>
      </w:r>
      <w:r w:rsidR="00E0451E">
        <w:t>,</w:t>
      </w:r>
      <w:r w:rsidR="00203E88" w:rsidRPr="00C119EA">
        <w:t xml:space="preserve"> </w:t>
      </w:r>
      <w:r w:rsidRPr="00C119EA">
        <w:t>salud,</w:t>
      </w:r>
      <w:r w:rsidR="00203E88" w:rsidRPr="00C119EA">
        <w:t xml:space="preserve"> educación y </w:t>
      </w:r>
      <w:r w:rsidR="003604D9" w:rsidRPr="00C119EA">
        <w:t>en general</w:t>
      </w:r>
      <w:r w:rsidR="00203E88" w:rsidRPr="00C119EA">
        <w:t xml:space="preserve"> </w:t>
      </w:r>
      <w:r w:rsidR="00ED7A0A" w:rsidRPr="00C119EA">
        <w:t>d</w:t>
      </w:r>
      <w:r w:rsidR="00203E88" w:rsidRPr="00C119EA">
        <w:t>el ingreso de la poblaci</w:t>
      </w:r>
      <w:r w:rsidR="004358F2">
        <w:t>ó</w:t>
      </w:r>
      <w:r w:rsidR="00203E88" w:rsidRPr="00C119EA">
        <w:t>n</w:t>
      </w:r>
      <w:r w:rsidR="00ED7A0A" w:rsidRPr="00C119EA">
        <w:t xml:space="preserve">, así como los </w:t>
      </w:r>
      <w:r w:rsidRPr="00C119EA">
        <w:t>demás bienes materiales. La expansión del bienestar es el resultado de la combinación de una serie de factores sociales, económicos e institucionales, las cuales contribuyen a potenciar las capacidades humanas.</w:t>
      </w:r>
    </w:p>
    <w:p w14:paraId="2F72E137" w14:textId="7EFA17A8" w:rsidR="00B04189" w:rsidRPr="000450EA" w:rsidRDefault="00B04189" w:rsidP="005D700E">
      <w:pPr>
        <w:spacing w:line="360" w:lineRule="auto"/>
        <w:ind w:firstLine="567"/>
        <w:jc w:val="both"/>
      </w:pPr>
      <w:r w:rsidRPr="00C119EA">
        <w:t>En el plano de las relaciones económicas entre los países, la evidencia es clara respecto al papel que juegan las mayores inversiones en el capital humano y físico a fin de alcanzar altos niveles de productividad. De este modo</w:t>
      </w:r>
      <w:r w:rsidR="003A6D46" w:rsidRPr="00C119EA">
        <w:t>,</w:t>
      </w:r>
      <w:r w:rsidRPr="00C119EA">
        <w:t xml:space="preserve"> la educación </w:t>
      </w:r>
      <w:r w:rsidR="00203E88" w:rsidRPr="00C119EA">
        <w:t xml:space="preserve">debe </w:t>
      </w:r>
      <w:r w:rsidRPr="00C119EA">
        <w:t xml:space="preserve">proveer los cambios requeridos en dicha transformación y </w:t>
      </w:r>
      <w:r w:rsidR="00203E88" w:rsidRPr="00C119EA">
        <w:t xml:space="preserve">son diversos </w:t>
      </w:r>
      <w:r w:rsidRPr="00C119EA">
        <w:t>los factores que c</w:t>
      </w:r>
      <w:r w:rsidR="00E17DA5" w:rsidRPr="00C119EA">
        <w:t>ontribuyen a formar ese capital,</w:t>
      </w:r>
      <w:r w:rsidR="000C2620" w:rsidRPr="00C119EA">
        <w:t xml:space="preserve"> erigiéndose como</w:t>
      </w:r>
      <w:r w:rsidRPr="00C119EA">
        <w:t xml:space="preserve"> </w:t>
      </w:r>
      <w:r w:rsidR="001B19CF" w:rsidRPr="00C119EA">
        <w:t xml:space="preserve">fundamentales </w:t>
      </w:r>
      <w:r w:rsidRPr="00C119EA">
        <w:t xml:space="preserve">las instituciones educativas y </w:t>
      </w:r>
      <w:r w:rsidR="003A6D46" w:rsidRPr="00C119EA">
        <w:t>las organizaciones productivas</w:t>
      </w:r>
      <w:r w:rsidRPr="00C119EA">
        <w:t xml:space="preserve"> </w:t>
      </w:r>
      <w:r w:rsidRPr="00280E25">
        <w:t>(</w:t>
      </w:r>
      <w:proofErr w:type="spellStart"/>
      <w:r w:rsidR="0056227F" w:rsidRPr="00280E25">
        <w:t>Carnerio</w:t>
      </w:r>
      <w:proofErr w:type="spellEnd"/>
      <w:r w:rsidR="0056227F" w:rsidRPr="000450EA">
        <w:t xml:space="preserve">, </w:t>
      </w:r>
      <w:r w:rsidRPr="00280E25">
        <w:t xml:space="preserve">Hansen y </w:t>
      </w:r>
      <w:proofErr w:type="spellStart"/>
      <w:r w:rsidRPr="00280E25">
        <w:t>Heckman</w:t>
      </w:r>
      <w:proofErr w:type="spellEnd"/>
      <w:r w:rsidRPr="00280E25">
        <w:t>,</w:t>
      </w:r>
      <w:r w:rsidR="0056227F" w:rsidRPr="00280E25">
        <w:t xml:space="preserve"> </w:t>
      </w:r>
      <w:r w:rsidRPr="00280E25">
        <w:t>2003)</w:t>
      </w:r>
      <w:r w:rsidRPr="000450EA">
        <w:t xml:space="preserve">. </w:t>
      </w:r>
    </w:p>
    <w:p w14:paraId="6536CC6D" w14:textId="3B31E170" w:rsidR="001B19CF" w:rsidRPr="00C119EA" w:rsidRDefault="00E17DA5" w:rsidP="005D700E">
      <w:pPr>
        <w:pStyle w:val="DefaultText"/>
        <w:spacing w:line="360" w:lineRule="auto"/>
        <w:ind w:firstLine="567"/>
        <w:jc w:val="both"/>
      </w:pPr>
      <w:r w:rsidRPr="00C119EA">
        <w:t>En su</w:t>
      </w:r>
      <w:r w:rsidR="00C14577" w:rsidRPr="00C119EA">
        <w:t xml:space="preserve"> trabajo de investigación </w:t>
      </w:r>
      <w:r w:rsidR="006D0433">
        <w:t>acerca de</w:t>
      </w:r>
      <w:r w:rsidR="006D0433" w:rsidRPr="00C119EA">
        <w:t xml:space="preserve"> </w:t>
      </w:r>
      <w:r w:rsidR="00C14577" w:rsidRPr="00C119EA">
        <w:t xml:space="preserve">los efectos de la escolaridad sobre el </w:t>
      </w:r>
      <w:r w:rsidR="00C06901" w:rsidRPr="00C119EA">
        <w:t xml:space="preserve">desarrollo y el </w:t>
      </w:r>
      <w:r w:rsidR="00C14577" w:rsidRPr="00C119EA">
        <w:t xml:space="preserve">crecimiento, </w:t>
      </w:r>
      <w:proofErr w:type="spellStart"/>
      <w:r w:rsidR="00C14577" w:rsidRPr="00EB54DE">
        <w:t>Hojo</w:t>
      </w:r>
      <w:proofErr w:type="spellEnd"/>
      <w:r w:rsidR="00C14577" w:rsidRPr="00280E25">
        <w:t xml:space="preserve"> (2003)</w:t>
      </w:r>
      <w:r w:rsidR="00C14577" w:rsidRPr="00C119EA">
        <w:t xml:space="preserve"> se propone relacionar las tasas de educación y su influencia en el crecimiento económico en una muestra de países.</w:t>
      </w:r>
      <w:r w:rsidR="00992379" w:rsidRPr="00C119EA">
        <w:t xml:space="preserve"> Es esta investigación se destaca que la educación por sí misma no necesariamente es la gran causante del cambio social</w:t>
      </w:r>
      <w:r w:rsidR="0037710E">
        <w:t>,</w:t>
      </w:r>
      <w:r w:rsidR="00992379" w:rsidRPr="00C119EA">
        <w:t xml:space="preserve"> más bien debiera asegurarse </w:t>
      </w:r>
      <w:r w:rsidR="003A6D46" w:rsidRPr="00C119EA">
        <w:t>el papel también relevante que tienen los</w:t>
      </w:r>
      <w:r w:rsidR="00992379" w:rsidRPr="00C119EA">
        <w:t xml:space="preserve"> efectos indirectos de la misma </w:t>
      </w:r>
      <w:r w:rsidR="003A6D46" w:rsidRPr="00C119EA">
        <w:t>e</w:t>
      </w:r>
      <w:r w:rsidR="00992379" w:rsidRPr="00C119EA">
        <w:t xml:space="preserve">n la </w:t>
      </w:r>
      <w:r w:rsidR="009724A8" w:rsidRPr="00C119EA">
        <w:t>sociedad.</w:t>
      </w:r>
      <w:r w:rsidR="001B19CF" w:rsidRPr="00C119EA">
        <w:t xml:space="preserve"> </w:t>
      </w:r>
    </w:p>
    <w:p w14:paraId="024D5C73" w14:textId="05C1E088" w:rsidR="00AA111E" w:rsidRPr="00C119EA" w:rsidRDefault="00C14577" w:rsidP="005D700E">
      <w:pPr>
        <w:autoSpaceDE w:val="0"/>
        <w:autoSpaceDN w:val="0"/>
        <w:adjustRightInd w:val="0"/>
        <w:spacing w:line="360" w:lineRule="auto"/>
        <w:ind w:firstLine="567"/>
        <w:jc w:val="both"/>
      </w:pPr>
      <w:r w:rsidRPr="00C119EA">
        <w:t>En el caso de México, al considerar la parte regional</w:t>
      </w:r>
      <w:r w:rsidR="00424ACF" w:rsidRPr="00C119EA">
        <w:t>,</w:t>
      </w:r>
      <w:r w:rsidRPr="00C119EA">
        <w:t xml:space="preserve"> </w:t>
      </w:r>
      <w:r w:rsidR="00E82E0C" w:rsidRPr="00280E25">
        <w:rPr>
          <w:bCs/>
        </w:rPr>
        <w:t xml:space="preserve">Díaz </w:t>
      </w:r>
      <w:r w:rsidRPr="00280E25">
        <w:rPr>
          <w:bCs/>
        </w:rPr>
        <w:t>Bautista y Díaz Domínguez (2003</w:t>
      </w:r>
      <w:r w:rsidR="00782C3E" w:rsidRPr="00280E25">
        <w:rPr>
          <w:bCs/>
        </w:rPr>
        <w:t>)</w:t>
      </w:r>
      <w:r w:rsidR="00782C3E" w:rsidRPr="0037710E">
        <w:rPr>
          <w:bCs/>
        </w:rPr>
        <w:t xml:space="preserve"> </w:t>
      </w:r>
      <w:r w:rsidR="00782C3E" w:rsidRPr="00C119EA">
        <w:t>dan</w:t>
      </w:r>
      <w:r w:rsidRPr="00C119EA">
        <w:t xml:space="preserve"> cuenta de la existencia de una estrecha </w:t>
      </w:r>
      <w:r w:rsidR="00203E88" w:rsidRPr="00C119EA">
        <w:t xml:space="preserve">vinculación </w:t>
      </w:r>
      <w:r w:rsidRPr="00C119EA">
        <w:t xml:space="preserve">entre educación, desarrollo </w:t>
      </w:r>
      <w:r w:rsidR="00203E88" w:rsidRPr="00C119EA">
        <w:t xml:space="preserve">tecnológico y </w:t>
      </w:r>
      <w:r w:rsidRPr="00C119EA">
        <w:t xml:space="preserve">científico </w:t>
      </w:r>
      <w:r w:rsidR="00200ABB">
        <w:t>con</w:t>
      </w:r>
      <w:r w:rsidR="00203E88" w:rsidRPr="00C119EA">
        <w:t xml:space="preserve"> el propósito de mejorar </w:t>
      </w:r>
      <w:r w:rsidRPr="00C119EA">
        <w:t xml:space="preserve">los niveles de vida de los ciudadanos. En el trabajo en cuestión se advierte que las disparidades regionales en términos de ingreso </w:t>
      </w:r>
      <w:r w:rsidRPr="00C119EA">
        <w:rPr>
          <w:iCs/>
        </w:rPr>
        <w:t>per cápita</w:t>
      </w:r>
      <w:r w:rsidRPr="00C119EA">
        <w:t>, condicionando el estudio a las variables de capital humano para el periodo 1970-2000</w:t>
      </w:r>
      <w:r w:rsidR="00E17DA5" w:rsidRPr="00C119EA">
        <w:t>,</w:t>
      </w:r>
      <w:r w:rsidRPr="00C119EA">
        <w:t xml:space="preserve"> aumenta</w:t>
      </w:r>
      <w:r w:rsidR="001B19CF" w:rsidRPr="00C119EA">
        <w:t>ron</w:t>
      </w:r>
      <w:r w:rsidRPr="00C119EA">
        <w:t xml:space="preserve"> a partir de </w:t>
      </w:r>
      <w:r w:rsidR="00424ACF" w:rsidRPr="00C119EA">
        <w:t xml:space="preserve">la liberalización de la economía </w:t>
      </w:r>
      <w:r w:rsidRPr="00C119EA">
        <w:t>empr</w:t>
      </w:r>
      <w:r w:rsidR="00E17DA5" w:rsidRPr="00C119EA">
        <w:t>endida desde mediados de los años ochenta del siglo pasado</w:t>
      </w:r>
      <w:r w:rsidRPr="00C119EA">
        <w:t>.</w:t>
      </w:r>
    </w:p>
    <w:p w14:paraId="0FFCEFED" w14:textId="0CE53CA0" w:rsidR="00D1016B" w:rsidRDefault="002B0526" w:rsidP="005D700E">
      <w:pPr>
        <w:autoSpaceDE w:val="0"/>
        <w:autoSpaceDN w:val="0"/>
        <w:adjustRightInd w:val="0"/>
        <w:spacing w:line="360" w:lineRule="auto"/>
        <w:ind w:firstLine="567"/>
        <w:jc w:val="both"/>
      </w:pPr>
      <w:r w:rsidRPr="00C119EA">
        <w:t xml:space="preserve">El trabajo </w:t>
      </w:r>
      <w:r w:rsidRPr="00200ABB">
        <w:t xml:space="preserve">de </w:t>
      </w:r>
      <w:proofErr w:type="spellStart"/>
      <w:r w:rsidRPr="00280E25">
        <w:t>Agasisti</w:t>
      </w:r>
      <w:proofErr w:type="spellEnd"/>
      <w:r w:rsidRPr="00280E25">
        <w:t xml:space="preserve"> (2014)</w:t>
      </w:r>
      <w:r w:rsidRPr="00C119EA">
        <w:t xml:space="preserve"> examina el gasto </w:t>
      </w:r>
      <w:r w:rsidR="007B7A8A" w:rsidRPr="00C119EA">
        <w:t>público</w:t>
      </w:r>
      <w:r w:rsidRPr="00C119EA">
        <w:t xml:space="preserve"> en 20 países de la OCDE en el periodo 2006-2009, para lo cual emplea datos de los resultados de la prueba internacional </w:t>
      </w:r>
      <w:proofErr w:type="spellStart"/>
      <w:r w:rsidR="007B7A8A" w:rsidRPr="00C119EA">
        <w:rPr>
          <w:iCs/>
          <w:color w:val="000000"/>
          <w:shd w:val="clear" w:color="auto" w:fill="FFFFFF"/>
        </w:rPr>
        <w:t>Programme</w:t>
      </w:r>
      <w:proofErr w:type="spellEnd"/>
      <w:r w:rsidR="007B7A8A" w:rsidRPr="00C119EA">
        <w:rPr>
          <w:iCs/>
          <w:color w:val="000000"/>
          <w:shd w:val="clear" w:color="auto" w:fill="FFFFFF"/>
        </w:rPr>
        <w:t xml:space="preserve"> </w:t>
      </w:r>
      <w:proofErr w:type="spellStart"/>
      <w:r w:rsidR="007B7A8A" w:rsidRPr="00C119EA">
        <w:rPr>
          <w:iCs/>
          <w:color w:val="000000"/>
          <w:shd w:val="clear" w:color="auto" w:fill="FFFFFF"/>
        </w:rPr>
        <w:t>for</w:t>
      </w:r>
      <w:proofErr w:type="spellEnd"/>
      <w:r w:rsidR="007B7A8A" w:rsidRPr="00C119EA">
        <w:rPr>
          <w:iCs/>
          <w:color w:val="000000"/>
          <w:shd w:val="clear" w:color="auto" w:fill="FFFFFF"/>
        </w:rPr>
        <w:t xml:space="preserve"> International </w:t>
      </w:r>
      <w:proofErr w:type="spellStart"/>
      <w:r w:rsidR="007B7A8A" w:rsidRPr="00C119EA">
        <w:rPr>
          <w:iCs/>
          <w:color w:val="000000"/>
          <w:shd w:val="clear" w:color="auto" w:fill="FFFFFF"/>
        </w:rPr>
        <w:t>Student</w:t>
      </w:r>
      <w:proofErr w:type="spellEnd"/>
      <w:r w:rsidR="007B7A8A" w:rsidRPr="00C119EA">
        <w:rPr>
          <w:iCs/>
          <w:color w:val="000000"/>
          <w:shd w:val="clear" w:color="auto" w:fill="FFFFFF"/>
        </w:rPr>
        <w:t xml:space="preserve"> </w:t>
      </w:r>
      <w:proofErr w:type="spellStart"/>
      <w:r w:rsidR="007B7A8A" w:rsidRPr="00C119EA">
        <w:rPr>
          <w:iCs/>
          <w:color w:val="000000"/>
          <w:shd w:val="clear" w:color="auto" w:fill="FFFFFF"/>
        </w:rPr>
        <w:t>Assessment</w:t>
      </w:r>
      <w:proofErr w:type="spellEnd"/>
      <w:r w:rsidR="00E17DA5" w:rsidRPr="00C119EA">
        <w:rPr>
          <w:i/>
          <w:iCs/>
          <w:color w:val="000000"/>
          <w:shd w:val="clear" w:color="auto" w:fill="FFFFFF"/>
        </w:rPr>
        <w:t xml:space="preserve"> </w:t>
      </w:r>
      <w:r w:rsidR="00E17DA5" w:rsidRPr="00C119EA">
        <w:rPr>
          <w:iCs/>
          <w:color w:val="000000"/>
          <w:shd w:val="clear" w:color="auto" w:fill="FFFFFF"/>
        </w:rPr>
        <w:t>(</w:t>
      </w:r>
      <w:r w:rsidR="00E17DA5" w:rsidRPr="00C119EA">
        <w:t>PISA)</w:t>
      </w:r>
      <w:r w:rsidR="00200ABB">
        <w:t xml:space="preserve">, </w:t>
      </w:r>
      <w:r w:rsidR="007B7A8A" w:rsidRPr="00C119EA">
        <w:t xml:space="preserve">cuyo propósito es medir la capacidad de los estudiantes para emplear sus conocimientos y habilidades en </w:t>
      </w:r>
      <w:r w:rsidR="00E17DA5" w:rsidRPr="00C119EA">
        <w:t xml:space="preserve">lectura, </w:t>
      </w:r>
      <w:r w:rsidR="00E17DA5" w:rsidRPr="00C119EA">
        <w:lastRenderedPageBreak/>
        <w:t>matemáticas y ciencias</w:t>
      </w:r>
      <w:r w:rsidR="00200ABB">
        <w:t>;</w:t>
      </w:r>
      <w:r w:rsidR="007B7A8A" w:rsidRPr="00C119EA">
        <w:t xml:space="preserve"> </w:t>
      </w:r>
      <w:r w:rsidR="00600FC9">
        <w:t>además observa</w:t>
      </w:r>
      <w:r w:rsidR="007B7A8A" w:rsidRPr="00C119EA">
        <w:t xml:space="preserve"> el</w:t>
      </w:r>
      <w:r w:rsidRPr="00C119EA">
        <w:t xml:space="preserve"> gasto per cápita, la tasa de desempleo</w:t>
      </w:r>
      <w:r w:rsidR="00D1016B">
        <w:t xml:space="preserve"> y </w:t>
      </w:r>
      <w:r w:rsidRPr="00C119EA">
        <w:t xml:space="preserve">otras variables. Los resultados muestran una eficiencia estable en lo fundamental en los países objeto de esta investigación. </w:t>
      </w:r>
    </w:p>
    <w:p w14:paraId="6CE05C00" w14:textId="0DF37203" w:rsidR="002B0526" w:rsidRPr="00C119EA" w:rsidRDefault="00D1016B" w:rsidP="005D700E">
      <w:pPr>
        <w:autoSpaceDE w:val="0"/>
        <w:autoSpaceDN w:val="0"/>
        <w:adjustRightInd w:val="0"/>
        <w:spacing w:line="360" w:lineRule="auto"/>
        <w:ind w:firstLine="567"/>
        <w:jc w:val="both"/>
      </w:pPr>
      <w:r>
        <w:t>Un t</w:t>
      </w:r>
      <w:r w:rsidR="002B0526" w:rsidRPr="00C119EA">
        <w:t xml:space="preserve">rabajo igualmente reciente en esta </w:t>
      </w:r>
      <w:r w:rsidR="00411D04" w:rsidRPr="00C119EA">
        <w:t xml:space="preserve">temática </w:t>
      </w:r>
      <w:r w:rsidR="002B0526" w:rsidRPr="00C119EA">
        <w:t xml:space="preserve">es el de </w:t>
      </w:r>
      <w:proofErr w:type="spellStart"/>
      <w:r w:rsidR="002B0526" w:rsidRPr="00280E25">
        <w:t>Dufrechou</w:t>
      </w:r>
      <w:proofErr w:type="spellEnd"/>
      <w:r w:rsidR="002B0526" w:rsidRPr="00280E25">
        <w:t xml:space="preserve"> (2016)</w:t>
      </w:r>
      <w:r w:rsidR="007408F8" w:rsidRPr="00D1016B">
        <w:t>,</w:t>
      </w:r>
      <w:r w:rsidR="000C2620" w:rsidRPr="00C119EA">
        <w:t xml:space="preserve"> el cual destaca</w:t>
      </w:r>
      <w:r w:rsidR="002B0526" w:rsidRPr="00C119EA">
        <w:t xml:space="preserve"> tendencias de convergencia de gasto público en educación, </w:t>
      </w:r>
      <w:r w:rsidR="00411D04" w:rsidRPr="00C119EA">
        <w:t xml:space="preserve">advirtiéndose en los resultados que </w:t>
      </w:r>
      <w:r w:rsidR="002B0526" w:rsidRPr="00C119EA">
        <w:t>los mayores beneficios los consiguen los países de altos ingresos.</w:t>
      </w:r>
    </w:p>
    <w:p w14:paraId="7D2FA9DA" w14:textId="21574B47" w:rsidR="00AD4E57" w:rsidRPr="00C119EA" w:rsidRDefault="00AD4E57" w:rsidP="005D700E">
      <w:pPr>
        <w:autoSpaceDE w:val="0"/>
        <w:autoSpaceDN w:val="0"/>
        <w:adjustRightInd w:val="0"/>
        <w:spacing w:line="360" w:lineRule="auto"/>
        <w:ind w:firstLine="567"/>
        <w:jc w:val="both"/>
      </w:pPr>
      <w:r w:rsidRPr="00C119EA">
        <w:t xml:space="preserve">Respecto a la importancia que tiene el gasto público en la educación </w:t>
      </w:r>
      <w:r w:rsidRPr="00280E25">
        <w:rPr>
          <w:bCs/>
        </w:rPr>
        <w:t>Contreras López,</w:t>
      </w:r>
      <w:r w:rsidRPr="00C119EA">
        <w:rPr>
          <w:b/>
        </w:rPr>
        <w:t xml:space="preserve"> </w:t>
      </w:r>
      <w:r w:rsidR="003F50C7" w:rsidRPr="00C119EA">
        <w:rPr>
          <w:shd w:val="clear" w:color="auto" w:fill="FFFFFF"/>
        </w:rPr>
        <w:t>López Garrido</w:t>
      </w:r>
      <w:r w:rsidR="00C1664E">
        <w:rPr>
          <w:shd w:val="clear" w:color="auto" w:fill="FFFFFF"/>
        </w:rPr>
        <w:t xml:space="preserve"> </w:t>
      </w:r>
      <w:r w:rsidR="003F50C7">
        <w:rPr>
          <w:shd w:val="clear" w:color="auto" w:fill="FFFFFF"/>
        </w:rPr>
        <w:t>y</w:t>
      </w:r>
      <w:r w:rsidR="003F50C7" w:rsidRPr="00C119EA">
        <w:rPr>
          <w:shd w:val="clear" w:color="auto" w:fill="FFFFFF"/>
        </w:rPr>
        <w:t xml:space="preserve"> Jiménez </w:t>
      </w:r>
      <w:r w:rsidR="003F50C7" w:rsidRPr="00C1664E">
        <w:rPr>
          <w:shd w:val="clear" w:color="auto" w:fill="FFFFFF"/>
        </w:rPr>
        <w:t>Rico</w:t>
      </w:r>
      <w:r w:rsidRPr="00280E25">
        <w:rPr>
          <w:i/>
        </w:rPr>
        <w:t xml:space="preserve"> </w:t>
      </w:r>
      <w:r w:rsidRPr="00280E25">
        <w:t>(2021)</w:t>
      </w:r>
      <w:r w:rsidRPr="00C119EA">
        <w:t xml:space="preserve"> dan cuenta de cómo dicho gasto muestra un patrón de crecimiento en términos generales a lo largo del tiempo. Sin embargo, cuando se compara con los demás países que conforman la OCDE, resulta insuficiente.</w:t>
      </w:r>
    </w:p>
    <w:p w14:paraId="76365CFE" w14:textId="2CEFB54A" w:rsidR="0028480F" w:rsidRPr="00C119EA" w:rsidRDefault="0028480F" w:rsidP="005D700E">
      <w:pPr>
        <w:pStyle w:val="DefaultText"/>
        <w:spacing w:line="360" w:lineRule="auto"/>
        <w:ind w:firstLine="567"/>
        <w:jc w:val="both"/>
      </w:pPr>
      <w:r w:rsidRPr="00C119EA">
        <w:t xml:space="preserve">Por otro lado, </w:t>
      </w:r>
      <w:r w:rsidR="009402FC" w:rsidRPr="00C119EA">
        <w:t xml:space="preserve">según </w:t>
      </w:r>
      <w:r w:rsidR="00766A02" w:rsidRPr="00280E25">
        <w:t>Martínez</w:t>
      </w:r>
      <w:r w:rsidR="009402FC" w:rsidRPr="00280E25">
        <w:t xml:space="preserve"> Chapa (</w:t>
      </w:r>
      <w:r w:rsidR="00836ACE" w:rsidRPr="00280E25">
        <w:t>2021</w:t>
      </w:r>
      <w:r w:rsidR="009402FC" w:rsidRPr="00280E25">
        <w:t>)</w:t>
      </w:r>
      <w:r w:rsidR="00E17DA5" w:rsidRPr="00203CA7">
        <w:t>,</w:t>
      </w:r>
      <w:r w:rsidR="009402FC" w:rsidRPr="00C119EA">
        <w:t xml:space="preserve"> </w:t>
      </w:r>
      <w:r w:rsidRPr="00C119EA">
        <w:t xml:space="preserve">la vida </w:t>
      </w:r>
      <w:r w:rsidR="00D239DD" w:rsidRPr="00C119EA">
        <w:t>posee una dimensión que trasciende los aspectos eminentemente</w:t>
      </w:r>
      <w:r w:rsidRPr="00C119EA">
        <w:t xml:space="preserve"> </w:t>
      </w:r>
      <w:r w:rsidR="00D239DD" w:rsidRPr="00C119EA">
        <w:t xml:space="preserve">de tipo </w:t>
      </w:r>
      <w:r w:rsidRPr="00C119EA">
        <w:t>económic</w:t>
      </w:r>
      <w:r w:rsidR="00D239DD" w:rsidRPr="00C119EA">
        <w:t>o</w:t>
      </w:r>
      <w:r w:rsidRPr="00C119EA">
        <w:t xml:space="preserve">. Su valor </w:t>
      </w:r>
      <w:r w:rsidR="00D239DD" w:rsidRPr="00C119EA">
        <w:t>no se puede calcular dado que es más que</w:t>
      </w:r>
      <w:r w:rsidRPr="00C119EA">
        <w:t xml:space="preserve"> un </w:t>
      </w:r>
      <w:r w:rsidR="00D239DD" w:rsidRPr="00C119EA">
        <w:t xml:space="preserve">sujeto </w:t>
      </w:r>
      <w:r w:rsidRPr="00C119EA">
        <w:t xml:space="preserve">productor y consumidor de </w:t>
      </w:r>
      <w:r w:rsidR="00D239DD" w:rsidRPr="00C119EA">
        <w:t>satisfactores</w:t>
      </w:r>
      <w:r w:rsidRPr="00C119EA">
        <w:t xml:space="preserve">. Cada </w:t>
      </w:r>
      <w:r w:rsidR="00D239DD" w:rsidRPr="00C119EA">
        <w:t>individuo posee rasgos diferenciados en cuanto a aspectos relativos a la educación, alimentación, trabajo</w:t>
      </w:r>
      <w:r w:rsidRPr="00C119EA">
        <w:t xml:space="preserve"> y </w:t>
      </w:r>
      <w:r w:rsidR="00D239DD" w:rsidRPr="00C119EA">
        <w:t>demás actividades</w:t>
      </w:r>
      <w:r w:rsidRPr="00C119EA">
        <w:t xml:space="preserve">. </w:t>
      </w:r>
      <w:r w:rsidR="00D239DD" w:rsidRPr="00C119EA">
        <w:t xml:space="preserve">Desde tiempos remotos </w:t>
      </w:r>
      <w:r w:rsidRPr="00C119EA">
        <w:t xml:space="preserve">se advierte el </w:t>
      </w:r>
      <w:r w:rsidR="00D239DD" w:rsidRPr="00C119EA">
        <w:t xml:space="preserve">progreso de </w:t>
      </w:r>
      <w:r w:rsidR="00E17DA5" w:rsidRPr="00C119EA">
        <w:t>las sociedades basadas</w:t>
      </w:r>
      <w:r w:rsidRPr="00C119EA">
        <w:t xml:space="preserve"> ciertamente en</w:t>
      </w:r>
      <w:r w:rsidR="00D239DD" w:rsidRPr="00C119EA">
        <w:t xml:space="preserve"> la cultura, economía y e</w:t>
      </w:r>
      <w:r w:rsidRPr="00C119EA">
        <w:t>n los recursos, pero también favorecidas por la diversidad de habilidades, destrezas y experiencias empleadas para mejorar el sustento diario.</w:t>
      </w:r>
    </w:p>
    <w:p w14:paraId="1E9A69E5" w14:textId="1129815E" w:rsidR="00FE4834" w:rsidRPr="00C119EA" w:rsidRDefault="00782C3E" w:rsidP="005D700E">
      <w:pPr>
        <w:spacing w:line="360" w:lineRule="auto"/>
        <w:jc w:val="both"/>
      </w:pPr>
      <w:r w:rsidRPr="00C119EA">
        <w:tab/>
      </w:r>
      <w:r w:rsidR="004A6DDF" w:rsidRPr="00C119EA">
        <w:t>Por otro lado, los organismos internacionales</w:t>
      </w:r>
      <w:r w:rsidR="00797130">
        <w:t>,</w:t>
      </w:r>
      <w:r w:rsidR="004A6DDF" w:rsidRPr="00C119EA">
        <w:t xml:space="preserve"> </w:t>
      </w:r>
      <w:r w:rsidR="00D239DD" w:rsidRPr="00C119EA">
        <w:t>entre l</w:t>
      </w:r>
      <w:r w:rsidR="00797130">
        <w:t>o</w:t>
      </w:r>
      <w:r w:rsidR="00D239DD" w:rsidRPr="00C119EA">
        <w:t xml:space="preserve">s cuales se encuentra la </w:t>
      </w:r>
      <w:r w:rsidR="00D239DD" w:rsidRPr="00280E25">
        <w:t>OCDE</w:t>
      </w:r>
      <w:r w:rsidR="008878B9">
        <w:t xml:space="preserve"> y </w:t>
      </w:r>
      <w:r w:rsidR="004A6DDF" w:rsidRPr="00C119EA">
        <w:t xml:space="preserve">la </w:t>
      </w:r>
      <w:r w:rsidR="004A6DDF" w:rsidRPr="00C119EA">
        <w:rPr>
          <w:color w:val="000000"/>
        </w:rPr>
        <w:t>Organización de las Naciones Unidas para la Educación, la Ciencia y la Cultura</w:t>
      </w:r>
      <w:r w:rsidR="004A6DDF" w:rsidRPr="00C119EA">
        <w:t xml:space="preserve"> </w:t>
      </w:r>
      <w:r w:rsidR="004A6DDF" w:rsidRPr="00C119EA">
        <w:rPr>
          <w:b/>
          <w:bCs/>
        </w:rPr>
        <w:t>(UNESCO)</w:t>
      </w:r>
      <w:r w:rsidR="00797130">
        <w:rPr>
          <w:b/>
          <w:bCs/>
        </w:rPr>
        <w:t>,</w:t>
      </w:r>
      <w:r w:rsidR="004A6DDF" w:rsidRPr="00C119EA">
        <w:t xml:space="preserve"> </w:t>
      </w:r>
      <w:r w:rsidR="00D239DD" w:rsidRPr="00C119EA">
        <w:t xml:space="preserve">destacan en </w:t>
      </w:r>
      <w:r w:rsidR="004A6DDF" w:rsidRPr="00C119EA">
        <w:t xml:space="preserve">sus </w:t>
      </w:r>
      <w:r w:rsidR="00147520" w:rsidRPr="00C119EA">
        <w:t>respectivas recomendaciones</w:t>
      </w:r>
      <w:r w:rsidR="001120CF" w:rsidRPr="00C119EA">
        <w:t xml:space="preserve"> de </w:t>
      </w:r>
      <w:r w:rsidR="004A6DDF" w:rsidRPr="00C119EA">
        <w:t>políticas</w:t>
      </w:r>
      <w:r w:rsidR="000C2620" w:rsidRPr="00C119EA">
        <w:t xml:space="preserve"> públicas</w:t>
      </w:r>
      <w:r w:rsidR="001120CF" w:rsidRPr="00C119EA">
        <w:t xml:space="preserve"> </w:t>
      </w:r>
      <w:r w:rsidR="00061A22" w:rsidRPr="00C119EA">
        <w:t xml:space="preserve">la necesidad de </w:t>
      </w:r>
      <w:r w:rsidR="004A6DDF" w:rsidRPr="00C119EA">
        <w:t>que l</w:t>
      </w:r>
      <w:r w:rsidR="0038031E" w:rsidRPr="00C119EA">
        <w:t xml:space="preserve">os gobiernos </w:t>
      </w:r>
      <w:r w:rsidR="00D239DD" w:rsidRPr="00C119EA">
        <w:t xml:space="preserve">inviertan suficientes </w:t>
      </w:r>
      <w:r w:rsidR="004A6DDF" w:rsidRPr="00C119EA">
        <w:t xml:space="preserve">recursos económicos </w:t>
      </w:r>
      <w:r w:rsidR="008878B9">
        <w:t>en</w:t>
      </w:r>
      <w:r w:rsidR="00D239DD" w:rsidRPr="00C119EA">
        <w:t xml:space="preserve"> la </w:t>
      </w:r>
      <w:r w:rsidR="004A6DDF" w:rsidRPr="00C119EA">
        <w:t xml:space="preserve">educación, </w:t>
      </w:r>
      <w:r w:rsidR="00D239DD" w:rsidRPr="00C119EA">
        <w:t xml:space="preserve">salud, infraestructura, así como </w:t>
      </w:r>
      <w:r w:rsidR="008878B9">
        <w:t>en</w:t>
      </w:r>
      <w:r w:rsidR="00D239DD" w:rsidRPr="00C119EA">
        <w:t xml:space="preserve"> la </w:t>
      </w:r>
      <w:r w:rsidR="004A6DDF" w:rsidRPr="00C119EA">
        <w:t>ciencia y tecnología.</w:t>
      </w:r>
    </w:p>
    <w:p w14:paraId="24DD4624" w14:textId="77777777" w:rsidR="00623418" w:rsidRPr="00C119EA" w:rsidRDefault="00623418" w:rsidP="005D700E">
      <w:pPr>
        <w:spacing w:line="360" w:lineRule="auto"/>
        <w:jc w:val="both"/>
      </w:pPr>
    </w:p>
    <w:p w14:paraId="57D8A5A6" w14:textId="77777777" w:rsidR="00B702D1" w:rsidRPr="00C119EA" w:rsidRDefault="00B6506A" w:rsidP="00B6506A">
      <w:pPr>
        <w:pStyle w:val="Prrafodelista"/>
        <w:autoSpaceDE w:val="0"/>
        <w:autoSpaceDN w:val="0"/>
        <w:adjustRightInd w:val="0"/>
        <w:spacing w:line="360" w:lineRule="auto"/>
        <w:ind w:left="360"/>
        <w:jc w:val="center"/>
        <w:rPr>
          <w:b/>
          <w:color w:val="181C16"/>
          <w:sz w:val="32"/>
          <w:szCs w:val="32"/>
          <w:lang w:eastAsia="es-MX"/>
        </w:rPr>
      </w:pPr>
      <w:r w:rsidRPr="00C119EA">
        <w:rPr>
          <w:b/>
          <w:color w:val="181C16"/>
          <w:sz w:val="32"/>
          <w:szCs w:val="32"/>
          <w:lang w:eastAsia="es-MX"/>
        </w:rPr>
        <w:t>Materiales y métodos</w:t>
      </w:r>
    </w:p>
    <w:p w14:paraId="2D57B197" w14:textId="24095ACF" w:rsidR="0028480F" w:rsidRDefault="0028480F" w:rsidP="00C64ABC">
      <w:pPr>
        <w:pStyle w:val="Prrafodelista"/>
        <w:autoSpaceDE w:val="0"/>
        <w:autoSpaceDN w:val="0"/>
        <w:adjustRightInd w:val="0"/>
        <w:spacing w:line="360" w:lineRule="auto"/>
        <w:ind w:left="0" w:firstLine="708"/>
        <w:jc w:val="both"/>
        <w:rPr>
          <w:color w:val="181C16"/>
          <w:lang w:eastAsia="es-MX"/>
        </w:rPr>
      </w:pPr>
      <w:r w:rsidRPr="00C119EA">
        <w:rPr>
          <w:color w:val="181C16"/>
          <w:lang w:eastAsia="es-MX"/>
        </w:rPr>
        <w:t>La metodología empleada es de tipo cualitativa</w:t>
      </w:r>
      <w:r w:rsidR="00C162D8">
        <w:rPr>
          <w:color w:val="181C16"/>
          <w:lang w:eastAsia="es-MX"/>
        </w:rPr>
        <w:t>,</w:t>
      </w:r>
      <w:r w:rsidR="00766A02" w:rsidRPr="00C119EA">
        <w:rPr>
          <w:color w:val="181C16"/>
          <w:lang w:eastAsia="es-MX"/>
        </w:rPr>
        <w:t xml:space="preserve"> </w:t>
      </w:r>
      <w:r w:rsidR="009D42E6" w:rsidRPr="00C119EA">
        <w:rPr>
          <w:color w:val="181C16"/>
          <w:lang w:eastAsia="es-MX"/>
        </w:rPr>
        <w:t xml:space="preserve">por cuanto revisa diversos </w:t>
      </w:r>
      <w:r w:rsidR="00415130" w:rsidRPr="00C119EA">
        <w:rPr>
          <w:color w:val="181C16"/>
          <w:lang w:eastAsia="es-MX"/>
        </w:rPr>
        <w:t>documentos</w:t>
      </w:r>
      <w:r w:rsidR="009D42E6" w:rsidRPr="00C119EA">
        <w:rPr>
          <w:color w:val="181C16"/>
          <w:lang w:eastAsia="es-MX"/>
        </w:rPr>
        <w:t xml:space="preserve"> relacionados con la línea de investigación relativa al gasto público para la formación del capital humano</w:t>
      </w:r>
      <w:r w:rsidR="00C162D8">
        <w:rPr>
          <w:color w:val="181C16"/>
          <w:lang w:eastAsia="es-MX"/>
        </w:rPr>
        <w:t>,</w:t>
      </w:r>
      <w:r w:rsidR="009D42E6" w:rsidRPr="00C119EA">
        <w:rPr>
          <w:color w:val="181C16"/>
          <w:lang w:eastAsia="es-MX"/>
        </w:rPr>
        <w:t xml:space="preserve"> </w:t>
      </w:r>
      <w:r w:rsidR="00766A02" w:rsidRPr="00C119EA">
        <w:rPr>
          <w:color w:val="181C16"/>
          <w:lang w:eastAsia="es-MX"/>
        </w:rPr>
        <w:t>y</w:t>
      </w:r>
      <w:r w:rsidR="00761E5E" w:rsidRPr="00C119EA">
        <w:rPr>
          <w:color w:val="181C16"/>
          <w:lang w:eastAsia="es-MX"/>
        </w:rPr>
        <w:t xml:space="preserve"> emplea estadística descriptiva, f</w:t>
      </w:r>
      <w:r w:rsidRPr="00C119EA">
        <w:rPr>
          <w:color w:val="181C16"/>
          <w:lang w:eastAsia="es-MX"/>
        </w:rPr>
        <w:t>undamentalmente</w:t>
      </w:r>
      <w:r w:rsidR="000D3130" w:rsidRPr="00C119EA">
        <w:rPr>
          <w:color w:val="181C16"/>
          <w:lang w:eastAsia="es-MX"/>
        </w:rPr>
        <w:t>. Los</w:t>
      </w:r>
      <w:r w:rsidRPr="00C119EA">
        <w:rPr>
          <w:color w:val="181C16"/>
          <w:lang w:eastAsia="es-MX"/>
        </w:rPr>
        <w:t xml:space="preserve"> datos proceden de fuentes como </w:t>
      </w:r>
      <w:r w:rsidR="00766A02" w:rsidRPr="00C119EA">
        <w:rPr>
          <w:color w:val="181C16"/>
          <w:lang w:eastAsia="es-MX"/>
        </w:rPr>
        <w:t xml:space="preserve">la </w:t>
      </w:r>
      <w:r w:rsidR="00072A0D" w:rsidRPr="00C119EA">
        <w:rPr>
          <w:color w:val="181C16"/>
          <w:lang w:eastAsia="es-MX"/>
        </w:rPr>
        <w:t>OCDE, l</w:t>
      </w:r>
      <w:r w:rsidR="00766A02" w:rsidRPr="00C119EA">
        <w:rPr>
          <w:color w:val="181C16"/>
          <w:lang w:eastAsia="es-MX"/>
        </w:rPr>
        <w:t>a</w:t>
      </w:r>
      <w:r w:rsidR="00AD609F" w:rsidRPr="00C119EA">
        <w:rPr>
          <w:color w:val="181C16"/>
          <w:lang w:eastAsia="es-MX"/>
        </w:rPr>
        <w:t xml:space="preserve"> Comisión para América Latina</w:t>
      </w:r>
      <w:r w:rsidR="00072A0D" w:rsidRPr="00C119EA">
        <w:rPr>
          <w:color w:val="181C16"/>
          <w:lang w:eastAsia="es-MX"/>
        </w:rPr>
        <w:t xml:space="preserve"> (C</w:t>
      </w:r>
      <w:r w:rsidR="00126592" w:rsidRPr="00C119EA">
        <w:rPr>
          <w:color w:val="181C16"/>
          <w:lang w:eastAsia="es-MX"/>
        </w:rPr>
        <w:t>EPAL</w:t>
      </w:r>
      <w:r w:rsidR="00072A0D" w:rsidRPr="00C119EA">
        <w:rPr>
          <w:color w:val="181C16"/>
          <w:lang w:eastAsia="es-MX"/>
        </w:rPr>
        <w:t>)</w:t>
      </w:r>
      <w:r w:rsidR="00126592" w:rsidRPr="00C119EA">
        <w:rPr>
          <w:color w:val="181C16"/>
          <w:lang w:eastAsia="es-MX"/>
        </w:rPr>
        <w:t xml:space="preserve"> y</w:t>
      </w:r>
      <w:r w:rsidR="00AD609F" w:rsidRPr="00C119EA">
        <w:rPr>
          <w:color w:val="181C16"/>
          <w:lang w:eastAsia="es-MX"/>
        </w:rPr>
        <w:t xml:space="preserve"> l</w:t>
      </w:r>
      <w:r w:rsidR="00072A0D" w:rsidRPr="00C119EA">
        <w:rPr>
          <w:color w:val="181C16"/>
          <w:lang w:eastAsia="es-MX"/>
        </w:rPr>
        <w:t>a Secretarí</w:t>
      </w:r>
      <w:r w:rsidR="00766A02" w:rsidRPr="00C119EA">
        <w:rPr>
          <w:color w:val="181C16"/>
          <w:lang w:eastAsia="es-MX"/>
        </w:rPr>
        <w:t>a de Educación Pública</w:t>
      </w:r>
      <w:r w:rsidR="00072A0D" w:rsidRPr="00C119EA">
        <w:rPr>
          <w:color w:val="181C16"/>
          <w:lang w:eastAsia="es-MX"/>
        </w:rPr>
        <w:t xml:space="preserve"> (SEP).</w:t>
      </w:r>
      <w:r w:rsidR="00314075" w:rsidRPr="00C119EA">
        <w:rPr>
          <w:color w:val="181C16"/>
          <w:lang w:eastAsia="es-MX"/>
        </w:rPr>
        <w:t xml:space="preserve"> La periodicidad de los datos es anual.</w:t>
      </w:r>
    </w:p>
    <w:p w14:paraId="70E94C75" w14:textId="77777777" w:rsidR="00385338" w:rsidRDefault="00385338" w:rsidP="00C64ABC">
      <w:pPr>
        <w:pStyle w:val="Prrafodelista"/>
        <w:autoSpaceDE w:val="0"/>
        <w:autoSpaceDN w:val="0"/>
        <w:adjustRightInd w:val="0"/>
        <w:spacing w:line="360" w:lineRule="auto"/>
        <w:ind w:left="0" w:firstLine="708"/>
        <w:jc w:val="both"/>
        <w:rPr>
          <w:color w:val="181C16"/>
          <w:lang w:eastAsia="es-MX"/>
        </w:rPr>
      </w:pPr>
    </w:p>
    <w:p w14:paraId="1165575F" w14:textId="77777777" w:rsidR="00385338" w:rsidRDefault="00385338" w:rsidP="00C64ABC">
      <w:pPr>
        <w:pStyle w:val="Prrafodelista"/>
        <w:autoSpaceDE w:val="0"/>
        <w:autoSpaceDN w:val="0"/>
        <w:adjustRightInd w:val="0"/>
        <w:spacing w:line="360" w:lineRule="auto"/>
        <w:ind w:left="0" w:firstLine="708"/>
        <w:jc w:val="both"/>
        <w:rPr>
          <w:color w:val="181C16"/>
          <w:lang w:eastAsia="es-MX"/>
        </w:rPr>
      </w:pPr>
    </w:p>
    <w:p w14:paraId="549590DA" w14:textId="77777777" w:rsidR="00385338" w:rsidRDefault="00385338" w:rsidP="00C64ABC">
      <w:pPr>
        <w:pStyle w:val="Prrafodelista"/>
        <w:autoSpaceDE w:val="0"/>
        <w:autoSpaceDN w:val="0"/>
        <w:adjustRightInd w:val="0"/>
        <w:spacing w:line="360" w:lineRule="auto"/>
        <w:ind w:left="0" w:firstLine="708"/>
        <w:jc w:val="both"/>
        <w:rPr>
          <w:color w:val="181C16"/>
          <w:lang w:eastAsia="es-MX"/>
        </w:rPr>
      </w:pPr>
    </w:p>
    <w:p w14:paraId="010DCC34" w14:textId="77777777" w:rsidR="00385338" w:rsidRPr="00C119EA" w:rsidRDefault="00385338" w:rsidP="00C64ABC">
      <w:pPr>
        <w:pStyle w:val="Prrafodelista"/>
        <w:autoSpaceDE w:val="0"/>
        <w:autoSpaceDN w:val="0"/>
        <w:adjustRightInd w:val="0"/>
        <w:spacing w:line="360" w:lineRule="auto"/>
        <w:ind w:left="0" w:firstLine="708"/>
        <w:jc w:val="both"/>
        <w:rPr>
          <w:color w:val="181C16"/>
          <w:lang w:eastAsia="es-MX"/>
        </w:rPr>
      </w:pPr>
    </w:p>
    <w:p w14:paraId="1844B0FE" w14:textId="77777777" w:rsidR="00B6506A" w:rsidRPr="00C119EA" w:rsidRDefault="00A93667" w:rsidP="00B6506A">
      <w:pPr>
        <w:autoSpaceDE w:val="0"/>
        <w:autoSpaceDN w:val="0"/>
        <w:adjustRightInd w:val="0"/>
        <w:spacing w:line="360" w:lineRule="auto"/>
        <w:ind w:firstLine="708"/>
        <w:jc w:val="center"/>
        <w:rPr>
          <w:b/>
          <w:sz w:val="32"/>
          <w:szCs w:val="32"/>
          <w:lang w:eastAsia="es-MX"/>
        </w:rPr>
      </w:pPr>
      <w:r w:rsidRPr="00C119EA">
        <w:rPr>
          <w:b/>
          <w:sz w:val="32"/>
          <w:szCs w:val="32"/>
          <w:lang w:eastAsia="es-MX"/>
        </w:rPr>
        <w:lastRenderedPageBreak/>
        <w:t>R</w:t>
      </w:r>
      <w:r w:rsidR="00B6506A" w:rsidRPr="00C119EA">
        <w:rPr>
          <w:b/>
          <w:sz w:val="32"/>
          <w:szCs w:val="32"/>
          <w:lang w:eastAsia="es-MX"/>
        </w:rPr>
        <w:t>esultados</w:t>
      </w:r>
    </w:p>
    <w:p w14:paraId="1E46D086" w14:textId="0054A07C" w:rsidR="006539A3" w:rsidRDefault="006539A3" w:rsidP="005D700E">
      <w:pPr>
        <w:autoSpaceDE w:val="0"/>
        <w:autoSpaceDN w:val="0"/>
        <w:adjustRightInd w:val="0"/>
        <w:spacing w:line="360" w:lineRule="auto"/>
        <w:ind w:firstLine="708"/>
        <w:jc w:val="both"/>
        <w:rPr>
          <w:shd w:val="clear" w:color="auto" w:fill="FFFFFF"/>
        </w:rPr>
      </w:pPr>
      <w:r w:rsidRPr="00C119EA">
        <w:rPr>
          <w:lang w:eastAsia="es-MX"/>
        </w:rPr>
        <w:t xml:space="preserve">El esfuerzo que despliegan los gobiernos para atender la agenda del desarrollo del capital humano es muy importante para alcanzar mayores niveles de bienestar. </w:t>
      </w:r>
      <w:r w:rsidR="005057C8" w:rsidRPr="00C119EA">
        <w:rPr>
          <w:lang w:eastAsia="es-MX"/>
        </w:rPr>
        <w:t xml:space="preserve">La </w:t>
      </w:r>
      <w:r w:rsidR="002A7F70" w:rsidRPr="00C119EA">
        <w:rPr>
          <w:lang w:eastAsia="es-MX"/>
        </w:rPr>
        <w:t>figura</w:t>
      </w:r>
      <w:r w:rsidR="005057C8" w:rsidRPr="00C119EA">
        <w:rPr>
          <w:lang w:eastAsia="es-MX"/>
        </w:rPr>
        <w:t xml:space="preserve"> 1 muestra un índice de capital hu</w:t>
      </w:r>
      <w:r w:rsidR="00A00A32" w:rsidRPr="00C119EA">
        <w:rPr>
          <w:lang w:eastAsia="es-MX"/>
        </w:rPr>
        <w:t xml:space="preserve">mano per cápita, resultado </w:t>
      </w:r>
      <w:r w:rsidR="005057C8" w:rsidRPr="00C119EA">
        <w:rPr>
          <w:lang w:eastAsia="es-MX"/>
        </w:rPr>
        <w:t xml:space="preserve">de los años de escolaridad promedio </w:t>
      </w:r>
      <w:r w:rsidR="005057C8" w:rsidRPr="00280E25">
        <w:rPr>
          <w:rFonts w:ascii="Lucida Sans" w:hAnsi="Lucida Sans"/>
          <w:sz w:val="18"/>
          <w:szCs w:val="18"/>
          <w:shd w:val="clear" w:color="auto" w:fill="FFFFFF"/>
        </w:rPr>
        <w:t>(</w:t>
      </w:r>
      <w:r w:rsidR="005057C8" w:rsidRPr="00280E25">
        <w:rPr>
          <w:shd w:val="clear" w:color="auto" w:fill="FFFFFF"/>
        </w:rPr>
        <w:t>Barro</w:t>
      </w:r>
      <w:r w:rsidR="002552BE" w:rsidRPr="00280E25">
        <w:rPr>
          <w:shd w:val="clear" w:color="auto" w:fill="FFFFFF"/>
        </w:rPr>
        <w:t xml:space="preserve"> y </w:t>
      </w:r>
      <w:r w:rsidR="005057C8" w:rsidRPr="00280E25">
        <w:rPr>
          <w:shd w:val="clear" w:color="auto" w:fill="FFFFFF"/>
        </w:rPr>
        <w:t>Lee,</w:t>
      </w:r>
      <w:r w:rsidR="005057C8" w:rsidRPr="00C119EA">
        <w:rPr>
          <w:b/>
          <w:bCs/>
          <w:shd w:val="clear" w:color="auto" w:fill="FFFFFF"/>
        </w:rPr>
        <w:t xml:space="preserve"> </w:t>
      </w:r>
      <w:r w:rsidR="005057C8" w:rsidRPr="00280E25">
        <w:rPr>
          <w:shd w:val="clear" w:color="auto" w:fill="FFFFFF"/>
        </w:rPr>
        <w:t>2012)</w:t>
      </w:r>
      <w:r w:rsidR="005057C8" w:rsidRPr="002552BE">
        <w:rPr>
          <w:shd w:val="clear" w:color="auto" w:fill="FFFFFF"/>
        </w:rPr>
        <w:t>,</w:t>
      </w:r>
      <w:r w:rsidR="005057C8" w:rsidRPr="00C119EA">
        <w:rPr>
          <w:shd w:val="clear" w:color="auto" w:fill="FFFFFF"/>
        </w:rPr>
        <w:t xml:space="preserve"> así como los retornos de la educación en términos de ingresos </w:t>
      </w:r>
      <w:r w:rsidR="005057C8" w:rsidRPr="00280E25">
        <w:rPr>
          <w:shd w:val="clear" w:color="auto" w:fill="FFFFFF"/>
        </w:rPr>
        <w:t>(</w:t>
      </w:r>
      <w:proofErr w:type="spellStart"/>
      <w:r w:rsidR="005057C8" w:rsidRPr="00280E25">
        <w:rPr>
          <w:shd w:val="clear" w:color="auto" w:fill="FFFFFF"/>
        </w:rPr>
        <w:t>Psacharopoulos</w:t>
      </w:r>
      <w:proofErr w:type="spellEnd"/>
      <w:r w:rsidR="005057C8" w:rsidRPr="00280E25">
        <w:rPr>
          <w:shd w:val="clear" w:color="auto" w:fill="FFFFFF"/>
        </w:rPr>
        <w:t>, 1994).</w:t>
      </w:r>
      <w:r w:rsidR="005057C8" w:rsidRPr="00C119EA">
        <w:rPr>
          <w:shd w:val="clear" w:color="auto" w:fill="FFFFFF"/>
        </w:rPr>
        <w:t xml:space="preserve"> En dicha </w:t>
      </w:r>
      <w:r w:rsidR="002A7F70" w:rsidRPr="00C119EA">
        <w:rPr>
          <w:shd w:val="clear" w:color="auto" w:fill="FFFFFF"/>
        </w:rPr>
        <w:t>figura</w:t>
      </w:r>
      <w:r w:rsidR="00761E5E" w:rsidRPr="00C119EA">
        <w:rPr>
          <w:shd w:val="clear" w:color="auto" w:fill="FFFFFF"/>
        </w:rPr>
        <w:t xml:space="preserve"> se muestra </w:t>
      </w:r>
      <w:r w:rsidR="005057C8" w:rsidRPr="00C119EA">
        <w:rPr>
          <w:shd w:val="clear" w:color="auto" w:fill="FFFFFF"/>
        </w:rPr>
        <w:t>l</w:t>
      </w:r>
      <w:r w:rsidR="00DD6FF7" w:rsidRPr="00C119EA">
        <w:rPr>
          <w:shd w:val="clear" w:color="auto" w:fill="FFFFFF"/>
        </w:rPr>
        <w:t xml:space="preserve">as asignaciones </w:t>
      </w:r>
      <w:r w:rsidR="005057C8" w:rsidRPr="00C119EA">
        <w:rPr>
          <w:shd w:val="clear" w:color="auto" w:fill="FFFFFF"/>
        </w:rPr>
        <w:t>que los gobiernos ejercen.</w:t>
      </w:r>
    </w:p>
    <w:p w14:paraId="34DCCC5F" w14:textId="77777777" w:rsidR="00385338" w:rsidRPr="00C119EA" w:rsidRDefault="00385338" w:rsidP="005D700E">
      <w:pPr>
        <w:autoSpaceDE w:val="0"/>
        <w:autoSpaceDN w:val="0"/>
        <w:adjustRightInd w:val="0"/>
        <w:spacing w:line="360" w:lineRule="auto"/>
        <w:ind w:firstLine="708"/>
        <w:jc w:val="both"/>
        <w:rPr>
          <w:lang w:eastAsia="es-MX"/>
        </w:rPr>
      </w:pPr>
    </w:p>
    <w:p w14:paraId="1DBA6CC3" w14:textId="77777777" w:rsidR="006539A3" w:rsidRDefault="002A7F70" w:rsidP="00D74F8C">
      <w:pPr>
        <w:autoSpaceDE w:val="0"/>
        <w:autoSpaceDN w:val="0"/>
        <w:adjustRightInd w:val="0"/>
        <w:ind w:firstLine="708"/>
        <w:jc w:val="center"/>
        <w:rPr>
          <w:color w:val="1D201A"/>
          <w:lang w:eastAsia="es-MX"/>
        </w:rPr>
      </w:pPr>
      <w:r w:rsidRPr="00C119EA">
        <w:rPr>
          <w:b/>
          <w:color w:val="1D201A"/>
          <w:lang w:eastAsia="es-MX"/>
        </w:rPr>
        <w:t xml:space="preserve">Figura </w:t>
      </w:r>
      <w:r w:rsidR="006539A3" w:rsidRPr="00C119EA">
        <w:rPr>
          <w:b/>
          <w:color w:val="1D201A"/>
          <w:lang w:eastAsia="es-MX"/>
        </w:rPr>
        <w:t>1</w:t>
      </w:r>
      <w:r w:rsidR="006539A3" w:rsidRPr="00C119EA">
        <w:rPr>
          <w:color w:val="1D201A"/>
          <w:lang w:eastAsia="es-MX"/>
        </w:rPr>
        <w:t>. Índice de capital humano per cápita para países seleccionados</w:t>
      </w:r>
    </w:p>
    <w:p w14:paraId="6A4B4D8E" w14:textId="77777777" w:rsidR="004964B2" w:rsidRDefault="004964B2" w:rsidP="00D74F8C">
      <w:pPr>
        <w:autoSpaceDE w:val="0"/>
        <w:autoSpaceDN w:val="0"/>
        <w:adjustRightInd w:val="0"/>
        <w:ind w:firstLine="708"/>
        <w:jc w:val="center"/>
        <w:rPr>
          <w:color w:val="1D201A"/>
          <w:lang w:eastAsia="es-MX"/>
        </w:rPr>
      </w:pPr>
    </w:p>
    <w:p w14:paraId="26DE951D" w14:textId="47CD1BB2" w:rsidR="00DC08BD" w:rsidRPr="00C119EA" w:rsidRDefault="004964B2" w:rsidP="004964B2">
      <w:pPr>
        <w:autoSpaceDE w:val="0"/>
        <w:autoSpaceDN w:val="0"/>
        <w:adjustRightInd w:val="0"/>
        <w:ind w:firstLine="708"/>
        <w:rPr>
          <w:color w:val="1D201A"/>
          <w:lang w:eastAsia="es-MX"/>
        </w:rPr>
      </w:pPr>
      <w:r w:rsidRPr="004964B2">
        <w:rPr>
          <w:noProof/>
          <w:color w:val="1D201A"/>
          <w:lang w:eastAsia="es-MX"/>
        </w:rPr>
        <w:drawing>
          <wp:inline distT="0" distB="0" distL="0" distR="0" wp14:anchorId="22AC495E" wp14:editId="31694033">
            <wp:extent cx="5566410" cy="23101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6410" cy="2310130"/>
                    </a:xfrm>
                    <a:prstGeom prst="rect">
                      <a:avLst/>
                    </a:prstGeom>
                  </pic:spPr>
                </pic:pic>
              </a:graphicData>
            </a:graphic>
          </wp:inline>
        </w:drawing>
      </w:r>
    </w:p>
    <w:p w14:paraId="13EB44A4" w14:textId="443C47A6" w:rsidR="00D74F8C" w:rsidRPr="00C119EA" w:rsidRDefault="00D74F8C" w:rsidP="00DC08BD">
      <w:pPr>
        <w:autoSpaceDE w:val="0"/>
        <w:autoSpaceDN w:val="0"/>
        <w:adjustRightInd w:val="0"/>
        <w:ind w:firstLine="708"/>
        <w:jc w:val="center"/>
        <w:rPr>
          <w:color w:val="1D201A"/>
          <w:lang w:eastAsia="es-MX"/>
        </w:rPr>
      </w:pPr>
    </w:p>
    <w:p w14:paraId="56B5B9D4" w14:textId="77777777" w:rsidR="00035F16" w:rsidRPr="00C119EA" w:rsidRDefault="006539A3" w:rsidP="000C79EE">
      <w:pPr>
        <w:autoSpaceDE w:val="0"/>
        <w:autoSpaceDN w:val="0"/>
        <w:adjustRightInd w:val="0"/>
        <w:ind w:firstLine="708"/>
        <w:jc w:val="center"/>
        <w:rPr>
          <w:b/>
          <w:bCs/>
          <w:color w:val="1D201A"/>
          <w:lang w:eastAsia="es-MX"/>
        </w:rPr>
      </w:pPr>
      <w:r w:rsidRPr="00C119EA">
        <w:rPr>
          <w:color w:val="1D201A"/>
          <w:lang w:eastAsia="es-MX"/>
        </w:rPr>
        <w:t>Fuente:</w:t>
      </w:r>
      <w:r w:rsidRPr="00C119EA">
        <w:rPr>
          <w:color w:val="333333"/>
          <w:shd w:val="clear" w:color="auto" w:fill="FFFFFF"/>
        </w:rPr>
        <w:t xml:space="preserve"> </w:t>
      </w:r>
      <w:r w:rsidR="0085437F" w:rsidRPr="00C119EA">
        <w:rPr>
          <w:color w:val="333333"/>
          <w:shd w:val="clear" w:color="auto" w:fill="FFFFFF"/>
        </w:rPr>
        <w:t xml:space="preserve">Elaborado por los autores basado en </w:t>
      </w:r>
      <w:proofErr w:type="spellStart"/>
      <w:r w:rsidRPr="00280E25">
        <w:rPr>
          <w:color w:val="333333"/>
          <w:shd w:val="clear" w:color="auto" w:fill="FFFFFF"/>
        </w:rPr>
        <w:t>Feenstr</w:t>
      </w:r>
      <w:r w:rsidR="000C2620" w:rsidRPr="00280E25">
        <w:rPr>
          <w:color w:val="333333"/>
          <w:shd w:val="clear" w:color="auto" w:fill="FFFFFF"/>
        </w:rPr>
        <w:t>a</w:t>
      </w:r>
      <w:proofErr w:type="spellEnd"/>
      <w:r w:rsidR="000C2620" w:rsidRPr="00280E25">
        <w:rPr>
          <w:color w:val="333333"/>
          <w:shd w:val="clear" w:color="auto" w:fill="FFFFFF"/>
        </w:rPr>
        <w:t>, R. C., R.</w:t>
      </w:r>
      <w:r w:rsidR="000E48B1" w:rsidRPr="00280E25">
        <w:rPr>
          <w:color w:val="333333"/>
          <w:shd w:val="clear" w:color="auto" w:fill="FFFFFF"/>
        </w:rPr>
        <w:t xml:space="preserve"> </w:t>
      </w:r>
      <w:proofErr w:type="spellStart"/>
      <w:r w:rsidR="000E48B1" w:rsidRPr="00280E25">
        <w:rPr>
          <w:color w:val="333333"/>
          <w:shd w:val="clear" w:color="auto" w:fill="FFFFFF"/>
        </w:rPr>
        <w:t>Inklaar</w:t>
      </w:r>
      <w:proofErr w:type="spellEnd"/>
      <w:r w:rsidR="000E48B1" w:rsidRPr="00280E25">
        <w:rPr>
          <w:color w:val="333333"/>
          <w:shd w:val="clear" w:color="auto" w:fill="FFFFFF"/>
        </w:rPr>
        <w:t xml:space="preserve"> y</w:t>
      </w:r>
      <w:r w:rsidR="000C2620" w:rsidRPr="00280E25">
        <w:rPr>
          <w:color w:val="333333"/>
          <w:shd w:val="clear" w:color="auto" w:fill="FFFFFF"/>
        </w:rPr>
        <w:t xml:space="preserve"> M.</w:t>
      </w:r>
      <w:r w:rsidRPr="00280E25">
        <w:rPr>
          <w:color w:val="333333"/>
          <w:shd w:val="clear" w:color="auto" w:fill="FFFFFF"/>
        </w:rPr>
        <w:t xml:space="preserve"> P. </w:t>
      </w:r>
      <w:proofErr w:type="spellStart"/>
      <w:r w:rsidRPr="00280E25">
        <w:rPr>
          <w:color w:val="333333"/>
          <w:shd w:val="clear" w:color="auto" w:fill="FFFFFF"/>
        </w:rPr>
        <w:t>Timmer</w:t>
      </w:r>
      <w:proofErr w:type="spellEnd"/>
      <w:r w:rsidRPr="00280E25">
        <w:rPr>
          <w:color w:val="333333"/>
          <w:shd w:val="clear" w:color="auto" w:fill="FFFFFF"/>
        </w:rPr>
        <w:t xml:space="preserve"> (2015)</w:t>
      </w:r>
      <w:r w:rsidR="000C2620" w:rsidRPr="00280E25">
        <w:rPr>
          <w:color w:val="333333"/>
          <w:shd w:val="clear" w:color="auto" w:fill="FFFFFF"/>
        </w:rPr>
        <w:t>.</w:t>
      </w:r>
    </w:p>
    <w:p w14:paraId="14A6D14F" w14:textId="77777777" w:rsidR="00035F16" w:rsidRPr="00C119EA" w:rsidRDefault="00035F16" w:rsidP="00F807DD">
      <w:pPr>
        <w:autoSpaceDE w:val="0"/>
        <w:autoSpaceDN w:val="0"/>
        <w:adjustRightInd w:val="0"/>
        <w:ind w:firstLine="708"/>
        <w:jc w:val="both"/>
        <w:rPr>
          <w:color w:val="1D201A"/>
          <w:lang w:eastAsia="es-MX"/>
        </w:rPr>
      </w:pPr>
    </w:p>
    <w:p w14:paraId="5EB88EA0" w14:textId="499D6467" w:rsidR="00D25157" w:rsidRDefault="00AD609F" w:rsidP="005D700E">
      <w:pPr>
        <w:autoSpaceDE w:val="0"/>
        <w:autoSpaceDN w:val="0"/>
        <w:adjustRightInd w:val="0"/>
        <w:spacing w:line="360" w:lineRule="auto"/>
        <w:ind w:firstLine="708"/>
        <w:jc w:val="both"/>
        <w:rPr>
          <w:color w:val="1D201A"/>
          <w:lang w:eastAsia="es-MX"/>
        </w:rPr>
      </w:pPr>
      <w:r w:rsidRPr="00C119EA">
        <w:rPr>
          <w:color w:val="1D201A"/>
          <w:lang w:eastAsia="es-MX"/>
        </w:rPr>
        <w:t>Se vuelve</w:t>
      </w:r>
      <w:r w:rsidR="00B4694E" w:rsidRPr="00C119EA">
        <w:rPr>
          <w:color w:val="1D201A"/>
          <w:lang w:eastAsia="es-MX"/>
        </w:rPr>
        <w:t xml:space="preserve"> entonces</w:t>
      </w:r>
      <w:r w:rsidRPr="00C119EA">
        <w:rPr>
          <w:color w:val="1D201A"/>
          <w:lang w:eastAsia="es-MX"/>
        </w:rPr>
        <w:t xml:space="preserve"> fundamental </w:t>
      </w:r>
      <w:r w:rsidR="00752440" w:rsidRPr="00C119EA">
        <w:rPr>
          <w:color w:val="1D201A"/>
          <w:lang w:eastAsia="es-MX"/>
        </w:rPr>
        <w:t>que l</w:t>
      </w:r>
      <w:r w:rsidR="00B34B5B" w:rsidRPr="00C119EA">
        <w:rPr>
          <w:color w:val="1D201A"/>
          <w:lang w:eastAsia="es-MX"/>
        </w:rPr>
        <w:t>os gobiernos reali</w:t>
      </w:r>
      <w:r w:rsidR="00752440" w:rsidRPr="00C119EA">
        <w:rPr>
          <w:color w:val="1D201A"/>
          <w:lang w:eastAsia="es-MX"/>
        </w:rPr>
        <w:t>cen</w:t>
      </w:r>
      <w:r w:rsidR="00B34B5B" w:rsidRPr="00C119EA">
        <w:rPr>
          <w:color w:val="1D201A"/>
          <w:lang w:eastAsia="es-MX"/>
        </w:rPr>
        <w:t xml:space="preserve"> inversiones sociales para desarrollar el capital humano. </w:t>
      </w:r>
      <w:r w:rsidR="00D25157" w:rsidRPr="00C119EA">
        <w:rPr>
          <w:color w:val="1D201A"/>
          <w:lang w:eastAsia="es-MX"/>
        </w:rPr>
        <w:t xml:space="preserve">La tabla 1 muestra </w:t>
      </w:r>
      <w:r w:rsidR="001B2779" w:rsidRPr="00C119EA">
        <w:rPr>
          <w:color w:val="1D201A"/>
          <w:lang w:eastAsia="es-MX"/>
        </w:rPr>
        <w:t>tres</w:t>
      </w:r>
      <w:r w:rsidR="00D25157" w:rsidRPr="00C119EA">
        <w:rPr>
          <w:color w:val="1D201A"/>
          <w:lang w:eastAsia="es-MX"/>
        </w:rPr>
        <w:t xml:space="preserve"> variables </w:t>
      </w:r>
      <w:r w:rsidR="001B2779" w:rsidRPr="00C119EA">
        <w:rPr>
          <w:color w:val="1D201A"/>
          <w:lang w:eastAsia="es-MX"/>
        </w:rPr>
        <w:t>correlacionadas</w:t>
      </w:r>
      <w:r w:rsidR="00D25157" w:rsidRPr="00C119EA">
        <w:rPr>
          <w:color w:val="1D201A"/>
          <w:lang w:eastAsia="es-MX"/>
        </w:rPr>
        <w:t xml:space="preserve"> entre una muestra de países que conforman la OCDE</w:t>
      </w:r>
      <w:r w:rsidR="00B4694E" w:rsidRPr="00C119EA">
        <w:rPr>
          <w:color w:val="1D201A"/>
          <w:lang w:eastAsia="es-MX"/>
        </w:rPr>
        <w:t>, y</w:t>
      </w:r>
      <w:r w:rsidR="00EB3103" w:rsidRPr="00C119EA">
        <w:rPr>
          <w:color w:val="1D201A"/>
          <w:lang w:eastAsia="es-MX"/>
        </w:rPr>
        <w:t xml:space="preserve"> las cuales tienen que</w:t>
      </w:r>
      <w:r w:rsidR="00D25157" w:rsidRPr="00C119EA">
        <w:rPr>
          <w:color w:val="1D201A"/>
          <w:lang w:eastAsia="es-MX"/>
        </w:rPr>
        <w:t xml:space="preserve"> ver con la situación de los </w:t>
      </w:r>
      <w:r w:rsidR="00D51957" w:rsidRPr="00C119EA">
        <w:rPr>
          <w:color w:val="1D201A"/>
          <w:lang w:eastAsia="es-MX"/>
        </w:rPr>
        <w:t>jóvenes</w:t>
      </w:r>
      <w:r w:rsidR="00EB3103" w:rsidRPr="00C119EA">
        <w:rPr>
          <w:color w:val="1D201A"/>
          <w:lang w:eastAsia="es-MX"/>
        </w:rPr>
        <w:t xml:space="preserve"> en edad universitaria</w:t>
      </w:r>
      <w:r w:rsidR="00D25157" w:rsidRPr="00C119EA">
        <w:rPr>
          <w:color w:val="1D201A"/>
          <w:lang w:eastAsia="es-MX"/>
        </w:rPr>
        <w:t>. En cuanto al gasto en alumnos</w:t>
      </w:r>
      <w:r w:rsidR="000E48B1" w:rsidRPr="00C119EA">
        <w:rPr>
          <w:color w:val="1D201A"/>
          <w:lang w:eastAsia="es-MX"/>
        </w:rPr>
        <w:t>,</w:t>
      </w:r>
      <w:r w:rsidR="009708EA" w:rsidRPr="00C119EA">
        <w:rPr>
          <w:color w:val="1D201A"/>
          <w:lang w:eastAsia="es-MX"/>
        </w:rPr>
        <w:t xml:space="preserve"> la muestra revela amplia dispersión</w:t>
      </w:r>
      <w:r w:rsidR="00EB3103" w:rsidRPr="00C119EA">
        <w:rPr>
          <w:color w:val="1D201A"/>
          <w:lang w:eastAsia="es-MX"/>
        </w:rPr>
        <w:t xml:space="preserve">, colocándose </w:t>
      </w:r>
      <w:r w:rsidR="009708EA" w:rsidRPr="00C119EA">
        <w:rPr>
          <w:color w:val="1D201A"/>
          <w:lang w:eastAsia="es-MX"/>
        </w:rPr>
        <w:t xml:space="preserve">México </w:t>
      </w:r>
      <w:r w:rsidR="00FF4325" w:rsidRPr="00C119EA">
        <w:rPr>
          <w:color w:val="1D201A"/>
          <w:lang w:eastAsia="es-MX"/>
        </w:rPr>
        <w:t xml:space="preserve">por debajo </w:t>
      </w:r>
      <w:r w:rsidR="009708EA" w:rsidRPr="00C119EA">
        <w:rPr>
          <w:color w:val="1D201A"/>
          <w:lang w:eastAsia="es-MX"/>
        </w:rPr>
        <w:t>del promedio. En cuanto a la situación de los jóvenes sin empleo, sin educación y sin entrenamiento</w:t>
      </w:r>
      <w:r w:rsidR="000E48B1" w:rsidRPr="00C119EA">
        <w:rPr>
          <w:color w:val="1D201A"/>
          <w:lang w:eastAsia="es-MX"/>
        </w:rPr>
        <w:t>,</w:t>
      </w:r>
      <w:r w:rsidR="009708EA" w:rsidRPr="00C119EA">
        <w:rPr>
          <w:color w:val="1D201A"/>
          <w:lang w:eastAsia="es-MX"/>
        </w:rPr>
        <w:t xml:space="preserve"> la muestra revela </w:t>
      </w:r>
      <w:r w:rsidR="00900145" w:rsidRPr="00C119EA">
        <w:rPr>
          <w:color w:val="1D201A"/>
          <w:lang w:eastAsia="es-MX"/>
        </w:rPr>
        <w:t>de igual modo</w:t>
      </w:r>
      <w:r w:rsidR="009708EA" w:rsidRPr="00C119EA">
        <w:rPr>
          <w:color w:val="1D201A"/>
          <w:lang w:eastAsia="es-MX"/>
        </w:rPr>
        <w:t xml:space="preserve"> dispersión entre los países. México se coloca por debajo del promedio, pero lejos de Holanda, el país con el menor </w:t>
      </w:r>
      <w:r w:rsidR="00900145" w:rsidRPr="00C119EA">
        <w:rPr>
          <w:color w:val="1D201A"/>
          <w:lang w:eastAsia="es-MX"/>
        </w:rPr>
        <w:t>número</w:t>
      </w:r>
      <w:r w:rsidR="009708EA" w:rsidRPr="00C119EA">
        <w:rPr>
          <w:color w:val="1D201A"/>
          <w:lang w:eastAsia="es-MX"/>
        </w:rPr>
        <w:t xml:space="preserve"> de jóvenes en esta situ</w:t>
      </w:r>
      <w:r w:rsidR="000E48B1" w:rsidRPr="00C119EA">
        <w:rPr>
          <w:color w:val="1D201A"/>
          <w:lang w:eastAsia="es-MX"/>
        </w:rPr>
        <w:t>ación. El rubro de gasto del PIB</w:t>
      </w:r>
      <w:r w:rsidR="009708EA" w:rsidRPr="00C119EA">
        <w:rPr>
          <w:color w:val="1D201A"/>
          <w:lang w:eastAsia="es-MX"/>
        </w:rPr>
        <w:t xml:space="preserve"> en nivel terciario revela también una dispersión entre los </w:t>
      </w:r>
      <w:r w:rsidR="001B2779" w:rsidRPr="00C119EA">
        <w:rPr>
          <w:color w:val="1D201A"/>
          <w:lang w:eastAsia="es-MX"/>
        </w:rPr>
        <w:t>países</w:t>
      </w:r>
      <w:r w:rsidR="00EB3103" w:rsidRPr="00C119EA">
        <w:rPr>
          <w:color w:val="1D201A"/>
          <w:lang w:eastAsia="es-MX"/>
        </w:rPr>
        <w:t>. En todos los casos, México se ubica desafortunadamente lejos del nivel de los países de mayor desarrollo.</w:t>
      </w:r>
    </w:p>
    <w:p w14:paraId="7B87C97C" w14:textId="77777777" w:rsidR="00385338" w:rsidRPr="00C119EA" w:rsidRDefault="00385338" w:rsidP="005D700E">
      <w:pPr>
        <w:autoSpaceDE w:val="0"/>
        <w:autoSpaceDN w:val="0"/>
        <w:adjustRightInd w:val="0"/>
        <w:spacing w:line="360" w:lineRule="auto"/>
        <w:ind w:firstLine="708"/>
        <w:jc w:val="both"/>
        <w:rPr>
          <w:color w:val="1D201A"/>
          <w:lang w:eastAsia="es-MX"/>
        </w:rPr>
      </w:pPr>
    </w:p>
    <w:p w14:paraId="6944828A" w14:textId="77777777" w:rsidR="00604734" w:rsidRPr="00C119EA" w:rsidRDefault="00604734" w:rsidP="00604734">
      <w:pPr>
        <w:autoSpaceDE w:val="0"/>
        <w:autoSpaceDN w:val="0"/>
        <w:adjustRightInd w:val="0"/>
        <w:ind w:left="426"/>
        <w:jc w:val="center"/>
        <w:rPr>
          <w:b/>
          <w:color w:val="1D201A"/>
          <w:lang w:eastAsia="es-MX"/>
        </w:rPr>
      </w:pPr>
    </w:p>
    <w:p w14:paraId="0450CFFD" w14:textId="77777777" w:rsidR="00184D3E" w:rsidRPr="00C119EA" w:rsidRDefault="008159B5" w:rsidP="00604734">
      <w:pPr>
        <w:autoSpaceDE w:val="0"/>
        <w:autoSpaceDN w:val="0"/>
        <w:adjustRightInd w:val="0"/>
        <w:ind w:left="426"/>
        <w:jc w:val="center"/>
        <w:rPr>
          <w:bCs/>
          <w:lang w:eastAsia="es-MX"/>
        </w:rPr>
      </w:pPr>
      <w:r w:rsidRPr="00C119EA">
        <w:rPr>
          <w:b/>
          <w:bCs/>
          <w:lang w:eastAsia="es-MX"/>
        </w:rPr>
        <w:lastRenderedPageBreak/>
        <w:t xml:space="preserve">Tabla </w:t>
      </w:r>
      <w:r w:rsidR="002C5101" w:rsidRPr="00C119EA">
        <w:rPr>
          <w:b/>
          <w:bCs/>
          <w:lang w:eastAsia="es-MX"/>
        </w:rPr>
        <w:t>1</w:t>
      </w:r>
      <w:r w:rsidR="00AE1723" w:rsidRPr="00C119EA">
        <w:rPr>
          <w:bCs/>
          <w:lang w:eastAsia="es-MX"/>
        </w:rPr>
        <w:t>.</w:t>
      </w:r>
      <w:r w:rsidR="00144EDC" w:rsidRPr="00C119EA">
        <w:rPr>
          <w:bCs/>
          <w:lang w:eastAsia="es-MX"/>
        </w:rPr>
        <w:t xml:space="preserve"> </w:t>
      </w:r>
      <w:r w:rsidR="004644F4" w:rsidRPr="00C119EA">
        <w:rPr>
          <w:bCs/>
          <w:lang w:eastAsia="es-MX"/>
        </w:rPr>
        <w:t>Estadísticas de</w:t>
      </w:r>
      <w:r w:rsidRPr="00C119EA">
        <w:rPr>
          <w:bCs/>
          <w:lang w:eastAsia="es-MX"/>
        </w:rPr>
        <w:t xml:space="preserve"> nivel terciario en países seleccionados </w:t>
      </w:r>
      <w:r w:rsidR="004644F4" w:rsidRPr="00C119EA">
        <w:rPr>
          <w:bCs/>
          <w:lang w:eastAsia="es-MX"/>
        </w:rPr>
        <w:t>en</w:t>
      </w:r>
      <w:r w:rsidRPr="00C119EA">
        <w:rPr>
          <w:bCs/>
          <w:lang w:eastAsia="es-MX"/>
        </w:rPr>
        <w:t xml:space="preserve"> 20</w:t>
      </w:r>
      <w:r w:rsidR="00301F2B" w:rsidRPr="00C119EA">
        <w:rPr>
          <w:bCs/>
          <w:lang w:eastAsia="es-MX"/>
        </w:rPr>
        <w:t>20</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3"/>
        <w:gridCol w:w="2126"/>
        <w:gridCol w:w="2410"/>
        <w:gridCol w:w="2557"/>
      </w:tblGrid>
      <w:tr w:rsidR="00A43900" w:rsidRPr="00C119EA" w14:paraId="3E1EF035" w14:textId="77777777" w:rsidTr="00A17283">
        <w:trPr>
          <w:trHeight w:val="552"/>
          <w:jc w:val="center"/>
        </w:trPr>
        <w:tc>
          <w:tcPr>
            <w:tcW w:w="1703" w:type="dxa"/>
            <w:shd w:val="clear" w:color="auto" w:fill="auto"/>
            <w:noWrap/>
            <w:hideMark/>
          </w:tcPr>
          <w:p w14:paraId="2B47C6F2" w14:textId="77777777" w:rsidR="00A43900" w:rsidRPr="00C119EA" w:rsidRDefault="00A43900" w:rsidP="008159B5">
            <w:pPr>
              <w:jc w:val="center"/>
              <w:rPr>
                <w:color w:val="000000"/>
                <w:lang w:eastAsia="es-ES"/>
              </w:rPr>
            </w:pPr>
            <w:r w:rsidRPr="00C119EA">
              <w:rPr>
                <w:color w:val="000000"/>
                <w:lang w:eastAsia="es-ES"/>
              </w:rPr>
              <w:t>Países</w:t>
            </w:r>
          </w:p>
        </w:tc>
        <w:tc>
          <w:tcPr>
            <w:tcW w:w="2126" w:type="dxa"/>
            <w:shd w:val="clear" w:color="auto" w:fill="auto"/>
            <w:noWrap/>
            <w:hideMark/>
          </w:tcPr>
          <w:p w14:paraId="7BA807EE" w14:textId="77777777" w:rsidR="00A43900" w:rsidRPr="00C119EA" w:rsidRDefault="00A43900" w:rsidP="008159B5">
            <w:pPr>
              <w:jc w:val="center"/>
              <w:rPr>
                <w:color w:val="000000"/>
                <w:lang w:eastAsia="es-ES"/>
              </w:rPr>
            </w:pPr>
            <w:r w:rsidRPr="00C119EA">
              <w:rPr>
                <w:color w:val="000000"/>
                <w:lang w:eastAsia="es-ES"/>
              </w:rPr>
              <w:t>Gasto en alumnos de nivel terciario</w:t>
            </w:r>
          </w:p>
          <w:p w14:paraId="78452361" w14:textId="77777777" w:rsidR="004644F4" w:rsidRPr="00C119EA" w:rsidRDefault="000E48B1" w:rsidP="008159B5">
            <w:pPr>
              <w:jc w:val="center"/>
              <w:rPr>
                <w:color w:val="000000"/>
                <w:lang w:eastAsia="es-ES"/>
              </w:rPr>
            </w:pPr>
            <w:r w:rsidRPr="00C119EA">
              <w:rPr>
                <w:color w:val="000000"/>
                <w:lang w:eastAsia="es-ES"/>
              </w:rPr>
              <w:t>(en USD</w:t>
            </w:r>
            <w:r w:rsidR="004644F4" w:rsidRPr="00C119EA">
              <w:rPr>
                <w:color w:val="000000"/>
                <w:lang w:eastAsia="es-ES"/>
              </w:rPr>
              <w:t>)</w:t>
            </w:r>
          </w:p>
        </w:tc>
        <w:tc>
          <w:tcPr>
            <w:tcW w:w="2410" w:type="dxa"/>
            <w:shd w:val="clear" w:color="auto" w:fill="auto"/>
            <w:hideMark/>
          </w:tcPr>
          <w:p w14:paraId="0F6B2C10" w14:textId="77777777" w:rsidR="00A43900" w:rsidRPr="00C119EA" w:rsidRDefault="00A43900" w:rsidP="008159B5">
            <w:pPr>
              <w:jc w:val="center"/>
              <w:rPr>
                <w:color w:val="000000"/>
                <w:lang w:eastAsia="es-ES"/>
              </w:rPr>
            </w:pPr>
            <w:r w:rsidRPr="00C119EA">
              <w:rPr>
                <w:color w:val="000000"/>
                <w:lang w:eastAsia="es-ES"/>
              </w:rPr>
              <w:t>Jóvenes sin empleo</w:t>
            </w:r>
            <w:r w:rsidR="00F807DD" w:rsidRPr="00C119EA">
              <w:rPr>
                <w:color w:val="000000"/>
                <w:lang w:eastAsia="es-ES"/>
              </w:rPr>
              <w:t>,</w:t>
            </w:r>
            <w:r w:rsidRPr="00C119EA">
              <w:rPr>
                <w:color w:val="000000"/>
                <w:lang w:eastAsia="es-ES"/>
              </w:rPr>
              <w:t xml:space="preserve"> sin educación ni entrenamiento</w:t>
            </w:r>
            <w:r w:rsidR="004644F4" w:rsidRPr="00C119EA">
              <w:rPr>
                <w:color w:val="000000"/>
                <w:lang w:eastAsia="es-ES"/>
              </w:rPr>
              <w:t xml:space="preserve"> (en %)</w:t>
            </w:r>
          </w:p>
        </w:tc>
        <w:tc>
          <w:tcPr>
            <w:tcW w:w="2557" w:type="dxa"/>
          </w:tcPr>
          <w:p w14:paraId="1D8623FA" w14:textId="77777777" w:rsidR="00A43900" w:rsidRPr="00C119EA" w:rsidRDefault="004644F4" w:rsidP="008159B5">
            <w:pPr>
              <w:jc w:val="center"/>
              <w:rPr>
                <w:color w:val="000000"/>
                <w:lang w:eastAsia="es-ES"/>
              </w:rPr>
            </w:pPr>
            <w:r w:rsidRPr="00C119EA">
              <w:rPr>
                <w:color w:val="000000"/>
                <w:lang w:eastAsia="es-ES"/>
              </w:rPr>
              <w:t xml:space="preserve">Gasto </w:t>
            </w:r>
            <w:r w:rsidR="009708EA" w:rsidRPr="00C119EA">
              <w:rPr>
                <w:color w:val="000000"/>
                <w:lang w:eastAsia="es-ES"/>
              </w:rPr>
              <w:t>d</w:t>
            </w:r>
            <w:r w:rsidR="000E48B1" w:rsidRPr="00C119EA">
              <w:rPr>
                <w:color w:val="000000"/>
                <w:lang w:eastAsia="es-ES"/>
              </w:rPr>
              <w:t>el PIB</w:t>
            </w:r>
            <w:r w:rsidRPr="00C119EA">
              <w:rPr>
                <w:color w:val="000000"/>
                <w:lang w:eastAsia="es-ES"/>
              </w:rPr>
              <w:t xml:space="preserve"> en</w:t>
            </w:r>
            <w:r w:rsidR="00A43900" w:rsidRPr="00C119EA">
              <w:rPr>
                <w:color w:val="000000"/>
                <w:lang w:eastAsia="es-ES"/>
              </w:rPr>
              <w:t xml:space="preserve"> nivel terciario (en %)</w:t>
            </w:r>
          </w:p>
        </w:tc>
      </w:tr>
      <w:tr w:rsidR="00A43900" w:rsidRPr="00C119EA" w14:paraId="428C5AE5" w14:textId="77777777" w:rsidTr="00A17283">
        <w:trPr>
          <w:trHeight w:val="312"/>
          <w:jc w:val="center"/>
        </w:trPr>
        <w:tc>
          <w:tcPr>
            <w:tcW w:w="1703" w:type="dxa"/>
            <w:shd w:val="clear" w:color="auto" w:fill="auto"/>
            <w:noWrap/>
            <w:vAlign w:val="bottom"/>
            <w:hideMark/>
          </w:tcPr>
          <w:p w14:paraId="43F1F88C" w14:textId="77777777" w:rsidR="00A43900" w:rsidRPr="00C119EA" w:rsidRDefault="00A43900" w:rsidP="00A34997">
            <w:pPr>
              <w:rPr>
                <w:color w:val="000000"/>
                <w:sz w:val="22"/>
                <w:szCs w:val="22"/>
                <w:lang w:eastAsia="es-ES"/>
              </w:rPr>
            </w:pPr>
            <w:r w:rsidRPr="00C119EA">
              <w:rPr>
                <w:color w:val="000000"/>
                <w:sz w:val="22"/>
                <w:szCs w:val="22"/>
                <w:lang w:eastAsia="es-ES"/>
              </w:rPr>
              <w:t>México</w:t>
            </w:r>
          </w:p>
        </w:tc>
        <w:tc>
          <w:tcPr>
            <w:tcW w:w="2126" w:type="dxa"/>
            <w:shd w:val="clear" w:color="auto" w:fill="auto"/>
          </w:tcPr>
          <w:p w14:paraId="34D8DDCA" w14:textId="77777777" w:rsidR="00A43900" w:rsidRPr="00C119EA" w:rsidRDefault="00A43900" w:rsidP="00A34997">
            <w:pPr>
              <w:jc w:val="right"/>
              <w:rPr>
                <w:color w:val="000000"/>
                <w:sz w:val="22"/>
                <w:szCs w:val="22"/>
                <w:lang w:eastAsia="es-ES"/>
              </w:rPr>
            </w:pPr>
            <w:r w:rsidRPr="00C119EA">
              <w:rPr>
                <w:color w:val="000000"/>
                <w:sz w:val="22"/>
                <w:szCs w:val="22"/>
                <w:lang w:eastAsia="es-ES"/>
              </w:rPr>
              <w:t>7</w:t>
            </w:r>
            <w:r w:rsidR="000E48B1" w:rsidRPr="00C119EA">
              <w:rPr>
                <w:color w:val="000000"/>
                <w:sz w:val="22"/>
                <w:szCs w:val="22"/>
                <w:lang w:eastAsia="es-ES"/>
              </w:rPr>
              <w:t xml:space="preserve"> </w:t>
            </w:r>
            <w:r w:rsidRPr="00C119EA">
              <w:rPr>
                <w:color w:val="000000"/>
                <w:sz w:val="22"/>
                <w:szCs w:val="22"/>
                <w:lang w:eastAsia="es-ES"/>
              </w:rPr>
              <w:t>431</w:t>
            </w:r>
          </w:p>
        </w:tc>
        <w:tc>
          <w:tcPr>
            <w:tcW w:w="2410" w:type="dxa"/>
            <w:shd w:val="clear" w:color="auto" w:fill="auto"/>
            <w:noWrap/>
            <w:vAlign w:val="bottom"/>
          </w:tcPr>
          <w:p w14:paraId="7EC15A6E" w14:textId="77777777" w:rsidR="00A43900" w:rsidRPr="00C119EA" w:rsidRDefault="00A43900" w:rsidP="00A34997">
            <w:pPr>
              <w:jc w:val="right"/>
              <w:rPr>
                <w:color w:val="000000"/>
                <w:sz w:val="22"/>
                <w:szCs w:val="22"/>
                <w:lang w:eastAsia="es-ES"/>
              </w:rPr>
            </w:pPr>
            <w:r w:rsidRPr="00C119EA">
              <w:rPr>
                <w:color w:val="000000"/>
                <w:sz w:val="22"/>
                <w:szCs w:val="22"/>
                <w:lang w:eastAsia="es-ES"/>
              </w:rPr>
              <w:t>11</w:t>
            </w:r>
          </w:p>
        </w:tc>
        <w:tc>
          <w:tcPr>
            <w:tcW w:w="2557" w:type="dxa"/>
          </w:tcPr>
          <w:p w14:paraId="5AB73C2C" w14:textId="77777777" w:rsidR="00A43900" w:rsidRPr="00C119EA" w:rsidRDefault="00A43900" w:rsidP="00A34997">
            <w:pPr>
              <w:jc w:val="right"/>
              <w:rPr>
                <w:color w:val="000000"/>
                <w:sz w:val="22"/>
                <w:szCs w:val="22"/>
                <w:lang w:eastAsia="es-ES"/>
              </w:rPr>
            </w:pPr>
            <w:r w:rsidRPr="00C119EA">
              <w:rPr>
                <w:color w:val="000000"/>
                <w:sz w:val="22"/>
                <w:szCs w:val="22"/>
                <w:lang w:eastAsia="es-ES"/>
              </w:rPr>
              <w:t>0.77</w:t>
            </w:r>
          </w:p>
        </w:tc>
      </w:tr>
      <w:tr w:rsidR="00A43900" w:rsidRPr="00C119EA" w14:paraId="49FFA409" w14:textId="77777777" w:rsidTr="00A17283">
        <w:trPr>
          <w:trHeight w:val="312"/>
          <w:jc w:val="center"/>
        </w:trPr>
        <w:tc>
          <w:tcPr>
            <w:tcW w:w="1703" w:type="dxa"/>
            <w:shd w:val="clear" w:color="auto" w:fill="auto"/>
            <w:noWrap/>
            <w:vAlign w:val="bottom"/>
            <w:hideMark/>
          </w:tcPr>
          <w:p w14:paraId="1D87E726" w14:textId="6CA60AC3" w:rsidR="00A43900" w:rsidRPr="00C119EA" w:rsidRDefault="00A43900" w:rsidP="00A34997">
            <w:pPr>
              <w:rPr>
                <w:color w:val="000000"/>
                <w:sz w:val="22"/>
                <w:szCs w:val="22"/>
                <w:lang w:eastAsia="es-ES"/>
              </w:rPr>
            </w:pPr>
            <w:r w:rsidRPr="00C119EA">
              <w:rPr>
                <w:color w:val="000000"/>
                <w:sz w:val="22"/>
                <w:szCs w:val="22"/>
                <w:lang w:eastAsia="es-ES"/>
              </w:rPr>
              <w:t xml:space="preserve">Corea </w:t>
            </w:r>
            <w:r w:rsidR="00AC0F69">
              <w:rPr>
                <w:color w:val="000000"/>
                <w:sz w:val="22"/>
                <w:szCs w:val="22"/>
                <w:lang w:eastAsia="es-ES"/>
              </w:rPr>
              <w:t>del sur</w:t>
            </w:r>
            <w:r w:rsidRPr="00C119EA">
              <w:rPr>
                <w:color w:val="000000"/>
                <w:sz w:val="22"/>
                <w:szCs w:val="22"/>
                <w:lang w:eastAsia="es-ES"/>
              </w:rPr>
              <w:t>**</w:t>
            </w:r>
          </w:p>
        </w:tc>
        <w:tc>
          <w:tcPr>
            <w:tcW w:w="2126" w:type="dxa"/>
            <w:shd w:val="clear" w:color="auto" w:fill="auto"/>
          </w:tcPr>
          <w:p w14:paraId="01BB5C20" w14:textId="77777777" w:rsidR="00A43900" w:rsidRPr="00C119EA" w:rsidRDefault="00A43900" w:rsidP="00A34997">
            <w:pPr>
              <w:jc w:val="right"/>
              <w:rPr>
                <w:color w:val="000000"/>
                <w:sz w:val="22"/>
                <w:szCs w:val="22"/>
                <w:lang w:eastAsia="es-ES"/>
              </w:rPr>
            </w:pPr>
            <w:r w:rsidRPr="00C119EA">
              <w:rPr>
                <w:color w:val="000000"/>
                <w:sz w:val="22"/>
                <w:szCs w:val="22"/>
                <w:lang w:eastAsia="es-ES"/>
              </w:rPr>
              <w:t>11 287</w:t>
            </w:r>
          </w:p>
        </w:tc>
        <w:tc>
          <w:tcPr>
            <w:tcW w:w="2410" w:type="dxa"/>
            <w:shd w:val="clear" w:color="auto" w:fill="auto"/>
            <w:noWrap/>
            <w:vAlign w:val="bottom"/>
          </w:tcPr>
          <w:p w14:paraId="0BC9D766" w14:textId="77777777" w:rsidR="00A43900" w:rsidRPr="00C119EA" w:rsidRDefault="00A43900" w:rsidP="00A34997">
            <w:pPr>
              <w:jc w:val="right"/>
              <w:rPr>
                <w:color w:val="000000"/>
                <w:sz w:val="22"/>
                <w:szCs w:val="22"/>
                <w:lang w:eastAsia="es-ES"/>
              </w:rPr>
            </w:pPr>
            <w:r w:rsidRPr="00C119EA">
              <w:rPr>
                <w:color w:val="000000"/>
                <w:sz w:val="22"/>
                <w:szCs w:val="22"/>
                <w:lang w:eastAsia="es-ES"/>
              </w:rPr>
              <w:t>16.3</w:t>
            </w:r>
          </w:p>
        </w:tc>
        <w:tc>
          <w:tcPr>
            <w:tcW w:w="2557" w:type="dxa"/>
          </w:tcPr>
          <w:p w14:paraId="59591822" w14:textId="77777777" w:rsidR="00A43900" w:rsidRPr="00C119EA" w:rsidRDefault="00A43900" w:rsidP="00A34997">
            <w:pPr>
              <w:jc w:val="right"/>
              <w:rPr>
                <w:color w:val="000000"/>
                <w:sz w:val="22"/>
                <w:szCs w:val="22"/>
                <w:lang w:eastAsia="es-ES"/>
              </w:rPr>
            </w:pPr>
            <w:r w:rsidRPr="00C119EA">
              <w:rPr>
                <w:color w:val="000000"/>
                <w:sz w:val="22"/>
                <w:szCs w:val="22"/>
                <w:lang w:eastAsia="es-ES"/>
              </w:rPr>
              <w:t>0.58</w:t>
            </w:r>
          </w:p>
        </w:tc>
      </w:tr>
      <w:tr w:rsidR="00A43900" w:rsidRPr="00C119EA" w14:paraId="305262CE" w14:textId="77777777" w:rsidTr="00A17283">
        <w:trPr>
          <w:trHeight w:val="312"/>
          <w:jc w:val="center"/>
        </w:trPr>
        <w:tc>
          <w:tcPr>
            <w:tcW w:w="1703" w:type="dxa"/>
            <w:shd w:val="clear" w:color="auto" w:fill="auto"/>
            <w:noWrap/>
            <w:vAlign w:val="bottom"/>
            <w:hideMark/>
          </w:tcPr>
          <w:p w14:paraId="6F44DA10" w14:textId="77777777" w:rsidR="00A43900" w:rsidRPr="00C119EA" w:rsidRDefault="00A43900" w:rsidP="00A34997">
            <w:pPr>
              <w:rPr>
                <w:color w:val="000000"/>
                <w:sz w:val="22"/>
                <w:szCs w:val="22"/>
                <w:lang w:eastAsia="es-ES"/>
              </w:rPr>
            </w:pPr>
            <w:r w:rsidRPr="00C119EA">
              <w:rPr>
                <w:color w:val="000000"/>
                <w:sz w:val="22"/>
                <w:szCs w:val="22"/>
                <w:lang w:eastAsia="es-ES"/>
              </w:rPr>
              <w:t>Finlandia ***</w:t>
            </w:r>
          </w:p>
        </w:tc>
        <w:tc>
          <w:tcPr>
            <w:tcW w:w="2126" w:type="dxa"/>
            <w:shd w:val="clear" w:color="auto" w:fill="auto"/>
          </w:tcPr>
          <w:p w14:paraId="3F6E8E20" w14:textId="77777777" w:rsidR="00A43900" w:rsidRPr="00C119EA" w:rsidRDefault="00A43900" w:rsidP="00A34997">
            <w:pPr>
              <w:jc w:val="right"/>
              <w:rPr>
                <w:color w:val="000000"/>
                <w:sz w:val="22"/>
                <w:szCs w:val="22"/>
                <w:lang w:eastAsia="es-ES"/>
              </w:rPr>
            </w:pPr>
            <w:r w:rsidRPr="00C119EA">
              <w:rPr>
                <w:color w:val="000000"/>
                <w:sz w:val="22"/>
                <w:szCs w:val="22"/>
                <w:lang w:eastAsia="es-ES"/>
              </w:rPr>
              <w:t>18 129</w:t>
            </w:r>
          </w:p>
        </w:tc>
        <w:tc>
          <w:tcPr>
            <w:tcW w:w="2410" w:type="dxa"/>
            <w:shd w:val="clear" w:color="auto" w:fill="auto"/>
            <w:noWrap/>
            <w:vAlign w:val="bottom"/>
          </w:tcPr>
          <w:p w14:paraId="0F4F3446" w14:textId="77777777" w:rsidR="00A43900" w:rsidRPr="00C119EA" w:rsidRDefault="00A43900" w:rsidP="00A34997">
            <w:pPr>
              <w:jc w:val="right"/>
              <w:rPr>
                <w:color w:val="000000"/>
                <w:sz w:val="22"/>
                <w:szCs w:val="22"/>
                <w:lang w:eastAsia="es-ES"/>
              </w:rPr>
            </w:pPr>
            <w:r w:rsidRPr="00C119EA">
              <w:rPr>
                <w:color w:val="000000"/>
                <w:sz w:val="22"/>
                <w:szCs w:val="22"/>
                <w:lang w:eastAsia="es-ES"/>
              </w:rPr>
              <w:t>20.3</w:t>
            </w:r>
          </w:p>
        </w:tc>
        <w:tc>
          <w:tcPr>
            <w:tcW w:w="2557" w:type="dxa"/>
          </w:tcPr>
          <w:p w14:paraId="6C952251" w14:textId="77777777" w:rsidR="00A43900" w:rsidRPr="00C119EA" w:rsidRDefault="00A43900" w:rsidP="00A34997">
            <w:pPr>
              <w:jc w:val="right"/>
              <w:rPr>
                <w:color w:val="000000"/>
                <w:sz w:val="22"/>
                <w:szCs w:val="22"/>
                <w:lang w:eastAsia="es-ES"/>
              </w:rPr>
            </w:pPr>
            <w:r w:rsidRPr="00C119EA">
              <w:rPr>
                <w:color w:val="000000"/>
                <w:sz w:val="22"/>
                <w:szCs w:val="22"/>
                <w:lang w:eastAsia="es-ES"/>
              </w:rPr>
              <w:t>1.37</w:t>
            </w:r>
          </w:p>
        </w:tc>
      </w:tr>
      <w:tr w:rsidR="00A43900" w:rsidRPr="00C119EA" w14:paraId="3A09C5EB" w14:textId="77777777" w:rsidTr="00A17283">
        <w:trPr>
          <w:trHeight w:val="312"/>
          <w:jc w:val="center"/>
        </w:trPr>
        <w:tc>
          <w:tcPr>
            <w:tcW w:w="1703" w:type="dxa"/>
            <w:shd w:val="clear" w:color="auto" w:fill="auto"/>
            <w:noWrap/>
            <w:vAlign w:val="bottom"/>
            <w:hideMark/>
          </w:tcPr>
          <w:p w14:paraId="63A54988" w14:textId="77777777" w:rsidR="00A43900" w:rsidRPr="00C119EA" w:rsidRDefault="00A43900" w:rsidP="00A34997">
            <w:pPr>
              <w:rPr>
                <w:color w:val="000000"/>
                <w:sz w:val="22"/>
                <w:szCs w:val="22"/>
                <w:lang w:eastAsia="es-ES"/>
              </w:rPr>
            </w:pPr>
            <w:r w:rsidRPr="00C119EA">
              <w:rPr>
                <w:color w:val="000000"/>
                <w:sz w:val="22"/>
                <w:szCs w:val="22"/>
                <w:lang w:eastAsia="es-ES"/>
              </w:rPr>
              <w:t>Israel **</w:t>
            </w:r>
          </w:p>
        </w:tc>
        <w:tc>
          <w:tcPr>
            <w:tcW w:w="2126" w:type="dxa"/>
            <w:shd w:val="clear" w:color="auto" w:fill="auto"/>
          </w:tcPr>
          <w:p w14:paraId="5702D84C" w14:textId="77777777" w:rsidR="00A43900" w:rsidRPr="00C119EA" w:rsidRDefault="00A43900" w:rsidP="00A34997">
            <w:pPr>
              <w:jc w:val="right"/>
              <w:rPr>
                <w:color w:val="000000"/>
                <w:sz w:val="22"/>
                <w:szCs w:val="22"/>
                <w:lang w:eastAsia="es-ES"/>
              </w:rPr>
            </w:pPr>
            <w:r w:rsidRPr="00C119EA">
              <w:rPr>
                <w:color w:val="000000"/>
                <w:sz w:val="22"/>
                <w:szCs w:val="22"/>
                <w:lang w:eastAsia="es-ES"/>
              </w:rPr>
              <w:t>12</w:t>
            </w:r>
            <w:r w:rsidR="009708EA" w:rsidRPr="00C119EA">
              <w:rPr>
                <w:color w:val="000000"/>
                <w:sz w:val="22"/>
                <w:szCs w:val="22"/>
                <w:lang w:eastAsia="es-ES"/>
              </w:rPr>
              <w:t xml:space="preserve"> </w:t>
            </w:r>
            <w:r w:rsidRPr="00C119EA">
              <w:rPr>
                <w:color w:val="000000"/>
                <w:sz w:val="22"/>
                <w:szCs w:val="22"/>
                <w:lang w:eastAsia="es-ES"/>
              </w:rPr>
              <w:t>683</w:t>
            </w:r>
          </w:p>
        </w:tc>
        <w:tc>
          <w:tcPr>
            <w:tcW w:w="2410" w:type="dxa"/>
            <w:shd w:val="clear" w:color="auto" w:fill="auto"/>
            <w:noWrap/>
            <w:vAlign w:val="bottom"/>
          </w:tcPr>
          <w:p w14:paraId="2330B90C" w14:textId="77777777" w:rsidR="00A43900" w:rsidRPr="00C119EA" w:rsidRDefault="00A43900" w:rsidP="00A34997">
            <w:pPr>
              <w:jc w:val="right"/>
              <w:rPr>
                <w:color w:val="000000"/>
                <w:sz w:val="22"/>
                <w:szCs w:val="22"/>
                <w:lang w:eastAsia="es-ES"/>
              </w:rPr>
            </w:pPr>
            <w:r w:rsidRPr="00C119EA">
              <w:rPr>
                <w:color w:val="000000"/>
                <w:sz w:val="22"/>
                <w:szCs w:val="22"/>
                <w:lang w:eastAsia="es-ES"/>
              </w:rPr>
              <w:t>18</w:t>
            </w:r>
          </w:p>
        </w:tc>
        <w:tc>
          <w:tcPr>
            <w:tcW w:w="2557" w:type="dxa"/>
          </w:tcPr>
          <w:p w14:paraId="1F37C83E" w14:textId="77777777" w:rsidR="00A43900" w:rsidRPr="00C119EA" w:rsidRDefault="00A43900" w:rsidP="00A34997">
            <w:pPr>
              <w:jc w:val="right"/>
              <w:rPr>
                <w:color w:val="000000"/>
                <w:sz w:val="22"/>
                <w:szCs w:val="22"/>
                <w:lang w:eastAsia="es-ES"/>
              </w:rPr>
            </w:pPr>
            <w:r w:rsidRPr="00C119EA">
              <w:rPr>
                <w:color w:val="000000"/>
                <w:sz w:val="22"/>
                <w:szCs w:val="22"/>
                <w:lang w:eastAsia="es-ES"/>
              </w:rPr>
              <w:t>0.76</w:t>
            </w:r>
          </w:p>
        </w:tc>
      </w:tr>
      <w:tr w:rsidR="00A43900" w:rsidRPr="00C119EA" w14:paraId="7C5DF925" w14:textId="77777777" w:rsidTr="00A17283">
        <w:trPr>
          <w:trHeight w:val="312"/>
          <w:jc w:val="center"/>
        </w:trPr>
        <w:tc>
          <w:tcPr>
            <w:tcW w:w="1703" w:type="dxa"/>
            <w:shd w:val="clear" w:color="auto" w:fill="auto"/>
            <w:noWrap/>
            <w:vAlign w:val="bottom"/>
            <w:hideMark/>
          </w:tcPr>
          <w:p w14:paraId="23FAA895" w14:textId="77777777" w:rsidR="00A43900" w:rsidRPr="00C119EA" w:rsidRDefault="00A43900" w:rsidP="00A34997">
            <w:pPr>
              <w:rPr>
                <w:color w:val="000000"/>
                <w:sz w:val="22"/>
                <w:szCs w:val="22"/>
                <w:lang w:eastAsia="es-ES"/>
              </w:rPr>
            </w:pPr>
            <w:r w:rsidRPr="00C119EA">
              <w:rPr>
                <w:color w:val="000000"/>
                <w:sz w:val="22"/>
                <w:szCs w:val="22"/>
                <w:lang w:eastAsia="es-ES"/>
              </w:rPr>
              <w:t>Estados Unidos*</w:t>
            </w:r>
          </w:p>
        </w:tc>
        <w:tc>
          <w:tcPr>
            <w:tcW w:w="2126" w:type="dxa"/>
            <w:shd w:val="clear" w:color="auto" w:fill="auto"/>
          </w:tcPr>
          <w:p w14:paraId="6222184B" w14:textId="77777777" w:rsidR="00A43900" w:rsidRPr="00C119EA" w:rsidRDefault="00A43900" w:rsidP="00A34997">
            <w:pPr>
              <w:jc w:val="right"/>
              <w:rPr>
                <w:color w:val="000000"/>
                <w:sz w:val="22"/>
                <w:szCs w:val="22"/>
                <w:lang w:eastAsia="es-ES"/>
              </w:rPr>
            </w:pPr>
            <w:r w:rsidRPr="00C119EA">
              <w:rPr>
                <w:color w:val="000000"/>
                <w:sz w:val="22"/>
                <w:szCs w:val="22"/>
                <w:lang w:eastAsia="es-ES"/>
              </w:rPr>
              <w:t>35</w:t>
            </w:r>
            <w:r w:rsidR="009708EA" w:rsidRPr="00C119EA">
              <w:rPr>
                <w:color w:val="000000"/>
                <w:sz w:val="22"/>
                <w:szCs w:val="22"/>
                <w:lang w:eastAsia="es-ES"/>
              </w:rPr>
              <w:t xml:space="preserve"> </w:t>
            </w:r>
            <w:r w:rsidRPr="00C119EA">
              <w:rPr>
                <w:color w:val="000000"/>
                <w:sz w:val="22"/>
                <w:szCs w:val="22"/>
                <w:lang w:eastAsia="es-ES"/>
              </w:rPr>
              <w:t>347</w:t>
            </w:r>
          </w:p>
        </w:tc>
        <w:tc>
          <w:tcPr>
            <w:tcW w:w="2410" w:type="dxa"/>
            <w:shd w:val="clear" w:color="auto" w:fill="auto"/>
            <w:noWrap/>
            <w:vAlign w:val="bottom"/>
          </w:tcPr>
          <w:p w14:paraId="510AEFFA" w14:textId="77777777" w:rsidR="00A43900" w:rsidRPr="00C119EA" w:rsidRDefault="00A43900" w:rsidP="00A34997">
            <w:pPr>
              <w:jc w:val="right"/>
              <w:rPr>
                <w:color w:val="000000"/>
                <w:sz w:val="22"/>
                <w:szCs w:val="22"/>
                <w:lang w:eastAsia="es-ES"/>
              </w:rPr>
            </w:pPr>
            <w:r w:rsidRPr="00C119EA">
              <w:rPr>
                <w:color w:val="000000"/>
                <w:sz w:val="22"/>
                <w:szCs w:val="22"/>
                <w:lang w:eastAsia="es-ES"/>
              </w:rPr>
              <w:t>9.6</w:t>
            </w:r>
          </w:p>
        </w:tc>
        <w:tc>
          <w:tcPr>
            <w:tcW w:w="2557" w:type="dxa"/>
          </w:tcPr>
          <w:p w14:paraId="2BA537E4" w14:textId="77777777" w:rsidR="00A43900" w:rsidRPr="00C119EA" w:rsidRDefault="00A43900" w:rsidP="00A34997">
            <w:pPr>
              <w:jc w:val="right"/>
              <w:rPr>
                <w:color w:val="000000"/>
                <w:sz w:val="22"/>
                <w:szCs w:val="22"/>
                <w:lang w:eastAsia="es-ES"/>
              </w:rPr>
            </w:pPr>
            <w:r w:rsidRPr="00C119EA">
              <w:rPr>
                <w:color w:val="000000"/>
                <w:sz w:val="22"/>
                <w:szCs w:val="22"/>
                <w:lang w:eastAsia="es-ES"/>
              </w:rPr>
              <w:t>0.89</w:t>
            </w:r>
          </w:p>
        </w:tc>
      </w:tr>
      <w:tr w:rsidR="00A43900" w:rsidRPr="00C119EA" w14:paraId="21EE8D66" w14:textId="77777777" w:rsidTr="00A17283">
        <w:trPr>
          <w:trHeight w:val="312"/>
          <w:jc w:val="center"/>
        </w:trPr>
        <w:tc>
          <w:tcPr>
            <w:tcW w:w="1703" w:type="dxa"/>
            <w:shd w:val="clear" w:color="auto" w:fill="auto"/>
            <w:noWrap/>
            <w:vAlign w:val="bottom"/>
            <w:hideMark/>
          </w:tcPr>
          <w:p w14:paraId="3C2C000B" w14:textId="77777777" w:rsidR="00A43900" w:rsidRPr="00C119EA" w:rsidRDefault="00A43900" w:rsidP="00A34997">
            <w:pPr>
              <w:rPr>
                <w:color w:val="000000"/>
                <w:sz w:val="22"/>
                <w:szCs w:val="22"/>
                <w:lang w:eastAsia="es-ES"/>
              </w:rPr>
            </w:pPr>
            <w:r w:rsidRPr="00C119EA">
              <w:rPr>
                <w:color w:val="000000"/>
                <w:sz w:val="22"/>
                <w:szCs w:val="22"/>
                <w:lang w:eastAsia="es-ES"/>
              </w:rPr>
              <w:t>Alemania *</w:t>
            </w:r>
          </w:p>
        </w:tc>
        <w:tc>
          <w:tcPr>
            <w:tcW w:w="2126" w:type="dxa"/>
            <w:shd w:val="clear" w:color="auto" w:fill="auto"/>
          </w:tcPr>
          <w:p w14:paraId="7F0A8CB8" w14:textId="77777777" w:rsidR="00A43900" w:rsidRPr="00C119EA" w:rsidRDefault="00A43900" w:rsidP="00A34997">
            <w:pPr>
              <w:jc w:val="right"/>
              <w:rPr>
                <w:color w:val="000000"/>
                <w:sz w:val="22"/>
                <w:szCs w:val="22"/>
                <w:lang w:eastAsia="es-ES"/>
              </w:rPr>
            </w:pPr>
            <w:r w:rsidRPr="00C119EA">
              <w:rPr>
                <w:color w:val="000000"/>
                <w:sz w:val="22"/>
                <w:szCs w:val="22"/>
                <w:lang w:eastAsia="es-ES"/>
              </w:rPr>
              <w:t>19 608</w:t>
            </w:r>
          </w:p>
        </w:tc>
        <w:tc>
          <w:tcPr>
            <w:tcW w:w="2410" w:type="dxa"/>
            <w:shd w:val="clear" w:color="auto" w:fill="auto"/>
            <w:noWrap/>
            <w:vAlign w:val="bottom"/>
          </w:tcPr>
          <w:p w14:paraId="52C5702B" w14:textId="77777777" w:rsidR="00A43900" w:rsidRPr="00C119EA" w:rsidRDefault="00A43900" w:rsidP="00A34997">
            <w:pPr>
              <w:jc w:val="right"/>
              <w:rPr>
                <w:color w:val="000000"/>
                <w:sz w:val="22"/>
                <w:szCs w:val="22"/>
                <w:lang w:eastAsia="es-ES"/>
              </w:rPr>
            </w:pPr>
            <w:r w:rsidRPr="00C119EA">
              <w:rPr>
                <w:color w:val="000000"/>
                <w:sz w:val="22"/>
                <w:szCs w:val="22"/>
                <w:lang w:eastAsia="es-ES"/>
              </w:rPr>
              <w:t>9.7</w:t>
            </w:r>
          </w:p>
        </w:tc>
        <w:tc>
          <w:tcPr>
            <w:tcW w:w="2557" w:type="dxa"/>
          </w:tcPr>
          <w:p w14:paraId="7B6D0F3D" w14:textId="77777777" w:rsidR="00A43900" w:rsidRPr="00C119EA" w:rsidRDefault="00A43900" w:rsidP="00A34997">
            <w:pPr>
              <w:jc w:val="right"/>
              <w:rPr>
                <w:color w:val="000000"/>
                <w:sz w:val="22"/>
                <w:szCs w:val="22"/>
                <w:lang w:eastAsia="es-ES"/>
              </w:rPr>
            </w:pPr>
            <w:r w:rsidRPr="00C119EA">
              <w:rPr>
                <w:color w:val="000000"/>
                <w:sz w:val="22"/>
                <w:szCs w:val="22"/>
                <w:lang w:eastAsia="es-ES"/>
              </w:rPr>
              <w:t>1.04</w:t>
            </w:r>
          </w:p>
        </w:tc>
      </w:tr>
      <w:tr w:rsidR="00A43900" w:rsidRPr="00C119EA" w14:paraId="6CBD4E48" w14:textId="77777777" w:rsidTr="00A17283">
        <w:trPr>
          <w:trHeight w:val="312"/>
          <w:jc w:val="center"/>
        </w:trPr>
        <w:tc>
          <w:tcPr>
            <w:tcW w:w="1703" w:type="dxa"/>
            <w:shd w:val="clear" w:color="auto" w:fill="auto"/>
            <w:noWrap/>
            <w:vAlign w:val="bottom"/>
            <w:hideMark/>
          </w:tcPr>
          <w:p w14:paraId="57B34DCE" w14:textId="77777777" w:rsidR="00A43900" w:rsidRPr="00C119EA" w:rsidRDefault="00A43900" w:rsidP="00A34997">
            <w:pPr>
              <w:rPr>
                <w:color w:val="000000"/>
                <w:sz w:val="22"/>
                <w:szCs w:val="22"/>
                <w:lang w:eastAsia="es-ES"/>
              </w:rPr>
            </w:pPr>
            <w:r w:rsidRPr="00C119EA">
              <w:rPr>
                <w:color w:val="000000"/>
                <w:sz w:val="22"/>
                <w:szCs w:val="22"/>
                <w:lang w:eastAsia="es-ES"/>
              </w:rPr>
              <w:t>Reino Unido *</w:t>
            </w:r>
          </w:p>
        </w:tc>
        <w:tc>
          <w:tcPr>
            <w:tcW w:w="2126" w:type="dxa"/>
            <w:shd w:val="clear" w:color="auto" w:fill="auto"/>
          </w:tcPr>
          <w:p w14:paraId="14BCCA2E" w14:textId="77777777" w:rsidR="00A43900" w:rsidRPr="00C119EA" w:rsidRDefault="00A43900" w:rsidP="00A34997">
            <w:pPr>
              <w:jc w:val="right"/>
              <w:rPr>
                <w:color w:val="000000"/>
                <w:sz w:val="22"/>
                <w:szCs w:val="22"/>
                <w:lang w:eastAsia="es-ES"/>
              </w:rPr>
            </w:pPr>
            <w:r w:rsidRPr="00C119EA">
              <w:rPr>
                <w:color w:val="000000"/>
                <w:sz w:val="22"/>
                <w:szCs w:val="22"/>
                <w:lang w:eastAsia="es-ES"/>
              </w:rPr>
              <w:t>29</w:t>
            </w:r>
            <w:r w:rsidR="009708EA" w:rsidRPr="00C119EA">
              <w:rPr>
                <w:color w:val="000000"/>
                <w:sz w:val="22"/>
                <w:szCs w:val="22"/>
                <w:lang w:eastAsia="es-ES"/>
              </w:rPr>
              <w:t xml:space="preserve"> </w:t>
            </w:r>
            <w:r w:rsidRPr="00C119EA">
              <w:rPr>
                <w:color w:val="000000"/>
                <w:sz w:val="22"/>
                <w:szCs w:val="22"/>
                <w:lang w:eastAsia="es-ES"/>
              </w:rPr>
              <w:t>668</w:t>
            </w:r>
          </w:p>
        </w:tc>
        <w:tc>
          <w:tcPr>
            <w:tcW w:w="2410" w:type="dxa"/>
            <w:shd w:val="clear" w:color="auto" w:fill="auto"/>
            <w:noWrap/>
            <w:vAlign w:val="bottom"/>
          </w:tcPr>
          <w:p w14:paraId="29A5013B" w14:textId="77777777" w:rsidR="00A43900" w:rsidRPr="00C119EA" w:rsidRDefault="00A43900" w:rsidP="00A34997">
            <w:pPr>
              <w:jc w:val="right"/>
              <w:rPr>
                <w:color w:val="000000"/>
                <w:sz w:val="22"/>
                <w:szCs w:val="22"/>
                <w:lang w:eastAsia="es-ES"/>
              </w:rPr>
            </w:pPr>
            <w:r w:rsidRPr="00C119EA">
              <w:rPr>
                <w:color w:val="000000"/>
                <w:sz w:val="22"/>
                <w:szCs w:val="22"/>
                <w:lang w:eastAsia="es-ES"/>
              </w:rPr>
              <w:t>15.0</w:t>
            </w:r>
          </w:p>
        </w:tc>
        <w:tc>
          <w:tcPr>
            <w:tcW w:w="2557" w:type="dxa"/>
          </w:tcPr>
          <w:p w14:paraId="3A2D08F4" w14:textId="77777777" w:rsidR="00A43900" w:rsidRPr="00C119EA" w:rsidRDefault="00A43900" w:rsidP="00A34997">
            <w:pPr>
              <w:jc w:val="right"/>
              <w:rPr>
                <w:color w:val="000000"/>
                <w:sz w:val="22"/>
                <w:szCs w:val="22"/>
                <w:lang w:eastAsia="es-ES"/>
              </w:rPr>
            </w:pPr>
            <w:r w:rsidRPr="00C119EA">
              <w:rPr>
                <w:color w:val="000000"/>
                <w:sz w:val="22"/>
                <w:szCs w:val="22"/>
                <w:lang w:eastAsia="es-ES"/>
              </w:rPr>
              <w:t>0.47</w:t>
            </w:r>
          </w:p>
        </w:tc>
      </w:tr>
      <w:tr w:rsidR="00A43900" w:rsidRPr="00C119EA" w14:paraId="0C07A286" w14:textId="77777777" w:rsidTr="00A17283">
        <w:trPr>
          <w:trHeight w:val="312"/>
          <w:jc w:val="center"/>
        </w:trPr>
        <w:tc>
          <w:tcPr>
            <w:tcW w:w="1703" w:type="dxa"/>
            <w:shd w:val="clear" w:color="auto" w:fill="auto"/>
            <w:noWrap/>
            <w:vAlign w:val="bottom"/>
            <w:hideMark/>
          </w:tcPr>
          <w:p w14:paraId="35711199" w14:textId="77777777" w:rsidR="00A43900" w:rsidRPr="00C119EA" w:rsidRDefault="00A43900" w:rsidP="00A34997">
            <w:pPr>
              <w:rPr>
                <w:color w:val="000000"/>
                <w:sz w:val="22"/>
                <w:szCs w:val="22"/>
                <w:lang w:eastAsia="es-ES"/>
              </w:rPr>
            </w:pPr>
            <w:r w:rsidRPr="00C119EA">
              <w:rPr>
                <w:color w:val="000000"/>
                <w:sz w:val="22"/>
                <w:szCs w:val="22"/>
                <w:lang w:eastAsia="es-ES"/>
              </w:rPr>
              <w:t>Francia *</w:t>
            </w:r>
          </w:p>
        </w:tc>
        <w:tc>
          <w:tcPr>
            <w:tcW w:w="2126" w:type="dxa"/>
            <w:shd w:val="clear" w:color="auto" w:fill="auto"/>
          </w:tcPr>
          <w:p w14:paraId="4DBCF4B8" w14:textId="77777777" w:rsidR="00A43900" w:rsidRPr="00C119EA" w:rsidRDefault="00A43900" w:rsidP="00A34997">
            <w:pPr>
              <w:jc w:val="right"/>
              <w:rPr>
                <w:color w:val="000000"/>
                <w:sz w:val="22"/>
                <w:szCs w:val="22"/>
                <w:lang w:eastAsia="es-ES"/>
              </w:rPr>
            </w:pPr>
            <w:r w:rsidRPr="00C119EA">
              <w:rPr>
                <w:color w:val="000000"/>
                <w:sz w:val="22"/>
                <w:szCs w:val="22"/>
                <w:lang w:eastAsia="es-ES"/>
              </w:rPr>
              <w:t>18</w:t>
            </w:r>
            <w:r w:rsidR="009708EA" w:rsidRPr="00C119EA">
              <w:rPr>
                <w:color w:val="000000"/>
                <w:sz w:val="22"/>
                <w:szCs w:val="22"/>
                <w:lang w:eastAsia="es-ES"/>
              </w:rPr>
              <w:t xml:space="preserve"> </w:t>
            </w:r>
            <w:r w:rsidR="004644F4" w:rsidRPr="00C119EA">
              <w:rPr>
                <w:color w:val="000000"/>
                <w:sz w:val="22"/>
                <w:szCs w:val="22"/>
                <w:lang w:eastAsia="es-ES"/>
              </w:rPr>
              <w:t>139</w:t>
            </w:r>
          </w:p>
        </w:tc>
        <w:tc>
          <w:tcPr>
            <w:tcW w:w="2410" w:type="dxa"/>
            <w:shd w:val="clear" w:color="auto" w:fill="auto"/>
            <w:noWrap/>
            <w:vAlign w:val="bottom"/>
          </w:tcPr>
          <w:p w14:paraId="65052463" w14:textId="77777777" w:rsidR="00A43900" w:rsidRPr="00C119EA" w:rsidRDefault="004644F4" w:rsidP="00A34997">
            <w:pPr>
              <w:jc w:val="right"/>
              <w:rPr>
                <w:color w:val="000000"/>
                <w:sz w:val="22"/>
                <w:szCs w:val="22"/>
                <w:lang w:eastAsia="es-ES"/>
              </w:rPr>
            </w:pPr>
            <w:r w:rsidRPr="00C119EA">
              <w:rPr>
                <w:color w:val="000000"/>
                <w:sz w:val="22"/>
                <w:szCs w:val="22"/>
                <w:lang w:eastAsia="es-ES"/>
              </w:rPr>
              <w:t>20.1</w:t>
            </w:r>
          </w:p>
        </w:tc>
        <w:tc>
          <w:tcPr>
            <w:tcW w:w="2557" w:type="dxa"/>
          </w:tcPr>
          <w:p w14:paraId="1151D93D" w14:textId="77777777" w:rsidR="00A43900" w:rsidRPr="00C119EA" w:rsidRDefault="004644F4" w:rsidP="00A34997">
            <w:pPr>
              <w:jc w:val="right"/>
              <w:rPr>
                <w:color w:val="000000"/>
                <w:sz w:val="22"/>
                <w:szCs w:val="22"/>
                <w:lang w:eastAsia="es-ES"/>
              </w:rPr>
            </w:pPr>
            <w:r w:rsidRPr="00C119EA">
              <w:rPr>
                <w:color w:val="000000"/>
                <w:sz w:val="22"/>
                <w:szCs w:val="22"/>
                <w:lang w:eastAsia="es-ES"/>
              </w:rPr>
              <w:t>1.1</w:t>
            </w:r>
          </w:p>
        </w:tc>
      </w:tr>
      <w:tr w:rsidR="00A43900" w:rsidRPr="00C119EA" w14:paraId="2F1B338A" w14:textId="77777777" w:rsidTr="00A17283">
        <w:trPr>
          <w:trHeight w:val="312"/>
          <w:jc w:val="center"/>
        </w:trPr>
        <w:tc>
          <w:tcPr>
            <w:tcW w:w="1703" w:type="dxa"/>
            <w:shd w:val="clear" w:color="auto" w:fill="auto"/>
            <w:noWrap/>
            <w:vAlign w:val="bottom"/>
            <w:hideMark/>
          </w:tcPr>
          <w:p w14:paraId="1BF2AC59" w14:textId="77777777" w:rsidR="00A43900" w:rsidRPr="00C119EA" w:rsidRDefault="004644F4" w:rsidP="00A34997">
            <w:pPr>
              <w:rPr>
                <w:color w:val="000000"/>
                <w:sz w:val="22"/>
                <w:szCs w:val="22"/>
                <w:lang w:eastAsia="es-ES"/>
              </w:rPr>
            </w:pPr>
            <w:r w:rsidRPr="00C119EA">
              <w:rPr>
                <w:color w:val="000000"/>
                <w:sz w:val="22"/>
                <w:szCs w:val="22"/>
                <w:lang w:eastAsia="es-ES"/>
              </w:rPr>
              <w:t>Holanda</w:t>
            </w:r>
            <w:r w:rsidR="00A43900" w:rsidRPr="00C119EA">
              <w:rPr>
                <w:color w:val="000000"/>
                <w:sz w:val="22"/>
                <w:szCs w:val="22"/>
                <w:lang w:eastAsia="es-ES"/>
              </w:rPr>
              <w:t>*</w:t>
            </w:r>
          </w:p>
        </w:tc>
        <w:tc>
          <w:tcPr>
            <w:tcW w:w="2126" w:type="dxa"/>
            <w:shd w:val="clear" w:color="auto" w:fill="auto"/>
          </w:tcPr>
          <w:p w14:paraId="47CA989D" w14:textId="77777777" w:rsidR="00A43900" w:rsidRPr="00C119EA" w:rsidRDefault="004644F4" w:rsidP="00A34997">
            <w:pPr>
              <w:jc w:val="right"/>
              <w:rPr>
                <w:color w:val="000000"/>
                <w:sz w:val="22"/>
                <w:szCs w:val="22"/>
                <w:lang w:eastAsia="es-ES"/>
              </w:rPr>
            </w:pPr>
            <w:r w:rsidRPr="00C119EA">
              <w:rPr>
                <w:color w:val="000000"/>
                <w:sz w:val="22"/>
                <w:szCs w:val="22"/>
                <w:lang w:eastAsia="es-ES"/>
              </w:rPr>
              <w:t>28</w:t>
            </w:r>
            <w:r w:rsidR="009708EA" w:rsidRPr="00C119EA">
              <w:rPr>
                <w:color w:val="000000"/>
                <w:sz w:val="22"/>
                <w:szCs w:val="22"/>
                <w:lang w:eastAsia="es-ES"/>
              </w:rPr>
              <w:t xml:space="preserve"> </w:t>
            </w:r>
            <w:r w:rsidRPr="00C119EA">
              <w:rPr>
                <w:color w:val="000000"/>
                <w:sz w:val="22"/>
                <w:szCs w:val="22"/>
                <w:lang w:eastAsia="es-ES"/>
              </w:rPr>
              <w:t>889</w:t>
            </w:r>
          </w:p>
        </w:tc>
        <w:tc>
          <w:tcPr>
            <w:tcW w:w="2410" w:type="dxa"/>
            <w:shd w:val="clear" w:color="auto" w:fill="auto"/>
            <w:noWrap/>
            <w:vAlign w:val="bottom"/>
          </w:tcPr>
          <w:p w14:paraId="424DA769" w14:textId="77777777" w:rsidR="00A43900" w:rsidRPr="00C119EA" w:rsidRDefault="004644F4" w:rsidP="00A34997">
            <w:pPr>
              <w:jc w:val="right"/>
              <w:rPr>
                <w:color w:val="000000"/>
                <w:sz w:val="22"/>
                <w:szCs w:val="22"/>
                <w:lang w:eastAsia="es-ES"/>
              </w:rPr>
            </w:pPr>
            <w:r w:rsidRPr="00C119EA">
              <w:rPr>
                <w:color w:val="000000"/>
                <w:sz w:val="22"/>
                <w:szCs w:val="22"/>
                <w:lang w:eastAsia="es-ES"/>
              </w:rPr>
              <w:t>5.7</w:t>
            </w:r>
          </w:p>
        </w:tc>
        <w:tc>
          <w:tcPr>
            <w:tcW w:w="2557" w:type="dxa"/>
          </w:tcPr>
          <w:p w14:paraId="381C41F5" w14:textId="77777777" w:rsidR="00A43900" w:rsidRPr="00C119EA" w:rsidRDefault="004644F4" w:rsidP="00A34997">
            <w:pPr>
              <w:jc w:val="right"/>
              <w:rPr>
                <w:color w:val="000000"/>
                <w:sz w:val="22"/>
                <w:szCs w:val="22"/>
                <w:lang w:eastAsia="es-ES"/>
              </w:rPr>
            </w:pPr>
            <w:r w:rsidRPr="00C119EA">
              <w:rPr>
                <w:color w:val="000000"/>
                <w:sz w:val="22"/>
                <w:szCs w:val="22"/>
                <w:lang w:eastAsia="es-ES"/>
              </w:rPr>
              <w:t>1.3</w:t>
            </w:r>
          </w:p>
        </w:tc>
      </w:tr>
      <w:tr w:rsidR="00A43900" w:rsidRPr="00C119EA" w14:paraId="6E5BE2DC" w14:textId="77777777" w:rsidTr="00A17283">
        <w:trPr>
          <w:trHeight w:val="312"/>
          <w:jc w:val="center"/>
        </w:trPr>
        <w:tc>
          <w:tcPr>
            <w:tcW w:w="1703" w:type="dxa"/>
            <w:shd w:val="clear" w:color="auto" w:fill="auto"/>
            <w:noWrap/>
            <w:vAlign w:val="bottom"/>
            <w:hideMark/>
          </w:tcPr>
          <w:p w14:paraId="4194FF50" w14:textId="77777777" w:rsidR="00A43900" w:rsidRPr="00C119EA" w:rsidRDefault="00A43900" w:rsidP="00A34997">
            <w:pPr>
              <w:rPr>
                <w:color w:val="000000"/>
                <w:sz w:val="22"/>
                <w:szCs w:val="22"/>
                <w:lang w:eastAsia="es-ES"/>
              </w:rPr>
            </w:pPr>
            <w:r w:rsidRPr="00C119EA">
              <w:rPr>
                <w:color w:val="000000"/>
                <w:sz w:val="22"/>
                <w:szCs w:val="22"/>
                <w:lang w:eastAsia="es-ES"/>
              </w:rPr>
              <w:t>Japón **</w:t>
            </w:r>
          </w:p>
        </w:tc>
        <w:tc>
          <w:tcPr>
            <w:tcW w:w="2126" w:type="dxa"/>
            <w:shd w:val="clear" w:color="auto" w:fill="auto"/>
          </w:tcPr>
          <w:p w14:paraId="0C137329" w14:textId="77777777" w:rsidR="00A43900" w:rsidRPr="00C119EA" w:rsidRDefault="004644F4" w:rsidP="00A34997">
            <w:pPr>
              <w:jc w:val="right"/>
              <w:rPr>
                <w:color w:val="000000"/>
                <w:sz w:val="22"/>
                <w:szCs w:val="22"/>
                <w:lang w:eastAsia="es-ES"/>
              </w:rPr>
            </w:pPr>
            <w:r w:rsidRPr="00C119EA">
              <w:rPr>
                <w:color w:val="000000"/>
                <w:sz w:val="22"/>
                <w:szCs w:val="22"/>
                <w:lang w:eastAsia="es-ES"/>
              </w:rPr>
              <w:t>19</w:t>
            </w:r>
            <w:r w:rsidR="001733DB" w:rsidRPr="00C119EA">
              <w:rPr>
                <w:color w:val="000000"/>
                <w:sz w:val="22"/>
                <w:szCs w:val="22"/>
                <w:lang w:eastAsia="es-ES"/>
              </w:rPr>
              <w:t xml:space="preserve"> </w:t>
            </w:r>
            <w:r w:rsidRPr="00C119EA">
              <w:rPr>
                <w:color w:val="000000"/>
                <w:sz w:val="22"/>
                <w:szCs w:val="22"/>
                <w:lang w:eastAsia="es-ES"/>
              </w:rPr>
              <w:t>504</w:t>
            </w:r>
          </w:p>
        </w:tc>
        <w:tc>
          <w:tcPr>
            <w:tcW w:w="2410" w:type="dxa"/>
            <w:shd w:val="clear" w:color="auto" w:fill="auto"/>
            <w:noWrap/>
            <w:vAlign w:val="bottom"/>
          </w:tcPr>
          <w:p w14:paraId="6135B03A" w14:textId="77777777" w:rsidR="00A43900" w:rsidRPr="00C119EA" w:rsidRDefault="004644F4" w:rsidP="00A34997">
            <w:pPr>
              <w:jc w:val="right"/>
              <w:rPr>
                <w:color w:val="000000"/>
                <w:sz w:val="22"/>
                <w:szCs w:val="22"/>
                <w:lang w:eastAsia="es-ES"/>
              </w:rPr>
            </w:pPr>
            <w:r w:rsidRPr="00C119EA">
              <w:rPr>
                <w:color w:val="000000"/>
                <w:sz w:val="22"/>
                <w:szCs w:val="22"/>
                <w:lang w:eastAsia="es-ES"/>
              </w:rPr>
              <w:t>14.1</w:t>
            </w:r>
          </w:p>
        </w:tc>
        <w:tc>
          <w:tcPr>
            <w:tcW w:w="2557" w:type="dxa"/>
          </w:tcPr>
          <w:p w14:paraId="63B69415" w14:textId="77777777" w:rsidR="00A43900" w:rsidRPr="00C119EA" w:rsidRDefault="004644F4" w:rsidP="00A34997">
            <w:pPr>
              <w:jc w:val="right"/>
              <w:rPr>
                <w:color w:val="000000"/>
                <w:sz w:val="22"/>
                <w:szCs w:val="22"/>
                <w:lang w:eastAsia="es-ES"/>
              </w:rPr>
            </w:pPr>
            <w:r w:rsidRPr="00C119EA">
              <w:rPr>
                <w:color w:val="000000"/>
                <w:sz w:val="22"/>
                <w:szCs w:val="22"/>
                <w:lang w:eastAsia="es-ES"/>
              </w:rPr>
              <w:t>0.45</w:t>
            </w:r>
          </w:p>
        </w:tc>
      </w:tr>
      <w:tr w:rsidR="00A43900" w:rsidRPr="00C119EA" w14:paraId="4217DD1A" w14:textId="77777777" w:rsidTr="00A17283">
        <w:trPr>
          <w:trHeight w:val="312"/>
          <w:jc w:val="center"/>
        </w:trPr>
        <w:tc>
          <w:tcPr>
            <w:tcW w:w="1703" w:type="dxa"/>
            <w:shd w:val="clear" w:color="auto" w:fill="auto"/>
            <w:noWrap/>
            <w:vAlign w:val="bottom"/>
            <w:hideMark/>
          </w:tcPr>
          <w:p w14:paraId="561B0E14" w14:textId="77777777" w:rsidR="00A43900" w:rsidRPr="00C119EA" w:rsidRDefault="00A43900" w:rsidP="00A34997">
            <w:pPr>
              <w:rPr>
                <w:color w:val="000000"/>
                <w:sz w:val="22"/>
                <w:szCs w:val="22"/>
                <w:lang w:eastAsia="es-ES"/>
              </w:rPr>
            </w:pPr>
            <w:r w:rsidRPr="00C119EA">
              <w:rPr>
                <w:color w:val="000000"/>
                <w:sz w:val="22"/>
                <w:szCs w:val="22"/>
                <w:lang w:eastAsia="es-ES"/>
              </w:rPr>
              <w:t>Brasil ***</w:t>
            </w:r>
          </w:p>
        </w:tc>
        <w:tc>
          <w:tcPr>
            <w:tcW w:w="2126" w:type="dxa"/>
            <w:shd w:val="clear" w:color="auto" w:fill="auto"/>
          </w:tcPr>
          <w:p w14:paraId="66F7EE5A" w14:textId="77777777" w:rsidR="00A43900" w:rsidRPr="00C119EA" w:rsidRDefault="001733DB" w:rsidP="00A34997">
            <w:pPr>
              <w:jc w:val="right"/>
              <w:rPr>
                <w:color w:val="000000"/>
                <w:sz w:val="22"/>
                <w:szCs w:val="22"/>
                <w:lang w:eastAsia="es-ES"/>
              </w:rPr>
            </w:pPr>
            <w:r w:rsidRPr="00C119EA">
              <w:rPr>
                <w:color w:val="000000"/>
                <w:sz w:val="22"/>
                <w:szCs w:val="22"/>
                <w:lang w:eastAsia="es-ES"/>
              </w:rPr>
              <w:t>14 325</w:t>
            </w:r>
          </w:p>
        </w:tc>
        <w:tc>
          <w:tcPr>
            <w:tcW w:w="2410" w:type="dxa"/>
            <w:shd w:val="clear" w:color="auto" w:fill="auto"/>
            <w:noWrap/>
            <w:vAlign w:val="bottom"/>
          </w:tcPr>
          <w:p w14:paraId="507FF1C6" w14:textId="77777777" w:rsidR="00A43900" w:rsidRPr="00C119EA" w:rsidRDefault="004644F4" w:rsidP="00A34997">
            <w:pPr>
              <w:jc w:val="right"/>
              <w:rPr>
                <w:color w:val="000000"/>
                <w:sz w:val="22"/>
                <w:szCs w:val="22"/>
                <w:lang w:eastAsia="es-ES"/>
              </w:rPr>
            </w:pPr>
            <w:r w:rsidRPr="00C119EA">
              <w:rPr>
                <w:color w:val="000000"/>
                <w:sz w:val="22"/>
                <w:szCs w:val="22"/>
                <w:lang w:eastAsia="es-ES"/>
              </w:rPr>
              <w:t>29.1</w:t>
            </w:r>
          </w:p>
        </w:tc>
        <w:tc>
          <w:tcPr>
            <w:tcW w:w="2557" w:type="dxa"/>
          </w:tcPr>
          <w:p w14:paraId="576B152A" w14:textId="77777777" w:rsidR="00A43900" w:rsidRPr="00C119EA" w:rsidRDefault="004644F4" w:rsidP="00A34997">
            <w:pPr>
              <w:jc w:val="right"/>
              <w:rPr>
                <w:color w:val="000000"/>
                <w:sz w:val="22"/>
                <w:szCs w:val="22"/>
                <w:lang w:eastAsia="es-ES"/>
              </w:rPr>
            </w:pPr>
            <w:r w:rsidRPr="00C119EA">
              <w:rPr>
                <w:color w:val="000000"/>
                <w:sz w:val="22"/>
                <w:szCs w:val="22"/>
                <w:lang w:eastAsia="es-ES"/>
              </w:rPr>
              <w:t>1.05</w:t>
            </w:r>
          </w:p>
        </w:tc>
      </w:tr>
      <w:tr w:rsidR="00FF4325" w:rsidRPr="00C119EA" w14:paraId="5378F26D" w14:textId="77777777" w:rsidTr="00385338">
        <w:trPr>
          <w:trHeight w:val="312"/>
          <w:jc w:val="center"/>
        </w:trPr>
        <w:tc>
          <w:tcPr>
            <w:tcW w:w="1703" w:type="dxa"/>
            <w:shd w:val="clear" w:color="auto" w:fill="auto"/>
            <w:noWrap/>
            <w:vAlign w:val="bottom"/>
          </w:tcPr>
          <w:p w14:paraId="2889F70D" w14:textId="77777777" w:rsidR="00FF4325" w:rsidRPr="00C119EA" w:rsidRDefault="00FF4325" w:rsidP="005B46B7">
            <w:pPr>
              <w:jc w:val="right"/>
              <w:rPr>
                <w:color w:val="000000"/>
                <w:sz w:val="22"/>
                <w:szCs w:val="22"/>
                <w:lang w:eastAsia="es-ES"/>
              </w:rPr>
            </w:pPr>
            <w:r w:rsidRPr="00C119EA">
              <w:rPr>
                <w:color w:val="000000"/>
                <w:sz w:val="22"/>
                <w:szCs w:val="22"/>
                <w:lang w:eastAsia="es-ES"/>
              </w:rPr>
              <w:t>Promedio</w:t>
            </w:r>
          </w:p>
        </w:tc>
        <w:tc>
          <w:tcPr>
            <w:tcW w:w="2126" w:type="dxa"/>
            <w:shd w:val="clear" w:color="auto" w:fill="auto"/>
            <w:vAlign w:val="center"/>
          </w:tcPr>
          <w:p w14:paraId="4FD787F0" w14:textId="77777777" w:rsidR="00FF4325" w:rsidRPr="00C119EA" w:rsidRDefault="00FF4325" w:rsidP="00FF4325">
            <w:pPr>
              <w:jc w:val="right"/>
              <w:rPr>
                <w:color w:val="000000"/>
                <w:sz w:val="22"/>
                <w:szCs w:val="22"/>
                <w:lang w:eastAsia="es-ES"/>
              </w:rPr>
            </w:pPr>
            <w:r w:rsidRPr="00C119EA">
              <w:rPr>
                <w:color w:val="000000"/>
                <w:sz w:val="22"/>
                <w:szCs w:val="22"/>
              </w:rPr>
              <w:t>19 546</w:t>
            </w:r>
          </w:p>
        </w:tc>
        <w:tc>
          <w:tcPr>
            <w:tcW w:w="2410" w:type="dxa"/>
            <w:shd w:val="clear" w:color="auto" w:fill="auto"/>
            <w:noWrap/>
            <w:vAlign w:val="center"/>
          </w:tcPr>
          <w:p w14:paraId="1A86D057" w14:textId="77777777" w:rsidR="00FF4325" w:rsidRPr="00C119EA" w:rsidRDefault="00FF4325" w:rsidP="00FF4325">
            <w:pPr>
              <w:jc w:val="right"/>
              <w:rPr>
                <w:color w:val="000000"/>
                <w:sz w:val="22"/>
                <w:szCs w:val="22"/>
                <w:lang w:eastAsia="es-ES"/>
              </w:rPr>
            </w:pPr>
            <w:r w:rsidRPr="00C119EA">
              <w:rPr>
                <w:color w:val="000000"/>
                <w:sz w:val="22"/>
                <w:szCs w:val="22"/>
                <w:lang w:eastAsia="es-ES"/>
              </w:rPr>
              <w:t>15</w:t>
            </w:r>
          </w:p>
        </w:tc>
        <w:tc>
          <w:tcPr>
            <w:tcW w:w="2557" w:type="dxa"/>
            <w:shd w:val="clear" w:color="auto" w:fill="auto"/>
            <w:vAlign w:val="center"/>
          </w:tcPr>
          <w:p w14:paraId="40F35E64" w14:textId="77777777" w:rsidR="00FF4325" w:rsidRPr="00C119EA" w:rsidRDefault="00FF4325" w:rsidP="00FF4325">
            <w:pPr>
              <w:jc w:val="right"/>
              <w:rPr>
                <w:color w:val="000000"/>
                <w:sz w:val="22"/>
                <w:szCs w:val="22"/>
                <w:lang w:eastAsia="es-ES"/>
              </w:rPr>
            </w:pPr>
            <w:r w:rsidRPr="00C119EA">
              <w:rPr>
                <w:color w:val="000000"/>
                <w:sz w:val="22"/>
                <w:szCs w:val="22"/>
                <w:lang w:eastAsia="es-ES"/>
              </w:rPr>
              <w:t>1</w:t>
            </w:r>
          </w:p>
        </w:tc>
      </w:tr>
      <w:tr w:rsidR="00FF4325" w:rsidRPr="00C119EA" w14:paraId="09D902FB" w14:textId="77777777" w:rsidTr="00385338">
        <w:trPr>
          <w:trHeight w:val="312"/>
          <w:jc w:val="center"/>
        </w:trPr>
        <w:tc>
          <w:tcPr>
            <w:tcW w:w="1703" w:type="dxa"/>
            <w:shd w:val="clear" w:color="auto" w:fill="auto"/>
            <w:noWrap/>
            <w:vAlign w:val="bottom"/>
          </w:tcPr>
          <w:p w14:paraId="61F9201B" w14:textId="77777777" w:rsidR="00FF4325" w:rsidRPr="00C119EA" w:rsidRDefault="00FF4325" w:rsidP="005B46B7">
            <w:pPr>
              <w:jc w:val="right"/>
              <w:rPr>
                <w:color w:val="000000"/>
                <w:sz w:val="22"/>
                <w:szCs w:val="22"/>
                <w:lang w:eastAsia="es-ES"/>
              </w:rPr>
            </w:pPr>
            <w:r w:rsidRPr="00C119EA">
              <w:rPr>
                <w:color w:val="000000"/>
                <w:sz w:val="22"/>
                <w:szCs w:val="22"/>
                <w:lang w:eastAsia="es-ES"/>
              </w:rPr>
              <w:t>Desviación estándar</w:t>
            </w:r>
          </w:p>
        </w:tc>
        <w:tc>
          <w:tcPr>
            <w:tcW w:w="2126" w:type="dxa"/>
            <w:shd w:val="clear" w:color="auto" w:fill="auto"/>
            <w:vAlign w:val="center"/>
          </w:tcPr>
          <w:p w14:paraId="2D5183DA" w14:textId="77777777" w:rsidR="00FF4325" w:rsidRPr="00C119EA" w:rsidRDefault="00FF4325" w:rsidP="00FF4325">
            <w:pPr>
              <w:jc w:val="right"/>
              <w:rPr>
                <w:color w:val="000000"/>
                <w:sz w:val="22"/>
                <w:szCs w:val="22"/>
                <w:lang w:eastAsia="es-ES"/>
              </w:rPr>
            </w:pPr>
            <w:r w:rsidRPr="00C119EA">
              <w:rPr>
                <w:color w:val="000000"/>
                <w:sz w:val="22"/>
                <w:szCs w:val="22"/>
                <w:lang w:eastAsia="es-ES"/>
              </w:rPr>
              <w:t>8 560</w:t>
            </w:r>
          </w:p>
        </w:tc>
        <w:tc>
          <w:tcPr>
            <w:tcW w:w="2410" w:type="dxa"/>
            <w:shd w:val="clear" w:color="auto" w:fill="auto"/>
            <w:noWrap/>
            <w:vAlign w:val="center"/>
          </w:tcPr>
          <w:p w14:paraId="2B3C0615" w14:textId="77777777" w:rsidR="00FF4325" w:rsidRPr="00C119EA" w:rsidRDefault="00FF4325" w:rsidP="00FF4325">
            <w:pPr>
              <w:jc w:val="right"/>
              <w:rPr>
                <w:color w:val="000000"/>
                <w:sz w:val="22"/>
                <w:szCs w:val="22"/>
                <w:lang w:eastAsia="es-ES"/>
              </w:rPr>
            </w:pPr>
            <w:r w:rsidRPr="00C119EA">
              <w:rPr>
                <w:color w:val="000000"/>
                <w:sz w:val="22"/>
                <w:szCs w:val="22"/>
                <w:lang w:eastAsia="es-ES"/>
              </w:rPr>
              <w:t>7</w:t>
            </w:r>
          </w:p>
        </w:tc>
        <w:tc>
          <w:tcPr>
            <w:tcW w:w="2557" w:type="dxa"/>
            <w:shd w:val="clear" w:color="auto" w:fill="auto"/>
            <w:vAlign w:val="center"/>
          </w:tcPr>
          <w:p w14:paraId="38C21CD6" w14:textId="77777777" w:rsidR="00FF4325" w:rsidRPr="00C119EA" w:rsidRDefault="00FF4325" w:rsidP="00FF4325">
            <w:pPr>
              <w:jc w:val="right"/>
              <w:rPr>
                <w:color w:val="000000"/>
                <w:sz w:val="22"/>
                <w:szCs w:val="22"/>
                <w:lang w:eastAsia="es-ES"/>
              </w:rPr>
            </w:pPr>
            <w:r w:rsidRPr="00C119EA">
              <w:rPr>
                <w:color w:val="000000"/>
                <w:sz w:val="22"/>
                <w:szCs w:val="22"/>
                <w:lang w:eastAsia="es-ES"/>
              </w:rPr>
              <w:t>0</w:t>
            </w:r>
          </w:p>
        </w:tc>
      </w:tr>
    </w:tbl>
    <w:p w14:paraId="6554045D" w14:textId="77777777" w:rsidR="007A7EDE" w:rsidRPr="009859CC" w:rsidRDefault="007A7EDE" w:rsidP="009859CC">
      <w:pPr>
        <w:autoSpaceDE w:val="0"/>
        <w:autoSpaceDN w:val="0"/>
        <w:adjustRightInd w:val="0"/>
        <w:spacing w:line="360" w:lineRule="auto"/>
        <w:jc w:val="center"/>
        <w:rPr>
          <w:color w:val="1D201A"/>
          <w:lang w:eastAsia="es-MX"/>
        </w:rPr>
      </w:pPr>
      <w:r w:rsidRPr="009859CC">
        <w:rPr>
          <w:color w:val="1D201A"/>
          <w:lang w:eastAsia="es-MX"/>
        </w:rPr>
        <w:t xml:space="preserve">Fuente: </w:t>
      </w:r>
      <w:r w:rsidR="000C79EE" w:rsidRPr="009859CC">
        <w:rPr>
          <w:color w:val="1D201A"/>
          <w:lang w:eastAsia="es-MX"/>
        </w:rPr>
        <w:t>Elaboración</w:t>
      </w:r>
      <w:r w:rsidR="0085437F" w:rsidRPr="009859CC">
        <w:rPr>
          <w:color w:val="1D201A"/>
          <w:lang w:eastAsia="es-MX"/>
        </w:rPr>
        <w:t xml:space="preserve"> de los autores </w:t>
      </w:r>
      <w:r w:rsidR="000C79EE" w:rsidRPr="009859CC">
        <w:rPr>
          <w:color w:val="1D201A"/>
          <w:lang w:eastAsia="es-MX"/>
        </w:rPr>
        <w:t>con base en estadísticas</w:t>
      </w:r>
      <w:r w:rsidRPr="009859CC">
        <w:rPr>
          <w:color w:val="1D201A"/>
          <w:lang w:eastAsia="es-MX"/>
        </w:rPr>
        <w:t xml:space="preserve"> de la OCDE</w:t>
      </w:r>
      <w:r w:rsidR="00665637" w:rsidRPr="009859CC">
        <w:rPr>
          <w:color w:val="1D201A"/>
          <w:lang w:eastAsia="es-MX"/>
        </w:rPr>
        <w:t>.</w:t>
      </w:r>
    </w:p>
    <w:p w14:paraId="633851EE" w14:textId="77777777" w:rsidR="007A7EDE" w:rsidRPr="009859CC" w:rsidRDefault="007A7EDE" w:rsidP="009859CC">
      <w:pPr>
        <w:autoSpaceDE w:val="0"/>
        <w:autoSpaceDN w:val="0"/>
        <w:adjustRightInd w:val="0"/>
        <w:spacing w:line="360" w:lineRule="auto"/>
        <w:jc w:val="center"/>
        <w:rPr>
          <w:i/>
          <w:color w:val="1D201A"/>
          <w:lang w:eastAsia="es-MX"/>
        </w:rPr>
      </w:pPr>
      <w:r w:rsidRPr="009859CC">
        <w:rPr>
          <w:i/>
          <w:color w:val="1D201A"/>
          <w:lang w:eastAsia="es-MX"/>
        </w:rPr>
        <w:t>Nota:</w:t>
      </w:r>
      <w:r w:rsidRPr="009859CC">
        <w:rPr>
          <w:color w:val="1D201A"/>
          <w:lang w:eastAsia="es-MX"/>
        </w:rPr>
        <w:t xml:space="preserve"> El criterio de clasificación tiene que ver con el inicio del despegue que han tenido a través del tiempo. En este caso es el siguiente:</w:t>
      </w:r>
    </w:p>
    <w:p w14:paraId="02ABF1C1" w14:textId="77777777" w:rsidR="00184D3E" w:rsidRPr="009859CC" w:rsidRDefault="00763EC0" w:rsidP="009859CC">
      <w:pPr>
        <w:autoSpaceDE w:val="0"/>
        <w:autoSpaceDN w:val="0"/>
        <w:adjustRightInd w:val="0"/>
        <w:spacing w:line="360" w:lineRule="auto"/>
        <w:jc w:val="center"/>
        <w:rPr>
          <w:iCs/>
          <w:color w:val="1D201A"/>
          <w:lang w:eastAsia="es-MX"/>
        </w:rPr>
      </w:pPr>
      <w:r w:rsidRPr="009859CC">
        <w:rPr>
          <w:iCs/>
          <w:color w:val="1D201A"/>
          <w:lang w:eastAsia="es-MX"/>
        </w:rPr>
        <w:t>* Países desarrollados a partir de la Revolución Industrial</w:t>
      </w:r>
      <w:r w:rsidR="000E48B1" w:rsidRPr="009859CC">
        <w:rPr>
          <w:iCs/>
          <w:color w:val="1D201A"/>
          <w:lang w:eastAsia="es-MX"/>
        </w:rPr>
        <w:t xml:space="preserve">, siglos </w:t>
      </w:r>
      <w:r w:rsidR="00296FE5" w:rsidRPr="009859CC">
        <w:rPr>
          <w:iCs/>
          <w:color w:val="1D201A"/>
          <w:lang w:eastAsia="es-MX"/>
        </w:rPr>
        <w:t>X</w:t>
      </w:r>
      <w:r w:rsidR="000E48B1" w:rsidRPr="009859CC">
        <w:rPr>
          <w:iCs/>
          <w:color w:val="1D201A"/>
          <w:lang w:eastAsia="es-MX"/>
        </w:rPr>
        <w:t>I</w:t>
      </w:r>
      <w:r w:rsidR="00296FE5" w:rsidRPr="009859CC">
        <w:rPr>
          <w:iCs/>
          <w:color w:val="1D201A"/>
          <w:lang w:eastAsia="es-MX"/>
        </w:rPr>
        <w:t>X y XX.</w:t>
      </w:r>
    </w:p>
    <w:p w14:paraId="196627DF" w14:textId="77777777" w:rsidR="00763EC0" w:rsidRPr="009859CC" w:rsidRDefault="00763EC0" w:rsidP="009859CC">
      <w:pPr>
        <w:autoSpaceDE w:val="0"/>
        <w:autoSpaceDN w:val="0"/>
        <w:adjustRightInd w:val="0"/>
        <w:spacing w:line="360" w:lineRule="auto"/>
        <w:jc w:val="center"/>
        <w:rPr>
          <w:iCs/>
          <w:color w:val="1D201A"/>
          <w:lang w:eastAsia="es-MX"/>
        </w:rPr>
      </w:pPr>
      <w:r w:rsidRPr="009859CC">
        <w:rPr>
          <w:iCs/>
          <w:color w:val="1D201A"/>
          <w:lang w:eastAsia="es-MX"/>
        </w:rPr>
        <w:t>**Países desarrollados a partir de la Posguerra</w:t>
      </w:r>
      <w:r w:rsidR="008F6FCC" w:rsidRPr="009859CC">
        <w:rPr>
          <w:iCs/>
          <w:color w:val="1D201A"/>
          <w:lang w:eastAsia="es-MX"/>
        </w:rPr>
        <w:t>.</w:t>
      </w:r>
    </w:p>
    <w:p w14:paraId="4A4E1253" w14:textId="52E311E1" w:rsidR="00763EC0" w:rsidRPr="009859CC" w:rsidRDefault="00763EC0" w:rsidP="009859CC">
      <w:pPr>
        <w:autoSpaceDE w:val="0"/>
        <w:autoSpaceDN w:val="0"/>
        <w:adjustRightInd w:val="0"/>
        <w:spacing w:line="360" w:lineRule="auto"/>
        <w:jc w:val="center"/>
        <w:rPr>
          <w:iCs/>
          <w:color w:val="1D201A"/>
          <w:lang w:eastAsia="es-MX"/>
        </w:rPr>
      </w:pPr>
      <w:r w:rsidRPr="009859CC">
        <w:rPr>
          <w:iCs/>
          <w:color w:val="1D201A"/>
          <w:lang w:eastAsia="es-MX"/>
        </w:rPr>
        <w:t xml:space="preserve">***Países desarrollados a partir de la </w:t>
      </w:r>
      <w:r w:rsidR="00CC5501" w:rsidRPr="009859CC">
        <w:rPr>
          <w:iCs/>
          <w:color w:val="1D201A"/>
          <w:lang w:eastAsia="es-MX"/>
        </w:rPr>
        <w:t>r</w:t>
      </w:r>
      <w:r w:rsidRPr="009859CC">
        <w:rPr>
          <w:iCs/>
          <w:color w:val="1D201A"/>
          <w:lang w:eastAsia="es-MX"/>
        </w:rPr>
        <w:t xml:space="preserve">evolución </w:t>
      </w:r>
      <w:r w:rsidR="00CC5501" w:rsidRPr="009859CC">
        <w:rPr>
          <w:iCs/>
          <w:color w:val="1D201A"/>
          <w:lang w:eastAsia="es-MX"/>
        </w:rPr>
        <w:t>t</w:t>
      </w:r>
      <w:r w:rsidRPr="009859CC">
        <w:rPr>
          <w:iCs/>
          <w:color w:val="1D201A"/>
          <w:lang w:eastAsia="es-MX"/>
        </w:rPr>
        <w:t>ecnología e industrial emprendi</w:t>
      </w:r>
      <w:r w:rsidR="000E48B1" w:rsidRPr="009859CC">
        <w:rPr>
          <w:iCs/>
          <w:color w:val="1D201A"/>
          <w:lang w:eastAsia="es-MX"/>
        </w:rPr>
        <w:t>da desde los años setenta del siglo pasado</w:t>
      </w:r>
      <w:r w:rsidRPr="009859CC">
        <w:rPr>
          <w:iCs/>
          <w:color w:val="1D201A"/>
          <w:lang w:eastAsia="es-MX"/>
        </w:rPr>
        <w:t>.</w:t>
      </w:r>
    </w:p>
    <w:p w14:paraId="3021CE26" w14:textId="5D88C92C" w:rsidR="00E3109A" w:rsidRPr="00C119EA" w:rsidRDefault="008F6FCC" w:rsidP="005D700E">
      <w:pPr>
        <w:autoSpaceDE w:val="0"/>
        <w:autoSpaceDN w:val="0"/>
        <w:adjustRightInd w:val="0"/>
        <w:spacing w:line="360" w:lineRule="auto"/>
        <w:ind w:firstLine="567"/>
        <w:jc w:val="both"/>
      </w:pPr>
      <w:r w:rsidRPr="00C119EA">
        <w:rPr>
          <w:color w:val="1D201A"/>
          <w:lang w:eastAsia="es-MX"/>
        </w:rPr>
        <w:t xml:space="preserve">México </w:t>
      </w:r>
      <w:r w:rsidR="006D5A46" w:rsidRPr="00C119EA">
        <w:rPr>
          <w:color w:val="1D201A"/>
          <w:lang w:eastAsia="es-MX"/>
        </w:rPr>
        <w:t xml:space="preserve">forma parte de los </w:t>
      </w:r>
      <w:r w:rsidRPr="00C119EA">
        <w:rPr>
          <w:color w:val="1D201A"/>
          <w:lang w:eastAsia="es-MX"/>
        </w:rPr>
        <w:t xml:space="preserve">países de la </w:t>
      </w:r>
      <w:r w:rsidR="00AC130A" w:rsidRPr="00280E25">
        <w:rPr>
          <w:color w:val="1D201A"/>
          <w:lang w:eastAsia="es-MX"/>
        </w:rPr>
        <w:t>OCDE</w:t>
      </w:r>
      <w:r w:rsidR="00AC130A" w:rsidRPr="00C119EA">
        <w:rPr>
          <w:color w:val="1D201A"/>
          <w:lang w:eastAsia="es-MX"/>
        </w:rPr>
        <w:t xml:space="preserve"> desde</w:t>
      </w:r>
      <w:r w:rsidR="00A632A2" w:rsidRPr="00C119EA">
        <w:rPr>
          <w:color w:val="1D201A"/>
          <w:lang w:eastAsia="es-MX"/>
        </w:rPr>
        <w:t xml:space="preserve"> 1994 </w:t>
      </w:r>
      <w:r w:rsidRPr="00C119EA">
        <w:rPr>
          <w:color w:val="1D201A"/>
          <w:lang w:eastAsia="es-MX"/>
        </w:rPr>
        <w:t>y</w:t>
      </w:r>
      <w:r w:rsidR="00AC4B12" w:rsidRPr="00C119EA">
        <w:rPr>
          <w:color w:val="1D201A"/>
          <w:lang w:eastAsia="es-MX"/>
        </w:rPr>
        <w:t xml:space="preserve"> debe señalarse que </w:t>
      </w:r>
      <w:r w:rsidRPr="00C119EA">
        <w:rPr>
          <w:color w:val="1D201A"/>
          <w:lang w:eastAsia="es-MX"/>
        </w:rPr>
        <w:t>ha realizado importantes esfuerzos para mejorar la calidad</w:t>
      </w:r>
      <w:r w:rsidR="00AC4B12" w:rsidRPr="00C119EA">
        <w:rPr>
          <w:color w:val="1D201A"/>
          <w:lang w:eastAsia="es-MX"/>
        </w:rPr>
        <w:t>,</w:t>
      </w:r>
      <w:r w:rsidRPr="00C119EA">
        <w:rPr>
          <w:color w:val="1D201A"/>
          <w:lang w:eastAsia="es-MX"/>
        </w:rPr>
        <w:t xml:space="preserve"> cobertura </w:t>
      </w:r>
      <w:r w:rsidR="00AC4B12" w:rsidRPr="00C119EA">
        <w:rPr>
          <w:color w:val="1D201A"/>
          <w:lang w:eastAsia="es-MX"/>
        </w:rPr>
        <w:t>y asignaciones de gasto público.</w:t>
      </w:r>
      <w:r w:rsidR="00F6329C" w:rsidRPr="00C119EA">
        <w:rPr>
          <w:color w:val="1D201A"/>
          <w:lang w:eastAsia="es-MX"/>
        </w:rPr>
        <w:t xml:space="preserve"> Sin embargo, </w:t>
      </w:r>
      <w:r w:rsidR="00AC4B12" w:rsidRPr="00C119EA">
        <w:rPr>
          <w:color w:val="1D201A"/>
          <w:lang w:eastAsia="es-MX"/>
        </w:rPr>
        <w:t xml:space="preserve">aún </w:t>
      </w:r>
      <w:r w:rsidRPr="00C119EA">
        <w:rPr>
          <w:color w:val="1D201A"/>
          <w:lang w:eastAsia="es-MX"/>
        </w:rPr>
        <w:t>se halla lejos de</w:t>
      </w:r>
      <w:r w:rsidR="007F1937" w:rsidRPr="00C119EA">
        <w:rPr>
          <w:color w:val="1D201A"/>
          <w:lang w:eastAsia="es-MX"/>
        </w:rPr>
        <w:t>l tamaño de</w:t>
      </w:r>
      <w:r w:rsidRPr="00C119EA">
        <w:rPr>
          <w:color w:val="1D201A"/>
          <w:lang w:eastAsia="es-MX"/>
        </w:rPr>
        <w:t xml:space="preserve"> las </w:t>
      </w:r>
      <w:r w:rsidR="00C648C2" w:rsidRPr="00C119EA">
        <w:rPr>
          <w:color w:val="1D201A"/>
          <w:lang w:eastAsia="es-MX"/>
        </w:rPr>
        <w:t xml:space="preserve">inversiones </w:t>
      </w:r>
      <w:r w:rsidR="00665637" w:rsidRPr="00C119EA">
        <w:rPr>
          <w:color w:val="1D201A"/>
          <w:lang w:eastAsia="es-MX"/>
        </w:rPr>
        <w:t>que realizan</w:t>
      </w:r>
      <w:r w:rsidRPr="00C119EA">
        <w:rPr>
          <w:color w:val="1D201A"/>
          <w:lang w:eastAsia="es-MX"/>
        </w:rPr>
        <w:t xml:space="preserve"> los demás países </w:t>
      </w:r>
      <w:r w:rsidR="00AC4B12" w:rsidRPr="00C119EA">
        <w:rPr>
          <w:color w:val="1D201A"/>
          <w:lang w:eastAsia="es-MX"/>
        </w:rPr>
        <w:t>del referido organismo</w:t>
      </w:r>
      <w:r w:rsidR="000D2A5E" w:rsidRPr="00C119EA">
        <w:rPr>
          <w:color w:val="1D201A"/>
          <w:lang w:eastAsia="es-MX"/>
        </w:rPr>
        <w:t>.</w:t>
      </w:r>
      <w:r w:rsidR="00AC4B12" w:rsidRPr="00C119EA">
        <w:rPr>
          <w:color w:val="1D201A"/>
          <w:lang w:eastAsia="es-MX"/>
        </w:rPr>
        <w:t xml:space="preserve"> </w:t>
      </w:r>
      <w:r w:rsidR="00E3109A" w:rsidRPr="00C119EA">
        <w:t>L</w:t>
      </w:r>
      <w:r w:rsidR="00F6329C" w:rsidRPr="00C119EA">
        <w:t>os retos productivos actuales y del futuro requieren atenderse</w:t>
      </w:r>
      <w:r w:rsidR="00C648C2" w:rsidRPr="00C119EA">
        <w:t>,</w:t>
      </w:r>
      <w:r w:rsidR="00F6329C" w:rsidRPr="00C119EA">
        <w:t xml:space="preserve"> </w:t>
      </w:r>
      <w:r w:rsidR="00AC4B12" w:rsidRPr="00C119EA">
        <w:t>d</w:t>
      </w:r>
      <w:r w:rsidR="00F6329C" w:rsidRPr="00C119EA">
        <w:t xml:space="preserve">e modo tal que </w:t>
      </w:r>
      <w:r w:rsidR="00AC4B12" w:rsidRPr="00C119EA">
        <w:t xml:space="preserve">se precisa </w:t>
      </w:r>
      <w:r w:rsidR="00F6329C" w:rsidRPr="00C119EA">
        <w:t xml:space="preserve">preparar a los cuadros de técnicos y </w:t>
      </w:r>
      <w:r w:rsidR="000151B0" w:rsidRPr="00C119EA">
        <w:t>profesionistas</w:t>
      </w:r>
      <w:r w:rsidR="00F6329C" w:rsidRPr="00C119EA">
        <w:t xml:space="preserve"> </w:t>
      </w:r>
      <w:r w:rsidR="00752440" w:rsidRPr="00C119EA">
        <w:t>necesarios</w:t>
      </w:r>
      <w:r w:rsidR="00C648C2" w:rsidRPr="00C119EA">
        <w:t xml:space="preserve"> </w:t>
      </w:r>
      <w:r w:rsidR="000E48B1" w:rsidRPr="00C119EA">
        <w:t xml:space="preserve">para asumir </w:t>
      </w:r>
      <w:r w:rsidR="000D3130" w:rsidRPr="00C119EA">
        <w:t>dicho</w:t>
      </w:r>
      <w:r w:rsidR="00A84337">
        <w:t>s</w:t>
      </w:r>
      <w:r w:rsidR="000D3130" w:rsidRPr="00C119EA">
        <w:t xml:space="preserve"> </w:t>
      </w:r>
      <w:r w:rsidR="00C648C2" w:rsidRPr="00C119EA">
        <w:t>retos</w:t>
      </w:r>
      <w:r w:rsidR="00AC4B12" w:rsidRPr="00C119EA">
        <w:t>.</w:t>
      </w:r>
      <w:r w:rsidR="00B633CB" w:rsidRPr="00C119EA">
        <w:t xml:space="preserve"> Es preciso capacitar a los trabajadores en activo y a los que se incorpora</w:t>
      </w:r>
      <w:r w:rsidR="000E48B1" w:rsidRPr="00C119EA">
        <w:t>rá</w:t>
      </w:r>
      <w:r w:rsidR="000D2A5E" w:rsidRPr="00C119EA">
        <w:t>n</w:t>
      </w:r>
      <w:r w:rsidR="00B633CB" w:rsidRPr="00C119EA">
        <w:t xml:space="preserve"> al sistema productivo</w:t>
      </w:r>
      <w:r w:rsidR="000D2A5E" w:rsidRPr="00C119EA">
        <w:t xml:space="preserve"> en un contexto de </w:t>
      </w:r>
      <w:r w:rsidR="00F6329C" w:rsidRPr="00C119EA">
        <w:t>exigencia</w:t>
      </w:r>
      <w:r w:rsidR="00B633CB" w:rsidRPr="00C119EA">
        <w:t xml:space="preserve"> </w:t>
      </w:r>
      <w:r w:rsidR="00F20BC4" w:rsidRPr="00C119EA">
        <w:t>de requerimientos</w:t>
      </w:r>
      <w:r w:rsidR="00AC4B12" w:rsidRPr="00C119EA">
        <w:t xml:space="preserve"> de perfiles de nuevas habilidades y </w:t>
      </w:r>
      <w:r w:rsidR="00B633CB" w:rsidRPr="00C119EA">
        <w:t xml:space="preserve">destrezas </w:t>
      </w:r>
      <w:r w:rsidR="00F6329C" w:rsidRPr="00C119EA">
        <w:t>generales y específicas</w:t>
      </w:r>
      <w:r w:rsidR="00B633CB" w:rsidRPr="00C119EA">
        <w:t>.</w:t>
      </w:r>
      <w:r w:rsidR="000F1FBB" w:rsidRPr="00C119EA">
        <w:t xml:space="preserve"> P</w:t>
      </w:r>
      <w:r w:rsidR="00B633CB" w:rsidRPr="00C119EA">
        <w:t>or otro lado,</w:t>
      </w:r>
      <w:r w:rsidR="00E3109A" w:rsidRPr="00C119EA">
        <w:t xml:space="preserve"> </w:t>
      </w:r>
      <w:r w:rsidR="00A35E54" w:rsidRPr="00C119EA">
        <w:t>l</w:t>
      </w:r>
      <w:r w:rsidR="00E3109A" w:rsidRPr="00C119EA">
        <w:t xml:space="preserve">a educación </w:t>
      </w:r>
      <w:r w:rsidR="0085437F" w:rsidRPr="00C119EA">
        <w:t xml:space="preserve">de nivel </w:t>
      </w:r>
      <w:r w:rsidR="00F20BC4" w:rsidRPr="00C119EA">
        <w:t>s</w:t>
      </w:r>
      <w:r w:rsidR="00E3109A" w:rsidRPr="00C119EA">
        <w:t xml:space="preserve">uperior en todas las disciplinas </w:t>
      </w:r>
      <w:r w:rsidR="0085437F" w:rsidRPr="00C119EA">
        <w:t>tiende a crecer su gasto, con lo cual no</w:t>
      </w:r>
      <w:r w:rsidR="00E3109A" w:rsidRPr="00C119EA">
        <w:t xml:space="preserve"> </w:t>
      </w:r>
      <w:r w:rsidR="00F20BC4" w:rsidRPr="00C119EA">
        <w:t>resulta</w:t>
      </w:r>
      <w:r w:rsidR="00E3109A" w:rsidRPr="00C119EA">
        <w:t xml:space="preserve"> </w:t>
      </w:r>
      <w:r w:rsidR="00F20BC4" w:rsidRPr="00C119EA">
        <w:t xml:space="preserve">fácil crear </w:t>
      </w:r>
      <w:r w:rsidR="000E48B1" w:rsidRPr="00C119EA">
        <w:t>universidades públicas, o</w:t>
      </w:r>
      <w:r w:rsidR="00E3109A" w:rsidRPr="00C119EA">
        <w:t xml:space="preserve"> bien, que dichas instituciones aumenten </w:t>
      </w:r>
      <w:r w:rsidR="00C648C2" w:rsidRPr="00C119EA">
        <w:t xml:space="preserve">significativamente su </w:t>
      </w:r>
      <w:r w:rsidR="00E3109A" w:rsidRPr="00C119EA">
        <w:t>oferta de profesiones.</w:t>
      </w:r>
    </w:p>
    <w:p w14:paraId="1BEE5309" w14:textId="36219578" w:rsidR="006F46E7" w:rsidRPr="00C119EA" w:rsidRDefault="00CC5501" w:rsidP="005D700E">
      <w:pPr>
        <w:spacing w:line="360" w:lineRule="auto"/>
        <w:ind w:firstLine="708"/>
        <w:jc w:val="both"/>
      </w:pPr>
      <w:r w:rsidRPr="00C119EA">
        <w:t xml:space="preserve">No puede subestimarse el que en la mayoría de los países se haya experimentado un importante crecimiento en la </w:t>
      </w:r>
      <w:r w:rsidR="00B633CB" w:rsidRPr="00C119EA">
        <w:t>matriculación en el periodo 1980-20</w:t>
      </w:r>
      <w:r w:rsidR="006116AB" w:rsidRPr="00C119EA">
        <w:t>20</w:t>
      </w:r>
      <w:r w:rsidR="00B633CB" w:rsidRPr="00C119EA">
        <w:t xml:space="preserve">, derivado de hacer </w:t>
      </w:r>
      <w:r w:rsidR="006F46E7" w:rsidRPr="00C119EA">
        <w:t xml:space="preserve">más </w:t>
      </w:r>
      <w:r w:rsidR="006F46E7" w:rsidRPr="00C119EA">
        <w:lastRenderedPageBreak/>
        <w:t>extensiv</w:t>
      </w:r>
      <w:r w:rsidR="00B633CB" w:rsidRPr="00C119EA">
        <w:t>a</w:t>
      </w:r>
      <w:r w:rsidR="006F46E7" w:rsidRPr="00C119EA">
        <w:t>s las oportunidades de acce</w:t>
      </w:r>
      <w:r w:rsidR="00FB3DAD" w:rsidRPr="00C119EA">
        <w:t xml:space="preserve">so a la </w:t>
      </w:r>
      <w:r w:rsidR="00C648C2" w:rsidRPr="00C119EA">
        <w:t>formación educativa</w:t>
      </w:r>
      <w:r w:rsidR="006F46E7" w:rsidRPr="00C119EA">
        <w:t xml:space="preserve"> en todos los niveles y modalidades</w:t>
      </w:r>
      <w:r w:rsidR="000151B0" w:rsidRPr="00C119EA">
        <w:t>, especialmente en los centros urbanos del país</w:t>
      </w:r>
      <w:r w:rsidR="00FB3DAD" w:rsidRPr="00C119EA">
        <w:t>.</w:t>
      </w:r>
      <w:r w:rsidR="00D628CB" w:rsidRPr="00C119EA">
        <w:t xml:space="preserve"> De acuerdo con </w:t>
      </w:r>
      <w:r w:rsidR="00D628CB" w:rsidRPr="00280E25">
        <w:rPr>
          <w:bCs/>
        </w:rPr>
        <w:t>la Secretar</w:t>
      </w:r>
      <w:r w:rsidR="002B60D0" w:rsidRPr="00280E25">
        <w:rPr>
          <w:bCs/>
        </w:rPr>
        <w:t>í</w:t>
      </w:r>
      <w:r w:rsidR="00D628CB" w:rsidRPr="00280E25">
        <w:rPr>
          <w:bCs/>
        </w:rPr>
        <w:t>a de Educación Pública (2020</w:t>
      </w:r>
      <w:r w:rsidR="00D628CB" w:rsidRPr="002B60D0">
        <w:rPr>
          <w:bCs/>
        </w:rPr>
        <w:t>)</w:t>
      </w:r>
      <w:r w:rsidR="002B60D0">
        <w:t>,</w:t>
      </w:r>
      <w:r w:rsidR="00D628CB" w:rsidRPr="002B60D0">
        <w:t xml:space="preserve"> </w:t>
      </w:r>
      <w:r w:rsidR="00D628CB" w:rsidRPr="00C119EA">
        <w:t xml:space="preserve">lo </w:t>
      </w:r>
      <w:r w:rsidR="006F46E7" w:rsidRPr="00C119EA">
        <w:t xml:space="preserve">obtenido </w:t>
      </w:r>
      <w:r w:rsidR="00EC1E8F" w:rsidRPr="00C119EA">
        <w:t xml:space="preserve">en México </w:t>
      </w:r>
      <w:r w:rsidR="000E48B1" w:rsidRPr="00C119EA">
        <w:t>después de la década de los ochenta del siglo pasado</w:t>
      </w:r>
      <w:r w:rsidR="00F20BC4" w:rsidRPr="00C119EA">
        <w:t xml:space="preserve"> hasta el presente e</w:t>
      </w:r>
      <w:r w:rsidR="00F6329C" w:rsidRPr="00C119EA">
        <w:t>s</w:t>
      </w:r>
      <w:r w:rsidR="006F46E7" w:rsidRPr="00C119EA">
        <w:t xml:space="preserve"> un cambio sin precedentes</w:t>
      </w:r>
      <w:r w:rsidR="00F20BC4" w:rsidRPr="00C119EA">
        <w:t xml:space="preserve"> (ver tabla 2).</w:t>
      </w:r>
      <w:r w:rsidR="005B2715" w:rsidRPr="00C119EA">
        <w:t xml:space="preserve"> No obstante</w:t>
      </w:r>
      <w:r w:rsidR="00B633CB" w:rsidRPr="00C119EA">
        <w:t>,</w:t>
      </w:r>
      <w:r w:rsidR="005B2715" w:rsidRPr="00C119EA">
        <w:t xml:space="preserve"> </w:t>
      </w:r>
      <w:r w:rsidRPr="00C119EA">
        <w:t>el reto es que más jóvenes tengan la oportunidad de recibir educación y entrenamiento</w:t>
      </w:r>
      <w:r w:rsidR="00D628CB" w:rsidRPr="00C119EA">
        <w:t>.</w:t>
      </w:r>
    </w:p>
    <w:p w14:paraId="20F441D6" w14:textId="3AE5B3CF" w:rsidR="00107D91" w:rsidRPr="00C119EA" w:rsidRDefault="00107D91" w:rsidP="005D700E">
      <w:pPr>
        <w:spacing w:line="360" w:lineRule="auto"/>
        <w:ind w:firstLine="708"/>
        <w:jc w:val="both"/>
      </w:pPr>
      <w:r w:rsidRPr="00C119EA">
        <w:t xml:space="preserve">En términos generales, en el caso de México se aprecia una tendencia de incremento en la </w:t>
      </w:r>
      <w:r w:rsidR="00F807DD" w:rsidRPr="00C119EA">
        <w:t>matrícula</w:t>
      </w:r>
      <w:r w:rsidR="00C648C2" w:rsidRPr="00C119EA">
        <w:t xml:space="preserve"> </w:t>
      </w:r>
      <w:r w:rsidR="00F807DD" w:rsidRPr="00C119EA">
        <w:t>de todos los tipos de educación formal</w:t>
      </w:r>
      <w:r w:rsidR="00332C48" w:rsidRPr="00C119EA">
        <w:t>, especialmente en los niveles medio y superior</w:t>
      </w:r>
      <w:r w:rsidR="004827E6">
        <w:t>,</w:t>
      </w:r>
      <w:r w:rsidR="00332C48" w:rsidRPr="00C119EA">
        <w:t xml:space="preserve"> cuya población oscila entre los 15 y 23 años</w:t>
      </w:r>
      <w:r w:rsidR="00D628CB" w:rsidRPr="00C119EA">
        <w:t xml:space="preserve"> </w:t>
      </w:r>
      <w:r w:rsidR="00D628CB" w:rsidRPr="00426541">
        <w:t>(</w:t>
      </w:r>
      <w:r w:rsidR="00D628CB" w:rsidRPr="00280E25">
        <w:t>Secretar</w:t>
      </w:r>
      <w:r w:rsidR="00426541" w:rsidRPr="00280E25">
        <w:t>í</w:t>
      </w:r>
      <w:r w:rsidR="00D628CB" w:rsidRPr="00280E25">
        <w:t>a de Educación Pública, 202</w:t>
      </w:r>
      <w:r w:rsidR="00D628CB" w:rsidRPr="00426541">
        <w:t>0</w:t>
      </w:r>
      <w:r w:rsidR="00D628CB" w:rsidRPr="00C119EA">
        <w:t>)</w:t>
      </w:r>
      <w:r w:rsidR="00C648C2" w:rsidRPr="00C119EA">
        <w:t>.</w:t>
      </w:r>
      <w:r w:rsidR="00AB29D4" w:rsidRPr="00C119EA">
        <w:t xml:space="preserve"> Empero</w:t>
      </w:r>
      <w:r w:rsidRPr="00C119EA">
        <w:t>, aún quedan pendiente</w:t>
      </w:r>
      <w:r w:rsidR="00140075" w:rsidRPr="00C119EA">
        <w:t>s</w:t>
      </w:r>
      <w:r w:rsidRPr="00C119EA">
        <w:t xml:space="preserve"> asuntos cruciales como la necesidad de ampliar la cobertura en educación terciaria</w:t>
      </w:r>
      <w:r w:rsidR="00F807DD" w:rsidRPr="00C119EA">
        <w:t>, especialmente en las zonas rurales</w:t>
      </w:r>
      <w:r w:rsidR="00140075" w:rsidRPr="00C119EA">
        <w:t>. Esta brecha implica</w:t>
      </w:r>
      <w:r w:rsidRPr="00C119EA">
        <w:t xml:space="preserve"> elevados cost</w:t>
      </w:r>
      <w:r w:rsidR="00140075" w:rsidRPr="00C119EA">
        <w:t>os de oportunidad, evidenciando</w:t>
      </w:r>
      <w:r w:rsidR="00D92E90" w:rsidRPr="00C119EA">
        <w:t xml:space="preserve"> la existencia de una brecha</w:t>
      </w:r>
      <w:r w:rsidRPr="00C119EA">
        <w:t xml:space="preserve"> </w:t>
      </w:r>
      <w:r w:rsidR="00140075" w:rsidRPr="00C119EA">
        <w:t>en</w:t>
      </w:r>
      <w:r w:rsidR="00D92E90" w:rsidRPr="00C119EA">
        <w:t xml:space="preserve"> la capacidad </w:t>
      </w:r>
      <w:r w:rsidR="006F3F97" w:rsidRPr="00C119EA">
        <w:t>competitiva que</w:t>
      </w:r>
      <w:r w:rsidR="00D92E90" w:rsidRPr="00C119EA">
        <w:t xml:space="preserve"> tiene México</w:t>
      </w:r>
      <w:r w:rsidR="00140075" w:rsidRPr="00C119EA">
        <w:t xml:space="preserve"> con</w:t>
      </w:r>
      <w:r w:rsidR="00D92E90" w:rsidRPr="00C119EA">
        <w:t xml:space="preserve"> respecto a las naciones desarrolladas de Occidente</w:t>
      </w:r>
      <w:r w:rsidRPr="00C119EA">
        <w:t>. Para cerrar esta brecha es preciso</w:t>
      </w:r>
      <w:r w:rsidR="00C648C2" w:rsidRPr="00C119EA">
        <w:t>, adicionalmente,</w:t>
      </w:r>
      <w:r w:rsidRPr="00C119EA">
        <w:t xml:space="preserve"> crear condiciones para la formación de empresas </w:t>
      </w:r>
      <w:r w:rsidR="00C648C2" w:rsidRPr="00C119EA">
        <w:t>que signifiquen crecimiento en los puestos de trabajo en</w:t>
      </w:r>
      <w:r w:rsidR="00140075" w:rsidRPr="00C119EA">
        <w:t xml:space="preserve"> lo que se refiere a</w:t>
      </w:r>
      <w:r w:rsidR="00C648C2" w:rsidRPr="00C119EA">
        <w:t xml:space="preserve"> las remuneraciones</w:t>
      </w:r>
      <w:r w:rsidR="00D628CB" w:rsidRPr="00C119EA">
        <w:t xml:space="preserve"> (</w:t>
      </w:r>
      <w:r w:rsidR="000D3130" w:rsidRPr="00280E25">
        <w:t>Martínez Chapa, 2019).</w:t>
      </w:r>
      <w:r w:rsidRPr="00771751">
        <w:t xml:space="preserve"> </w:t>
      </w:r>
    </w:p>
    <w:p w14:paraId="558E5FBF" w14:textId="77777777" w:rsidR="005B2715" w:rsidRPr="00C119EA" w:rsidRDefault="005B2715" w:rsidP="005B2715">
      <w:pPr>
        <w:spacing w:line="360" w:lineRule="auto"/>
        <w:jc w:val="both"/>
      </w:pPr>
    </w:p>
    <w:p w14:paraId="51FBF448" w14:textId="77777777" w:rsidR="005B2715" w:rsidRPr="00C119EA" w:rsidRDefault="005B2715" w:rsidP="005B2715">
      <w:pPr>
        <w:spacing w:line="360" w:lineRule="auto"/>
        <w:jc w:val="both"/>
      </w:pPr>
      <w:r w:rsidRPr="00C119EA">
        <w:rPr>
          <w:rFonts w:ascii="Arial" w:hAnsi="Arial" w:cs="Arial"/>
        </w:rPr>
        <w:t xml:space="preserve">      </w:t>
      </w:r>
      <w:r w:rsidR="003E5437" w:rsidRPr="00C119EA">
        <w:rPr>
          <w:rFonts w:ascii="Arial" w:hAnsi="Arial" w:cs="Arial"/>
        </w:rPr>
        <w:t xml:space="preserve">     </w:t>
      </w:r>
      <w:r w:rsidRPr="00C119EA">
        <w:rPr>
          <w:b/>
        </w:rPr>
        <w:t xml:space="preserve">Tabla </w:t>
      </w:r>
      <w:r w:rsidR="006D5A46" w:rsidRPr="00C119EA">
        <w:rPr>
          <w:b/>
        </w:rPr>
        <w:t>2</w:t>
      </w:r>
      <w:r w:rsidR="00AE1723" w:rsidRPr="00C119EA">
        <w:rPr>
          <w:b/>
        </w:rPr>
        <w:t>.</w:t>
      </w:r>
      <w:r w:rsidR="00AE1723" w:rsidRPr="00C119EA">
        <w:t xml:space="preserve"> Matrí</w:t>
      </w:r>
      <w:r w:rsidRPr="00C119EA">
        <w:t>cula en el sistema educativo mexicano en el periodo 1980-20</w:t>
      </w:r>
      <w:r w:rsidR="00604734" w:rsidRPr="00C119EA">
        <w:t>20</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4"/>
        <w:gridCol w:w="1181"/>
        <w:gridCol w:w="1276"/>
        <w:gridCol w:w="1276"/>
        <w:gridCol w:w="1275"/>
        <w:gridCol w:w="1134"/>
        <w:gridCol w:w="1318"/>
      </w:tblGrid>
      <w:tr w:rsidR="006B3ECC" w:rsidRPr="00280E25" w14:paraId="3A0B0E34" w14:textId="77777777" w:rsidTr="00E146B7">
        <w:trPr>
          <w:trHeight w:val="288"/>
          <w:jc w:val="center"/>
        </w:trPr>
        <w:tc>
          <w:tcPr>
            <w:tcW w:w="1224" w:type="dxa"/>
            <w:vMerge w:val="restart"/>
            <w:shd w:val="clear" w:color="auto" w:fill="auto"/>
            <w:vAlign w:val="center"/>
            <w:hideMark/>
          </w:tcPr>
          <w:p w14:paraId="49D75C73" w14:textId="77777777" w:rsidR="00EC6E52" w:rsidRPr="00280E25" w:rsidRDefault="003A66FB">
            <w:pPr>
              <w:jc w:val="both"/>
              <w:rPr>
                <w:color w:val="000000"/>
                <w:lang w:eastAsia="es-MX"/>
              </w:rPr>
            </w:pPr>
            <w:r w:rsidRPr="00280E25">
              <w:rPr>
                <w:color w:val="000000"/>
              </w:rPr>
              <w:t xml:space="preserve"> Año</w:t>
            </w:r>
          </w:p>
        </w:tc>
        <w:tc>
          <w:tcPr>
            <w:tcW w:w="1181" w:type="dxa"/>
            <w:shd w:val="clear" w:color="auto" w:fill="auto"/>
            <w:vAlign w:val="center"/>
            <w:hideMark/>
          </w:tcPr>
          <w:p w14:paraId="66029000" w14:textId="77777777" w:rsidR="00EC6E52" w:rsidRPr="00280E25" w:rsidRDefault="00EC6E52">
            <w:pPr>
              <w:jc w:val="center"/>
              <w:rPr>
                <w:color w:val="000000"/>
              </w:rPr>
            </w:pPr>
            <w:r w:rsidRPr="00280E25">
              <w:rPr>
                <w:color w:val="000000"/>
              </w:rPr>
              <w:t xml:space="preserve">Ed. </w:t>
            </w:r>
          </w:p>
        </w:tc>
        <w:tc>
          <w:tcPr>
            <w:tcW w:w="1276" w:type="dxa"/>
            <w:shd w:val="clear" w:color="auto" w:fill="auto"/>
            <w:vAlign w:val="center"/>
            <w:hideMark/>
          </w:tcPr>
          <w:p w14:paraId="0B5B433E" w14:textId="77777777" w:rsidR="00EC6E52" w:rsidRPr="00280E25" w:rsidRDefault="00EC6E52">
            <w:pPr>
              <w:jc w:val="center"/>
              <w:rPr>
                <w:color w:val="000000"/>
              </w:rPr>
            </w:pPr>
            <w:r w:rsidRPr="00280E25">
              <w:rPr>
                <w:color w:val="000000"/>
              </w:rPr>
              <w:t xml:space="preserve">Ed. </w:t>
            </w:r>
          </w:p>
        </w:tc>
        <w:tc>
          <w:tcPr>
            <w:tcW w:w="1276" w:type="dxa"/>
            <w:shd w:val="clear" w:color="auto" w:fill="auto"/>
            <w:vAlign w:val="center"/>
            <w:hideMark/>
          </w:tcPr>
          <w:p w14:paraId="472F62F0" w14:textId="77777777" w:rsidR="00EC6E52" w:rsidRPr="00280E25" w:rsidRDefault="00EC6E52">
            <w:pPr>
              <w:jc w:val="center"/>
              <w:rPr>
                <w:color w:val="000000"/>
              </w:rPr>
            </w:pPr>
            <w:r w:rsidRPr="00280E25">
              <w:rPr>
                <w:color w:val="000000"/>
              </w:rPr>
              <w:t xml:space="preserve">Ed. </w:t>
            </w:r>
          </w:p>
        </w:tc>
        <w:tc>
          <w:tcPr>
            <w:tcW w:w="1275" w:type="dxa"/>
            <w:vMerge w:val="restart"/>
            <w:shd w:val="clear" w:color="auto" w:fill="auto"/>
            <w:vAlign w:val="center"/>
            <w:hideMark/>
          </w:tcPr>
          <w:p w14:paraId="7FF35A9D" w14:textId="77777777" w:rsidR="00EC6E52" w:rsidRPr="00280E25" w:rsidRDefault="00EC6E52">
            <w:pPr>
              <w:jc w:val="center"/>
              <w:rPr>
                <w:color w:val="000000"/>
              </w:rPr>
            </w:pPr>
            <w:r w:rsidRPr="00280E25">
              <w:rPr>
                <w:color w:val="000000"/>
              </w:rPr>
              <w:t>Ed. media superior</w:t>
            </w:r>
          </w:p>
        </w:tc>
        <w:tc>
          <w:tcPr>
            <w:tcW w:w="1134" w:type="dxa"/>
            <w:shd w:val="clear" w:color="auto" w:fill="auto"/>
            <w:vAlign w:val="center"/>
            <w:hideMark/>
          </w:tcPr>
          <w:p w14:paraId="35E8398A" w14:textId="77777777" w:rsidR="00EC6E52" w:rsidRPr="00280E25" w:rsidRDefault="00EC6E52">
            <w:pPr>
              <w:jc w:val="center"/>
              <w:rPr>
                <w:color w:val="000000"/>
              </w:rPr>
            </w:pPr>
            <w:r w:rsidRPr="00280E25">
              <w:rPr>
                <w:color w:val="000000"/>
              </w:rPr>
              <w:t>Ed.</w:t>
            </w:r>
          </w:p>
        </w:tc>
        <w:tc>
          <w:tcPr>
            <w:tcW w:w="1318" w:type="dxa"/>
            <w:vMerge w:val="restart"/>
            <w:shd w:val="clear" w:color="auto" w:fill="auto"/>
            <w:vAlign w:val="center"/>
            <w:hideMark/>
          </w:tcPr>
          <w:p w14:paraId="28F42A64" w14:textId="77777777" w:rsidR="00EC6E52" w:rsidRPr="00280E25" w:rsidRDefault="00EC6E52">
            <w:pPr>
              <w:jc w:val="center"/>
              <w:rPr>
                <w:color w:val="000000"/>
              </w:rPr>
            </w:pPr>
            <w:r w:rsidRPr="00280E25">
              <w:rPr>
                <w:color w:val="000000"/>
              </w:rPr>
              <w:t>Total</w:t>
            </w:r>
          </w:p>
        </w:tc>
      </w:tr>
      <w:tr w:rsidR="006B3ECC" w:rsidRPr="00280E25" w14:paraId="3F18DC5B" w14:textId="77777777" w:rsidTr="00E146B7">
        <w:trPr>
          <w:trHeight w:val="300"/>
          <w:jc w:val="center"/>
        </w:trPr>
        <w:tc>
          <w:tcPr>
            <w:tcW w:w="1224" w:type="dxa"/>
            <w:vMerge/>
            <w:vAlign w:val="center"/>
            <w:hideMark/>
          </w:tcPr>
          <w:p w14:paraId="552CAC7E" w14:textId="77777777" w:rsidR="00EC6E52" w:rsidRPr="00280E25" w:rsidRDefault="00EC6E52">
            <w:pPr>
              <w:rPr>
                <w:color w:val="000000"/>
              </w:rPr>
            </w:pPr>
          </w:p>
        </w:tc>
        <w:tc>
          <w:tcPr>
            <w:tcW w:w="1181" w:type="dxa"/>
            <w:shd w:val="clear" w:color="auto" w:fill="auto"/>
            <w:vAlign w:val="center"/>
            <w:hideMark/>
          </w:tcPr>
          <w:p w14:paraId="2DE2422E" w14:textId="77777777" w:rsidR="00EC6E52" w:rsidRPr="00280E25" w:rsidRDefault="00EC6E52">
            <w:pPr>
              <w:jc w:val="center"/>
              <w:rPr>
                <w:color w:val="000000"/>
              </w:rPr>
            </w:pPr>
            <w:r w:rsidRPr="00280E25">
              <w:rPr>
                <w:color w:val="000000"/>
              </w:rPr>
              <w:t>preescolar</w:t>
            </w:r>
          </w:p>
        </w:tc>
        <w:tc>
          <w:tcPr>
            <w:tcW w:w="1276" w:type="dxa"/>
            <w:shd w:val="clear" w:color="auto" w:fill="auto"/>
            <w:vAlign w:val="center"/>
            <w:hideMark/>
          </w:tcPr>
          <w:p w14:paraId="5C11A178" w14:textId="77777777" w:rsidR="00EC6E52" w:rsidRPr="00280E25" w:rsidRDefault="00EC6E52">
            <w:pPr>
              <w:jc w:val="center"/>
              <w:rPr>
                <w:color w:val="000000"/>
              </w:rPr>
            </w:pPr>
            <w:r w:rsidRPr="00280E25">
              <w:rPr>
                <w:color w:val="000000"/>
              </w:rPr>
              <w:t>primaria</w:t>
            </w:r>
          </w:p>
        </w:tc>
        <w:tc>
          <w:tcPr>
            <w:tcW w:w="1276" w:type="dxa"/>
            <w:shd w:val="clear" w:color="auto" w:fill="auto"/>
            <w:vAlign w:val="center"/>
            <w:hideMark/>
          </w:tcPr>
          <w:p w14:paraId="2B6C72BA" w14:textId="192FE824" w:rsidR="00EC6E52" w:rsidRPr="00280E25" w:rsidRDefault="004E55D3">
            <w:pPr>
              <w:jc w:val="center"/>
              <w:rPr>
                <w:color w:val="000000"/>
              </w:rPr>
            </w:pPr>
            <w:r w:rsidRPr="00280E25">
              <w:rPr>
                <w:color w:val="000000"/>
              </w:rPr>
              <w:t>s</w:t>
            </w:r>
            <w:r w:rsidR="00EC6E52" w:rsidRPr="00280E25">
              <w:rPr>
                <w:color w:val="000000"/>
              </w:rPr>
              <w:t>ecundaria</w:t>
            </w:r>
          </w:p>
        </w:tc>
        <w:tc>
          <w:tcPr>
            <w:tcW w:w="1275" w:type="dxa"/>
            <w:vMerge/>
            <w:vAlign w:val="center"/>
            <w:hideMark/>
          </w:tcPr>
          <w:p w14:paraId="7A7A2641" w14:textId="77777777" w:rsidR="00EC6E52" w:rsidRPr="00280E25" w:rsidRDefault="00EC6E52">
            <w:pPr>
              <w:rPr>
                <w:color w:val="000000"/>
              </w:rPr>
            </w:pPr>
          </w:p>
        </w:tc>
        <w:tc>
          <w:tcPr>
            <w:tcW w:w="1134" w:type="dxa"/>
            <w:shd w:val="clear" w:color="auto" w:fill="auto"/>
            <w:vAlign w:val="center"/>
            <w:hideMark/>
          </w:tcPr>
          <w:p w14:paraId="3B1A7FE7" w14:textId="5DE95BAF" w:rsidR="00EC6E52" w:rsidRPr="00280E25" w:rsidRDefault="004E55D3">
            <w:pPr>
              <w:jc w:val="center"/>
              <w:rPr>
                <w:color w:val="000000"/>
              </w:rPr>
            </w:pPr>
            <w:r w:rsidRPr="00280E25">
              <w:rPr>
                <w:color w:val="000000"/>
              </w:rPr>
              <w:t>s</w:t>
            </w:r>
            <w:r w:rsidR="00EC6E52" w:rsidRPr="00280E25">
              <w:rPr>
                <w:color w:val="000000"/>
              </w:rPr>
              <w:t>uperior</w:t>
            </w:r>
          </w:p>
        </w:tc>
        <w:tc>
          <w:tcPr>
            <w:tcW w:w="1318" w:type="dxa"/>
            <w:vMerge/>
            <w:vAlign w:val="center"/>
            <w:hideMark/>
          </w:tcPr>
          <w:p w14:paraId="02A9972A" w14:textId="77777777" w:rsidR="00EC6E52" w:rsidRPr="00280E25" w:rsidRDefault="00EC6E52">
            <w:pPr>
              <w:rPr>
                <w:color w:val="000000"/>
              </w:rPr>
            </w:pPr>
          </w:p>
        </w:tc>
      </w:tr>
      <w:tr w:rsidR="006B3ECC" w:rsidRPr="00280E25" w14:paraId="6322B085" w14:textId="77777777" w:rsidTr="00E146B7">
        <w:trPr>
          <w:trHeight w:val="300"/>
          <w:jc w:val="center"/>
        </w:trPr>
        <w:tc>
          <w:tcPr>
            <w:tcW w:w="1224" w:type="dxa"/>
            <w:shd w:val="clear" w:color="auto" w:fill="auto"/>
            <w:vAlign w:val="center"/>
            <w:hideMark/>
          </w:tcPr>
          <w:p w14:paraId="37CA6E72" w14:textId="77777777" w:rsidR="00EC6E52" w:rsidRPr="00280E25" w:rsidRDefault="00EC6E52" w:rsidP="00332C48">
            <w:pPr>
              <w:jc w:val="center"/>
            </w:pPr>
            <w:r w:rsidRPr="00280E25">
              <w:t>1980</w:t>
            </w:r>
          </w:p>
        </w:tc>
        <w:tc>
          <w:tcPr>
            <w:tcW w:w="1181" w:type="dxa"/>
            <w:shd w:val="clear" w:color="auto" w:fill="auto"/>
            <w:vAlign w:val="center"/>
            <w:hideMark/>
          </w:tcPr>
          <w:p w14:paraId="6BFBDEA8" w14:textId="77777777" w:rsidR="00EC6E52" w:rsidRPr="00280E25" w:rsidRDefault="00140075">
            <w:pPr>
              <w:jc w:val="right"/>
            </w:pPr>
            <w:r w:rsidRPr="00280E25">
              <w:t xml:space="preserve">1 071 </w:t>
            </w:r>
            <w:r w:rsidR="00EC6E52" w:rsidRPr="00280E25">
              <w:t>600</w:t>
            </w:r>
          </w:p>
        </w:tc>
        <w:tc>
          <w:tcPr>
            <w:tcW w:w="1276" w:type="dxa"/>
            <w:shd w:val="clear" w:color="auto" w:fill="auto"/>
            <w:vAlign w:val="center"/>
            <w:hideMark/>
          </w:tcPr>
          <w:p w14:paraId="3899CBAB" w14:textId="77777777" w:rsidR="00EC6E52" w:rsidRPr="00280E25" w:rsidRDefault="00140075">
            <w:pPr>
              <w:jc w:val="right"/>
            </w:pPr>
            <w:r w:rsidRPr="00280E25">
              <w:t xml:space="preserve">14 666 </w:t>
            </w:r>
            <w:r w:rsidR="00EC6E52" w:rsidRPr="00280E25">
              <w:t>257</w:t>
            </w:r>
          </w:p>
        </w:tc>
        <w:tc>
          <w:tcPr>
            <w:tcW w:w="1276" w:type="dxa"/>
            <w:shd w:val="clear" w:color="auto" w:fill="auto"/>
            <w:vAlign w:val="center"/>
            <w:hideMark/>
          </w:tcPr>
          <w:p w14:paraId="7F2723AD" w14:textId="77777777" w:rsidR="00EC6E52" w:rsidRPr="00280E25" w:rsidRDefault="00140075">
            <w:pPr>
              <w:jc w:val="right"/>
            </w:pPr>
            <w:r w:rsidRPr="00280E25">
              <w:t xml:space="preserve">3 033 </w:t>
            </w:r>
            <w:r w:rsidR="00EC6E52" w:rsidRPr="00280E25">
              <w:t>856</w:t>
            </w:r>
          </w:p>
        </w:tc>
        <w:tc>
          <w:tcPr>
            <w:tcW w:w="1275" w:type="dxa"/>
            <w:shd w:val="clear" w:color="auto" w:fill="auto"/>
            <w:vAlign w:val="center"/>
            <w:hideMark/>
          </w:tcPr>
          <w:p w14:paraId="1B90ABC5" w14:textId="77777777" w:rsidR="00EC6E52" w:rsidRPr="00280E25" w:rsidRDefault="00140075">
            <w:pPr>
              <w:jc w:val="right"/>
            </w:pPr>
            <w:r w:rsidRPr="00280E25">
              <w:t xml:space="preserve">1 388 </w:t>
            </w:r>
            <w:r w:rsidR="00EC6E52" w:rsidRPr="00280E25">
              <w:t>132</w:t>
            </w:r>
          </w:p>
        </w:tc>
        <w:tc>
          <w:tcPr>
            <w:tcW w:w="1134" w:type="dxa"/>
            <w:shd w:val="clear" w:color="auto" w:fill="auto"/>
            <w:vAlign w:val="center"/>
            <w:hideMark/>
          </w:tcPr>
          <w:p w14:paraId="181A6B3A" w14:textId="77777777" w:rsidR="00EC6E52" w:rsidRPr="00280E25" w:rsidRDefault="00140075">
            <w:pPr>
              <w:jc w:val="right"/>
            </w:pPr>
            <w:r w:rsidRPr="00280E25">
              <w:t xml:space="preserve">935 </w:t>
            </w:r>
            <w:r w:rsidR="00EC6E52" w:rsidRPr="00280E25">
              <w:t>789</w:t>
            </w:r>
          </w:p>
        </w:tc>
        <w:tc>
          <w:tcPr>
            <w:tcW w:w="1318" w:type="dxa"/>
            <w:shd w:val="clear" w:color="auto" w:fill="auto"/>
            <w:vAlign w:val="center"/>
            <w:hideMark/>
          </w:tcPr>
          <w:p w14:paraId="48904E8F" w14:textId="77777777" w:rsidR="00EC6E52" w:rsidRPr="00280E25" w:rsidRDefault="00140075">
            <w:pPr>
              <w:jc w:val="right"/>
            </w:pPr>
            <w:r w:rsidRPr="00280E25">
              <w:t xml:space="preserve">21 095 </w:t>
            </w:r>
            <w:r w:rsidR="00EC6E52" w:rsidRPr="00280E25">
              <w:t>634</w:t>
            </w:r>
          </w:p>
        </w:tc>
      </w:tr>
      <w:tr w:rsidR="006B3ECC" w:rsidRPr="00280E25" w14:paraId="17E4D9EC" w14:textId="77777777" w:rsidTr="00E146B7">
        <w:trPr>
          <w:trHeight w:val="300"/>
          <w:jc w:val="center"/>
        </w:trPr>
        <w:tc>
          <w:tcPr>
            <w:tcW w:w="1224" w:type="dxa"/>
            <w:shd w:val="clear" w:color="auto" w:fill="auto"/>
            <w:vAlign w:val="center"/>
            <w:hideMark/>
          </w:tcPr>
          <w:p w14:paraId="44DABFB9" w14:textId="77777777" w:rsidR="00EC6E52" w:rsidRPr="00280E25" w:rsidRDefault="00EC6E52" w:rsidP="00332C48">
            <w:pPr>
              <w:jc w:val="center"/>
            </w:pPr>
            <w:r w:rsidRPr="00280E25">
              <w:t>1990</w:t>
            </w:r>
          </w:p>
        </w:tc>
        <w:tc>
          <w:tcPr>
            <w:tcW w:w="1181" w:type="dxa"/>
            <w:shd w:val="clear" w:color="auto" w:fill="auto"/>
            <w:vAlign w:val="center"/>
            <w:hideMark/>
          </w:tcPr>
          <w:p w14:paraId="16F9FB25" w14:textId="77777777" w:rsidR="00EC6E52" w:rsidRPr="00280E25" w:rsidRDefault="00140075">
            <w:pPr>
              <w:jc w:val="right"/>
            </w:pPr>
            <w:r w:rsidRPr="00280E25">
              <w:t xml:space="preserve">2 734 </w:t>
            </w:r>
            <w:r w:rsidR="00EC6E52" w:rsidRPr="00280E25">
              <w:t>100</w:t>
            </w:r>
          </w:p>
        </w:tc>
        <w:tc>
          <w:tcPr>
            <w:tcW w:w="1276" w:type="dxa"/>
            <w:shd w:val="clear" w:color="auto" w:fill="auto"/>
            <w:vAlign w:val="center"/>
            <w:hideMark/>
          </w:tcPr>
          <w:p w14:paraId="0F24733E" w14:textId="77777777" w:rsidR="00EC6E52" w:rsidRPr="00280E25" w:rsidRDefault="00140075">
            <w:pPr>
              <w:jc w:val="right"/>
            </w:pPr>
            <w:r w:rsidRPr="00280E25">
              <w:t xml:space="preserve">14 401 </w:t>
            </w:r>
            <w:r w:rsidR="00EC6E52" w:rsidRPr="00280E25">
              <w:t>558</w:t>
            </w:r>
          </w:p>
        </w:tc>
        <w:tc>
          <w:tcPr>
            <w:tcW w:w="1276" w:type="dxa"/>
            <w:shd w:val="clear" w:color="auto" w:fill="auto"/>
            <w:vAlign w:val="center"/>
            <w:hideMark/>
          </w:tcPr>
          <w:p w14:paraId="0465B8DD" w14:textId="77777777" w:rsidR="00EC6E52" w:rsidRPr="00280E25" w:rsidRDefault="00140075">
            <w:pPr>
              <w:jc w:val="right"/>
            </w:pPr>
            <w:r w:rsidRPr="00280E25">
              <w:t xml:space="preserve">4 190 </w:t>
            </w:r>
            <w:r w:rsidR="00EC6E52" w:rsidRPr="00280E25">
              <w:t>190</w:t>
            </w:r>
          </w:p>
        </w:tc>
        <w:tc>
          <w:tcPr>
            <w:tcW w:w="1275" w:type="dxa"/>
            <w:shd w:val="clear" w:color="auto" w:fill="auto"/>
            <w:vAlign w:val="center"/>
            <w:hideMark/>
          </w:tcPr>
          <w:p w14:paraId="4D71B79F" w14:textId="77777777" w:rsidR="00EC6E52" w:rsidRPr="00280E25" w:rsidRDefault="00140075">
            <w:pPr>
              <w:jc w:val="right"/>
            </w:pPr>
            <w:r w:rsidRPr="00280E25">
              <w:t xml:space="preserve">2 100 </w:t>
            </w:r>
            <w:r w:rsidR="00EC6E52" w:rsidRPr="00280E25">
              <w:t>520</w:t>
            </w:r>
          </w:p>
        </w:tc>
        <w:tc>
          <w:tcPr>
            <w:tcW w:w="1134" w:type="dxa"/>
            <w:shd w:val="clear" w:color="auto" w:fill="auto"/>
            <w:vAlign w:val="center"/>
            <w:hideMark/>
          </w:tcPr>
          <w:p w14:paraId="1E9E3797" w14:textId="77777777" w:rsidR="00EC6E52" w:rsidRPr="00280E25" w:rsidRDefault="00140075">
            <w:pPr>
              <w:jc w:val="right"/>
            </w:pPr>
            <w:r w:rsidRPr="00280E25">
              <w:t xml:space="preserve">1 252 </w:t>
            </w:r>
            <w:r w:rsidR="00EC6E52" w:rsidRPr="00280E25">
              <w:t>027</w:t>
            </w:r>
          </w:p>
        </w:tc>
        <w:tc>
          <w:tcPr>
            <w:tcW w:w="1318" w:type="dxa"/>
            <w:shd w:val="clear" w:color="auto" w:fill="auto"/>
            <w:vAlign w:val="center"/>
            <w:hideMark/>
          </w:tcPr>
          <w:p w14:paraId="36C753C1" w14:textId="77777777" w:rsidR="00EC6E52" w:rsidRPr="00280E25" w:rsidRDefault="00140075">
            <w:pPr>
              <w:jc w:val="right"/>
            </w:pPr>
            <w:r w:rsidRPr="00280E25">
              <w:t xml:space="preserve">24 678 </w:t>
            </w:r>
            <w:r w:rsidR="00EC6E52" w:rsidRPr="00280E25">
              <w:t>425</w:t>
            </w:r>
          </w:p>
        </w:tc>
      </w:tr>
      <w:tr w:rsidR="006B3ECC" w:rsidRPr="00280E25" w14:paraId="5D99A961" w14:textId="77777777" w:rsidTr="00E146B7">
        <w:trPr>
          <w:trHeight w:val="300"/>
          <w:jc w:val="center"/>
        </w:trPr>
        <w:tc>
          <w:tcPr>
            <w:tcW w:w="1224" w:type="dxa"/>
            <w:shd w:val="clear" w:color="auto" w:fill="auto"/>
            <w:vAlign w:val="center"/>
            <w:hideMark/>
          </w:tcPr>
          <w:p w14:paraId="4188FF29" w14:textId="77777777" w:rsidR="00EC6E52" w:rsidRPr="00280E25" w:rsidRDefault="00EC6E52" w:rsidP="00332C48">
            <w:pPr>
              <w:jc w:val="center"/>
            </w:pPr>
            <w:r w:rsidRPr="00280E25">
              <w:t>2000</w:t>
            </w:r>
          </w:p>
        </w:tc>
        <w:tc>
          <w:tcPr>
            <w:tcW w:w="1181" w:type="dxa"/>
            <w:shd w:val="clear" w:color="auto" w:fill="auto"/>
            <w:vAlign w:val="center"/>
            <w:hideMark/>
          </w:tcPr>
          <w:p w14:paraId="3FB1AC39" w14:textId="77777777" w:rsidR="00EC6E52" w:rsidRPr="00280E25" w:rsidRDefault="00140075">
            <w:pPr>
              <w:jc w:val="right"/>
            </w:pPr>
            <w:r w:rsidRPr="00280E25">
              <w:t xml:space="preserve">3 423 </w:t>
            </w:r>
            <w:r w:rsidR="00EC6E52" w:rsidRPr="00280E25">
              <w:t>600</w:t>
            </w:r>
          </w:p>
        </w:tc>
        <w:tc>
          <w:tcPr>
            <w:tcW w:w="1276" w:type="dxa"/>
            <w:shd w:val="clear" w:color="auto" w:fill="auto"/>
            <w:vAlign w:val="center"/>
            <w:hideMark/>
          </w:tcPr>
          <w:p w14:paraId="1E28E8DE" w14:textId="77777777" w:rsidR="00EC6E52" w:rsidRPr="00280E25" w:rsidRDefault="00140075">
            <w:pPr>
              <w:jc w:val="right"/>
            </w:pPr>
            <w:r w:rsidRPr="00280E25">
              <w:t xml:space="preserve">14 792 </w:t>
            </w:r>
            <w:r w:rsidR="00EC6E52" w:rsidRPr="00280E25">
              <w:t>528</w:t>
            </w:r>
          </w:p>
        </w:tc>
        <w:tc>
          <w:tcPr>
            <w:tcW w:w="1276" w:type="dxa"/>
            <w:shd w:val="clear" w:color="auto" w:fill="auto"/>
            <w:vAlign w:val="center"/>
            <w:hideMark/>
          </w:tcPr>
          <w:p w14:paraId="227A3E2E" w14:textId="77777777" w:rsidR="00EC6E52" w:rsidRPr="00280E25" w:rsidRDefault="00140075">
            <w:pPr>
              <w:jc w:val="right"/>
            </w:pPr>
            <w:r w:rsidRPr="00280E25">
              <w:t xml:space="preserve">5 349 </w:t>
            </w:r>
            <w:r w:rsidR="00EC6E52" w:rsidRPr="00280E25">
              <w:t>659</w:t>
            </w:r>
          </w:p>
        </w:tc>
        <w:tc>
          <w:tcPr>
            <w:tcW w:w="1275" w:type="dxa"/>
            <w:shd w:val="clear" w:color="auto" w:fill="auto"/>
            <w:vAlign w:val="center"/>
            <w:hideMark/>
          </w:tcPr>
          <w:p w14:paraId="46B020A9" w14:textId="77777777" w:rsidR="00EC6E52" w:rsidRPr="00280E25" w:rsidRDefault="00140075">
            <w:pPr>
              <w:jc w:val="right"/>
            </w:pPr>
            <w:r w:rsidRPr="00280E25">
              <w:t xml:space="preserve">2 955 </w:t>
            </w:r>
            <w:r w:rsidR="00EC6E52" w:rsidRPr="00280E25">
              <w:t>785</w:t>
            </w:r>
          </w:p>
        </w:tc>
        <w:tc>
          <w:tcPr>
            <w:tcW w:w="1134" w:type="dxa"/>
            <w:shd w:val="clear" w:color="auto" w:fill="auto"/>
            <w:vAlign w:val="center"/>
            <w:hideMark/>
          </w:tcPr>
          <w:p w14:paraId="6DE1C4D7" w14:textId="77777777" w:rsidR="00EC6E52" w:rsidRPr="00280E25" w:rsidRDefault="00140075">
            <w:pPr>
              <w:jc w:val="right"/>
            </w:pPr>
            <w:r w:rsidRPr="00280E25">
              <w:t xml:space="preserve">2 047 </w:t>
            </w:r>
            <w:r w:rsidR="00EC6E52" w:rsidRPr="00280E25">
              <w:t>895</w:t>
            </w:r>
          </w:p>
        </w:tc>
        <w:tc>
          <w:tcPr>
            <w:tcW w:w="1318" w:type="dxa"/>
            <w:shd w:val="clear" w:color="auto" w:fill="auto"/>
            <w:vAlign w:val="center"/>
            <w:hideMark/>
          </w:tcPr>
          <w:p w14:paraId="094956F5" w14:textId="77777777" w:rsidR="00EC6E52" w:rsidRPr="00280E25" w:rsidRDefault="00140075">
            <w:pPr>
              <w:jc w:val="right"/>
            </w:pPr>
            <w:r w:rsidRPr="00280E25">
              <w:t xml:space="preserve">28 559 </w:t>
            </w:r>
            <w:r w:rsidR="00EC6E52" w:rsidRPr="00280E25">
              <w:t>400</w:t>
            </w:r>
          </w:p>
        </w:tc>
      </w:tr>
      <w:tr w:rsidR="006B3ECC" w:rsidRPr="00280E25" w14:paraId="59CEE280" w14:textId="77777777" w:rsidTr="00E146B7">
        <w:trPr>
          <w:trHeight w:val="300"/>
          <w:jc w:val="center"/>
        </w:trPr>
        <w:tc>
          <w:tcPr>
            <w:tcW w:w="1224" w:type="dxa"/>
            <w:shd w:val="clear" w:color="auto" w:fill="auto"/>
            <w:vAlign w:val="center"/>
            <w:hideMark/>
          </w:tcPr>
          <w:p w14:paraId="6B03C6CD" w14:textId="77777777" w:rsidR="00EC6E52" w:rsidRPr="00280E25" w:rsidRDefault="00EC6E52" w:rsidP="00332C48">
            <w:pPr>
              <w:jc w:val="center"/>
            </w:pPr>
            <w:r w:rsidRPr="00280E25">
              <w:t>2010</w:t>
            </w:r>
          </w:p>
        </w:tc>
        <w:tc>
          <w:tcPr>
            <w:tcW w:w="1181" w:type="dxa"/>
            <w:shd w:val="clear" w:color="auto" w:fill="auto"/>
            <w:vAlign w:val="center"/>
            <w:hideMark/>
          </w:tcPr>
          <w:p w14:paraId="0AEE9B24" w14:textId="77777777" w:rsidR="00EC6E52" w:rsidRPr="00280E25" w:rsidRDefault="00140075">
            <w:pPr>
              <w:jc w:val="right"/>
            </w:pPr>
            <w:r w:rsidRPr="00280E25">
              <w:t xml:space="preserve">4 641 </w:t>
            </w:r>
            <w:r w:rsidR="00EC6E52" w:rsidRPr="00280E25">
              <w:t>060</w:t>
            </w:r>
          </w:p>
        </w:tc>
        <w:tc>
          <w:tcPr>
            <w:tcW w:w="1276" w:type="dxa"/>
            <w:shd w:val="clear" w:color="auto" w:fill="auto"/>
            <w:vAlign w:val="center"/>
            <w:hideMark/>
          </w:tcPr>
          <w:p w14:paraId="7EC26082" w14:textId="77777777" w:rsidR="00EC6E52" w:rsidRPr="00280E25" w:rsidRDefault="00140075">
            <w:pPr>
              <w:jc w:val="right"/>
            </w:pPr>
            <w:r w:rsidRPr="00280E25">
              <w:t xml:space="preserve">14 887 </w:t>
            </w:r>
            <w:r w:rsidR="00EC6E52" w:rsidRPr="00280E25">
              <w:t>845</w:t>
            </w:r>
          </w:p>
        </w:tc>
        <w:tc>
          <w:tcPr>
            <w:tcW w:w="1276" w:type="dxa"/>
            <w:shd w:val="clear" w:color="auto" w:fill="auto"/>
            <w:vAlign w:val="center"/>
            <w:hideMark/>
          </w:tcPr>
          <w:p w14:paraId="01FD506B" w14:textId="77777777" w:rsidR="00EC6E52" w:rsidRPr="00280E25" w:rsidRDefault="00140075">
            <w:pPr>
              <w:jc w:val="right"/>
            </w:pPr>
            <w:r w:rsidRPr="00280E25">
              <w:t xml:space="preserve">6 137 </w:t>
            </w:r>
            <w:r w:rsidR="00EC6E52" w:rsidRPr="00280E25">
              <w:t>546</w:t>
            </w:r>
          </w:p>
        </w:tc>
        <w:tc>
          <w:tcPr>
            <w:tcW w:w="1275" w:type="dxa"/>
            <w:shd w:val="clear" w:color="auto" w:fill="auto"/>
            <w:vAlign w:val="center"/>
            <w:hideMark/>
          </w:tcPr>
          <w:p w14:paraId="6E02CFA4" w14:textId="77777777" w:rsidR="00EC6E52" w:rsidRPr="00280E25" w:rsidRDefault="00140075">
            <w:pPr>
              <w:jc w:val="right"/>
            </w:pPr>
            <w:r w:rsidRPr="00280E25">
              <w:t xml:space="preserve">4 187 </w:t>
            </w:r>
            <w:r w:rsidR="00EC6E52" w:rsidRPr="00280E25">
              <w:t>528</w:t>
            </w:r>
          </w:p>
        </w:tc>
        <w:tc>
          <w:tcPr>
            <w:tcW w:w="1134" w:type="dxa"/>
            <w:shd w:val="clear" w:color="auto" w:fill="auto"/>
            <w:vAlign w:val="center"/>
            <w:hideMark/>
          </w:tcPr>
          <w:p w14:paraId="7CE4BE50" w14:textId="77777777" w:rsidR="00EC6E52" w:rsidRPr="00280E25" w:rsidRDefault="00140075">
            <w:pPr>
              <w:jc w:val="right"/>
            </w:pPr>
            <w:r w:rsidRPr="00280E25">
              <w:t xml:space="preserve">2 981 </w:t>
            </w:r>
            <w:r w:rsidR="00EC6E52" w:rsidRPr="00280E25">
              <w:t>313</w:t>
            </w:r>
          </w:p>
        </w:tc>
        <w:tc>
          <w:tcPr>
            <w:tcW w:w="1318" w:type="dxa"/>
            <w:shd w:val="clear" w:color="auto" w:fill="auto"/>
            <w:vAlign w:val="center"/>
            <w:hideMark/>
          </w:tcPr>
          <w:p w14:paraId="6E65FE04" w14:textId="77777777" w:rsidR="00EC6E52" w:rsidRPr="00280E25" w:rsidRDefault="00140075">
            <w:pPr>
              <w:jc w:val="right"/>
            </w:pPr>
            <w:r w:rsidRPr="00280E25">
              <w:t xml:space="preserve">29 853 </w:t>
            </w:r>
            <w:r w:rsidR="00EC6E52" w:rsidRPr="00280E25">
              <w:t>979</w:t>
            </w:r>
          </w:p>
        </w:tc>
      </w:tr>
      <w:tr w:rsidR="006B3ECC" w:rsidRPr="00280E25" w14:paraId="781CF651" w14:textId="77777777" w:rsidTr="00E146B7">
        <w:trPr>
          <w:trHeight w:val="300"/>
          <w:jc w:val="center"/>
        </w:trPr>
        <w:tc>
          <w:tcPr>
            <w:tcW w:w="1224" w:type="dxa"/>
            <w:shd w:val="clear" w:color="auto" w:fill="auto"/>
            <w:vAlign w:val="center"/>
            <w:hideMark/>
          </w:tcPr>
          <w:p w14:paraId="70D43CDC" w14:textId="77777777" w:rsidR="00EC6E52" w:rsidRPr="00280E25" w:rsidRDefault="00EC6E52" w:rsidP="00332C48">
            <w:pPr>
              <w:jc w:val="center"/>
            </w:pPr>
            <w:r w:rsidRPr="00280E25">
              <w:t>2020</w:t>
            </w:r>
          </w:p>
        </w:tc>
        <w:tc>
          <w:tcPr>
            <w:tcW w:w="1181" w:type="dxa"/>
            <w:shd w:val="clear" w:color="auto" w:fill="auto"/>
            <w:vAlign w:val="center"/>
            <w:hideMark/>
          </w:tcPr>
          <w:p w14:paraId="192FC780" w14:textId="77777777" w:rsidR="00EC6E52" w:rsidRPr="00280E25" w:rsidRDefault="00140075">
            <w:pPr>
              <w:jc w:val="right"/>
            </w:pPr>
            <w:r w:rsidRPr="00280E25">
              <w:t xml:space="preserve">4 328 </w:t>
            </w:r>
            <w:r w:rsidR="00EC6E52" w:rsidRPr="00280E25">
              <w:t>088</w:t>
            </w:r>
          </w:p>
        </w:tc>
        <w:tc>
          <w:tcPr>
            <w:tcW w:w="1276" w:type="dxa"/>
            <w:shd w:val="clear" w:color="auto" w:fill="auto"/>
            <w:vAlign w:val="center"/>
            <w:hideMark/>
          </w:tcPr>
          <w:p w14:paraId="59052B7A" w14:textId="77777777" w:rsidR="00EC6E52" w:rsidRPr="00280E25" w:rsidRDefault="00140075">
            <w:pPr>
              <w:jc w:val="right"/>
            </w:pPr>
            <w:r w:rsidRPr="00280E25">
              <w:t xml:space="preserve">13 677 </w:t>
            </w:r>
            <w:r w:rsidR="00EC6E52" w:rsidRPr="00280E25">
              <w:t>465</w:t>
            </w:r>
          </w:p>
        </w:tc>
        <w:tc>
          <w:tcPr>
            <w:tcW w:w="1276" w:type="dxa"/>
            <w:shd w:val="clear" w:color="auto" w:fill="auto"/>
            <w:vAlign w:val="center"/>
            <w:hideMark/>
          </w:tcPr>
          <w:p w14:paraId="3661C714" w14:textId="77777777" w:rsidR="00EC6E52" w:rsidRPr="00280E25" w:rsidRDefault="00140075">
            <w:pPr>
              <w:jc w:val="right"/>
            </w:pPr>
            <w:r w:rsidRPr="00280E25">
              <w:t xml:space="preserve">6 394 </w:t>
            </w:r>
            <w:r w:rsidR="00EC6E52" w:rsidRPr="00280E25">
              <w:t>720</w:t>
            </w:r>
          </w:p>
        </w:tc>
        <w:tc>
          <w:tcPr>
            <w:tcW w:w="1275" w:type="dxa"/>
            <w:shd w:val="clear" w:color="auto" w:fill="auto"/>
            <w:vAlign w:val="center"/>
            <w:hideMark/>
          </w:tcPr>
          <w:p w14:paraId="601F2959" w14:textId="77777777" w:rsidR="00EC6E52" w:rsidRPr="00280E25" w:rsidRDefault="00140075">
            <w:pPr>
              <w:jc w:val="right"/>
            </w:pPr>
            <w:r w:rsidRPr="00280E25">
              <w:t xml:space="preserve">4 985 </w:t>
            </w:r>
            <w:r w:rsidR="00EC6E52" w:rsidRPr="00280E25">
              <w:t>005</w:t>
            </w:r>
          </w:p>
        </w:tc>
        <w:tc>
          <w:tcPr>
            <w:tcW w:w="1134" w:type="dxa"/>
            <w:shd w:val="clear" w:color="auto" w:fill="auto"/>
            <w:vAlign w:val="center"/>
            <w:hideMark/>
          </w:tcPr>
          <w:p w14:paraId="2682286E" w14:textId="77777777" w:rsidR="00EC6E52" w:rsidRPr="00280E25" w:rsidRDefault="00140075">
            <w:pPr>
              <w:jc w:val="right"/>
            </w:pPr>
            <w:r w:rsidRPr="00280E25">
              <w:t xml:space="preserve">4 227 </w:t>
            </w:r>
            <w:r w:rsidR="00EC6E52" w:rsidRPr="00280E25">
              <w:t>477</w:t>
            </w:r>
          </w:p>
        </w:tc>
        <w:tc>
          <w:tcPr>
            <w:tcW w:w="1318" w:type="dxa"/>
            <w:shd w:val="clear" w:color="auto" w:fill="auto"/>
            <w:vAlign w:val="center"/>
            <w:hideMark/>
          </w:tcPr>
          <w:p w14:paraId="6A55C96B" w14:textId="77777777" w:rsidR="00EC6E52" w:rsidRPr="00280E25" w:rsidRDefault="00140075">
            <w:pPr>
              <w:jc w:val="right"/>
            </w:pPr>
            <w:r w:rsidRPr="00280E25">
              <w:t xml:space="preserve">33 612 </w:t>
            </w:r>
            <w:r w:rsidR="00EC6E52" w:rsidRPr="00280E25">
              <w:t>855</w:t>
            </w:r>
          </w:p>
        </w:tc>
      </w:tr>
      <w:tr w:rsidR="00332C48" w:rsidRPr="00280E25" w14:paraId="7DD7D89D" w14:textId="77777777" w:rsidTr="00E146B7">
        <w:trPr>
          <w:trHeight w:val="288"/>
          <w:jc w:val="center"/>
        </w:trPr>
        <w:tc>
          <w:tcPr>
            <w:tcW w:w="1224" w:type="dxa"/>
            <w:shd w:val="clear" w:color="auto" w:fill="auto"/>
            <w:vAlign w:val="center"/>
            <w:hideMark/>
          </w:tcPr>
          <w:p w14:paraId="0A228993" w14:textId="77777777" w:rsidR="00332C48" w:rsidRPr="00280E25" w:rsidRDefault="00332C48" w:rsidP="00332C48">
            <w:pPr>
              <w:jc w:val="center"/>
              <w:rPr>
                <w:color w:val="000000"/>
                <w:highlight w:val="green"/>
              </w:rPr>
            </w:pPr>
            <w:r w:rsidRPr="00280E25">
              <w:rPr>
                <w:color w:val="000000"/>
              </w:rPr>
              <w:t>Tasa de variación 1980-2020</w:t>
            </w:r>
          </w:p>
        </w:tc>
        <w:tc>
          <w:tcPr>
            <w:tcW w:w="1181" w:type="dxa"/>
            <w:shd w:val="clear" w:color="auto" w:fill="auto"/>
            <w:vAlign w:val="center"/>
          </w:tcPr>
          <w:p w14:paraId="6A048186" w14:textId="77777777" w:rsidR="00332C48" w:rsidRPr="00280E25" w:rsidRDefault="00332C48" w:rsidP="00332C48">
            <w:pPr>
              <w:jc w:val="right"/>
              <w:rPr>
                <w:color w:val="000000"/>
                <w:highlight w:val="green"/>
              </w:rPr>
            </w:pPr>
            <w:r w:rsidRPr="00280E25">
              <w:rPr>
                <w:color w:val="000000"/>
              </w:rPr>
              <w:t>304%</w:t>
            </w:r>
          </w:p>
        </w:tc>
        <w:tc>
          <w:tcPr>
            <w:tcW w:w="1276" w:type="dxa"/>
            <w:shd w:val="clear" w:color="auto" w:fill="auto"/>
            <w:vAlign w:val="center"/>
          </w:tcPr>
          <w:p w14:paraId="49E9E991" w14:textId="77777777" w:rsidR="00332C48" w:rsidRPr="00280E25" w:rsidRDefault="00332C48" w:rsidP="00332C48">
            <w:pPr>
              <w:jc w:val="right"/>
              <w:rPr>
                <w:color w:val="000000"/>
                <w:highlight w:val="green"/>
              </w:rPr>
            </w:pPr>
            <w:r w:rsidRPr="00280E25">
              <w:rPr>
                <w:color w:val="000000"/>
              </w:rPr>
              <w:t>-7%</w:t>
            </w:r>
          </w:p>
        </w:tc>
        <w:tc>
          <w:tcPr>
            <w:tcW w:w="1276" w:type="dxa"/>
            <w:shd w:val="clear" w:color="auto" w:fill="auto"/>
            <w:vAlign w:val="center"/>
          </w:tcPr>
          <w:p w14:paraId="2DB22B21" w14:textId="77777777" w:rsidR="00332C48" w:rsidRPr="00280E25" w:rsidRDefault="00332C48" w:rsidP="00332C48">
            <w:pPr>
              <w:jc w:val="right"/>
              <w:rPr>
                <w:color w:val="000000"/>
                <w:highlight w:val="green"/>
              </w:rPr>
            </w:pPr>
            <w:r w:rsidRPr="00280E25">
              <w:rPr>
                <w:color w:val="000000"/>
              </w:rPr>
              <w:t>111%</w:t>
            </w:r>
          </w:p>
        </w:tc>
        <w:tc>
          <w:tcPr>
            <w:tcW w:w="1275" w:type="dxa"/>
            <w:shd w:val="clear" w:color="auto" w:fill="auto"/>
            <w:vAlign w:val="center"/>
          </w:tcPr>
          <w:p w14:paraId="272D6775" w14:textId="77777777" w:rsidR="00332C48" w:rsidRPr="00280E25" w:rsidRDefault="00332C48" w:rsidP="00332C48">
            <w:pPr>
              <w:jc w:val="right"/>
              <w:rPr>
                <w:color w:val="000000"/>
                <w:highlight w:val="green"/>
              </w:rPr>
            </w:pPr>
            <w:r w:rsidRPr="00280E25">
              <w:rPr>
                <w:color w:val="000000"/>
              </w:rPr>
              <w:t>259%</w:t>
            </w:r>
          </w:p>
        </w:tc>
        <w:tc>
          <w:tcPr>
            <w:tcW w:w="1134" w:type="dxa"/>
            <w:shd w:val="clear" w:color="auto" w:fill="auto"/>
            <w:vAlign w:val="center"/>
          </w:tcPr>
          <w:p w14:paraId="13E6BE83" w14:textId="77777777" w:rsidR="00332C48" w:rsidRPr="00280E25" w:rsidRDefault="00332C48" w:rsidP="00332C48">
            <w:pPr>
              <w:jc w:val="right"/>
              <w:rPr>
                <w:color w:val="000000"/>
                <w:highlight w:val="green"/>
              </w:rPr>
            </w:pPr>
            <w:r w:rsidRPr="00280E25">
              <w:rPr>
                <w:color w:val="000000"/>
              </w:rPr>
              <w:t>352%</w:t>
            </w:r>
          </w:p>
        </w:tc>
        <w:tc>
          <w:tcPr>
            <w:tcW w:w="1318" w:type="dxa"/>
            <w:shd w:val="clear" w:color="auto" w:fill="auto"/>
            <w:vAlign w:val="center"/>
          </w:tcPr>
          <w:p w14:paraId="16275440" w14:textId="77777777" w:rsidR="00332C48" w:rsidRPr="00280E25" w:rsidRDefault="00332C48" w:rsidP="00332C48">
            <w:pPr>
              <w:jc w:val="right"/>
              <w:rPr>
                <w:color w:val="000000"/>
                <w:highlight w:val="green"/>
              </w:rPr>
            </w:pPr>
            <w:r w:rsidRPr="00280E25">
              <w:rPr>
                <w:color w:val="000000"/>
              </w:rPr>
              <w:t>59%</w:t>
            </w:r>
          </w:p>
        </w:tc>
      </w:tr>
    </w:tbl>
    <w:p w14:paraId="5C9DF62B" w14:textId="79438945" w:rsidR="0085437F" w:rsidRPr="00C119EA" w:rsidRDefault="00EC6E52" w:rsidP="00280E25">
      <w:pPr>
        <w:spacing w:line="360" w:lineRule="auto"/>
        <w:jc w:val="center"/>
        <w:rPr>
          <w:bCs/>
          <w:iCs/>
        </w:rPr>
      </w:pPr>
      <w:r w:rsidRPr="00C119EA">
        <w:rPr>
          <w:bCs/>
          <w:iCs/>
        </w:rPr>
        <w:t xml:space="preserve">Fuente: </w:t>
      </w:r>
      <w:r w:rsidR="000C79EE" w:rsidRPr="00C119EA">
        <w:rPr>
          <w:bCs/>
          <w:iCs/>
        </w:rPr>
        <w:t xml:space="preserve">Elaboración </w:t>
      </w:r>
      <w:r w:rsidR="0085437F" w:rsidRPr="00C119EA">
        <w:rPr>
          <w:bCs/>
          <w:iCs/>
        </w:rPr>
        <w:t xml:space="preserve">de los autores con </w:t>
      </w:r>
      <w:r w:rsidR="003A66FB" w:rsidRPr="00C119EA">
        <w:rPr>
          <w:bCs/>
          <w:iCs/>
        </w:rPr>
        <w:t xml:space="preserve">base </w:t>
      </w:r>
      <w:r w:rsidR="0085437F" w:rsidRPr="00C119EA">
        <w:rPr>
          <w:bCs/>
          <w:iCs/>
        </w:rPr>
        <w:t>en</w:t>
      </w:r>
      <w:r w:rsidRPr="00C119EA">
        <w:rPr>
          <w:bCs/>
          <w:iCs/>
        </w:rPr>
        <w:t xml:space="preserve"> la </w:t>
      </w:r>
      <w:r w:rsidR="00AB29D4" w:rsidRPr="00C119EA">
        <w:rPr>
          <w:bCs/>
          <w:iCs/>
        </w:rPr>
        <w:t>S</w:t>
      </w:r>
      <w:r w:rsidR="0085437F" w:rsidRPr="00C119EA">
        <w:rPr>
          <w:bCs/>
          <w:iCs/>
        </w:rPr>
        <w:t>ecretar</w:t>
      </w:r>
      <w:r w:rsidR="00CB12A8">
        <w:rPr>
          <w:bCs/>
          <w:iCs/>
        </w:rPr>
        <w:t>í</w:t>
      </w:r>
      <w:r w:rsidR="0085437F" w:rsidRPr="00C119EA">
        <w:rPr>
          <w:bCs/>
          <w:iCs/>
        </w:rPr>
        <w:t>a de Educación Pública</w:t>
      </w:r>
      <w:r w:rsidR="00E146B7">
        <w:rPr>
          <w:bCs/>
          <w:iCs/>
        </w:rPr>
        <w:t>, 2020</w:t>
      </w:r>
    </w:p>
    <w:p w14:paraId="3392AFBE" w14:textId="77777777" w:rsidR="00F20BC4" w:rsidRDefault="00F20BC4" w:rsidP="005D700E">
      <w:pPr>
        <w:spacing w:line="360" w:lineRule="auto"/>
        <w:ind w:firstLine="708"/>
        <w:jc w:val="both"/>
      </w:pPr>
      <w:r w:rsidRPr="00C119EA">
        <w:t xml:space="preserve">El gasto público en educación a nivel ciudadano </w:t>
      </w:r>
      <w:r w:rsidR="00E546E2" w:rsidRPr="00C119EA">
        <w:t>registró</w:t>
      </w:r>
      <w:r w:rsidRPr="00C119EA">
        <w:t xml:space="preserve"> </w:t>
      </w:r>
      <w:r w:rsidR="003D042D" w:rsidRPr="00C119EA">
        <w:t xml:space="preserve">un crecimiento modesto hasta </w:t>
      </w:r>
      <w:r w:rsidRPr="00C119EA">
        <w:t xml:space="preserve">2015. Sin embargo, después de este año se advierte un decrecimiento </w:t>
      </w:r>
      <w:r w:rsidR="00F807DD" w:rsidRPr="00C119EA">
        <w:t xml:space="preserve">significativo </w:t>
      </w:r>
      <w:r w:rsidR="00435602" w:rsidRPr="00C119EA">
        <w:t>(ver</w:t>
      </w:r>
      <w:r w:rsidR="006539A3" w:rsidRPr="00C119EA">
        <w:t xml:space="preserve"> </w:t>
      </w:r>
      <w:r w:rsidR="002A7F70" w:rsidRPr="00C119EA">
        <w:t>figura</w:t>
      </w:r>
      <w:r w:rsidR="006539A3" w:rsidRPr="00C119EA">
        <w:t xml:space="preserve"> 2</w:t>
      </w:r>
      <w:r w:rsidR="00E1054F" w:rsidRPr="00C119EA">
        <w:t>)</w:t>
      </w:r>
      <w:r w:rsidRPr="00C119EA">
        <w:t>. El reto es aumentar el gasto en dicho rubro</w:t>
      </w:r>
      <w:r w:rsidR="00435602" w:rsidRPr="00C119EA">
        <w:t>, pues ello significa que más jóvenes accedan a las instituciones educativas y tengan oportunidades de empleos mejor remunerados.</w:t>
      </w:r>
    </w:p>
    <w:p w14:paraId="288EF5AF" w14:textId="77777777" w:rsidR="00385338" w:rsidRDefault="00385338" w:rsidP="005D700E">
      <w:pPr>
        <w:spacing w:line="360" w:lineRule="auto"/>
        <w:ind w:firstLine="708"/>
        <w:jc w:val="both"/>
      </w:pPr>
    </w:p>
    <w:p w14:paraId="6E6BEFCA" w14:textId="77777777" w:rsidR="00385338" w:rsidRDefault="00385338" w:rsidP="005D700E">
      <w:pPr>
        <w:spacing w:line="360" w:lineRule="auto"/>
        <w:ind w:firstLine="708"/>
        <w:jc w:val="both"/>
      </w:pPr>
    </w:p>
    <w:p w14:paraId="1493BA8F" w14:textId="77777777" w:rsidR="00385338" w:rsidRPr="00C119EA" w:rsidRDefault="00385338" w:rsidP="005D700E">
      <w:pPr>
        <w:spacing w:line="360" w:lineRule="auto"/>
        <w:ind w:firstLine="708"/>
        <w:jc w:val="both"/>
      </w:pPr>
    </w:p>
    <w:p w14:paraId="1D6CCB0A" w14:textId="3733801F" w:rsidR="009853E6" w:rsidRDefault="002A7F70" w:rsidP="00ED2084">
      <w:pPr>
        <w:spacing w:line="360" w:lineRule="auto"/>
        <w:ind w:firstLine="720"/>
        <w:jc w:val="center"/>
      </w:pPr>
      <w:r w:rsidRPr="00C119EA">
        <w:rPr>
          <w:b/>
        </w:rPr>
        <w:lastRenderedPageBreak/>
        <w:t xml:space="preserve">Figura </w:t>
      </w:r>
      <w:r w:rsidR="006539A3" w:rsidRPr="00C119EA">
        <w:rPr>
          <w:b/>
        </w:rPr>
        <w:t>2</w:t>
      </w:r>
      <w:r w:rsidR="00AE1723" w:rsidRPr="00C119EA">
        <w:rPr>
          <w:b/>
        </w:rPr>
        <w:t>.</w:t>
      </w:r>
      <w:r w:rsidR="006D5A46" w:rsidRPr="00C119EA">
        <w:t xml:space="preserve"> Gasto</w:t>
      </w:r>
      <w:r w:rsidR="00ED2084" w:rsidRPr="00C119EA">
        <w:t xml:space="preserve"> </w:t>
      </w:r>
      <w:r w:rsidR="006116AB" w:rsidRPr="00C119EA">
        <w:t>público</w:t>
      </w:r>
      <w:r w:rsidR="00ED2084" w:rsidRPr="00C119EA">
        <w:t xml:space="preserve"> per</w:t>
      </w:r>
      <w:r w:rsidR="007004D1">
        <w:t xml:space="preserve"> cápita en educación en México </w:t>
      </w:r>
      <w:r w:rsidR="00F6721F">
        <w:t xml:space="preserve">en dólares </w:t>
      </w:r>
      <w:r w:rsidR="007004D1">
        <w:t>2000</w:t>
      </w:r>
      <w:r w:rsidR="00ED2084" w:rsidRPr="00C119EA">
        <w:t>-202</w:t>
      </w:r>
      <w:r w:rsidR="007004D1">
        <w:t>3</w:t>
      </w:r>
    </w:p>
    <w:p w14:paraId="5BCC3469" w14:textId="76D4C73F" w:rsidR="00F6721F" w:rsidRPr="00C119EA" w:rsidRDefault="00F6721F" w:rsidP="00F6721F">
      <w:pPr>
        <w:spacing w:line="360" w:lineRule="auto"/>
        <w:ind w:firstLine="720"/>
      </w:pPr>
      <w:r>
        <w:rPr>
          <w:noProof/>
          <w:lang w:eastAsia="es-MX"/>
        </w:rPr>
        <w:drawing>
          <wp:inline distT="0" distB="0" distL="0" distR="0" wp14:anchorId="5BECA3D0" wp14:editId="4C26A986">
            <wp:extent cx="5349240" cy="2686685"/>
            <wp:effectExtent l="0" t="0" r="3810" b="1841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741B89" w14:textId="63D3F588" w:rsidR="004B2224" w:rsidRPr="00C119EA" w:rsidRDefault="00ED2084" w:rsidP="000C79EE">
      <w:pPr>
        <w:spacing w:line="360" w:lineRule="auto"/>
        <w:ind w:firstLine="720"/>
        <w:jc w:val="center"/>
      </w:pPr>
      <w:bookmarkStart w:id="0" w:name="_MON_1726863375"/>
      <w:bookmarkEnd w:id="0"/>
      <w:r w:rsidRPr="00C119EA">
        <w:t xml:space="preserve">Fuente: </w:t>
      </w:r>
      <w:r w:rsidR="006D5A46" w:rsidRPr="00C119EA">
        <w:t>Estadísticas</w:t>
      </w:r>
      <w:r w:rsidR="00AB29D4" w:rsidRPr="00C119EA">
        <w:t xml:space="preserve"> de la C</w:t>
      </w:r>
      <w:r w:rsidR="000A0BBA" w:rsidRPr="00C119EA">
        <w:t>EPAL</w:t>
      </w:r>
      <w:r w:rsidR="00F6721F">
        <w:t>, 2023</w:t>
      </w:r>
      <w:r w:rsidR="00AE1723" w:rsidRPr="00C119EA">
        <w:t>.</w:t>
      </w:r>
    </w:p>
    <w:p w14:paraId="13ED94F9" w14:textId="14E9269F" w:rsidR="00ED2084" w:rsidRDefault="00F20BC4" w:rsidP="00105ADC">
      <w:pPr>
        <w:spacing w:line="360" w:lineRule="auto"/>
        <w:ind w:firstLine="720"/>
        <w:jc w:val="both"/>
      </w:pPr>
      <w:r w:rsidRPr="00C119EA">
        <w:t xml:space="preserve">En lo que se refiere al gasto </w:t>
      </w:r>
      <w:r w:rsidR="00107D91" w:rsidRPr="00C119EA">
        <w:t>público</w:t>
      </w:r>
      <w:r w:rsidRPr="00C119EA">
        <w:t xml:space="preserve"> como porcentaje del </w:t>
      </w:r>
      <w:r w:rsidR="00435602" w:rsidRPr="00C119EA">
        <w:t>PIB</w:t>
      </w:r>
      <w:r w:rsidRPr="00C119EA">
        <w:t xml:space="preserve">, la </w:t>
      </w:r>
      <w:r w:rsidR="002A7F70" w:rsidRPr="00C119EA">
        <w:t>figura</w:t>
      </w:r>
      <w:r w:rsidRPr="00C119EA">
        <w:t xml:space="preserve"> </w:t>
      </w:r>
      <w:r w:rsidR="006539A3" w:rsidRPr="00C119EA">
        <w:t>3</w:t>
      </w:r>
      <w:r w:rsidRPr="00C119EA">
        <w:t xml:space="preserve"> muestra </w:t>
      </w:r>
      <w:r w:rsidR="006539A3" w:rsidRPr="00C119EA">
        <w:t>cómo</w:t>
      </w:r>
      <w:r w:rsidRPr="00C119EA">
        <w:t xml:space="preserve"> se comporta dicha variable desde el </w:t>
      </w:r>
      <w:r w:rsidR="00107D91" w:rsidRPr="00C119EA">
        <w:t>año</w:t>
      </w:r>
      <w:r w:rsidRPr="00C119EA">
        <w:t xml:space="preserve"> </w:t>
      </w:r>
      <w:r w:rsidR="00774A27">
        <w:t>1990</w:t>
      </w:r>
      <w:r w:rsidR="00AE1723" w:rsidRPr="00C119EA">
        <w:t xml:space="preserve"> hasta el presente. En </w:t>
      </w:r>
      <w:r w:rsidR="00543D6B" w:rsidRPr="00C119EA">
        <w:t xml:space="preserve">poco más de </w:t>
      </w:r>
      <w:r w:rsidR="00774A27">
        <w:t>3</w:t>
      </w:r>
      <w:r w:rsidR="00AE1723" w:rsidRPr="00C119EA">
        <w:t>0</w:t>
      </w:r>
      <w:r w:rsidRPr="00C119EA">
        <w:t xml:space="preserve"> años</w:t>
      </w:r>
      <w:r w:rsidR="00AE1723" w:rsidRPr="00C119EA">
        <w:t>,</w:t>
      </w:r>
      <w:r w:rsidRPr="00C119EA">
        <w:t xml:space="preserve"> el crecimiento </w:t>
      </w:r>
      <w:r w:rsidR="00435602" w:rsidRPr="00C119EA">
        <w:t xml:space="preserve">ha pasado </w:t>
      </w:r>
      <w:r w:rsidRPr="00C119EA">
        <w:t xml:space="preserve">del </w:t>
      </w:r>
      <w:r w:rsidR="00785C33">
        <w:t>2.4</w:t>
      </w:r>
      <w:r w:rsidRPr="00C119EA">
        <w:t xml:space="preserve"> al </w:t>
      </w:r>
      <w:r w:rsidR="00785C33">
        <w:t>3.7</w:t>
      </w:r>
      <w:r w:rsidR="00107D91" w:rsidRPr="00C119EA">
        <w:t xml:space="preserve">, lo cual evidencia </w:t>
      </w:r>
      <w:r w:rsidR="00EC0FA4" w:rsidRPr="00C119EA">
        <w:t>que,</w:t>
      </w:r>
      <w:r w:rsidR="00AE1723" w:rsidRPr="00C119EA">
        <w:t xml:space="preserve"> si bien</w:t>
      </w:r>
      <w:r w:rsidR="00E75187" w:rsidRPr="00C119EA">
        <w:t xml:space="preserve"> se </w:t>
      </w:r>
      <w:r w:rsidR="00AE1723" w:rsidRPr="00C119EA">
        <w:t>ha incrementado dicho gasto, cuanto</w:t>
      </w:r>
      <w:r w:rsidR="00E75187" w:rsidRPr="00C119EA">
        <w:t xml:space="preserve"> han hecho </w:t>
      </w:r>
      <w:r w:rsidR="00785C33">
        <w:t xml:space="preserve">varias </w:t>
      </w:r>
      <w:r w:rsidR="00E75187" w:rsidRPr="00C119EA">
        <w:t xml:space="preserve">administraciones de gobiernos de México </w:t>
      </w:r>
      <w:r w:rsidR="00107D91" w:rsidRPr="00C119EA">
        <w:t xml:space="preserve">es a </w:t>
      </w:r>
      <w:r w:rsidR="00AB29D4" w:rsidRPr="00C119EA">
        <w:t>toda luz insuficiente en vista de</w:t>
      </w:r>
      <w:r w:rsidR="00E75187" w:rsidRPr="00C119EA">
        <w:t xml:space="preserve"> las necesidades</w:t>
      </w:r>
      <w:r w:rsidR="00AB29D4" w:rsidRPr="00C119EA">
        <w:t xml:space="preserve"> que presenta este rubro</w:t>
      </w:r>
      <w:r w:rsidR="00E75187" w:rsidRPr="00C119EA">
        <w:t>.</w:t>
      </w:r>
    </w:p>
    <w:p w14:paraId="4A5248FC" w14:textId="77777777" w:rsidR="009859CC" w:rsidRPr="00C119EA" w:rsidRDefault="009859CC" w:rsidP="00105ADC">
      <w:pPr>
        <w:spacing w:line="360" w:lineRule="auto"/>
        <w:ind w:firstLine="720"/>
        <w:jc w:val="both"/>
      </w:pPr>
    </w:p>
    <w:p w14:paraId="1C78C7DC" w14:textId="58922A5E" w:rsidR="004B2224" w:rsidRDefault="002A7F70" w:rsidP="00714E18">
      <w:pPr>
        <w:spacing w:line="360" w:lineRule="auto"/>
        <w:ind w:firstLine="720"/>
        <w:jc w:val="center"/>
      </w:pPr>
      <w:r w:rsidRPr="00C119EA">
        <w:rPr>
          <w:b/>
        </w:rPr>
        <w:t>Figura</w:t>
      </w:r>
      <w:r w:rsidR="006539A3" w:rsidRPr="00C119EA">
        <w:rPr>
          <w:b/>
        </w:rPr>
        <w:t xml:space="preserve"> 3</w:t>
      </w:r>
      <w:r w:rsidR="006D5A46" w:rsidRPr="00C119EA">
        <w:rPr>
          <w:b/>
        </w:rPr>
        <w:t>.</w:t>
      </w:r>
      <w:r w:rsidR="006D5A46" w:rsidRPr="00C119EA">
        <w:t xml:space="preserve"> </w:t>
      </w:r>
      <w:r w:rsidR="004B2224" w:rsidRPr="00C119EA">
        <w:t>Gasto público en educación en México</w:t>
      </w:r>
      <w:r w:rsidR="00D971CB">
        <w:t xml:space="preserve"> 1990-2023</w:t>
      </w:r>
    </w:p>
    <w:p w14:paraId="7A702C71" w14:textId="364BB167" w:rsidR="00D971CB" w:rsidRPr="00D971CB" w:rsidRDefault="00D971CB" w:rsidP="00714E18">
      <w:pPr>
        <w:spacing w:line="360" w:lineRule="auto"/>
        <w:ind w:firstLine="720"/>
        <w:jc w:val="center"/>
      </w:pPr>
      <w:r>
        <w:rPr>
          <w:noProof/>
          <w:lang w:eastAsia="es-MX"/>
        </w:rPr>
        <w:drawing>
          <wp:inline distT="0" distB="0" distL="0" distR="0" wp14:anchorId="10E17B10" wp14:editId="3BF1827B">
            <wp:extent cx="5379720" cy="2743200"/>
            <wp:effectExtent l="0" t="0" r="1143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6C8B11" w14:textId="382EC6AF" w:rsidR="00714E18" w:rsidRPr="00C119EA" w:rsidRDefault="00AB29D4" w:rsidP="009859CC">
      <w:pPr>
        <w:spacing w:line="360" w:lineRule="auto"/>
        <w:jc w:val="center"/>
      </w:pPr>
      <w:r w:rsidRPr="00C119EA">
        <w:t>Fuente: Estadísticas de la C</w:t>
      </w:r>
      <w:r w:rsidR="000A0BBA" w:rsidRPr="00C119EA">
        <w:t>EPAL</w:t>
      </w:r>
      <w:r w:rsidR="00D971CB">
        <w:t>, 2023</w:t>
      </w:r>
      <w:r w:rsidRPr="00C119EA">
        <w:t>.</w:t>
      </w:r>
    </w:p>
    <w:p w14:paraId="4E1FDA73" w14:textId="77777777" w:rsidR="009668A5" w:rsidRPr="00C119EA" w:rsidRDefault="009668A5" w:rsidP="007D203C">
      <w:pPr>
        <w:spacing w:line="360" w:lineRule="auto"/>
        <w:ind w:firstLine="720"/>
        <w:jc w:val="both"/>
      </w:pPr>
    </w:p>
    <w:p w14:paraId="370C4E5C" w14:textId="30497B70" w:rsidR="009668A5" w:rsidRPr="00C119EA" w:rsidRDefault="00E94A0D" w:rsidP="005D700E">
      <w:pPr>
        <w:spacing w:line="360" w:lineRule="auto"/>
        <w:ind w:firstLine="720"/>
        <w:jc w:val="both"/>
      </w:pPr>
      <w:r w:rsidRPr="00C119EA">
        <w:lastRenderedPageBreak/>
        <w:t>El gasto en educación en México muestra en lo general un patrón de</w:t>
      </w:r>
      <w:r w:rsidR="00AE1723" w:rsidRPr="00C119EA">
        <w:t xml:space="preserve"> crecimiento.</w:t>
      </w:r>
      <w:r w:rsidRPr="00C119EA">
        <w:t xml:space="preserve"> </w:t>
      </w:r>
      <w:r w:rsidR="00AE1723" w:rsidRPr="00C119EA">
        <w:t>E</w:t>
      </w:r>
      <w:r w:rsidRPr="00C119EA">
        <w:t>sto es así hasta que se observa un proce</w:t>
      </w:r>
      <w:r w:rsidR="00AE1723" w:rsidRPr="00C119EA">
        <w:t>so de estancamiento a partir de</w:t>
      </w:r>
      <w:r w:rsidRPr="00C119EA">
        <w:t xml:space="preserve"> 2016 en adelante</w:t>
      </w:r>
      <w:r w:rsidR="00AE1723" w:rsidRPr="00C119EA">
        <w:t>,</w:t>
      </w:r>
      <w:r w:rsidRPr="00C119EA">
        <w:t xml:space="preserve"> según la </w:t>
      </w:r>
      <w:r w:rsidR="002A7F70" w:rsidRPr="00C119EA">
        <w:t>figura</w:t>
      </w:r>
      <w:r w:rsidRPr="00C119EA">
        <w:t xml:space="preserve"> </w:t>
      </w:r>
      <w:r w:rsidR="006539A3" w:rsidRPr="00C119EA">
        <w:t>4</w:t>
      </w:r>
      <w:r w:rsidRPr="00C119EA">
        <w:t xml:space="preserve">. La austeridad en el gasto educativo significa menos oportunidades para invertir en expansión de la oferta educativa, pero también </w:t>
      </w:r>
      <w:r w:rsidR="00534B2F" w:rsidRPr="00C119EA">
        <w:t xml:space="preserve">menos recursos </w:t>
      </w:r>
      <w:r w:rsidRPr="00C119EA">
        <w:t xml:space="preserve">para </w:t>
      </w:r>
      <w:r w:rsidR="00534B2F" w:rsidRPr="00C119EA">
        <w:t xml:space="preserve">mejorar las remuneraciones de los maestros, así como para </w:t>
      </w:r>
      <w:r w:rsidRPr="00C119EA">
        <w:t>la modernización de los planteles escolares y sus respectivos equipamientos</w:t>
      </w:r>
      <w:r w:rsidR="00AE1723" w:rsidRPr="00C119EA">
        <w:t>,</w:t>
      </w:r>
      <w:r w:rsidRPr="00C119EA">
        <w:t xml:space="preserve"> con lo</w:t>
      </w:r>
      <w:r w:rsidR="00AE1723" w:rsidRPr="00C119EA">
        <w:t>s</w:t>
      </w:r>
      <w:r w:rsidRPr="00C119EA">
        <w:t xml:space="preserve"> cual</w:t>
      </w:r>
      <w:r w:rsidR="00AE1723" w:rsidRPr="00C119EA">
        <w:t>es</w:t>
      </w:r>
      <w:r w:rsidRPr="00C119EA">
        <w:t xml:space="preserve"> los estudiantes puedan realizar sus </w:t>
      </w:r>
      <w:r w:rsidR="00C57757" w:rsidRPr="00C119EA">
        <w:t>prácticas</w:t>
      </w:r>
      <w:r w:rsidRPr="00C119EA">
        <w:t xml:space="preserve"> y experimentos</w:t>
      </w:r>
      <w:r w:rsidR="00F41127" w:rsidRPr="00C119EA">
        <w:t>.</w:t>
      </w:r>
      <w:r w:rsidR="00777386" w:rsidRPr="00C119EA">
        <w:t xml:space="preserve"> </w:t>
      </w:r>
    </w:p>
    <w:p w14:paraId="6E26FE6E" w14:textId="77777777" w:rsidR="00C57757" w:rsidRPr="00C119EA" w:rsidRDefault="00C57757" w:rsidP="007D203C">
      <w:pPr>
        <w:spacing w:line="360" w:lineRule="auto"/>
        <w:ind w:firstLine="720"/>
        <w:jc w:val="both"/>
      </w:pPr>
    </w:p>
    <w:p w14:paraId="68FBA816" w14:textId="77777777" w:rsidR="009668A5" w:rsidRPr="00C119EA" w:rsidRDefault="002A7F70" w:rsidP="000C79EE">
      <w:pPr>
        <w:spacing w:line="360" w:lineRule="auto"/>
        <w:ind w:firstLine="720"/>
        <w:jc w:val="center"/>
      </w:pPr>
      <w:r w:rsidRPr="00C119EA">
        <w:rPr>
          <w:b/>
        </w:rPr>
        <w:t>Figura</w:t>
      </w:r>
      <w:r w:rsidR="006539A3" w:rsidRPr="00C119EA">
        <w:rPr>
          <w:b/>
        </w:rPr>
        <w:t xml:space="preserve"> 4</w:t>
      </w:r>
      <w:r w:rsidR="00AE1723" w:rsidRPr="00C119EA">
        <w:rPr>
          <w:b/>
        </w:rPr>
        <w:t>.</w:t>
      </w:r>
      <w:r w:rsidR="009668A5" w:rsidRPr="00C119EA">
        <w:t xml:space="preserve"> Gasto en educación pública de México 2000-2022</w:t>
      </w:r>
    </w:p>
    <w:p w14:paraId="196C4403" w14:textId="6D155AA8" w:rsidR="00521233" w:rsidRPr="00C119EA" w:rsidRDefault="000A6098" w:rsidP="009668A5">
      <w:pPr>
        <w:pStyle w:val="Default"/>
        <w:ind w:left="-142"/>
        <w:jc w:val="center"/>
        <w:rPr>
          <w:rFonts w:ascii="Times New Roman" w:hAnsi="Times New Roman" w:cs="Times New Roman"/>
          <w:bCs/>
          <w:lang w:val="es-MX"/>
        </w:rPr>
      </w:pPr>
      <w:r w:rsidRPr="00C119EA">
        <w:rPr>
          <w:rFonts w:ascii="Times New Roman" w:hAnsi="Times New Roman" w:cs="Times New Roman"/>
          <w:noProof/>
          <w:lang w:val="es-MX" w:eastAsia="es-MX"/>
        </w:rPr>
        <w:drawing>
          <wp:inline distT="0" distB="0" distL="0" distR="0" wp14:anchorId="22602E9D" wp14:editId="48EA4B40">
            <wp:extent cx="4762500" cy="2749550"/>
            <wp:effectExtent l="0" t="0" r="0" b="12700"/>
            <wp:docPr id="3"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79EFC5" w14:textId="77777777" w:rsidR="00174B26" w:rsidRPr="00C119EA" w:rsidRDefault="00174B26" w:rsidP="00B81A6B">
      <w:pPr>
        <w:autoSpaceDE w:val="0"/>
        <w:autoSpaceDN w:val="0"/>
        <w:adjustRightInd w:val="0"/>
        <w:ind w:firstLine="708"/>
        <w:jc w:val="both"/>
        <w:rPr>
          <w:highlight w:val="yellow"/>
        </w:rPr>
      </w:pPr>
    </w:p>
    <w:p w14:paraId="05F039C1" w14:textId="77777777" w:rsidR="00585D2B" w:rsidRPr="00C119EA" w:rsidRDefault="00585D2B" w:rsidP="000C79EE">
      <w:pPr>
        <w:jc w:val="center"/>
      </w:pPr>
      <w:r w:rsidRPr="00C119EA">
        <w:t>Fuente: Elaborado por los autores con base en la OCDE</w:t>
      </w:r>
      <w:r w:rsidR="00AE1723" w:rsidRPr="00C119EA">
        <w:t>.</w:t>
      </w:r>
    </w:p>
    <w:p w14:paraId="6BE444C7" w14:textId="77777777" w:rsidR="00A93667" w:rsidRPr="00C119EA" w:rsidRDefault="00A93667" w:rsidP="00A93667">
      <w:pPr>
        <w:spacing w:line="360" w:lineRule="auto"/>
        <w:jc w:val="center"/>
        <w:rPr>
          <w:b/>
          <w:sz w:val="32"/>
          <w:szCs w:val="32"/>
        </w:rPr>
      </w:pPr>
    </w:p>
    <w:p w14:paraId="2F2F71D1" w14:textId="0E113223" w:rsidR="00D41EC1" w:rsidRPr="00C119EA" w:rsidRDefault="00A93667" w:rsidP="00A93667">
      <w:pPr>
        <w:spacing w:line="360" w:lineRule="auto"/>
        <w:jc w:val="center"/>
        <w:rPr>
          <w:b/>
          <w:sz w:val="22"/>
          <w:szCs w:val="22"/>
        </w:rPr>
      </w:pPr>
      <w:r w:rsidRPr="00C119EA">
        <w:rPr>
          <w:b/>
          <w:sz w:val="32"/>
          <w:szCs w:val="32"/>
        </w:rPr>
        <w:t>Discusión</w:t>
      </w:r>
      <w:r w:rsidR="00777386" w:rsidRPr="00C119EA">
        <w:rPr>
          <w:b/>
          <w:sz w:val="32"/>
          <w:szCs w:val="32"/>
        </w:rPr>
        <w:t xml:space="preserve"> </w:t>
      </w:r>
    </w:p>
    <w:p w14:paraId="4A2E2B94" w14:textId="65D4B131" w:rsidR="002A7F70" w:rsidRPr="00C119EA" w:rsidRDefault="002A7F70" w:rsidP="002A7F70">
      <w:pPr>
        <w:spacing w:line="360" w:lineRule="auto"/>
        <w:ind w:firstLine="708"/>
        <w:jc w:val="both"/>
        <w:rPr>
          <w:b/>
          <w:bCs/>
        </w:rPr>
      </w:pPr>
      <w:r w:rsidRPr="00C119EA">
        <w:rPr>
          <w:bCs/>
          <w:iCs/>
        </w:rPr>
        <w:t>Es</w:t>
      </w:r>
      <w:r w:rsidRPr="00C119EA">
        <w:t xml:space="preserve"> innegable la contribución de los oficios, las profesiones y las artes para la buena marcha de la economía. La sociedad actual cuenta con mayores oportunidades para el aprendizaje y el desarrollo de competencias laborales. Las generaciones nuevas tienen acceso a un valioso acervo de conocimientos, habilidades y experiencias para desempeñar el trabajo. En ese sentido, para México es indispensable diseñar políticas a fin de desarrollar ciencia y tecnología con sello propio. El país debe realizar esfuerzos importantes para superar los rezagos en cobertura, calidad, pertinencia y alcance con miras a cerrar la brecha con las economías de mayor desarrollo </w:t>
      </w:r>
      <w:r w:rsidRPr="00280E25">
        <w:t>(Martínez Chapa, 2019).</w:t>
      </w:r>
      <w:r w:rsidRPr="00C119EA">
        <w:rPr>
          <w:b/>
          <w:bCs/>
        </w:rPr>
        <w:t xml:space="preserve"> </w:t>
      </w:r>
    </w:p>
    <w:p w14:paraId="684A9FA2" w14:textId="09A210FC" w:rsidR="002A7F70" w:rsidRPr="00C119EA" w:rsidRDefault="00CC7854" w:rsidP="002A7F70">
      <w:pPr>
        <w:spacing w:line="360" w:lineRule="auto"/>
        <w:ind w:firstLine="708"/>
        <w:jc w:val="both"/>
      </w:pPr>
      <w:r w:rsidRPr="00C119EA">
        <w:rPr>
          <w:color w:val="181C16"/>
          <w:lang w:eastAsia="es-MX"/>
        </w:rPr>
        <w:t xml:space="preserve">En esta investigación </w:t>
      </w:r>
      <w:r w:rsidRPr="00280E25">
        <w:rPr>
          <w:color w:val="181C16"/>
          <w:lang w:eastAsia="es-MX"/>
        </w:rPr>
        <w:t>se adv</w:t>
      </w:r>
      <w:r w:rsidR="00777386" w:rsidRPr="00280E25">
        <w:rPr>
          <w:color w:val="181C16"/>
          <w:lang w:eastAsia="es-MX"/>
        </w:rPr>
        <w:t>ierte</w:t>
      </w:r>
      <w:r w:rsidRPr="00C119EA">
        <w:rPr>
          <w:color w:val="181C16"/>
          <w:lang w:eastAsia="es-MX"/>
        </w:rPr>
        <w:t xml:space="preserve"> de l</w:t>
      </w:r>
      <w:r w:rsidR="002A7F70" w:rsidRPr="00C119EA">
        <w:rPr>
          <w:color w:val="181C16"/>
          <w:lang w:eastAsia="es-MX"/>
        </w:rPr>
        <w:t xml:space="preserve">as diferencias en el gasto como porcentaje del PIB destinado a educación </w:t>
      </w:r>
      <w:r w:rsidR="009B2E8A">
        <w:rPr>
          <w:color w:val="181C16"/>
          <w:lang w:eastAsia="es-MX"/>
        </w:rPr>
        <w:t>en</w:t>
      </w:r>
      <w:r w:rsidR="009B2E8A" w:rsidRPr="00C119EA">
        <w:rPr>
          <w:color w:val="181C16"/>
          <w:lang w:eastAsia="es-MX"/>
        </w:rPr>
        <w:t xml:space="preserve"> </w:t>
      </w:r>
      <w:r w:rsidR="000E21FA" w:rsidRPr="00C119EA">
        <w:rPr>
          <w:color w:val="181C16"/>
          <w:lang w:eastAsia="es-MX"/>
        </w:rPr>
        <w:t xml:space="preserve">diversos </w:t>
      </w:r>
      <w:r w:rsidR="002A7F70" w:rsidRPr="00C119EA">
        <w:rPr>
          <w:color w:val="181C16"/>
          <w:lang w:eastAsia="es-MX"/>
        </w:rPr>
        <w:t>países</w:t>
      </w:r>
      <w:r w:rsidR="009B2E8A">
        <w:rPr>
          <w:color w:val="181C16"/>
          <w:lang w:eastAsia="es-MX"/>
        </w:rPr>
        <w:t>,</w:t>
      </w:r>
      <w:r w:rsidR="000E21FA" w:rsidRPr="00C119EA">
        <w:rPr>
          <w:color w:val="181C16"/>
          <w:lang w:eastAsia="es-MX"/>
        </w:rPr>
        <w:t xml:space="preserve"> entre los cuales se encuentra México. Ello </w:t>
      </w:r>
      <w:r w:rsidR="000E21FA" w:rsidRPr="00280E25">
        <w:rPr>
          <w:color w:val="181C16"/>
          <w:lang w:eastAsia="es-MX"/>
        </w:rPr>
        <w:lastRenderedPageBreak/>
        <w:t>revela</w:t>
      </w:r>
      <w:r w:rsidR="000E21FA" w:rsidRPr="00C119EA">
        <w:rPr>
          <w:color w:val="181C16"/>
          <w:lang w:eastAsia="es-MX"/>
        </w:rPr>
        <w:t xml:space="preserve"> la </w:t>
      </w:r>
      <w:r w:rsidR="002A7F70" w:rsidRPr="00C119EA">
        <w:rPr>
          <w:color w:val="181C16"/>
          <w:lang w:eastAsia="es-MX"/>
        </w:rPr>
        <w:t xml:space="preserve">disparidad de acceso respecto a los recursos financieros, así como a los beneficios del desarrollo. </w:t>
      </w:r>
      <w:r w:rsidR="002A7F70" w:rsidRPr="00C119EA">
        <w:t xml:space="preserve">En la parte occidental del mundo se destinan mayores fondos para aumentar los rendimientos económicos de la educación, ciencia y la tecnología. De hecho, por mucho tiempo, la sociedad </w:t>
      </w:r>
      <w:r w:rsidR="00851D26">
        <w:t>ha confiado</w:t>
      </w:r>
      <w:r w:rsidR="00851D26" w:rsidRPr="00C119EA">
        <w:t xml:space="preserve"> </w:t>
      </w:r>
      <w:r w:rsidR="002A7F70" w:rsidRPr="00C119EA">
        <w:t xml:space="preserve">en </w:t>
      </w:r>
      <w:r w:rsidR="00851D26">
        <w:t>estas áreas</w:t>
      </w:r>
      <w:r w:rsidR="00851D26" w:rsidRPr="00C119EA">
        <w:t xml:space="preserve"> </w:t>
      </w:r>
      <w:r w:rsidR="002A7F70" w:rsidRPr="00C119EA">
        <w:t>por considerarse una vía para alcanzar mayor movilidad social</w:t>
      </w:r>
      <w:r w:rsidR="008F0673" w:rsidRPr="00C119EA">
        <w:rPr>
          <w:b/>
        </w:rPr>
        <w:t xml:space="preserve">. </w:t>
      </w:r>
      <w:r w:rsidR="008F0673" w:rsidRPr="00280E25">
        <w:rPr>
          <w:bCs/>
        </w:rPr>
        <w:t>Lozano</w:t>
      </w:r>
      <w:r w:rsidR="002F72BB">
        <w:rPr>
          <w:b/>
        </w:rPr>
        <w:t xml:space="preserve">, </w:t>
      </w:r>
      <w:r w:rsidR="002F72BB" w:rsidRPr="00C119EA">
        <w:t xml:space="preserve">Amador </w:t>
      </w:r>
      <w:r w:rsidR="002F72BB">
        <w:t>y</w:t>
      </w:r>
      <w:r w:rsidR="002F72BB" w:rsidRPr="00C119EA">
        <w:t xml:space="preserve"> </w:t>
      </w:r>
      <w:proofErr w:type="spellStart"/>
      <w:r w:rsidR="002F72BB" w:rsidRPr="00C119EA">
        <w:t>Raluy</w:t>
      </w:r>
      <w:proofErr w:type="spellEnd"/>
      <w:r w:rsidR="002F72BB" w:rsidRPr="00C119EA">
        <w:t xml:space="preserve"> </w:t>
      </w:r>
      <w:r w:rsidR="008F0673" w:rsidRPr="00280E25">
        <w:rPr>
          <w:bCs/>
        </w:rPr>
        <w:t>(2021)</w:t>
      </w:r>
      <w:r w:rsidR="008F0673" w:rsidRPr="000B1671">
        <w:rPr>
          <w:bCs/>
        </w:rPr>
        <w:t xml:space="preserve"> </w:t>
      </w:r>
      <w:r w:rsidR="003A457B">
        <w:t>describen</w:t>
      </w:r>
      <w:r w:rsidR="003A457B" w:rsidRPr="00C119EA">
        <w:t xml:space="preserve"> </w:t>
      </w:r>
      <w:r w:rsidR="008F0673" w:rsidRPr="00C119EA">
        <w:t>c</w:t>
      </w:r>
      <w:r w:rsidR="003A457B">
        <w:t>ó</w:t>
      </w:r>
      <w:r w:rsidR="008F0673" w:rsidRPr="00C119EA">
        <w:t>mo en la sociedad del conocimiento es relevante</w:t>
      </w:r>
      <w:r w:rsidR="00176A94" w:rsidRPr="00C119EA">
        <w:t xml:space="preserve"> este tipo de inversiones, pues para las organizaciones</w:t>
      </w:r>
      <w:r w:rsidR="00777386" w:rsidRPr="00C119EA">
        <w:t xml:space="preserve"> </w:t>
      </w:r>
      <w:r w:rsidR="00510AE0" w:rsidRPr="00C119EA">
        <w:t xml:space="preserve">se vuelve crucial el logro de sus objetivos una vez que su fuerza de trabajo se vuelve más </w:t>
      </w:r>
      <w:r w:rsidR="003E5957" w:rsidRPr="00C119EA">
        <w:t>eficiente</w:t>
      </w:r>
      <w:r w:rsidR="00510AE0" w:rsidRPr="00C119EA">
        <w:t>.</w:t>
      </w:r>
    </w:p>
    <w:p w14:paraId="11DB0603" w14:textId="2348FE41" w:rsidR="00CC7854" w:rsidRPr="00C119EA" w:rsidRDefault="00CC7854" w:rsidP="00CC7854">
      <w:pPr>
        <w:spacing w:line="360" w:lineRule="auto"/>
        <w:ind w:firstLine="708"/>
        <w:jc w:val="both"/>
      </w:pPr>
      <w:r w:rsidRPr="00C119EA">
        <w:t xml:space="preserve">En el contexto internacional </w:t>
      </w:r>
      <w:r w:rsidRPr="00280E25">
        <w:t xml:space="preserve">se </w:t>
      </w:r>
      <w:r w:rsidR="007F1937" w:rsidRPr="00280E25">
        <w:t>observa</w:t>
      </w:r>
      <w:r w:rsidRPr="00C119EA">
        <w:t xml:space="preserve"> que entre los países que conforman la OCDE se considera al nivel bachillerato como el mínimo necesario para incorporarse al sector productivo. </w:t>
      </w:r>
      <w:r w:rsidR="000E21FA" w:rsidRPr="00C119EA">
        <w:t xml:space="preserve">En las organizaciones públicas y privadas de México </w:t>
      </w:r>
      <w:r w:rsidR="000E21FA" w:rsidRPr="00280E25">
        <w:t>se exige</w:t>
      </w:r>
      <w:r w:rsidR="000E21FA" w:rsidRPr="00C119EA">
        <w:t xml:space="preserve"> un nivel mayor de escolaridad formal como requisito para ser sujetos a empleos. Por </w:t>
      </w:r>
      <w:r w:rsidR="003A457B">
        <w:t>lo anterior</w:t>
      </w:r>
      <w:r w:rsidR="000E21FA" w:rsidRPr="00C119EA">
        <w:t xml:space="preserve">, </w:t>
      </w:r>
      <w:r w:rsidRPr="00C119EA">
        <w:t xml:space="preserve">el reto es </w:t>
      </w:r>
      <w:r w:rsidRPr="00280E25">
        <w:t>atender</w:t>
      </w:r>
      <w:r w:rsidRPr="00C119EA">
        <w:t xml:space="preserve"> a los grandes estratos de la población. </w:t>
      </w:r>
      <w:r w:rsidR="000E21FA" w:rsidRPr="00C119EA">
        <w:t xml:space="preserve">En ese sentido, </w:t>
      </w:r>
      <w:r w:rsidRPr="00C119EA">
        <w:t xml:space="preserve">no es ocioso preguntarse qué hacer con más de 5.5 millones de jornaleros agrícolas migrantes, entre los cuales un contingente enorme lo conforman niños y jóvenes en edad escolar que se ven precisados a trabajar en condiciones muy adversas. Otro reto, no menor, es el relativo al futuro de los miles de estudiantes rechazados de preparatorias y de universidades que no cuentan con los recursos para solventar su educación en escuelas privadas. </w:t>
      </w:r>
    </w:p>
    <w:p w14:paraId="1A8253BE" w14:textId="6433F819" w:rsidR="00CC7854" w:rsidRDefault="00CC7854" w:rsidP="00CC7854">
      <w:pPr>
        <w:autoSpaceDE w:val="0"/>
        <w:autoSpaceDN w:val="0"/>
        <w:adjustRightInd w:val="0"/>
        <w:spacing w:line="360" w:lineRule="auto"/>
        <w:ind w:firstLine="708"/>
        <w:jc w:val="both"/>
        <w:rPr>
          <w:lang w:eastAsia="es-MX"/>
        </w:rPr>
      </w:pPr>
      <w:r w:rsidRPr="00C119EA">
        <w:rPr>
          <w:lang w:eastAsia="es-MX"/>
        </w:rPr>
        <w:t xml:space="preserve">La existencia de disparidades relacionadas con la educación formal </w:t>
      </w:r>
      <w:r w:rsidR="007F1937" w:rsidRPr="00280E25">
        <w:rPr>
          <w:lang w:eastAsia="es-MX"/>
        </w:rPr>
        <w:t>muestra</w:t>
      </w:r>
      <w:r w:rsidRPr="00C119EA">
        <w:rPr>
          <w:lang w:eastAsia="es-MX"/>
        </w:rPr>
        <w:t xml:space="preserve"> la desigual asignación del gasto mundial en </w:t>
      </w:r>
      <w:r w:rsidR="00C979FE">
        <w:rPr>
          <w:lang w:eastAsia="es-MX"/>
        </w:rPr>
        <w:t>esta</w:t>
      </w:r>
      <w:r w:rsidR="00A0528D">
        <w:rPr>
          <w:lang w:eastAsia="es-MX"/>
        </w:rPr>
        <w:t>,</w:t>
      </w:r>
      <w:r w:rsidRPr="00C119EA">
        <w:rPr>
          <w:lang w:eastAsia="es-MX"/>
        </w:rPr>
        <w:t xml:space="preserve"> atendiendo el criterio de regiones y países diversos. El bloque de naciones con mayor nivel de desarrollo en el nivel de vida lo </w:t>
      </w:r>
      <w:r w:rsidRPr="00280E25">
        <w:rPr>
          <w:lang w:eastAsia="es-MX"/>
        </w:rPr>
        <w:t>constituyen</w:t>
      </w:r>
      <w:r w:rsidRPr="00C119EA">
        <w:rPr>
          <w:b/>
          <w:bCs/>
          <w:lang w:eastAsia="es-MX"/>
        </w:rPr>
        <w:t xml:space="preserve"> </w:t>
      </w:r>
      <w:r w:rsidRPr="00C119EA">
        <w:rPr>
          <w:lang w:eastAsia="es-MX"/>
        </w:rPr>
        <w:t xml:space="preserve">América del Norte y Europa Occidental, pues concentran menos de la población mundial en edad escolar —desde el nivel primario al terciario—, dado que por sí estas constituyen poco más de la mitad del gasto mundial total destinado a educación. </w:t>
      </w:r>
    </w:p>
    <w:p w14:paraId="071F5E7B" w14:textId="77777777" w:rsidR="002552BE" w:rsidRPr="00C119EA" w:rsidRDefault="002552BE" w:rsidP="00CC7854">
      <w:pPr>
        <w:autoSpaceDE w:val="0"/>
        <w:autoSpaceDN w:val="0"/>
        <w:adjustRightInd w:val="0"/>
        <w:spacing w:line="360" w:lineRule="auto"/>
        <w:ind w:firstLine="708"/>
        <w:jc w:val="both"/>
        <w:rPr>
          <w:lang w:eastAsia="es-MX"/>
        </w:rPr>
      </w:pPr>
    </w:p>
    <w:p w14:paraId="14D371C6" w14:textId="77777777" w:rsidR="00585D2B" w:rsidRPr="00C119EA" w:rsidRDefault="00585D2B" w:rsidP="00B6506A">
      <w:pPr>
        <w:spacing w:line="360" w:lineRule="auto"/>
        <w:jc w:val="center"/>
        <w:rPr>
          <w:b/>
          <w:sz w:val="32"/>
          <w:szCs w:val="32"/>
        </w:rPr>
      </w:pPr>
      <w:r w:rsidRPr="00C119EA">
        <w:rPr>
          <w:b/>
          <w:sz w:val="32"/>
          <w:szCs w:val="32"/>
        </w:rPr>
        <w:t>C</w:t>
      </w:r>
      <w:r w:rsidR="00B6506A" w:rsidRPr="00C119EA">
        <w:rPr>
          <w:b/>
          <w:sz w:val="32"/>
          <w:szCs w:val="32"/>
        </w:rPr>
        <w:t>onclusiones</w:t>
      </w:r>
    </w:p>
    <w:p w14:paraId="0EC072ED" w14:textId="77777777" w:rsidR="008F6EB0" w:rsidRPr="00C119EA" w:rsidRDefault="002970DB" w:rsidP="00DC286C">
      <w:pPr>
        <w:spacing w:line="360" w:lineRule="auto"/>
        <w:ind w:firstLine="567"/>
        <w:jc w:val="both"/>
      </w:pPr>
      <w:r w:rsidRPr="00C119EA">
        <w:t xml:space="preserve">En este trabajo se ha destacado la importancia de aumentar los niveles de </w:t>
      </w:r>
      <w:r w:rsidR="006C1A4D" w:rsidRPr="00C119EA">
        <w:t xml:space="preserve">inversión en </w:t>
      </w:r>
      <w:r w:rsidRPr="00C119EA">
        <w:t xml:space="preserve">educación formal. También se ha sostenido que la educación </w:t>
      </w:r>
      <w:r w:rsidR="00AB29D4" w:rsidRPr="00C119EA">
        <w:t>es fundamental a fin de</w:t>
      </w:r>
      <w:r w:rsidR="00107D91" w:rsidRPr="00C119EA">
        <w:t xml:space="preserve"> que los trabajadores tengan más recursos para su mejor desempeño en las </w:t>
      </w:r>
      <w:r w:rsidR="0035415E" w:rsidRPr="00C119EA">
        <w:t>organizaciones</w:t>
      </w:r>
      <w:r w:rsidR="00107D91" w:rsidRPr="00C119EA">
        <w:t xml:space="preserve">. Existe </w:t>
      </w:r>
      <w:r w:rsidRPr="00C119EA">
        <w:t xml:space="preserve">una relación positiva </w:t>
      </w:r>
      <w:r w:rsidR="0035415E" w:rsidRPr="00C119EA">
        <w:t>entre el desarrollo del capital humano y el c</w:t>
      </w:r>
      <w:r w:rsidR="00107D91" w:rsidRPr="00C119EA">
        <w:t>recimiento</w:t>
      </w:r>
      <w:r w:rsidR="0035415E" w:rsidRPr="00C119EA">
        <w:t xml:space="preserve"> económico</w:t>
      </w:r>
      <w:r w:rsidR="00543D6B" w:rsidRPr="00C119EA">
        <w:t xml:space="preserve">, lo cual </w:t>
      </w:r>
      <w:r w:rsidR="0035415E" w:rsidRPr="00C119EA">
        <w:t xml:space="preserve">queda de manifiesto entre las naciones que fomentan tal dinámica. </w:t>
      </w:r>
      <w:r w:rsidRPr="00C119EA">
        <w:t xml:space="preserve">La experiencia de las naciones </w:t>
      </w:r>
      <w:r w:rsidR="008F6EB0" w:rsidRPr="00C119EA">
        <w:t>con mayores niveles de bienestar</w:t>
      </w:r>
      <w:r w:rsidRPr="00C119EA">
        <w:t xml:space="preserve"> </w:t>
      </w:r>
      <w:r w:rsidR="00543D6B" w:rsidRPr="00C119EA">
        <w:t xml:space="preserve">que conforman </w:t>
      </w:r>
      <w:r w:rsidRPr="00C119EA">
        <w:t xml:space="preserve">la OCDE revela </w:t>
      </w:r>
      <w:r w:rsidR="00107D91" w:rsidRPr="00C119EA">
        <w:t xml:space="preserve">la necesidad de </w:t>
      </w:r>
      <w:r w:rsidRPr="00C119EA">
        <w:t>que los gobiernos se</w:t>
      </w:r>
      <w:r w:rsidR="00107D91" w:rsidRPr="00C119EA">
        <w:t>an</w:t>
      </w:r>
      <w:r w:rsidRPr="00C119EA">
        <w:t xml:space="preserve"> proactivos en la agenda </w:t>
      </w:r>
      <w:r w:rsidR="00863DBF" w:rsidRPr="00C119EA">
        <w:t>de la inversión en el capital humano</w:t>
      </w:r>
      <w:r w:rsidR="0035415E" w:rsidRPr="00C119EA">
        <w:t xml:space="preserve">, </w:t>
      </w:r>
      <w:r w:rsidR="00863DBF" w:rsidRPr="00C119EA">
        <w:t xml:space="preserve">y de la </w:t>
      </w:r>
      <w:r w:rsidRPr="00C119EA">
        <w:t>educación</w:t>
      </w:r>
      <w:r w:rsidR="00863DBF" w:rsidRPr="00C119EA">
        <w:t xml:space="preserve"> en específico</w:t>
      </w:r>
      <w:r w:rsidRPr="00C119EA">
        <w:t xml:space="preserve">. </w:t>
      </w:r>
    </w:p>
    <w:p w14:paraId="0805B835" w14:textId="192025F1" w:rsidR="00FD4556" w:rsidRPr="00C119EA" w:rsidRDefault="00FD4556" w:rsidP="005D700E">
      <w:pPr>
        <w:spacing w:line="360" w:lineRule="auto"/>
        <w:ind w:firstLine="567"/>
        <w:jc w:val="both"/>
      </w:pPr>
      <w:r w:rsidRPr="00C119EA">
        <w:lastRenderedPageBreak/>
        <w:t xml:space="preserve">Para alcanzar mayores niveles de escolaridad es fundamental aumentar el gasto público, pues se espera que se generen </w:t>
      </w:r>
      <w:r w:rsidR="0035415E" w:rsidRPr="00C119EA">
        <w:t>condiciones de movilidad social. Se requiere, adicionalmente</w:t>
      </w:r>
      <w:r w:rsidR="00C05B32" w:rsidRPr="00C119EA">
        <w:t>, implementar</w:t>
      </w:r>
      <w:r w:rsidRPr="00C119EA">
        <w:t xml:space="preserve"> otras inversiones</w:t>
      </w:r>
      <w:r w:rsidR="003B7D7E">
        <w:t>,</w:t>
      </w:r>
      <w:r w:rsidRPr="00C119EA">
        <w:t xml:space="preserve"> </w:t>
      </w:r>
      <w:r w:rsidR="00863DBF" w:rsidRPr="00C119EA">
        <w:t xml:space="preserve">como </w:t>
      </w:r>
      <w:r w:rsidR="00AB29D4" w:rsidRPr="00C119EA">
        <w:t xml:space="preserve">es el caso de </w:t>
      </w:r>
      <w:r w:rsidRPr="00C119EA">
        <w:t xml:space="preserve">las infraestructuras. </w:t>
      </w:r>
      <w:r w:rsidR="0035415E" w:rsidRPr="00C119EA">
        <w:t>Las naciones requieren actualizar su acervo de</w:t>
      </w:r>
      <w:r w:rsidRPr="00C119EA">
        <w:t xml:space="preserve"> conocimiento</w:t>
      </w:r>
      <w:r w:rsidR="0035415E" w:rsidRPr="00C119EA">
        <w:t>s</w:t>
      </w:r>
      <w:r w:rsidRPr="00C119EA">
        <w:t>, experiencia</w:t>
      </w:r>
      <w:r w:rsidR="0035415E" w:rsidRPr="00C119EA">
        <w:t>s</w:t>
      </w:r>
      <w:r w:rsidRPr="00C119EA">
        <w:t>, habilidades e innovaciones.</w:t>
      </w:r>
    </w:p>
    <w:p w14:paraId="5E786F04" w14:textId="1B38DFC1" w:rsidR="00782C3E" w:rsidRPr="00C119EA" w:rsidRDefault="00F903BA" w:rsidP="005D700E">
      <w:pPr>
        <w:spacing w:line="360" w:lineRule="auto"/>
        <w:ind w:firstLine="708"/>
        <w:jc w:val="both"/>
      </w:pPr>
      <w:r w:rsidRPr="00C119EA">
        <w:t xml:space="preserve">Debe señalarse que la actual situación de </w:t>
      </w:r>
      <w:r w:rsidR="00782C3E" w:rsidRPr="00C119EA">
        <w:t xml:space="preserve">México es </w:t>
      </w:r>
      <w:r w:rsidRPr="00C119EA">
        <w:t xml:space="preserve">adecuada para </w:t>
      </w:r>
      <w:r w:rsidR="00782C3E" w:rsidRPr="00C119EA">
        <w:t>la partici</w:t>
      </w:r>
      <w:r w:rsidR="00AE1723" w:rsidRPr="00C119EA">
        <w:t>pación de las empresas</w:t>
      </w:r>
      <w:r w:rsidR="002F41AA">
        <w:t>,</w:t>
      </w:r>
      <w:r w:rsidR="00AE1723" w:rsidRPr="00C119EA">
        <w:t xml:space="preserve"> </w:t>
      </w:r>
      <w:r w:rsidRPr="00C119EA">
        <w:t>las cuales deben enfocarse en s</w:t>
      </w:r>
      <w:r w:rsidR="00782C3E" w:rsidRPr="00C119EA">
        <w:t>ectores emergentes</w:t>
      </w:r>
      <w:r w:rsidR="00AB29D4" w:rsidRPr="00C119EA">
        <w:t xml:space="preserve"> </w:t>
      </w:r>
      <w:r w:rsidR="0035415E" w:rsidRPr="00C119EA">
        <w:t>q</w:t>
      </w:r>
      <w:r w:rsidR="00AB29D4" w:rsidRPr="00C119EA">
        <w:t xml:space="preserve">ue </w:t>
      </w:r>
      <w:r w:rsidRPr="00C119EA">
        <w:t xml:space="preserve">requieren </w:t>
      </w:r>
      <w:r w:rsidR="00AB29D4" w:rsidRPr="00C119EA">
        <w:t xml:space="preserve">atención </w:t>
      </w:r>
      <w:r w:rsidR="00543D6B" w:rsidRPr="00C119EA">
        <w:t>urgente</w:t>
      </w:r>
      <w:r w:rsidR="002F41AA">
        <w:t>,</w:t>
      </w:r>
      <w:r w:rsidR="00543D6B" w:rsidRPr="00C119EA">
        <w:t xml:space="preserve"> como</w:t>
      </w:r>
      <w:r w:rsidR="00782C3E" w:rsidRPr="00C119EA">
        <w:t xml:space="preserve"> </w:t>
      </w:r>
      <w:r w:rsidR="0035415E" w:rsidRPr="00C119EA">
        <w:t xml:space="preserve">lo son </w:t>
      </w:r>
      <w:r w:rsidR="00782C3E" w:rsidRPr="00C119EA">
        <w:t xml:space="preserve">la generación de energéticos, el manejo del agua, la sustentabilidad urbana, la innovación tecnológica, la necesidad de </w:t>
      </w:r>
      <w:r w:rsidR="00AB29D4" w:rsidRPr="00C119EA">
        <w:t>infraestructura moderna y demás,</w:t>
      </w:r>
      <w:r w:rsidR="00782C3E" w:rsidRPr="00C119EA">
        <w:t xml:space="preserve"> todos ellos necesarios para el presente y el futuro inmediato</w:t>
      </w:r>
      <w:r w:rsidR="00107D91" w:rsidRPr="00C119EA">
        <w:t>.</w:t>
      </w:r>
    </w:p>
    <w:p w14:paraId="4D47DB46" w14:textId="77777777" w:rsidR="00EC1E8F" w:rsidRPr="00C119EA" w:rsidRDefault="002970DB" w:rsidP="005D700E">
      <w:pPr>
        <w:spacing w:line="360" w:lineRule="auto"/>
        <w:ind w:firstLine="708"/>
        <w:jc w:val="both"/>
      </w:pPr>
      <w:r w:rsidRPr="00C119EA">
        <w:t xml:space="preserve">Se deben destinar mayores recursos a la formación de capital humano, pero también es necesario </w:t>
      </w:r>
      <w:r w:rsidR="00545E1A" w:rsidRPr="00C119EA">
        <w:t xml:space="preserve">que en México </w:t>
      </w:r>
      <w:r w:rsidR="00863DBF" w:rsidRPr="00C119EA">
        <w:t>l</w:t>
      </w:r>
      <w:r w:rsidR="00EB370A" w:rsidRPr="00C119EA">
        <w:t>as</w:t>
      </w:r>
      <w:r w:rsidRPr="00C119EA">
        <w:t xml:space="preserve"> reformas </w:t>
      </w:r>
      <w:r w:rsidR="00107D91" w:rsidRPr="00C119EA">
        <w:t>estructurales implementadas</w:t>
      </w:r>
      <w:r w:rsidR="00374DAC" w:rsidRPr="00C119EA">
        <w:t xml:space="preserve"> </w:t>
      </w:r>
      <w:r w:rsidR="00E05C45" w:rsidRPr="00C119EA">
        <w:t>—</w:t>
      </w:r>
      <w:r w:rsidRPr="00C119EA">
        <w:t>laboral, energética, fiscal, educativa, entre otras</w:t>
      </w:r>
      <w:r w:rsidR="00E05C45" w:rsidRPr="00C119EA">
        <w:t>—</w:t>
      </w:r>
      <w:r w:rsidRPr="00C119EA">
        <w:t xml:space="preserve"> </w:t>
      </w:r>
      <w:r w:rsidR="00107D91" w:rsidRPr="00C119EA">
        <w:t>contribuyan a superar</w:t>
      </w:r>
      <w:r w:rsidRPr="00C119EA">
        <w:t xml:space="preserve"> el estancamiento económico y la pérdida de competitividad de sectores importantes de la economía. </w:t>
      </w:r>
    </w:p>
    <w:p w14:paraId="58B3D8B5" w14:textId="77777777" w:rsidR="002970DB" w:rsidRPr="00C119EA" w:rsidRDefault="002970DB" w:rsidP="005D700E">
      <w:pPr>
        <w:spacing w:line="360" w:lineRule="auto"/>
        <w:ind w:firstLine="708"/>
        <w:jc w:val="both"/>
      </w:pPr>
      <w:r w:rsidRPr="00C119EA">
        <w:t xml:space="preserve">Con base en la </w:t>
      </w:r>
      <w:r w:rsidR="005A385F" w:rsidRPr="00C119EA">
        <w:t xml:space="preserve">información </w:t>
      </w:r>
      <w:r w:rsidR="001E1B9B" w:rsidRPr="00C119EA">
        <w:t>de la OCDE</w:t>
      </w:r>
      <w:r w:rsidR="00E05C45" w:rsidRPr="00C119EA">
        <w:t>,</w:t>
      </w:r>
      <w:r w:rsidR="005A385F" w:rsidRPr="00C119EA">
        <w:t xml:space="preserve"> se </w:t>
      </w:r>
      <w:r w:rsidRPr="00C119EA">
        <w:t>observa</w:t>
      </w:r>
      <w:r w:rsidR="008F6EB0" w:rsidRPr="00C119EA">
        <w:t xml:space="preserve"> la existencia de</w:t>
      </w:r>
      <w:r w:rsidRPr="00C119EA">
        <w:t xml:space="preserve"> patrones muy claros</w:t>
      </w:r>
      <w:r w:rsidR="005A385F" w:rsidRPr="00C119EA">
        <w:t xml:space="preserve">: los </w:t>
      </w:r>
      <w:r w:rsidR="00EC2C73" w:rsidRPr="00C119EA">
        <w:t>países</w:t>
      </w:r>
      <w:r w:rsidR="005A385F" w:rsidRPr="00C119EA">
        <w:t xml:space="preserve"> </w:t>
      </w:r>
      <w:r w:rsidR="008F6EB0" w:rsidRPr="00C119EA">
        <w:t>con mayor nivel de bienestar</w:t>
      </w:r>
      <w:r w:rsidR="005A385F" w:rsidRPr="00C119EA">
        <w:t xml:space="preserve"> </w:t>
      </w:r>
      <w:r w:rsidR="0035415E" w:rsidRPr="00C119EA">
        <w:t xml:space="preserve">destinan </w:t>
      </w:r>
      <w:r w:rsidR="005A385F" w:rsidRPr="00C119EA">
        <w:t xml:space="preserve">mayores </w:t>
      </w:r>
      <w:r w:rsidR="0035415E" w:rsidRPr="00C119EA">
        <w:t>presupuestos</w:t>
      </w:r>
      <w:r w:rsidR="005A385F" w:rsidRPr="00C119EA">
        <w:t xml:space="preserve"> en </w:t>
      </w:r>
      <w:r w:rsidR="00EC2C73" w:rsidRPr="00C119EA">
        <w:t>educación</w:t>
      </w:r>
      <w:r w:rsidR="005A385F" w:rsidRPr="00C119EA">
        <w:t xml:space="preserve"> porque se obtiene </w:t>
      </w:r>
      <w:r w:rsidR="00EC2C73" w:rsidRPr="00C119EA">
        <w:t>más</w:t>
      </w:r>
      <w:r w:rsidR="005A385F" w:rsidRPr="00C119EA">
        <w:t xml:space="preserve"> de ella. Los </w:t>
      </w:r>
      <w:r w:rsidR="00107D91" w:rsidRPr="00C119EA">
        <w:t xml:space="preserve">países </w:t>
      </w:r>
      <w:r w:rsidR="0035415E" w:rsidRPr="00C119EA">
        <w:t xml:space="preserve">que disponen de </w:t>
      </w:r>
      <w:r w:rsidR="005A385F" w:rsidRPr="00C119EA">
        <w:t>menores recursos</w:t>
      </w:r>
      <w:r w:rsidR="00BD0235" w:rsidRPr="00C119EA">
        <w:t xml:space="preserve"> para invertir en </w:t>
      </w:r>
      <w:r w:rsidR="0035415E" w:rsidRPr="00C119EA">
        <w:t xml:space="preserve">su educación, además de </w:t>
      </w:r>
      <w:r w:rsidR="00BD0235" w:rsidRPr="00C119EA">
        <w:t xml:space="preserve">otros </w:t>
      </w:r>
      <w:r w:rsidR="00514D76" w:rsidRPr="00C119EA">
        <w:t>aspectos del gasto social</w:t>
      </w:r>
      <w:r w:rsidR="00E05C45" w:rsidRPr="00C119EA">
        <w:t>, limitan</w:t>
      </w:r>
      <w:r w:rsidR="0035415E" w:rsidRPr="00C119EA">
        <w:t xml:space="preserve"> </w:t>
      </w:r>
      <w:r w:rsidR="00E05C45" w:rsidRPr="00C119EA">
        <w:t>así</w:t>
      </w:r>
      <w:r w:rsidR="005A385F" w:rsidRPr="00C119EA">
        <w:t xml:space="preserve"> su </w:t>
      </w:r>
      <w:r w:rsidR="00EC2C73" w:rsidRPr="00C119EA">
        <w:t>desempeño</w:t>
      </w:r>
      <w:r w:rsidR="005A385F" w:rsidRPr="00C119EA">
        <w:t xml:space="preserve"> </w:t>
      </w:r>
      <w:r w:rsidR="00EC2C73" w:rsidRPr="00C119EA">
        <w:t>económico</w:t>
      </w:r>
      <w:r w:rsidR="005A385F" w:rsidRPr="00C119EA">
        <w:t xml:space="preserve"> presente</w:t>
      </w:r>
      <w:r w:rsidR="0035415E" w:rsidRPr="00C119EA">
        <w:t>,</w:t>
      </w:r>
      <w:r w:rsidR="005A385F" w:rsidRPr="00C119EA">
        <w:t xml:space="preserve"> comprometiendo su futuro cercano</w:t>
      </w:r>
      <w:r w:rsidR="00545E1A" w:rsidRPr="00C119EA">
        <w:t>.</w:t>
      </w:r>
    </w:p>
    <w:p w14:paraId="3DF1912E" w14:textId="775B7344" w:rsidR="00385338" w:rsidRDefault="00292E75" w:rsidP="00385338">
      <w:pPr>
        <w:spacing w:line="360" w:lineRule="auto"/>
        <w:ind w:firstLine="708"/>
        <w:jc w:val="both"/>
      </w:pPr>
      <w:r w:rsidRPr="00C119EA">
        <w:t>C</w:t>
      </w:r>
      <w:r w:rsidR="00B9558E" w:rsidRPr="00C119EA">
        <w:t>omo parte de lo que se recomienda para</w:t>
      </w:r>
      <w:r w:rsidR="005A385F" w:rsidRPr="00C119EA">
        <w:t xml:space="preserve"> México</w:t>
      </w:r>
      <w:r w:rsidR="00E05C45" w:rsidRPr="00C119EA">
        <w:t>,</w:t>
      </w:r>
      <w:r w:rsidR="00B9558E" w:rsidRPr="00C119EA">
        <w:t xml:space="preserve"> debe decirse que el gobierno</w:t>
      </w:r>
      <w:r w:rsidR="00E05C45" w:rsidRPr="00C119EA">
        <w:t xml:space="preserve"> está obligado a actuar con base en</w:t>
      </w:r>
      <w:r w:rsidR="005A385F" w:rsidRPr="00C119EA">
        <w:t xml:space="preserve"> una reforma educativa </w:t>
      </w:r>
      <w:r w:rsidR="0035415E" w:rsidRPr="00C119EA">
        <w:t xml:space="preserve">en la que deba considerarse, adicionalmente, </w:t>
      </w:r>
      <w:r w:rsidR="005A385F" w:rsidRPr="00C119EA">
        <w:t xml:space="preserve">los aspectos de cobertura, </w:t>
      </w:r>
      <w:r w:rsidR="00727BF0" w:rsidRPr="00C119EA">
        <w:t xml:space="preserve">atención al rezago, </w:t>
      </w:r>
      <w:r w:rsidR="005A385F" w:rsidRPr="00C119EA">
        <w:t>calidad</w:t>
      </w:r>
      <w:r w:rsidR="00B9558E" w:rsidRPr="00C119EA">
        <w:t>,</w:t>
      </w:r>
      <w:r w:rsidR="005A385F" w:rsidRPr="00C119EA">
        <w:t xml:space="preserve"> pertinencia </w:t>
      </w:r>
      <w:r w:rsidR="00B9558E" w:rsidRPr="00C119EA">
        <w:t>y modernización</w:t>
      </w:r>
      <w:r w:rsidR="00D34B1E" w:rsidRPr="00C119EA">
        <w:t xml:space="preserve">. Ello es fundamental </w:t>
      </w:r>
      <w:r w:rsidR="005A385F" w:rsidRPr="00C119EA">
        <w:t>a fin de impulsar la participación eficiente de la economía mexicana con mayor valor agre</w:t>
      </w:r>
      <w:r w:rsidR="005809D2" w:rsidRPr="00C119EA">
        <w:t>gado, pues resulta absurdo</w:t>
      </w:r>
      <w:r w:rsidR="005A385F" w:rsidRPr="00C119EA">
        <w:t xml:space="preserve"> pretender alcanzar niveles de competitividad de clase mundial a partir de insumos </w:t>
      </w:r>
      <w:r w:rsidR="00727BF0" w:rsidRPr="00C119EA">
        <w:t xml:space="preserve">baratos y de </w:t>
      </w:r>
      <w:r w:rsidR="005000B5" w:rsidRPr="00C119EA">
        <w:t>una fuerza</w:t>
      </w:r>
      <w:r w:rsidR="005A385F" w:rsidRPr="00C119EA">
        <w:t xml:space="preserve"> de trabajo barata</w:t>
      </w:r>
      <w:r w:rsidR="00727BF0" w:rsidRPr="00C119EA">
        <w:t xml:space="preserve"> y medianamente preparada</w:t>
      </w:r>
      <w:r w:rsidR="005A385F" w:rsidRPr="00C119EA">
        <w:t xml:space="preserve">. </w:t>
      </w:r>
    </w:p>
    <w:p w14:paraId="688AB264" w14:textId="77777777" w:rsidR="00385338" w:rsidRDefault="00385338" w:rsidP="00385338">
      <w:pPr>
        <w:spacing w:line="360" w:lineRule="auto"/>
        <w:ind w:firstLine="708"/>
        <w:jc w:val="both"/>
      </w:pPr>
    </w:p>
    <w:p w14:paraId="6359E8B5" w14:textId="77777777" w:rsidR="00385338" w:rsidRDefault="00385338" w:rsidP="00385338">
      <w:pPr>
        <w:spacing w:line="360" w:lineRule="auto"/>
        <w:ind w:firstLine="708"/>
        <w:jc w:val="both"/>
      </w:pPr>
    </w:p>
    <w:p w14:paraId="635E404B" w14:textId="77777777" w:rsidR="00385338" w:rsidRDefault="00385338" w:rsidP="00385338">
      <w:pPr>
        <w:spacing w:line="360" w:lineRule="auto"/>
        <w:ind w:firstLine="708"/>
        <w:jc w:val="both"/>
      </w:pPr>
    </w:p>
    <w:p w14:paraId="60C2956E" w14:textId="77777777" w:rsidR="00385338" w:rsidRDefault="00385338" w:rsidP="00385338">
      <w:pPr>
        <w:spacing w:line="360" w:lineRule="auto"/>
        <w:ind w:firstLine="708"/>
        <w:jc w:val="both"/>
      </w:pPr>
    </w:p>
    <w:p w14:paraId="1CF6F41A" w14:textId="77777777" w:rsidR="00385338" w:rsidRDefault="00385338" w:rsidP="00385338">
      <w:pPr>
        <w:spacing w:line="360" w:lineRule="auto"/>
        <w:ind w:firstLine="708"/>
        <w:jc w:val="both"/>
      </w:pPr>
    </w:p>
    <w:p w14:paraId="04C24509" w14:textId="77777777" w:rsidR="00385338" w:rsidRDefault="00385338" w:rsidP="00385338">
      <w:pPr>
        <w:spacing w:line="360" w:lineRule="auto"/>
        <w:ind w:firstLine="708"/>
        <w:jc w:val="both"/>
      </w:pPr>
    </w:p>
    <w:p w14:paraId="2BD7FF4A" w14:textId="77777777" w:rsidR="00385338" w:rsidRPr="00385338" w:rsidRDefault="00385338" w:rsidP="00385338">
      <w:pPr>
        <w:spacing w:line="360" w:lineRule="auto"/>
        <w:ind w:firstLine="708"/>
        <w:jc w:val="both"/>
      </w:pPr>
    </w:p>
    <w:p w14:paraId="7AC76BD6" w14:textId="0319383F" w:rsidR="000750EA" w:rsidRPr="00280E25" w:rsidRDefault="000750EA" w:rsidP="000750EA">
      <w:pPr>
        <w:spacing w:line="360" w:lineRule="auto"/>
        <w:ind w:firstLine="708"/>
        <w:jc w:val="center"/>
        <w:rPr>
          <w:b/>
          <w:sz w:val="28"/>
          <w:szCs w:val="28"/>
        </w:rPr>
      </w:pPr>
      <w:r w:rsidRPr="00280E25">
        <w:rPr>
          <w:b/>
          <w:sz w:val="28"/>
          <w:szCs w:val="28"/>
        </w:rPr>
        <w:lastRenderedPageBreak/>
        <w:t>Futuras líneas de investigación</w:t>
      </w:r>
    </w:p>
    <w:p w14:paraId="4F80EE3F" w14:textId="7D701414" w:rsidR="00A4059B" w:rsidRPr="00C119EA" w:rsidRDefault="00415130" w:rsidP="00DB414B">
      <w:pPr>
        <w:pStyle w:val="Sinespaciado"/>
        <w:spacing w:line="360" w:lineRule="auto"/>
        <w:ind w:firstLine="708"/>
        <w:jc w:val="both"/>
        <w:rPr>
          <w:shd w:val="clear" w:color="auto" w:fill="FFFFFF"/>
          <w:lang w:val="es-MX"/>
        </w:rPr>
      </w:pPr>
      <w:r w:rsidRPr="00C119EA">
        <w:rPr>
          <w:shd w:val="clear" w:color="auto" w:fill="FFFFFF"/>
          <w:lang w:val="es-MX"/>
        </w:rPr>
        <w:t>Finalmente debe señalarse que esta temática es de relevancia para trabajar en futuras líneas de i</w:t>
      </w:r>
      <w:r w:rsidR="00292E75" w:rsidRPr="00C119EA">
        <w:rPr>
          <w:shd w:val="clear" w:color="auto" w:fill="FFFFFF"/>
          <w:lang w:val="es-MX"/>
        </w:rPr>
        <w:t>nvestigación</w:t>
      </w:r>
      <w:r w:rsidRPr="00C119EA">
        <w:rPr>
          <w:shd w:val="clear" w:color="auto" w:fill="FFFFFF"/>
          <w:lang w:val="es-MX"/>
        </w:rPr>
        <w:t>, pues la formación de capital humano es crucial para impulsar el crecimiento y el desarrollo económico a través de la ciencia, tecnología e innovación. Las naciones deben ser competitivas</w:t>
      </w:r>
      <w:r w:rsidR="000750EA" w:rsidRPr="00C119EA">
        <w:rPr>
          <w:shd w:val="clear" w:color="auto" w:fill="FFFFFF"/>
          <w:lang w:val="es-MX"/>
        </w:rPr>
        <w:t xml:space="preserve"> a fin de </w:t>
      </w:r>
      <w:r w:rsidRPr="00C119EA">
        <w:rPr>
          <w:shd w:val="clear" w:color="auto" w:fill="FFFFFF"/>
          <w:lang w:val="es-MX"/>
        </w:rPr>
        <w:t>atraer la inversión nacional y extranjera. La formación de empresas es crucial para la generación de los empleos e ingresos de las familias.</w:t>
      </w:r>
      <w:r w:rsidR="00DB414B" w:rsidRPr="00C119EA">
        <w:rPr>
          <w:shd w:val="clear" w:color="auto" w:fill="FFFFFF"/>
          <w:lang w:val="es-MX"/>
        </w:rPr>
        <w:t xml:space="preserve"> Debe señalarse que los subsidios al capital humano y a la educación en específico se han implementado desde hace décadas. México también ha realizado dichas </w:t>
      </w:r>
      <w:r w:rsidR="00E374B4" w:rsidRPr="00C119EA">
        <w:rPr>
          <w:shd w:val="clear" w:color="auto" w:fill="FFFFFF"/>
          <w:lang w:val="es-MX"/>
        </w:rPr>
        <w:t>inversiones,</w:t>
      </w:r>
      <w:r w:rsidR="000750EA" w:rsidRPr="00C119EA">
        <w:rPr>
          <w:shd w:val="clear" w:color="auto" w:fill="FFFFFF"/>
          <w:lang w:val="es-MX"/>
        </w:rPr>
        <w:t xml:space="preserve"> aunque con presupuestos insuficientes si se compara con </w:t>
      </w:r>
      <w:r w:rsidR="00E374B4">
        <w:rPr>
          <w:shd w:val="clear" w:color="auto" w:fill="FFFFFF"/>
          <w:lang w:val="es-MX"/>
        </w:rPr>
        <w:t xml:space="preserve">otros </w:t>
      </w:r>
      <w:r w:rsidR="000750EA" w:rsidRPr="00C119EA">
        <w:rPr>
          <w:shd w:val="clear" w:color="auto" w:fill="FFFFFF"/>
          <w:lang w:val="es-MX"/>
        </w:rPr>
        <w:t>países de la OCDE</w:t>
      </w:r>
      <w:r w:rsidR="00DB414B" w:rsidRPr="00C119EA">
        <w:rPr>
          <w:shd w:val="clear" w:color="auto" w:fill="FFFFFF"/>
          <w:lang w:val="es-MX"/>
        </w:rPr>
        <w:t>. Los rendimientos de dichas inversiones son positivos</w:t>
      </w:r>
      <w:r w:rsidR="000750EA" w:rsidRPr="00C119EA">
        <w:rPr>
          <w:shd w:val="clear" w:color="auto" w:fill="FFFFFF"/>
          <w:lang w:val="es-MX"/>
        </w:rPr>
        <w:t xml:space="preserve"> por naturaleza</w:t>
      </w:r>
      <w:r w:rsidR="00DB414B" w:rsidRPr="00C119EA">
        <w:rPr>
          <w:shd w:val="clear" w:color="auto" w:fill="FFFFFF"/>
          <w:lang w:val="es-MX"/>
        </w:rPr>
        <w:t xml:space="preserve">. En el presente los retos no son </w:t>
      </w:r>
      <w:r w:rsidR="000750EA" w:rsidRPr="00C119EA">
        <w:rPr>
          <w:shd w:val="clear" w:color="auto" w:fill="FFFFFF"/>
          <w:lang w:val="es-MX"/>
        </w:rPr>
        <w:t>menor</w:t>
      </w:r>
      <w:r w:rsidR="00E374B4">
        <w:rPr>
          <w:shd w:val="clear" w:color="auto" w:fill="FFFFFF"/>
          <w:lang w:val="es-MX"/>
        </w:rPr>
        <w:t>es,</w:t>
      </w:r>
      <w:r w:rsidR="000750EA" w:rsidRPr="00C119EA">
        <w:rPr>
          <w:shd w:val="clear" w:color="auto" w:fill="FFFFFF"/>
          <w:lang w:val="es-MX"/>
        </w:rPr>
        <w:t xml:space="preserve"> dado que </w:t>
      </w:r>
      <w:r w:rsidR="00DB414B" w:rsidRPr="00C119EA">
        <w:rPr>
          <w:shd w:val="clear" w:color="auto" w:fill="FFFFFF"/>
          <w:lang w:val="es-MX"/>
        </w:rPr>
        <w:t>se requiere atender problemáticas diversas de orden material y social</w:t>
      </w:r>
      <w:r w:rsidR="00E374B4">
        <w:rPr>
          <w:shd w:val="clear" w:color="auto" w:fill="FFFFFF"/>
          <w:lang w:val="es-MX"/>
        </w:rPr>
        <w:t>,</w:t>
      </w:r>
      <w:r w:rsidR="000750EA" w:rsidRPr="00C119EA">
        <w:rPr>
          <w:shd w:val="clear" w:color="auto" w:fill="FFFFFF"/>
          <w:lang w:val="es-MX"/>
        </w:rPr>
        <w:t xml:space="preserve"> como el acceso al agua, energías, producción de alimentos,</w:t>
      </w:r>
      <w:r w:rsidR="00A4059B" w:rsidRPr="00C119EA">
        <w:rPr>
          <w:shd w:val="clear" w:color="auto" w:fill="FFFFFF"/>
          <w:lang w:val="es-MX"/>
        </w:rPr>
        <w:t xml:space="preserve"> </w:t>
      </w:r>
      <w:r w:rsidR="000750EA" w:rsidRPr="00C119EA">
        <w:rPr>
          <w:shd w:val="clear" w:color="auto" w:fill="FFFFFF"/>
          <w:lang w:val="es-MX"/>
        </w:rPr>
        <w:t>manejo de residuos y desarrollo sustentable, además de inversiones en salud, educación, carreteras y demás satisfactores de primera necesidad.</w:t>
      </w:r>
    </w:p>
    <w:p w14:paraId="2040CA52" w14:textId="449E87FC" w:rsidR="00E143DE" w:rsidRPr="00C119EA" w:rsidRDefault="00A4059B" w:rsidP="00DB414B">
      <w:pPr>
        <w:pStyle w:val="Sinespaciado"/>
        <w:spacing w:line="360" w:lineRule="auto"/>
        <w:ind w:firstLine="708"/>
        <w:jc w:val="both"/>
        <w:rPr>
          <w:shd w:val="clear" w:color="auto" w:fill="FFFFFF"/>
          <w:lang w:val="es-MX"/>
        </w:rPr>
      </w:pPr>
      <w:r w:rsidRPr="00C119EA">
        <w:rPr>
          <w:shd w:val="clear" w:color="auto" w:fill="FFFFFF"/>
          <w:lang w:val="es-MX"/>
        </w:rPr>
        <w:t>Sería muy útil explorar en ulteriores investigaciones c</w:t>
      </w:r>
      <w:r w:rsidR="00E374B4">
        <w:rPr>
          <w:shd w:val="clear" w:color="auto" w:fill="FFFFFF"/>
          <w:lang w:val="es-MX"/>
        </w:rPr>
        <w:t>ó</w:t>
      </w:r>
      <w:r w:rsidRPr="00C119EA">
        <w:rPr>
          <w:shd w:val="clear" w:color="auto" w:fill="FFFFFF"/>
          <w:lang w:val="es-MX"/>
        </w:rPr>
        <w:t>mo han alcanzado estadios de mayor crecimiento y desarrollo países como los nórdicos, Japón, Corea del Sur, Singapur, entre otros, los cuales han realizado considerables inversiones en la formación del capital humano. De hecho, otros arreglos institucionales se han incorporado a las respectivas políticas gubernamentales de dichos países. Otra</w:t>
      </w:r>
      <w:r w:rsidR="00DE78C1" w:rsidRPr="00C119EA">
        <w:rPr>
          <w:shd w:val="clear" w:color="auto" w:fill="FFFFFF"/>
          <w:lang w:val="es-MX"/>
        </w:rPr>
        <w:t>s</w:t>
      </w:r>
      <w:r w:rsidRPr="00C119EA">
        <w:rPr>
          <w:shd w:val="clear" w:color="auto" w:fill="FFFFFF"/>
          <w:lang w:val="es-MX"/>
        </w:rPr>
        <w:t xml:space="preserve"> investi</w:t>
      </w:r>
      <w:r w:rsidR="00DE78C1" w:rsidRPr="00C119EA">
        <w:rPr>
          <w:shd w:val="clear" w:color="auto" w:fill="FFFFFF"/>
          <w:lang w:val="es-MX"/>
        </w:rPr>
        <w:t xml:space="preserve">gaciones </w:t>
      </w:r>
      <w:r w:rsidRPr="00C119EA">
        <w:rPr>
          <w:shd w:val="clear" w:color="auto" w:fill="FFFFFF"/>
          <w:lang w:val="es-MX"/>
        </w:rPr>
        <w:t xml:space="preserve">por explorarse </w:t>
      </w:r>
      <w:r w:rsidR="00DE78C1" w:rsidRPr="00C119EA">
        <w:rPr>
          <w:shd w:val="clear" w:color="auto" w:fill="FFFFFF"/>
          <w:lang w:val="es-MX"/>
        </w:rPr>
        <w:t>son aquellas que tiene</w:t>
      </w:r>
      <w:r w:rsidR="00ED6A4D">
        <w:rPr>
          <w:shd w:val="clear" w:color="auto" w:fill="FFFFFF"/>
          <w:lang w:val="es-MX"/>
        </w:rPr>
        <w:t>n</w:t>
      </w:r>
      <w:r w:rsidR="00DE78C1" w:rsidRPr="00C119EA">
        <w:rPr>
          <w:shd w:val="clear" w:color="auto" w:fill="FFFFFF"/>
          <w:lang w:val="es-MX"/>
        </w:rPr>
        <w:t xml:space="preserve"> que ver con </w:t>
      </w:r>
      <w:r w:rsidRPr="00C119EA">
        <w:rPr>
          <w:shd w:val="clear" w:color="auto" w:fill="FFFFFF"/>
          <w:lang w:val="es-MX"/>
        </w:rPr>
        <w:t xml:space="preserve">las dotaciones del capital humano </w:t>
      </w:r>
      <w:r w:rsidR="00DE78C1" w:rsidRPr="00C119EA">
        <w:rPr>
          <w:shd w:val="clear" w:color="auto" w:fill="FFFFFF"/>
          <w:lang w:val="es-MX"/>
        </w:rPr>
        <w:t xml:space="preserve">y estudios de prospectivas </w:t>
      </w:r>
      <w:r w:rsidRPr="00C119EA">
        <w:rPr>
          <w:shd w:val="clear" w:color="auto" w:fill="FFFFFF"/>
          <w:lang w:val="es-MX"/>
        </w:rPr>
        <w:t xml:space="preserve">a nivel entidades federativas </w:t>
      </w:r>
      <w:r w:rsidR="00DE78C1" w:rsidRPr="00C119EA">
        <w:rPr>
          <w:shd w:val="clear" w:color="auto" w:fill="FFFFFF"/>
          <w:lang w:val="es-MX"/>
        </w:rPr>
        <w:t>y</w:t>
      </w:r>
      <w:r w:rsidRPr="00C119EA">
        <w:rPr>
          <w:shd w:val="clear" w:color="auto" w:fill="FFFFFF"/>
          <w:lang w:val="es-MX"/>
        </w:rPr>
        <w:t xml:space="preserve"> regiones en México.</w:t>
      </w:r>
    </w:p>
    <w:p w14:paraId="709E60B0" w14:textId="77777777" w:rsidR="00F241F2" w:rsidRDefault="00F241F2" w:rsidP="006E7847">
      <w:pPr>
        <w:spacing w:line="480" w:lineRule="auto"/>
        <w:jc w:val="center"/>
        <w:rPr>
          <w:b/>
        </w:rPr>
      </w:pPr>
    </w:p>
    <w:p w14:paraId="23E7E24E" w14:textId="77777777" w:rsidR="00385338" w:rsidRDefault="00385338" w:rsidP="006E7847">
      <w:pPr>
        <w:spacing w:line="480" w:lineRule="auto"/>
        <w:jc w:val="center"/>
        <w:rPr>
          <w:b/>
        </w:rPr>
      </w:pPr>
    </w:p>
    <w:p w14:paraId="1644DC77" w14:textId="77777777" w:rsidR="00385338" w:rsidRDefault="00385338" w:rsidP="006E7847">
      <w:pPr>
        <w:spacing w:line="480" w:lineRule="auto"/>
        <w:jc w:val="center"/>
        <w:rPr>
          <w:b/>
        </w:rPr>
      </w:pPr>
    </w:p>
    <w:p w14:paraId="75986227" w14:textId="77777777" w:rsidR="00385338" w:rsidRDefault="00385338" w:rsidP="006E7847">
      <w:pPr>
        <w:spacing w:line="480" w:lineRule="auto"/>
        <w:jc w:val="center"/>
        <w:rPr>
          <w:b/>
        </w:rPr>
      </w:pPr>
    </w:p>
    <w:p w14:paraId="2FEB794B" w14:textId="77777777" w:rsidR="00385338" w:rsidRDefault="00385338" w:rsidP="006E7847">
      <w:pPr>
        <w:spacing w:line="480" w:lineRule="auto"/>
        <w:jc w:val="center"/>
        <w:rPr>
          <w:b/>
        </w:rPr>
      </w:pPr>
    </w:p>
    <w:p w14:paraId="459F7798" w14:textId="77777777" w:rsidR="00385338" w:rsidRDefault="00385338" w:rsidP="006E7847">
      <w:pPr>
        <w:spacing w:line="480" w:lineRule="auto"/>
        <w:jc w:val="center"/>
        <w:rPr>
          <w:b/>
        </w:rPr>
      </w:pPr>
    </w:p>
    <w:p w14:paraId="70886B03" w14:textId="77777777" w:rsidR="00385338" w:rsidRDefault="00385338" w:rsidP="006E7847">
      <w:pPr>
        <w:spacing w:line="480" w:lineRule="auto"/>
        <w:jc w:val="center"/>
        <w:rPr>
          <w:b/>
        </w:rPr>
      </w:pPr>
    </w:p>
    <w:p w14:paraId="54DD1C5B" w14:textId="77777777" w:rsidR="00385338" w:rsidRDefault="00385338" w:rsidP="006E7847">
      <w:pPr>
        <w:spacing w:line="480" w:lineRule="auto"/>
        <w:jc w:val="center"/>
        <w:rPr>
          <w:b/>
        </w:rPr>
      </w:pPr>
    </w:p>
    <w:p w14:paraId="2546B3B0" w14:textId="77777777" w:rsidR="00385338" w:rsidRPr="00C119EA" w:rsidRDefault="00385338" w:rsidP="006E7847">
      <w:pPr>
        <w:spacing w:line="480" w:lineRule="auto"/>
        <w:jc w:val="center"/>
        <w:rPr>
          <w:b/>
        </w:rPr>
      </w:pPr>
    </w:p>
    <w:p w14:paraId="06F022EC" w14:textId="28B746C1" w:rsidR="006F46E7" w:rsidRPr="00EB750E" w:rsidRDefault="006E7847" w:rsidP="00280E25">
      <w:pPr>
        <w:spacing w:line="480" w:lineRule="auto"/>
        <w:rPr>
          <w:rFonts w:asciiTheme="minorHAnsi" w:hAnsiTheme="minorHAnsi" w:cstheme="minorHAnsi"/>
          <w:b/>
          <w:sz w:val="28"/>
          <w:szCs w:val="28"/>
        </w:rPr>
      </w:pPr>
      <w:r w:rsidRPr="00EB750E">
        <w:rPr>
          <w:rFonts w:asciiTheme="minorHAnsi" w:hAnsiTheme="minorHAnsi" w:cstheme="minorHAnsi"/>
          <w:b/>
          <w:sz w:val="28"/>
          <w:szCs w:val="28"/>
        </w:rPr>
        <w:lastRenderedPageBreak/>
        <w:t>Referencias</w:t>
      </w:r>
      <w:r w:rsidR="00777386" w:rsidRPr="00EB750E">
        <w:rPr>
          <w:rFonts w:asciiTheme="minorHAnsi" w:hAnsiTheme="minorHAnsi" w:cstheme="minorHAnsi"/>
          <w:b/>
          <w:sz w:val="28"/>
          <w:szCs w:val="28"/>
        </w:rPr>
        <w:t xml:space="preserve"> </w:t>
      </w:r>
    </w:p>
    <w:p w14:paraId="79DD7A6C" w14:textId="10D39D4D" w:rsidR="00DC35CF" w:rsidRPr="00C119EA" w:rsidRDefault="00DC35CF" w:rsidP="009859CC">
      <w:pPr>
        <w:autoSpaceDE w:val="0"/>
        <w:autoSpaceDN w:val="0"/>
        <w:adjustRightInd w:val="0"/>
        <w:spacing w:line="360" w:lineRule="auto"/>
        <w:ind w:left="709" w:hanging="709"/>
        <w:jc w:val="both"/>
        <w:rPr>
          <w:b/>
        </w:rPr>
      </w:pPr>
      <w:r w:rsidRPr="00C119EA">
        <w:rPr>
          <w:rFonts w:eastAsia="Calibri"/>
          <w:lang w:eastAsia="es-MX"/>
        </w:rPr>
        <w:t>Acevedo, A. F. (2018). La teoría del capital humano, revalorización de la educación: análisis,</w:t>
      </w:r>
      <w:r w:rsidR="00A674A6" w:rsidRPr="00C119EA">
        <w:rPr>
          <w:rFonts w:eastAsia="Calibri"/>
          <w:lang w:eastAsia="es-MX"/>
        </w:rPr>
        <w:t xml:space="preserve"> </w:t>
      </w:r>
      <w:r w:rsidRPr="00C119EA">
        <w:rPr>
          <w:rFonts w:eastAsia="Calibri"/>
          <w:lang w:eastAsia="es-MX"/>
        </w:rPr>
        <w:t xml:space="preserve">evolución y críticas de sus postulados. </w:t>
      </w:r>
      <w:r w:rsidRPr="00C119EA">
        <w:rPr>
          <w:rFonts w:eastAsia="Calibri"/>
          <w:i/>
          <w:lang w:eastAsia="es-MX"/>
        </w:rPr>
        <w:t>Revista Reflexiones y Saberes</w:t>
      </w:r>
      <w:r w:rsidRPr="00C119EA">
        <w:rPr>
          <w:rFonts w:eastAsia="Calibri"/>
          <w:lang w:eastAsia="es-MX"/>
        </w:rPr>
        <w:t>, 5(8), 58-72.</w:t>
      </w:r>
    </w:p>
    <w:p w14:paraId="260E0670" w14:textId="4E6B8CAA" w:rsidR="00AC130A" w:rsidRPr="00C119EA" w:rsidRDefault="00871F8C" w:rsidP="009859CC">
      <w:pPr>
        <w:pStyle w:val="Sinespaciado"/>
        <w:spacing w:line="360" w:lineRule="auto"/>
        <w:ind w:left="709" w:hanging="709"/>
        <w:jc w:val="both"/>
        <w:rPr>
          <w:lang w:val="es-MX"/>
        </w:rPr>
      </w:pPr>
      <w:r w:rsidRPr="00C119EA">
        <w:rPr>
          <w:lang w:val="es-MX"/>
        </w:rPr>
        <w:t xml:space="preserve">        </w:t>
      </w:r>
      <w:r w:rsidR="00AA692E" w:rsidRPr="00C119EA">
        <w:rPr>
          <w:lang w:val="es-MX"/>
        </w:rPr>
        <w:t xml:space="preserve"> </w:t>
      </w:r>
      <w:r w:rsidR="0053392A">
        <w:rPr>
          <w:lang w:val="es-MX"/>
        </w:rPr>
        <w:t xml:space="preserve">Recuperado de </w:t>
      </w:r>
      <w:hyperlink r:id="rId15" w:history="1">
        <w:r w:rsidR="0053392A" w:rsidRPr="0053392A">
          <w:rPr>
            <w:rStyle w:val="Hipervnculo"/>
            <w:lang w:val="es-MX"/>
          </w:rPr>
          <w:t>https://revistavirtual.ucn.edu.co/index.php/RevistaRyS/article/view/971</w:t>
        </w:r>
      </w:hyperlink>
    </w:p>
    <w:p w14:paraId="0508CB59" w14:textId="138D008E" w:rsidR="00AC130A" w:rsidRPr="00DA192F" w:rsidRDefault="00AC130A" w:rsidP="009859CC">
      <w:pPr>
        <w:spacing w:line="360" w:lineRule="auto"/>
        <w:ind w:left="709" w:hanging="709"/>
        <w:jc w:val="both"/>
        <w:rPr>
          <w:lang w:val="en-US"/>
        </w:rPr>
      </w:pPr>
      <w:proofErr w:type="spellStart"/>
      <w:r w:rsidRPr="00DA192F">
        <w:rPr>
          <w:lang w:val="en-US"/>
        </w:rPr>
        <w:t>Agasisti</w:t>
      </w:r>
      <w:proofErr w:type="spellEnd"/>
      <w:r w:rsidRPr="00DA192F">
        <w:rPr>
          <w:lang w:val="en-US"/>
        </w:rPr>
        <w:t xml:space="preserve">, T. (2014). The Efficiency of Public Spending on Education: an empirical comparison of EU countries. </w:t>
      </w:r>
      <w:r w:rsidRPr="00DA192F">
        <w:rPr>
          <w:i/>
          <w:iCs/>
          <w:lang w:val="en-US"/>
        </w:rPr>
        <w:t>European Journal of Education</w:t>
      </w:r>
      <w:r w:rsidRPr="00DA192F">
        <w:rPr>
          <w:lang w:val="en-US"/>
        </w:rPr>
        <w:t xml:space="preserve">, </w:t>
      </w:r>
      <w:r w:rsidRPr="00DA192F">
        <w:rPr>
          <w:i/>
          <w:iCs/>
          <w:lang w:val="en-US"/>
        </w:rPr>
        <w:t>49</w:t>
      </w:r>
      <w:r w:rsidRPr="00DA192F">
        <w:rPr>
          <w:lang w:val="en-US"/>
        </w:rPr>
        <w:t xml:space="preserve">(4), 543–557. </w:t>
      </w:r>
      <w:proofErr w:type="spellStart"/>
      <w:r w:rsidR="0053392A" w:rsidRPr="00DA192F">
        <w:rPr>
          <w:lang w:val="en-US"/>
        </w:rPr>
        <w:t>Recuperado</w:t>
      </w:r>
      <w:proofErr w:type="spellEnd"/>
      <w:r w:rsidR="0053392A" w:rsidRPr="00DA192F">
        <w:rPr>
          <w:lang w:val="en-US"/>
        </w:rPr>
        <w:t xml:space="preserve"> de </w:t>
      </w:r>
      <w:hyperlink r:id="rId16" w:history="1">
        <w:r w:rsidR="0053392A" w:rsidRPr="00DA192F">
          <w:rPr>
            <w:rStyle w:val="Hipervnculo"/>
            <w:lang w:val="en-US"/>
          </w:rPr>
          <w:t>https://www.jstor.org/stable/26609241</w:t>
        </w:r>
      </w:hyperlink>
    </w:p>
    <w:p w14:paraId="20AAD71E" w14:textId="36C419E9" w:rsidR="001D1B95" w:rsidRPr="00C119EA" w:rsidRDefault="001D1B95" w:rsidP="009859CC">
      <w:pPr>
        <w:pStyle w:val="Sinespaciado"/>
        <w:spacing w:line="360" w:lineRule="auto"/>
        <w:ind w:left="709" w:hanging="709"/>
        <w:jc w:val="both"/>
        <w:rPr>
          <w:lang w:val="es-MX"/>
        </w:rPr>
      </w:pPr>
      <w:r w:rsidRPr="00DA192F">
        <w:t>Barro, R</w:t>
      </w:r>
      <w:r w:rsidR="00675AF9" w:rsidRPr="00DA192F">
        <w:t>.</w:t>
      </w:r>
      <w:r w:rsidRPr="00DA192F">
        <w:t xml:space="preserve"> </w:t>
      </w:r>
      <w:r w:rsidR="00675AF9" w:rsidRPr="00DA192F">
        <w:t xml:space="preserve">y </w:t>
      </w:r>
      <w:r w:rsidRPr="00DA192F">
        <w:t>J</w:t>
      </w:r>
      <w:r w:rsidR="00675AF9" w:rsidRPr="00DA192F">
        <w:t>.</w:t>
      </w:r>
      <w:r w:rsidRPr="00DA192F">
        <w:t xml:space="preserve"> Lee (201</w:t>
      </w:r>
      <w:r w:rsidR="001A4CEE" w:rsidRPr="00DA192F">
        <w:t>3</w:t>
      </w:r>
      <w:r w:rsidRPr="00DA192F">
        <w:t xml:space="preserve">). A new data set of educational attainment in the world, 1950-2010, </w:t>
      </w:r>
      <w:r w:rsidRPr="00DA192F">
        <w:rPr>
          <w:i/>
          <w:iCs/>
        </w:rPr>
        <w:t>Journal of Development Economics,</w:t>
      </w:r>
      <w:r w:rsidRPr="00DA192F">
        <w:t xml:space="preserve"> Elsevier, vol. 104(C).</w:t>
      </w:r>
      <w:r w:rsidR="0053392A" w:rsidRPr="00DA192F">
        <w:t xml:space="preserve">         </w:t>
      </w:r>
      <w:r w:rsidR="0053392A">
        <w:rPr>
          <w:lang w:val="es-MX"/>
        </w:rPr>
        <w:t>Recuperado de</w:t>
      </w:r>
    </w:p>
    <w:p w14:paraId="56E4126E" w14:textId="587ECD0B" w:rsidR="001D1B95" w:rsidRPr="00C119EA" w:rsidRDefault="0026453E" w:rsidP="009859CC">
      <w:pPr>
        <w:spacing w:line="360" w:lineRule="auto"/>
        <w:ind w:left="709" w:hanging="709"/>
        <w:jc w:val="both"/>
        <w:rPr>
          <w:lang w:eastAsia="es-MX"/>
        </w:rPr>
      </w:pPr>
      <w:r w:rsidRPr="00C119EA">
        <w:rPr>
          <w:lang w:eastAsia="es-MX"/>
        </w:rPr>
        <w:t xml:space="preserve">       </w:t>
      </w:r>
      <w:r w:rsidR="007F7E1E" w:rsidRPr="00C119EA">
        <w:rPr>
          <w:lang w:eastAsia="es-MX"/>
        </w:rPr>
        <w:t xml:space="preserve">    </w:t>
      </w:r>
      <w:r w:rsidRPr="00C119EA">
        <w:rPr>
          <w:lang w:eastAsia="es-MX"/>
        </w:rPr>
        <w:t xml:space="preserve"> </w:t>
      </w:r>
      <w:hyperlink r:id="rId17" w:history="1">
        <w:r w:rsidR="001A4CEE" w:rsidRPr="00C119EA">
          <w:rPr>
            <w:rStyle w:val="Hipervnculo"/>
            <w:lang w:eastAsia="es-MX"/>
          </w:rPr>
          <w:t>https://www.sciencedirect.com/science/article/abs/pii/S0304387812000855</w:t>
        </w:r>
      </w:hyperlink>
      <w:r w:rsidR="00FC27FF" w:rsidRPr="00C119EA">
        <w:t xml:space="preserve">       </w:t>
      </w:r>
    </w:p>
    <w:p w14:paraId="65E4478F" w14:textId="00D7B14B" w:rsidR="007B5C5A" w:rsidRPr="00280E25" w:rsidRDefault="00E143DE" w:rsidP="009859CC">
      <w:pPr>
        <w:pStyle w:val="DefaultText"/>
        <w:autoSpaceDE/>
        <w:adjustRightInd/>
        <w:spacing w:line="360" w:lineRule="auto"/>
        <w:ind w:left="709" w:hanging="709"/>
        <w:jc w:val="both"/>
        <w:rPr>
          <w:color w:val="002BB8"/>
          <w:u w:val="single"/>
        </w:rPr>
      </w:pPr>
      <w:bookmarkStart w:id="1" w:name="_Hlk116196353"/>
      <w:proofErr w:type="spellStart"/>
      <w:r w:rsidRPr="00C119EA">
        <w:t>Carnerio</w:t>
      </w:r>
      <w:proofErr w:type="spellEnd"/>
      <w:r w:rsidRPr="00C119EA">
        <w:t>,</w:t>
      </w:r>
      <w:bookmarkEnd w:id="1"/>
      <w:r w:rsidRPr="00C119EA">
        <w:t xml:space="preserve"> P. K. Hansen y J</w:t>
      </w:r>
      <w:r w:rsidR="00E05C45" w:rsidRPr="00C119EA">
        <w:t>.</w:t>
      </w:r>
      <w:r w:rsidRPr="00C119EA">
        <w:t xml:space="preserve"> </w:t>
      </w:r>
      <w:proofErr w:type="spellStart"/>
      <w:r w:rsidRPr="00C119EA">
        <w:t>Heckman</w:t>
      </w:r>
      <w:proofErr w:type="spellEnd"/>
      <w:r w:rsidRPr="00C119EA">
        <w:t xml:space="preserve"> (2003)</w:t>
      </w:r>
      <w:r w:rsidR="004B01D9" w:rsidRPr="00C119EA">
        <w:t>.</w:t>
      </w:r>
      <w:r w:rsidRPr="00C119EA">
        <w:t xml:space="preserve"> </w:t>
      </w:r>
      <w:r w:rsidRPr="00DA192F">
        <w:rPr>
          <w:lang w:val="en-US"/>
        </w:rPr>
        <w:t>Estimating distributions of treatment effects with an application to the re</w:t>
      </w:r>
      <w:r w:rsidR="005809D2" w:rsidRPr="00DA192F">
        <w:rPr>
          <w:lang w:val="en-US"/>
        </w:rPr>
        <w:t>turns of scho</w:t>
      </w:r>
      <w:r w:rsidRPr="00DA192F">
        <w:rPr>
          <w:lang w:val="en-US"/>
        </w:rPr>
        <w:t>oling and measurement of the effects o</w:t>
      </w:r>
      <w:r w:rsidR="00E05C45" w:rsidRPr="00DA192F">
        <w:rPr>
          <w:lang w:val="en-US"/>
        </w:rPr>
        <w:t>f uncertainty of college choice.</w:t>
      </w:r>
      <w:r w:rsidRPr="00DA192F">
        <w:rPr>
          <w:lang w:val="en-US"/>
        </w:rPr>
        <w:t xml:space="preserve"> </w:t>
      </w:r>
      <w:r w:rsidRPr="00C119EA">
        <w:rPr>
          <w:i/>
        </w:rPr>
        <w:t xml:space="preserve">NBER </w:t>
      </w:r>
      <w:proofErr w:type="spellStart"/>
      <w:r w:rsidRPr="00C119EA">
        <w:rPr>
          <w:i/>
        </w:rPr>
        <w:t>working</w:t>
      </w:r>
      <w:proofErr w:type="spellEnd"/>
      <w:r w:rsidRPr="00C119EA">
        <w:rPr>
          <w:i/>
        </w:rPr>
        <w:t xml:space="preserve"> </w:t>
      </w:r>
      <w:proofErr w:type="spellStart"/>
      <w:r w:rsidRPr="00C119EA">
        <w:rPr>
          <w:i/>
        </w:rPr>
        <w:t>Paper</w:t>
      </w:r>
      <w:proofErr w:type="spellEnd"/>
      <w:r w:rsidR="002632B0" w:rsidRPr="00C119EA">
        <w:rPr>
          <w:i/>
        </w:rPr>
        <w:t xml:space="preserve">, </w:t>
      </w:r>
      <w:r w:rsidR="002632B0" w:rsidRPr="00C119EA">
        <w:t>#</w:t>
      </w:r>
      <w:r w:rsidRPr="00C119EA">
        <w:t xml:space="preserve"> 9546, Cambridge, Massachusetts,</w:t>
      </w:r>
      <w:r w:rsidRPr="00C119EA">
        <w:rPr>
          <w:i/>
        </w:rPr>
        <w:t xml:space="preserve"> </w:t>
      </w:r>
      <w:r w:rsidR="002632B0" w:rsidRPr="00C119EA">
        <w:t>USA</w:t>
      </w:r>
      <w:r w:rsidRPr="00C119EA">
        <w:t>.</w:t>
      </w:r>
      <w:r w:rsidR="00653433" w:rsidRPr="00C119EA">
        <w:t xml:space="preserve"> </w:t>
      </w:r>
      <w:r w:rsidR="00402370" w:rsidRPr="00C119EA">
        <w:t xml:space="preserve">         </w:t>
      </w:r>
      <w:r w:rsidR="00402370">
        <w:t>Recuperado de</w:t>
      </w:r>
      <w:r w:rsidR="007B5C5A" w:rsidRPr="00C119EA">
        <w:rPr>
          <w:rStyle w:val="Hipervnculo"/>
        </w:rPr>
        <w:t xml:space="preserve"> https://docs.iza.org/dp767.pdf</w:t>
      </w:r>
    </w:p>
    <w:p w14:paraId="56EF13AD" w14:textId="1D516C15" w:rsidR="007846F9" w:rsidRDefault="00DD5249" w:rsidP="009859CC">
      <w:pPr>
        <w:pStyle w:val="DefaultText"/>
        <w:autoSpaceDE/>
        <w:adjustRightInd/>
        <w:spacing w:line="360" w:lineRule="auto"/>
        <w:ind w:left="709" w:hanging="709"/>
        <w:jc w:val="both"/>
      </w:pPr>
      <w:r w:rsidRPr="00C119EA">
        <w:rPr>
          <w:shd w:val="clear" w:color="auto" w:fill="FFFFFF"/>
        </w:rPr>
        <w:t xml:space="preserve">Contreras, A., López, L. P., </w:t>
      </w:r>
      <w:r w:rsidR="00CA1944">
        <w:rPr>
          <w:shd w:val="clear" w:color="auto" w:fill="FFFFFF"/>
        </w:rPr>
        <w:t>y</w:t>
      </w:r>
      <w:r w:rsidRPr="00C119EA">
        <w:rPr>
          <w:shd w:val="clear" w:color="auto" w:fill="FFFFFF"/>
        </w:rPr>
        <w:t xml:space="preserve"> Jiménez, A. (2022). Evolución del gasto público del sector educativo de México. </w:t>
      </w:r>
      <w:proofErr w:type="spellStart"/>
      <w:r w:rsidRPr="00C119EA">
        <w:rPr>
          <w:i/>
          <w:iCs/>
          <w:shd w:val="clear" w:color="auto" w:fill="FFFFFF"/>
        </w:rPr>
        <w:t>Vinculatégica</w:t>
      </w:r>
      <w:proofErr w:type="spellEnd"/>
      <w:r w:rsidRPr="00C119EA">
        <w:rPr>
          <w:i/>
          <w:iCs/>
          <w:shd w:val="clear" w:color="auto" w:fill="FFFFFF"/>
        </w:rPr>
        <w:t xml:space="preserve"> EFAN</w:t>
      </w:r>
      <w:r w:rsidRPr="00C119EA">
        <w:rPr>
          <w:shd w:val="clear" w:color="auto" w:fill="FFFFFF"/>
        </w:rPr>
        <w:t>, </w:t>
      </w:r>
      <w:r w:rsidRPr="00C119EA">
        <w:rPr>
          <w:i/>
          <w:iCs/>
          <w:shd w:val="clear" w:color="auto" w:fill="FFFFFF"/>
        </w:rPr>
        <w:t>7</w:t>
      </w:r>
      <w:r w:rsidRPr="00C119EA">
        <w:rPr>
          <w:shd w:val="clear" w:color="auto" w:fill="FFFFFF"/>
        </w:rPr>
        <w:t xml:space="preserve">(2), 260–273. </w:t>
      </w:r>
      <w:r w:rsidR="00402370" w:rsidRPr="00280E25">
        <w:t>DOI: 10.29105/vtga7.1-100</w:t>
      </w:r>
    </w:p>
    <w:p w14:paraId="7E48B4EF" w14:textId="57EFADB3" w:rsidR="00D971CB" w:rsidRPr="009859CC" w:rsidRDefault="00D971CB" w:rsidP="009859CC">
      <w:pPr>
        <w:pStyle w:val="DefaultText"/>
        <w:autoSpaceDE/>
        <w:adjustRightInd/>
        <w:spacing w:line="360" w:lineRule="auto"/>
        <w:ind w:left="709" w:hanging="709"/>
        <w:jc w:val="both"/>
      </w:pPr>
      <w:r>
        <w:t xml:space="preserve">Comisión Económica para América Latina (2023). </w:t>
      </w:r>
      <w:r w:rsidR="00F6721F">
        <w:t>Estadísticas de g</w:t>
      </w:r>
      <w:r>
        <w:t>asto público en educación en México.</w:t>
      </w:r>
    </w:p>
    <w:p w14:paraId="7F11F9AE" w14:textId="57AC1CBF" w:rsidR="00C547C8" w:rsidRPr="00DA192F" w:rsidRDefault="00C547C8" w:rsidP="009859CC">
      <w:pPr>
        <w:spacing w:line="360" w:lineRule="auto"/>
        <w:ind w:left="709" w:hanging="709"/>
        <w:jc w:val="both"/>
        <w:rPr>
          <w:lang w:val="en-US"/>
        </w:rPr>
      </w:pPr>
      <w:r w:rsidRPr="00C119EA">
        <w:t xml:space="preserve">Díaz-Bautista, A. y M. Díaz (2003). “Capital humano y crecimiento económico en México”. </w:t>
      </w:r>
      <w:r w:rsidRPr="00DA192F">
        <w:rPr>
          <w:i/>
          <w:lang w:val="en-US"/>
        </w:rPr>
        <w:t>Comercio Exterior</w:t>
      </w:r>
      <w:r w:rsidRPr="00DA192F">
        <w:rPr>
          <w:lang w:val="en-US"/>
        </w:rPr>
        <w:t xml:space="preserve">, Vol. 53, </w:t>
      </w:r>
      <w:proofErr w:type="spellStart"/>
      <w:r w:rsidRPr="00DA192F">
        <w:rPr>
          <w:lang w:val="en-US"/>
        </w:rPr>
        <w:t>número</w:t>
      </w:r>
      <w:proofErr w:type="spellEnd"/>
      <w:r w:rsidRPr="00DA192F">
        <w:rPr>
          <w:lang w:val="en-US"/>
        </w:rPr>
        <w:t xml:space="preserve"> 11. </w:t>
      </w:r>
    </w:p>
    <w:p w14:paraId="1074E590" w14:textId="280D325A" w:rsidR="00FC27FF" w:rsidRPr="00AC0F69" w:rsidRDefault="00374DAC" w:rsidP="009859CC">
      <w:pPr>
        <w:pStyle w:val="DefaultText"/>
        <w:autoSpaceDE/>
        <w:autoSpaceDN/>
        <w:adjustRightInd/>
        <w:spacing w:line="360" w:lineRule="auto"/>
        <w:ind w:left="709" w:hanging="709"/>
        <w:jc w:val="both"/>
        <w:rPr>
          <w:lang w:val="en-US"/>
        </w:rPr>
      </w:pPr>
      <w:proofErr w:type="spellStart"/>
      <w:r w:rsidRPr="00DA192F">
        <w:rPr>
          <w:lang w:val="en-US"/>
        </w:rPr>
        <w:t>Dufrechou</w:t>
      </w:r>
      <w:proofErr w:type="spellEnd"/>
      <w:r w:rsidRPr="00DA192F">
        <w:rPr>
          <w:lang w:val="en-US"/>
        </w:rPr>
        <w:t>, P. (2016).</w:t>
      </w:r>
      <w:r w:rsidR="0012468F" w:rsidRPr="00DA192F">
        <w:rPr>
          <w:lang w:val="en-US"/>
        </w:rPr>
        <w:t xml:space="preserve"> </w:t>
      </w:r>
      <w:r w:rsidRPr="00DA192F">
        <w:rPr>
          <w:lang w:val="en-US"/>
        </w:rPr>
        <w:t xml:space="preserve">The Efficiency of public education spending in Latin America: A comparison to high-income countries. </w:t>
      </w:r>
      <w:r w:rsidRPr="00AC0F69">
        <w:rPr>
          <w:i/>
          <w:lang w:val="en-US"/>
        </w:rPr>
        <w:t>International Journal Education</w:t>
      </w:r>
      <w:r w:rsidR="009E24B2" w:rsidRPr="00AC0F69">
        <w:rPr>
          <w:i/>
          <w:lang w:val="en-US"/>
        </w:rPr>
        <w:t xml:space="preserve"> Development</w:t>
      </w:r>
      <w:r w:rsidR="009E24B2" w:rsidRPr="00AC0F69">
        <w:rPr>
          <w:lang w:val="en-US"/>
        </w:rPr>
        <w:t>, Vol. 49, pp. 188-203.</w:t>
      </w:r>
      <w:r w:rsidR="00402370" w:rsidRPr="00AC0F69">
        <w:rPr>
          <w:lang w:val="en-US"/>
        </w:rPr>
        <w:t xml:space="preserve"> </w:t>
      </w:r>
      <w:proofErr w:type="spellStart"/>
      <w:r w:rsidR="00402370" w:rsidRPr="00AC0F69">
        <w:rPr>
          <w:lang w:val="en-US"/>
        </w:rPr>
        <w:t>Recuperado</w:t>
      </w:r>
      <w:proofErr w:type="spellEnd"/>
      <w:r w:rsidR="00402370" w:rsidRPr="00AC0F69">
        <w:rPr>
          <w:lang w:val="en-US"/>
        </w:rPr>
        <w:t xml:space="preserve"> de</w:t>
      </w:r>
      <w:r w:rsidR="008514A8" w:rsidRPr="00AC0F69">
        <w:rPr>
          <w:lang w:val="en-US"/>
        </w:rPr>
        <w:t xml:space="preserve"> </w:t>
      </w:r>
      <w:hyperlink r:id="rId18" w:history="1">
        <w:r w:rsidR="00FC27FF" w:rsidRPr="00AC0F69">
          <w:rPr>
            <w:rStyle w:val="Hipervnculo"/>
            <w:lang w:val="en-US"/>
          </w:rPr>
          <w:t>https://www.sciencedirect.com/science/article/abs/pii/S0738059316300281</w:t>
        </w:r>
      </w:hyperlink>
    </w:p>
    <w:p w14:paraId="29A7DF53" w14:textId="25D7EB03" w:rsidR="004632B9" w:rsidRDefault="002C6029" w:rsidP="009859CC">
      <w:pPr>
        <w:spacing w:line="360" w:lineRule="auto"/>
        <w:ind w:left="709" w:hanging="709"/>
        <w:jc w:val="both"/>
        <w:rPr>
          <w:rStyle w:val="Hipervnculo"/>
          <w:shd w:val="clear" w:color="auto" w:fill="FFFFFF"/>
        </w:rPr>
      </w:pPr>
      <w:r w:rsidRPr="00DA192F">
        <w:rPr>
          <w:shd w:val="clear" w:color="auto" w:fill="FFFFFF"/>
          <w:lang w:val="en-US"/>
        </w:rPr>
        <w:t>Feenstr</w:t>
      </w:r>
      <w:r w:rsidR="00E05C45" w:rsidRPr="00DA192F">
        <w:rPr>
          <w:shd w:val="clear" w:color="auto" w:fill="FFFFFF"/>
          <w:lang w:val="en-US"/>
        </w:rPr>
        <w:t xml:space="preserve">a, Robert C., Robert </w:t>
      </w:r>
      <w:proofErr w:type="spellStart"/>
      <w:r w:rsidR="00E05C45" w:rsidRPr="00DA192F">
        <w:rPr>
          <w:shd w:val="clear" w:color="auto" w:fill="FFFFFF"/>
          <w:lang w:val="en-US"/>
        </w:rPr>
        <w:t>Inklaar</w:t>
      </w:r>
      <w:proofErr w:type="spellEnd"/>
      <w:r w:rsidR="00E05C45" w:rsidRPr="00DA192F">
        <w:rPr>
          <w:shd w:val="clear" w:color="auto" w:fill="FFFFFF"/>
          <w:lang w:val="en-US"/>
        </w:rPr>
        <w:t xml:space="preserve"> y</w:t>
      </w:r>
      <w:r w:rsidRPr="00DA192F">
        <w:rPr>
          <w:shd w:val="clear" w:color="auto" w:fill="FFFFFF"/>
          <w:lang w:val="en-US"/>
        </w:rPr>
        <w:t xml:space="preserve"> Marcel P. Timmer (2015), The Next Gen</w:t>
      </w:r>
      <w:r w:rsidR="00E05C45" w:rsidRPr="00DA192F">
        <w:rPr>
          <w:shd w:val="clear" w:color="auto" w:fill="FFFFFF"/>
          <w:lang w:val="en-US"/>
        </w:rPr>
        <w:t>eration of the Penn World Table.</w:t>
      </w:r>
      <w:r w:rsidRPr="00DA192F">
        <w:rPr>
          <w:shd w:val="clear" w:color="auto" w:fill="FFFFFF"/>
          <w:lang w:val="en-US"/>
        </w:rPr>
        <w:t xml:space="preserve"> </w:t>
      </w:r>
      <w:r w:rsidRPr="00C119EA">
        <w:rPr>
          <w:i/>
          <w:shd w:val="clear" w:color="auto" w:fill="FFFFFF"/>
        </w:rPr>
        <w:t xml:space="preserve">American </w:t>
      </w:r>
      <w:proofErr w:type="spellStart"/>
      <w:r w:rsidRPr="00C119EA">
        <w:rPr>
          <w:i/>
          <w:shd w:val="clear" w:color="auto" w:fill="FFFFFF"/>
        </w:rPr>
        <w:t>Economic</w:t>
      </w:r>
      <w:proofErr w:type="spellEnd"/>
      <w:r w:rsidRPr="00C119EA">
        <w:rPr>
          <w:i/>
          <w:shd w:val="clear" w:color="auto" w:fill="FFFFFF"/>
        </w:rPr>
        <w:t xml:space="preserve"> </w:t>
      </w:r>
      <w:proofErr w:type="spellStart"/>
      <w:r w:rsidRPr="00C119EA">
        <w:rPr>
          <w:i/>
          <w:shd w:val="clear" w:color="auto" w:fill="FFFFFF"/>
        </w:rPr>
        <w:t>Review</w:t>
      </w:r>
      <w:proofErr w:type="spellEnd"/>
      <w:r w:rsidR="005809D2" w:rsidRPr="00C119EA">
        <w:rPr>
          <w:shd w:val="clear" w:color="auto" w:fill="FFFFFF"/>
        </w:rPr>
        <w:t>, 105(10), 3150-3182.</w:t>
      </w:r>
      <w:r w:rsidR="00CD06CE" w:rsidRPr="00C119EA">
        <w:t xml:space="preserve"> </w:t>
      </w:r>
      <w:r w:rsidR="00CD06CE">
        <w:t xml:space="preserve">Recuperado de </w:t>
      </w:r>
      <w:hyperlink r:id="rId19" w:history="1">
        <w:r w:rsidR="00CD06CE" w:rsidRPr="00CD06CE">
          <w:rPr>
            <w:rStyle w:val="Hipervnculo"/>
            <w:shd w:val="clear" w:color="auto" w:fill="FFFFFF"/>
          </w:rPr>
          <w:t>https://www.aeaweb.org/articles/pdf/doi/10.1257/aer.20130954</w:t>
        </w:r>
      </w:hyperlink>
    </w:p>
    <w:p w14:paraId="51623C64" w14:textId="69E09DDC" w:rsidR="004632B9" w:rsidRPr="004632B9" w:rsidRDefault="004632B9" w:rsidP="009859CC">
      <w:pPr>
        <w:pStyle w:val="Ttulo2"/>
        <w:spacing w:before="0" w:line="360" w:lineRule="auto"/>
        <w:ind w:left="709" w:hanging="709"/>
        <w:jc w:val="both"/>
        <w:rPr>
          <w:rStyle w:val="Hipervnculo"/>
          <w:rFonts w:ascii="Times New Roman" w:hAnsi="Times New Roman" w:cs="Times New Roman"/>
          <w:color w:val="auto"/>
          <w:sz w:val="24"/>
          <w:szCs w:val="24"/>
          <w:u w:val="none"/>
          <w:shd w:val="clear" w:color="auto" w:fill="FFFFFF"/>
          <w:lang w:val="en-US"/>
        </w:rPr>
      </w:pPr>
      <w:r w:rsidRPr="004632B9">
        <w:rPr>
          <w:rStyle w:val="Hipervnculo"/>
          <w:rFonts w:ascii="Times New Roman" w:hAnsi="Times New Roman" w:cs="Times New Roman"/>
          <w:color w:val="auto"/>
          <w:sz w:val="24"/>
          <w:szCs w:val="24"/>
          <w:u w:val="none"/>
          <w:shd w:val="clear" w:color="auto" w:fill="FFFFFF"/>
          <w:lang w:val="en-US"/>
        </w:rPr>
        <w:t>Hojo, M. (2003). An Indirect effect education on growth. Economics Letters. Volume 80, pp.31-34.</w:t>
      </w:r>
      <w:r w:rsidR="00380446">
        <w:rPr>
          <w:rStyle w:val="Hipervnculo"/>
          <w:rFonts w:ascii="Times New Roman" w:hAnsi="Times New Roman" w:cs="Times New Roman"/>
          <w:color w:val="auto"/>
          <w:sz w:val="24"/>
          <w:szCs w:val="24"/>
          <w:u w:val="none"/>
          <w:shd w:val="clear" w:color="auto" w:fill="FFFFFF"/>
          <w:lang w:val="en-US"/>
        </w:rPr>
        <w:t xml:space="preserve"> </w:t>
      </w:r>
      <w:proofErr w:type="spellStart"/>
      <w:r w:rsidR="00380446">
        <w:rPr>
          <w:rStyle w:val="Hipervnculo"/>
          <w:rFonts w:ascii="Times New Roman" w:hAnsi="Times New Roman" w:cs="Times New Roman"/>
          <w:color w:val="auto"/>
          <w:sz w:val="24"/>
          <w:szCs w:val="24"/>
          <w:u w:val="none"/>
          <w:shd w:val="clear" w:color="auto" w:fill="FFFFFF"/>
          <w:lang w:val="en-US"/>
        </w:rPr>
        <w:t>Recuperado</w:t>
      </w:r>
      <w:proofErr w:type="spellEnd"/>
      <w:r w:rsidR="00380446">
        <w:rPr>
          <w:rStyle w:val="Hipervnculo"/>
          <w:rFonts w:ascii="Times New Roman" w:hAnsi="Times New Roman" w:cs="Times New Roman"/>
          <w:color w:val="auto"/>
          <w:sz w:val="24"/>
          <w:szCs w:val="24"/>
          <w:u w:val="none"/>
          <w:shd w:val="clear" w:color="auto" w:fill="FFFFFF"/>
          <w:lang w:val="en-US"/>
        </w:rPr>
        <w:t xml:space="preserve"> de</w:t>
      </w:r>
    </w:p>
    <w:p w14:paraId="0A8D93B0" w14:textId="675F8EA1" w:rsidR="004632B9" w:rsidRPr="009859CC" w:rsidRDefault="004632B9" w:rsidP="009859CC">
      <w:pPr>
        <w:spacing w:line="360" w:lineRule="auto"/>
        <w:ind w:left="709"/>
        <w:jc w:val="both"/>
        <w:rPr>
          <w:shd w:val="clear" w:color="auto" w:fill="FFFFFF"/>
          <w:lang w:val="en-US"/>
        </w:rPr>
      </w:pPr>
      <w:hyperlink r:id="rId20" w:history="1">
        <w:r w:rsidRPr="004632B9">
          <w:rPr>
            <w:rStyle w:val="Hipervnculo"/>
            <w:shd w:val="clear" w:color="auto" w:fill="FFFFFF"/>
            <w:lang w:val="en-US"/>
          </w:rPr>
          <w:t>https://www.sciencedirect.com/science/article/abs/pii/S0165176503000223</w:t>
        </w:r>
      </w:hyperlink>
    </w:p>
    <w:p w14:paraId="42CFB77D" w14:textId="014A49BE" w:rsidR="002C6029" w:rsidRPr="00280E25" w:rsidRDefault="00C547C8" w:rsidP="009859CC">
      <w:pPr>
        <w:pStyle w:val="Sinespaciado"/>
        <w:spacing w:line="360" w:lineRule="auto"/>
        <w:ind w:left="709" w:hanging="709"/>
        <w:jc w:val="both"/>
        <w:rPr>
          <w:lang w:val="es-MX"/>
        </w:rPr>
      </w:pPr>
      <w:r w:rsidRPr="00C119EA">
        <w:rPr>
          <w:shd w:val="clear" w:color="auto" w:fill="FFFFFF"/>
          <w:lang w:val="es-MX"/>
        </w:rPr>
        <w:lastRenderedPageBreak/>
        <w:t>Iglesias, A</w:t>
      </w:r>
      <w:r w:rsidR="00CD06CE">
        <w:rPr>
          <w:shd w:val="clear" w:color="auto" w:fill="FFFFFF"/>
          <w:lang w:val="es-MX"/>
        </w:rPr>
        <w:t>.</w:t>
      </w:r>
      <w:r w:rsidRPr="00C119EA">
        <w:rPr>
          <w:shd w:val="clear" w:color="auto" w:fill="FFFFFF"/>
          <w:lang w:val="es-MX"/>
        </w:rPr>
        <w:t xml:space="preserve"> </w:t>
      </w:r>
      <w:proofErr w:type="spellStart"/>
      <w:r w:rsidR="0069165C">
        <w:rPr>
          <w:shd w:val="clear" w:color="auto" w:fill="FFFFFF"/>
          <w:lang w:val="es-MX"/>
        </w:rPr>
        <w:t>e</w:t>
      </w:r>
      <w:proofErr w:type="spellEnd"/>
      <w:r w:rsidR="0069165C">
        <w:rPr>
          <w:shd w:val="clear" w:color="auto" w:fill="FFFFFF"/>
          <w:lang w:val="es-MX"/>
        </w:rPr>
        <w:t xml:space="preserve"> I.</w:t>
      </w:r>
      <w:r w:rsidRPr="00C119EA">
        <w:rPr>
          <w:shd w:val="clear" w:color="auto" w:fill="FFFFFF"/>
          <w:lang w:val="es-MX"/>
        </w:rPr>
        <w:t xml:space="preserve"> Neira (1996). </w:t>
      </w:r>
      <w:hyperlink r:id="rId21" w:history="1">
        <w:r w:rsidRPr="00C119EA">
          <w:rPr>
            <w:lang w:val="es-MX"/>
          </w:rPr>
          <w:t>Un análisis internacional del gasto público en educación</w:t>
        </w:r>
      </w:hyperlink>
      <w:r w:rsidRPr="00C119EA">
        <w:rPr>
          <w:shd w:val="clear" w:color="auto" w:fill="FFFFFF"/>
          <w:lang w:val="es-MX"/>
        </w:rPr>
        <w:t xml:space="preserve">. </w:t>
      </w:r>
      <w:hyperlink r:id="rId22" w:history="1">
        <w:r w:rsidRPr="00C119EA">
          <w:rPr>
            <w:i/>
            <w:lang w:val="es-MX"/>
          </w:rPr>
          <w:t>Economic Development</w:t>
        </w:r>
      </w:hyperlink>
      <w:r w:rsidRPr="00C119EA">
        <w:rPr>
          <w:shd w:val="clear" w:color="auto" w:fill="FFFFFF"/>
          <w:lang w:val="es-MX"/>
        </w:rPr>
        <w:t> </w:t>
      </w:r>
      <w:r w:rsidRPr="00C119EA">
        <w:rPr>
          <w:color w:val="333333"/>
          <w:shd w:val="clear" w:color="auto" w:fill="FFFFFF"/>
          <w:lang w:val="es-MX"/>
        </w:rPr>
        <w:t xml:space="preserve">12. </w:t>
      </w:r>
      <w:r w:rsidRPr="00DA192F">
        <w:rPr>
          <w:shd w:val="clear" w:color="auto" w:fill="FFFFFF"/>
        </w:rPr>
        <w:t xml:space="preserve">University of Santiago de Compostela. Faculty of Economics and Business. </w:t>
      </w:r>
      <w:proofErr w:type="spellStart"/>
      <w:r w:rsidRPr="00C119EA">
        <w:rPr>
          <w:shd w:val="clear" w:color="auto" w:fill="FFFFFF"/>
          <w:lang w:val="es-MX"/>
        </w:rPr>
        <w:t>Econometrics</w:t>
      </w:r>
      <w:proofErr w:type="spellEnd"/>
      <w:r w:rsidRPr="00C119EA">
        <w:rPr>
          <w:shd w:val="clear" w:color="auto" w:fill="FFFFFF"/>
          <w:lang w:val="es-MX"/>
        </w:rPr>
        <w:t>.</w:t>
      </w:r>
      <w:r w:rsidR="0069165C">
        <w:rPr>
          <w:shd w:val="clear" w:color="auto" w:fill="FFFFFF"/>
          <w:lang w:val="es-MX"/>
        </w:rPr>
        <w:t xml:space="preserve"> </w:t>
      </w:r>
      <w:r w:rsidR="0069165C">
        <w:rPr>
          <w:lang w:val="es-MX"/>
        </w:rPr>
        <w:t>Recuperado de</w:t>
      </w:r>
      <w:r w:rsidRPr="00C119EA">
        <w:rPr>
          <w:lang w:val="es-MX"/>
        </w:rPr>
        <w:t xml:space="preserve"> </w:t>
      </w:r>
      <w:hyperlink r:id="rId23" w:history="1">
        <w:r w:rsidRPr="00C119EA">
          <w:rPr>
            <w:rStyle w:val="Hipervnculo"/>
            <w:lang w:val="es-MX"/>
          </w:rPr>
          <w:t>https://ideas.repec.org/p/eaa/ecodev/12.html</w:t>
        </w:r>
      </w:hyperlink>
    </w:p>
    <w:p w14:paraId="392F1697" w14:textId="696D7ACE" w:rsidR="00A632A2" w:rsidRPr="00DA192F" w:rsidRDefault="00A632A2" w:rsidP="009859CC">
      <w:pPr>
        <w:spacing w:line="360" w:lineRule="auto"/>
        <w:ind w:left="709" w:hanging="709"/>
        <w:jc w:val="both"/>
        <w:rPr>
          <w:lang w:val="en-US"/>
        </w:rPr>
      </w:pPr>
      <w:r w:rsidRPr="00DA192F">
        <w:rPr>
          <w:lang w:val="en-US"/>
        </w:rPr>
        <w:t xml:space="preserve">Islam, N. (1998). Growth Empirics: A Panel Data Approach -- A Reply. </w:t>
      </w:r>
      <w:r w:rsidRPr="00DA192F">
        <w:rPr>
          <w:i/>
          <w:iCs/>
          <w:lang w:val="en-US"/>
        </w:rPr>
        <w:t>The Quarterly Journal of Economics</w:t>
      </w:r>
      <w:r w:rsidRPr="00DA192F">
        <w:rPr>
          <w:lang w:val="en-US"/>
        </w:rPr>
        <w:t xml:space="preserve">, </w:t>
      </w:r>
      <w:r w:rsidRPr="00DA192F">
        <w:rPr>
          <w:i/>
          <w:iCs/>
          <w:lang w:val="en-US"/>
        </w:rPr>
        <w:t>113</w:t>
      </w:r>
      <w:r w:rsidRPr="00DA192F">
        <w:rPr>
          <w:lang w:val="en-US"/>
        </w:rPr>
        <w:t xml:space="preserve">(1), 325–329. </w:t>
      </w:r>
      <w:proofErr w:type="spellStart"/>
      <w:r w:rsidR="0069165C" w:rsidRPr="00DA192F">
        <w:rPr>
          <w:lang w:val="en-US"/>
        </w:rPr>
        <w:t>Recuperado</w:t>
      </w:r>
      <w:proofErr w:type="spellEnd"/>
      <w:r w:rsidR="0069165C" w:rsidRPr="00DA192F">
        <w:rPr>
          <w:lang w:val="en-US"/>
        </w:rPr>
        <w:t xml:space="preserve"> de </w:t>
      </w:r>
      <w:hyperlink r:id="rId24" w:history="1">
        <w:r w:rsidRPr="00DA192F">
          <w:rPr>
            <w:rStyle w:val="Hipervnculo"/>
            <w:lang w:val="en-US"/>
          </w:rPr>
          <w:t>http://www.jstor.org/stable/2586994</w:t>
        </w:r>
      </w:hyperlink>
    </w:p>
    <w:p w14:paraId="2DE9CCC1" w14:textId="41A303DC" w:rsidR="003E5957" w:rsidRPr="009859CC" w:rsidRDefault="00E143DE" w:rsidP="009859CC">
      <w:pPr>
        <w:pStyle w:val="DefaultText"/>
        <w:autoSpaceDE/>
        <w:adjustRightInd/>
        <w:spacing w:line="360" w:lineRule="auto"/>
        <w:ind w:left="709" w:hanging="709"/>
        <w:jc w:val="both"/>
        <w:rPr>
          <w:rStyle w:val="Hipervnculo"/>
        </w:rPr>
      </w:pPr>
      <w:r w:rsidRPr="00DA192F">
        <w:rPr>
          <w:lang w:val="en-US"/>
        </w:rPr>
        <w:t>Knowles, S. y D</w:t>
      </w:r>
      <w:r w:rsidR="0069165C" w:rsidRPr="00DA192F">
        <w:rPr>
          <w:lang w:val="en-US"/>
        </w:rPr>
        <w:t>.</w:t>
      </w:r>
      <w:r w:rsidRPr="00DA192F">
        <w:rPr>
          <w:lang w:val="en-US"/>
        </w:rPr>
        <w:t xml:space="preserve"> Owen (1995). </w:t>
      </w:r>
      <w:r w:rsidR="0012468F" w:rsidRPr="00DA192F">
        <w:rPr>
          <w:lang w:val="en-US"/>
        </w:rPr>
        <w:t>W</w:t>
      </w:r>
      <w:r w:rsidRPr="00DA192F">
        <w:rPr>
          <w:lang w:val="en-US"/>
        </w:rPr>
        <w:t xml:space="preserve">ealth </w:t>
      </w:r>
      <w:r w:rsidR="00551C01" w:rsidRPr="00DA192F">
        <w:rPr>
          <w:lang w:val="en-US"/>
        </w:rPr>
        <w:t>c</w:t>
      </w:r>
      <w:r w:rsidRPr="00DA192F">
        <w:rPr>
          <w:lang w:val="en-US"/>
        </w:rPr>
        <w:t xml:space="preserve">apital and cross-country variation in income per capita in </w:t>
      </w:r>
      <w:r w:rsidR="00E05C45" w:rsidRPr="00DA192F">
        <w:rPr>
          <w:lang w:val="en-US"/>
        </w:rPr>
        <w:t>the Mankiw- Romer-Weil Model.</w:t>
      </w:r>
      <w:r w:rsidRPr="00DA192F">
        <w:rPr>
          <w:lang w:val="en-US"/>
        </w:rPr>
        <w:t xml:space="preserve"> </w:t>
      </w:r>
      <w:proofErr w:type="spellStart"/>
      <w:r w:rsidRPr="00C119EA">
        <w:rPr>
          <w:i/>
          <w:iCs/>
        </w:rPr>
        <w:t>Economics</w:t>
      </w:r>
      <w:proofErr w:type="spellEnd"/>
      <w:r w:rsidRPr="00C119EA">
        <w:rPr>
          <w:i/>
          <w:iCs/>
        </w:rPr>
        <w:t xml:space="preserve"> </w:t>
      </w:r>
      <w:proofErr w:type="spellStart"/>
      <w:r w:rsidRPr="00C119EA">
        <w:rPr>
          <w:i/>
          <w:iCs/>
        </w:rPr>
        <w:t>Letters</w:t>
      </w:r>
      <w:proofErr w:type="spellEnd"/>
      <w:r w:rsidRPr="00C119EA">
        <w:t xml:space="preserve">, vol. 48, </w:t>
      </w:r>
      <w:proofErr w:type="spellStart"/>
      <w:r w:rsidRPr="00C119EA">
        <w:t>Nº</w:t>
      </w:r>
      <w:proofErr w:type="spellEnd"/>
      <w:r w:rsidRPr="00C119EA">
        <w:t xml:space="preserve"> 1, </w:t>
      </w:r>
      <w:proofErr w:type="spellStart"/>
      <w:r w:rsidRPr="00C119EA">
        <w:t>Holland</w:t>
      </w:r>
      <w:proofErr w:type="spellEnd"/>
      <w:r w:rsidRPr="00C119EA">
        <w:t>: Elsevier, pp. 99-106.</w:t>
      </w:r>
      <w:r w:rsidR="002135DC" w:rsidRPr="00C119EA">
        <w:t xml:space="preserve"> </w:t>
      </w:r>
      <w:r w:rsidR="001704DD">
        <w:t xml:space="preserve">Recuperado de </w:t>
      </w:r>
      <w:hyperlink r:id="rId25" w:history="1">
        <w:r w:rsidR="007F7E1E" w:rsidRPr="00C119EA">
          <w:rPr>
            <w:rStyle w:val="Hipervnculo"/>
          </w:rPr>
          <w:t>https://ideas.repec.org/a/eee/ecolet/v48y1995i1p99-106.html</w:t>
        </w:r>
      </w:hyperlink>
    </w:p>
    <w:p w14:paraId="7D60DB0E" w14:textId="701D6CB4" w:rsidR="003E5957" w:rsidRPr="00280E25" w:rsidRDefault="003E5957" w:rsidP="009859CC">
      <w:pPr>
        <w:spacing w:line="360" w:lineRule="auto"/>
        <w:ind w:left="709" w:hanging="709"/>
        <w:jc w:val="both"/>
      </w:pPr>
      <w:r w:rsidRPr="00C119EA">
        <w:t xml:space="preserve">Lozano, R., Amador, M., </w:t>
      </w:r>
      <w:r w:rsidR="001704DD">
        <w:t>y</w:t>
      </w:r>
      <w:r w:rsidRPr="00C119EA">
        <w:t xml:space="preserve"> </w:t>
      </w:r>
      <w:proofErr w:type="spellStart"/>
      <w:r w:rsidRPr="00C119EA">
        <w:t>Raluy</w:t>
      </w:r>
      <w:proofErr w:type="spellEnd"/>
      <w:r w:rsidRPr="00C119EA">
        <w:t>, M. (2021). Modelo de gestión de capital humano por competencias para universidades públicas en México. </w:t>
      </w:r>
      <w:r w:rsidRPr="00C119EA">
        <w:rPr>
          <w:i/>
          <w:iCs/>
        </w:rPr>
        <w:t>RIDE Revista Iberoamericana Para La Investigación Y El Desarrollo Educativo</w:t>
      </w:r>
      <w:r w:rsidRPr="00C119EA">
        <w:t>, </w:t>
      </w:r>
      <w:r w:rsidRPr="00C119EA">
        <w:rPr>
          <w:i/>
          <w:iCs/>
        </w:rPr>
        <w:t>12</w:t>
      </w:r>
      <w:r w:rsidRPr="00C119EA">
        <w:t xml:space="preserve">(23). </w:t>
      </w:r>
      <w:r w:rsidR="001704DD">
        <w:t xml:space="preserve">DOI: </w:t>
      </w:r>
      <w:r w:rsidR="001704DD" w:rsidRPr="00280E25">
        <w:t>10.23913/</w:t>
      </w:r>
      <w:proofErr w:type="gramStart"/>
      <w:r w:rsidR="001704DD" w:rsidRPr="00280E25">
        <w:t>ride.v</w:t>
      </w:r>
      <w:proofErr w:type="gramEnd"/>
      <w:r w:rsidR="001704DD" w:rsidRPr="00280E25">
        <w:t>12i23.1107</w:t>
      </w:r>
    </w:p>
    <w:p w14:paraId="123E85BD" w14:textId="33E02D0D" w:rsidR="00C547C8" w:rsidRPr="00C119EA" w:rsidRDefault="00C547C8" w:rsidP="009859CC">
      <w:pPr>
        <w:tabs>
          <w:tab w:val="left" w:pos="630"/>
          <w:tab w:val="left" w:pos="720"/>
        </w:tabs>
        <w:spacing w:line="360" w:lineRule="auto"/>
        <w:ind w:left="709" w:hanging="709"/>
        <w:jc w:val="both"/>
      </w:pPr>
      <w:r w:rsidRPr="00C119EA">
        <w:t>Martínez, O. (2019). El papel del conocimiento en las organizaciones productivas: Aspectos teóricos y reflexiones. </w:t>
      </w:r>
      <w:r w:rsidRPr="00C119EA">
        <w:rPr>
          <w:i/>
          <w:iCs/>
        </w:rPr>
        <w:t>RIDE Revista Iberoamericana para la Investigación y el Desarrollo Educativo</w:t>
      </w:r>
      <w:r w:rsidRPr="00C119EA">
        <w:t>, </w:t>
      </w:r>
      <w:r w:rsidRPr="00C119EA">
        <w:rPr>
          <w:iCs/>
        </w:rPr>
        <w:t>9</w:t>
      </w:r>
      <w:r w:rsidRPr="00C119EA">
        <w:t xml:space="preserve">(18), 412 - 422. </w:t>
      </w:r>
      <w:r w:rsidR="001704DD">
        <w:t xml:space="preserve">DOI: </w:t>
      </w:r>
      <w:r w:rsidR="001704DD" w:rsidRPr="00280E25">
        <w:t>10.23913/</w:t>
      </w:r>
      <w:proofErr w:type="gramStart"/>
      <w:r w:rsidR="001704DD" w:rsidRPr="00280E25">
        <w:t>ride.v</w:t>
      </w:r>
      <w:proofErr w:type="gramEnd"/>
      <w:r w:rsidR="001704DD" w:rsidRPr="00280E25">
        <w:t>9i18.430</w:t>
      </w:r>
    </w:p>
    <w:p w14:paraId="45C2EFC9" w14:textId="45FFBA58" w:rsidR="001846ED" w:rsidRPr="00C119EA" w:rsidRDefault="00C547C8" w:rsidP="009859CC">
      <w:pPr>
        <w:tabs>
          <w:tab w:val="left" w:pos="709"/>
        </w:tabs>
        <w:spacing w:line="360" w:lineRule="auto"/>
        <w:ind w:left="709" w:hanging="709"/>
        <w:jc w:val="both"/>
      </w:pPr>
      <w:r w:rsidRPr="00C119EA">
        <w:t>Martínez, O. (2021). Los valores éticos y la agenda del desarrollo: algunas consideraciones para la formación educativa. </w:t>
      </w:r>
      <w:r w:rsidRPr="00C119EA">
        <w:rPr>
          <w:i/>
          <w:iCs/>
        </w:rPr>
        <w:t>RIDE Revista Iberoamericana para la Investigación y el Desarrollo Educativo</w:t>
      </w:r>
      <w:r w:rsidRPr="00C119EA">
        <w:t>, </w:t>
      </w:r>
      <w:r w:rsidRPr="00C119EA">
        <w:rPr>
          <w:i/>
          <w:iCs/>
        </w:rPr>
        <w:t>11</w:t>
      </w:r>
      <w:r w:rsidRPr="00C119EA">
        <w:t xml:space="preserve">(22). </w:t>
      </w:r>
      <w:r w:rsidR="001704DD">
        <w:t xml:space="preserve">DOI: </w:t>
      </w:r>
      <w:r w:rsidR="001704DD" w:rsidRPr="00280E25">
        <w:t>10.23913/</w:t>
      </w:r>
      <w:proofErr w:type="gramStart"/>
      <w:r w:rsidR="001704DD" w:rsidRPr="00280E25">
        <w:t>ride.v</w:t>
      </w:r>
      <w:proofErr w:type="gramEnd"/>
      <w:r w:rsidR="001704DD" w:rsidRPr="00280E25">
        <w:t>11i22.900</w:t>
      </w:r>
    </w:p>
    <w:p w14:paraId="6275BE12" w14:textId="5BADCB10" w:rsidR="007E53EE" w:rsidRPr="00C119EA" w:rsidRDefault="00B9558E" w:rsidP="009859CC">
      <w:pPr>
        <w:tabs>
          <w:tab w:val="left" w:pos="630"/>
          <w:tab w:val="left" w:pos="720"/>
        </w:tabs>
        <w:spacing w:line="360" w:lineRule="auto"/>
        <w:ind w:left="709" w:hanging="709"/>
        <w:jc w:val="both"/>
      </w:pPr>
      <w:r w:rsidRPr="00C119EA">
        <w:t>Organización</w:t>
      </w:r>
      <w:r w:rsidR="001846ED" w:rsidRPr="00C119EA">
        <w:t xml:space="preserve"> para la </w:t>
      </w:r>
      <w:r w:rsidRPr="00C119EA">
        <w:t>Cooperación</w:t>
      </w:r>
      <w:r w:rsidR="001846ED" w:rsidRPr="00C119EA">
        <w:t xml:space="preserve"> y el Desarrollo </w:t>
      </w:r>
      <w:r w:rsidRPr="00C119EA">
        <w:t>Económico</w:t>
      </w:r>
      <w:r w:rsidR="005809D2" w:rsidRPr="00C119EA">
        <w:t xml:space="preserve"> (</w:t>
      </w:r>
      <w:r w:rsidR="001846ED" w:rsidRPr="00C119EA">
        <w:t xml:space="preserve">2022). </w:t>
      </w:r>
      <w:proofErr w:type="spellStart"/>
      <w:r w:rsidRPr="00C119EA">
        <w:rPr>
          <w:i/>
        </w:rPr>
        <w:t>Spending</w:t>
      </w:r>
      <w:proofErr w:type="spellEnd"/>
      <w:r w:rsidRPr="00C119EA">
        <w:rPr>
          <w:i/>
        </w:rPr>
        <w:t xml:space="preserve"> </w:t>
      </w:r>
      <w:proofErr w:type="spellStart"/>
      <w:r w:rsidRPr="00C119EA">
        <w:rPr>
          <w:i/>
        </w:rPr>
        <w:t>on</w:t>
      </w:r>
      <w:proofErr w:type="spellEnd"/>
      <w:r w:rsidRPr="00C119EA">
        <w:rPr>
          <w:i/>
        </w:rPr>
        <w:t xml:space="preserve"> </w:t>
      </w:r>
      <w:proofErr w:type="spellStart"/>
      <w:r w:rsidR="00AD609F" w:rsidRPr="00C119EA">
        <w:rPr>
          <w:i/>
        </w:rPr>
        <w:t>tertiary</w:t>
      </w:r>
      <w:proofErr w:type="spellEnd"/>
      <w:r w:rsidRPr="00C119EA">
        <w:rPr>
          <w:i/>
        </w:rPr>
        <w:t xml:space="preserve"> </w:t>
      </w:r>
      <w:proofErr w:type="spellStart"/>
      <w:r w:rsidRPr="00C119EA">
        <w:rPr>
          <w:i/>
        </w:rPr>
        <w:t>education</w:t>
      </w:r>
      <w:proofErr w:type="spellEnd"/>
      <w:r w:rsidRPr="00C119EA">
        <w:rPr>
          <w:i/>
        </w:rPr>
        <w:t xml:space="preserve"> </w:t>
      </w:r>
      <w:proofErr w:type="spellStart"/>
      <w:r w:rsidRPr="00C119EA">
        <w:rPr>
          <w:i/>
        </w:rPr>
        <w:t>indicators</w:t>
      </w:r>
      <w:proofErr w:type="spellEnd"/>
      <w:r w:rsidRPr="00C119EA">
        <w:rPr>
          <w:i/>
        </w:rPr>
        <w:t>.</w:t>
      </w:r>
      <w:r w:rsidRPr="00C119EA">
        <w:t xml:space="preserve"> </w:t>
      </w:r>
      <w:r w:rsidR="001846ED" w:rsidRPr="00C119EA">
        <w:t>D</w:t>
      </w:r>
      <w:r w:rsidRPr="00C119EA">
        <w:t>ocument</w:t>
      </w:r>
      <w:r w:rsidR="0012468F" w:rsidRPr="00C119EA">
        <w:t>o</w:t>
      </w:r>
      <w:r w:rsidRPr="00C119EA">
        <w:t xml:space="preserve">. </w:t>
      </w:r>
      <w:r w:rsidR="001704DD">
        <w:t>Recuperado de</w:t>
      </w:r>
    </w:p>
    <w:p w14:paraId="1EBCA7EF" w14:textId="7E9CA000" w:rsidR="00DC07CD" w:rsidRPr="00C119EA" w:rsidRDefault="007F7E1E" w:rsidP="009859CC">
      <w:pPr>
        <w:tabs>
          <w:tab w:val="left" w:pos="630"/>
          <w:tab w:val="left" w:pos="720"/>
        </w:tabs>
        <w:spacing w:line="360" w:lineRule="auto"/>
        <w:ind w:left="709" w:hanging="709"/>
        <w:jc w:val="both"/>
      </w:pPr>
      <w:r w:rsidRPr="00C119EA">
        <w:t xml:space="preserve">            </w:t>
      </w:r>
      <w:r w:rsidR="001704DD" w:rsidRPr="00280E25">
        <w:t>https://www.oecd.org/en/data/indicators/spending-on-tertiary-education.html</w:t>
      </w:r>
    </w:p>
    <w:p w14:paraId="41387197" w14:textId="3D95ECAA" w:rsidR="007A10C3" w:rsidRPr="00DA192F" w:rsidRDefault="007A10C3" w:rsidP="009859CC">
      <w:pPr>
        <w:pStyle w:val="Sinespaciado"/>
        <w:spacing w:line="360" w:lineRule="auto"/>
        <w:ind w:left="709" w:hanging="709"/>
        <w:jc w:val="both"/>
      </w:pPr>
      <w:proofErr w:type="spellStart"/>
      <w:r w:rsidRPr="00C119EA">
        <w:rPr>
          <w:lang w:val="es-MX"/>
        </w:rPr>
        <w:t>Psacharopoulos</w:t>
      </w:r>
      <w:proofErr w:type="spellEnd"/>
      <w:r w:rsidRPr="00C119EA">
        <w:rPr>
          <w:lang w:val="es-MX"/>
        </w:rPr>
        <w:t xml:space="preserve">, G. (1994). </w:t>
      </w:r>
      <w:r w:rsidRPr="00DA192F">
        <w:t xml:space="preserve">Returns to investment in education: A global update. </w:t>
      </w:r>
      <w:r w:rsidRPr="00DA192F">
        <w:rPr>
          <w:i/>
        </w:rPr>
        <w:t>World development</w:t>
      </w:r>
      <w:r w:rsidRPr="00DA192F">
        <w:t xml:space="preserve">, 22(9), 1325-1343. </w:t>
      </w:r>
      <w:proofErr w:type="spellStart"/>
      <w:r w:rsidRPr="00DA192F">
        <w:t>doi</w:t>
      </w:r>
      <w:proofErr w:type="spellEnd"/>
      <w:r w:rsidRPr="00DA192F">
        <w:t>: 10.1016/0305-750</w:t>
      </w:r>
      <w:proofErr w:type="gramStart"/>
      <w:r w:rsidRPr="00DA192F">
        <w:t>X(</w:t>
      </w:r>
      <w:proofErr w:type="gramEnd"/>
      <w:r w:rsidRPr="00DA192F">
        <w:t>94)90007-8.</w:t>
      </w:r>
      <w:r w:rsidR="001704DD" w:rsidRPr="00DA192F">
        <w:t xml:space="preserve"> </w:t>
      </w:r>
      <w:proofErr w:type="spellStart"/>
      <w:r w:rsidR="001704DD" w:rsidRPr="00DA192F">
        <w:t>Recuperado</w:t>
      </w:r>
      <w:proofErr w:type="spellEnd"/>
      <w:r w:rsidR="001704DD" w:rsidRPr="00DA192F">
        <w:t xml:space="preserve"> de</w:t>
      </w:r>
    </w:p>
    <w:p w14:paraId="682728E4" w14:textId="49EC09A1" w:rsidR="007A10C3" w:rsidRPr="00DA192F" w:rsidRDefault="00BE1DC5" w:rsidP="009859CC">
      <w:pPr>
        <w:tabs>
          <w:tab w:val="left" w:pos="630"/>
          <w:tab w:val="left" w:pos="720"/>
        </w:tabs>
        <w:spacing w:line="360" w:lineRule="auto"/>
        <w:ind w:left="709" w:hanging="709"/>
        <w:jc w:val="both"/>
        <w:rPr>
          <w:lang w:val="en-US"/>
        </w:rPr>
      </w:pPr>
      <w:r w:rsidRPr="00DA192F">
        <w:rPr>
          <w:lang w:val="en-US"/>
        </w:rPr>
        <w:t xml:space="preserve">             </w:t>
      </w:r>
      <w:r w:rsidR="001704DD" w:rsidRPr="00DA192F">
        <w:rPr>
          <w:lang w:val="en-US"/>
        </w:rPr>
        <w:t>https://www.sciencedirect.com/science/article/abs/pii/0305750X94900078</w:t>
      </w:r>
    </w:p>
    <w:p w14:paraId="7E3E8099" w14:textId="59B31EA1" w:rsidR="001846ED" w:rsidRPr="00C119EA" w:rsidRDefault="0079260D" w:rsidP="009859CC">
      <w:pPr>
        <w:spacing w:line="360" w:lineRule="auto"/>
        <w:ind w:left="709" w:hanging="709"/>
        <w:jc w:val="both"/>
      </w:pPr>
      <w:r w:rsidRPr="00C119EA">
        <w:t>Ray, D</w:t>
      </w:r>
      <w:r w:rsidR="001A1C7E">
        <w:t>.</w:t>
      </w:r>
      <w:r w:rsidRPr="00C119EA">
        <w:t xml:space="preserve"> (2002</w:t>
      </w:r>
      <w:r w:rsidR="00E143DE" w:rsidRPr="00C119EA">
        <w:t>)</w:t>
      </w:r>
      <w:r w:rsidR="004B01D9" w:rsidRPr="00C119EA">
        <w:t>.</w:t>
      </w:r>
      <w:r w:rsidR="005809D2" w:rsidRPr="00C119EA">
        <w:t xml:space="preserve"> </w:t>
      </w:r>
      <w:r w:rsidRPr="00C119EA">
        <w:rPr>
          <w:i/>
        </w:rPr>
        <w:t>Economía del desarrollo</w:t>
      </w:r>
      <w:r w:rsidR="005809D2" w:rsidRPr="00C119EA">
        <w:t>.</w:t>
      </w:r>
      <w:r w:rsidR="00E143DE" w:rsidRPr="00C119EA">
        <w:t xml:space="preserve"> </w:t>
      </w:r>
      <w:r w:rsidRPr="00C119EA">
        <w:t>España</w:t>
      </w:r>
      <w:r w:rsidR="0012468F" w:rsidRPr="00C119EA">
        <w:t xml:space="preserve">: </w:t>
      </w:r>
      <w:r w:rsidRPr="00C119EA">
        <w:t>Antoni Bosch Editores</w:t>
      </w:r>
      <w:r w:rsidR="00E143DE" w:rsidRPr="00C119EA">
        <w:t>.</w:t>
      </w:r>
    </w:p>
    <w:p w14:paraId="37CB122C" w14:textId="3527598B" w:rsidR="00DC08BD" w:rsidRDefault="00E143DE" w:rsidP="009859CC">
      <w:pPr>
        <w:pStyle w:val="DefaultText"/>
        <w:autoSpaceDE/>
        <w:adjustRightInd/>
        <w:spacing w:line="360" w:lineRule="auto"/>
        <w:ind w:left="709" w:hanging="709"/>
        <w:jc w:val="both"/>
        <w:rPr>
          <w:rStyle w:val="Hipervnculo"/>
        </w:rPr>
      </w:pPr>
      <w:r w:rsidRPr="00C119EA">
        <w:t>Temple, J</w:t>
      </w:r>
      <w:r w:rsidR="001A1C7E">
        <w:t>.</w:t>
      </w:r>
      <w:r w:rsidRPr="00C119EA">
        <w:t xml:space="preserve"> (1998). </w:t>
      </w:r>
      <w:r w:rsidRPr="00DA192F">
        <w:rPr>
          <w:lang w:val="en-US"/>
        </w:rPr>
        <w:t xml:space="preserve">A Positive </w:t>
      </w:r>
      <w:r w:rsidR="00551C01" w:rsidRPr="00DA192F">
        <w:rPr>
          <w:lang w:val="en-US"/>
        </w:rPr>
        <w:t>e</w:t>
      </w:r>
      <w:r w:rsidRPr="00DA192F">
        <w:rPr>
          <w:lang w:val="en-US"/>
        </w:rPr>
        <w:t xml:space="preserve">ffect of </w:t>
      </w:r>
      <w:r w:rsidR="00551C01" w:rsidRPr="00DA192F">
        <w:rPr>
          <w:lang w:val="en-US"/>
        </w:rPr>
        <w:t>h</w:t>
      </w:r>
      <w:r w:rsidRPr="00DA192F">
        <w:rPr>
          <w:lang w:val="en-US"/>
        </w:rPr>
        <w:t xml:space="preserve">uman </w:t>
      </w:r>
      <w:r w:rsidR="00551C01" w:rsidRPr="00DA192F">
        <w:rPr>
          <w:lang w:val="en-US"/>
        </w:rPr>
        <w:t>c</w:t>
      </w:r>
      <w:r w:rsidRPr="00DA192F">
        <w:rPr>
          <w:lang w:val="en-US"/>
        </w:rPr>
        <w:t>apital</w:t>
      </w:r>
      <w:r w:rsidR="00E05C45" w:rsidRPr="00DA192F">
        <w:rPr>
          <w:lang w:val="en-US"/>
        </w:rPr>
        <w:t>.</w:t>
      </w:r>
      <w:r w:rsidRPr="00DA192F">
        <w:rPr>
          <w:lang w:val="en-US"/>
        </w:rPr>
        <w:t xml:space="preserve"> </w:t>
      </w:r>
      <w:proofErr w:type="spellStart"/>
      <w:r w:rsidR="00516444" w:rsidRPr="00C119EA">
        <w:rPr>
          <w:i/>
        </w:rPr>
        <w:t>E</w:t>
      </w:r>
      <w:r w:rsidRPr="00C119EA">
        <w:rPr>
          <w:i/>
        </w:rPr>
        <w:t>conomics</w:t>
      </w:r>
      <w:proofErr w:type="spellEnd"/>
      <w:r w:rsidRPr="00C119EA">
        <w:rPr>
          <w:i/>
        </w:rPr>
        <w:t xml:space="preserve"> </w:t>
      </w:r>
      <w:proofErr w:type="spellStart"/>
      <w:r w:rsidRPr="00C119EA">
        <w:rPr>
          <w:i/>
        </w:rPr>
        <w:t>Letters</w:t>
      </w:r>
      <w:proofErr w:type="spellEnd"/>
      <w:r w:rsidRPr="00C119EA">
        <w:rPr>
          <w:i/>
        </w:rPr>
        <w:t>, Elsevier</w:t>
      </w:r>
      <w:r w:rsidRPr="00C119EA">
        <w:t>, 65</w:t>
      </w:r>
      <w:r w:rsidR="00AA6CA7" w:rsidRPr="00C119EA">
        <w:t>.</w:t>
      </w:r>
      <w:r w:rsidR="001A1C7E">
        <w:t xml:space="preserve"> Recuperado de </w:t>
      </w:r>
      <w:hyperlink r:id="rId26" w:history="1">
        <w:r w:rsidR="00DE3467" w:rsidRPr="00C119EA">
          <w:rPr>
            <w:rStyle w:val="Hipervnculo"/>
          </w:rPr>
          <w:t>https://www.sciencedirect.com/science/article/abs/pii/S0165176599001202</w:t>
        </w:r>
      </w:hyperlink>
    </w:p>
    <w:p w14:paraId="54BA2069" w14:textId="63CFC78D" w:rsidR="00DC08BD" w:rsidRPr="009859CC" w:rsidRDefault="00DC08BD" w:rsidP="009859CC">
      <w:pPr>
        <w:pStyle w:val="DefaultText"/>
        <w:autoSpaceDE/>
        <w:adjustRightInd/>
        <w:spacing w:line="360" w:lineRule="auto"/>
        <w:ind w:left="709" w:hanging="709"/>
        <w:jc w:val="both"/>
      </w:pPr>
      <w:r>
        <w:lastRenderedPageBreak/>
        <w:t>Secretaria de Educación Pública.  Estadísticas d</w:t>
      </w:r>
      <w:r w:rsidRPr="00C119EA">
        <w:t>el sistema educativo mexicano en el periodo 1980-2020</w:t>
      </w:r>
      <w:r>
        <w:t>. Documento. México</w:t>
      </w:r>
    </w:p>
    <w:p w14:paraId="090779DB" w14:textId="40218F1A" w:rsidR="003B1A9D" w:rsidRDefault="008B472E" w:rsidP="009859CC">
      <w:pPr>
        <w:pStyle w:val="Ttulo1"/>
        <w:shd w:val="clear" w:color="auto" w:fill="FCFCFC"/>
        <w:spacing w:before="0" w:after="0" w:line="360" w:lineRule="auto"/>
        <w:ind w:left="709" w:hanging="709"/>
        <w:jc w:val="both"/>
        <w:rPr>
          <w:rStyle w:val="Hipervnculo"/>
          <w:rFonts w:ascii="Times New Roman" w:hAnsi="Times New Roman"/>
          <w:b w:val="0"/>
          <w:sz w:val="24"/>
          <w:szCs w:val="24"/>
        </w:rPr>
      </w:pPr>
      <w:r w:rsidRPr="00C119EA">
        <w:rPr>
          <w:rFonts w:ascii="Times New Roman" w:hAnsi="Times New Roman"/>
          <w:b w:val="0"/>
          <w:sz w:val="24"/>
          <w:szCs w:val="24"/>
        </w:rPr>
        <w:t>Vecino, F.</w:t>
      </w:r>
      <w:r w:rsidR="00E05C45" w:rsidRPr="00C119EA">
        <w:rPr>
          <w:rFonts w:ascii="Times New Roman" w:hAnsi="Times New Roman"/>
          <w:b w:val="0"/>
          <w:sz w:val="24"/>
          <w:szCs w:val="24"/>
        </w:rPr>
        <w:t xml:space="preserve"> y </w:t>
      </w:r>
      <w:r w:rsidRPr="00C119EA">
        <w:rPr>
          <w:rFonts w:ascii="Times New Roman" w:hAnsi="Times New Roman"/>
          <w:b w:val="0"/>
          <w:sz w:val="24"/>
          <w:szCs w:val="24"/>
        </w:rPr>
        <w:t>A. Zaldívar (2016).</w:t>
      </w:r>
      <w:r w:rsidR="001846ED" w:rsidRPr="00C119EA">
        <w:rPr>
          <w:rFonts w:ascii="Times New Roman" w:hAnsi="Times New Roman"/>
          <w:b w:val="0"/>
          <w:sz w:val="24"/>
          <w:szCs w:val="24"/>
        </w:rPr>
        <w:t xml:space="preserve"> El capital humano en la transformación de la estructura y superestructura social</w:t>
      </w:r>
      <w:r w:rsidR="001E41F8" w:rsidRPr="00C119EA">
        <w:rPr>
          <w:rFonts w:ascii="Times New Roman" w:hAnsi="Times New Roman"/>
          <w:b w:val="0"/>
          <w:sz w:val="24"/>
          <w:szCs w:val="24"/>
        </w:rPr>
        <w:t xml:space="preserve">. </w:t>
      </w:r>
      <w:r w:rsidR="001E41F8" w:rsidRPr="00C119EA">
        <w:rPr>
          <w:rFonts w:ascii="Times New Roman" w:hAnsi="Times New Roman"/>
          <w:b w:val="0"/>
          <w:i/>
          <w:sz w:val="24"/>
          <w:szCs w:val="24"/>
        </w:rPr>
        <w:t>Dilemas Contemporáneos</w:t>
      </w:r>
      <w:r w:rsidR="001E41F8" w:rsidRPr="00C119EA">
        <w:rPr>
          <w:rFonts w:ascii="Times New Roman" w:hAnsi="Times New Roman"/>
          <w:b w:val="0"/>
          <w:sz w:val="24"/>
          <w:szCs w:val="24"/>
        </w:rPr>
        <w:t>,</w:t>
      </w:r>
      <w:r w:rsidR="001846ED" w:rsidRPr="00C119EA">
        <w:rPr>
          <w:rFonts w:ascii="Times New Roman" w:hAnsi="Times New Roman"/>
          <w:b w:val="0"/>
          <w:sz w:val="24"/>
          <w:szCs w:val="24"/>
        </w:rPr>
        <w:t xml:space="preserve"> Año 4, publicación número 1</w:t>
      </w:r>
      <w:r w:rsidR="002B4072" w:rsidRPr="00C119EA">
        <w:rPr>
          <w:rFonts w:ascii="Times New Roman" w:hAnsi="Times New Roman"/>
          <w:b w:val="0"/>
          <w:sz w:val="24"/>
          <w:szCs w:val="24"/>
        </w:rPr>
        <w:t>.</w:t>
      </w:r>
      <w:r w:rsidR="00A632A2" w:rsidRPr="00C119EA">
        <w:rPr>
          <w:rFonts w:ascii="Times New Roman" w:hAnsi="Times New Roman"/>
          <w:b w:val="0"/>
          <w:sz w:val="24"/>
          <w:szCs w:val="24"/>
        </w:rPr>
        <w:t>, articulo 40</w:t>
      </w:r>
      <w:r w:rsidR="00EC1DB0">
        <w:rPr>
          <w:rFonts w:ascii="Times New Roman" w:hAnsi="Times New Roman"/>
          <w:b w:val="0"/>
          <w:sz w:val="24"/>
          <w:szCs w:val="24"/>
        </w:rPr>
        <w:t xml:space="preserve">. </w:t>
      </w:r>
      <w:r w:rsidR="00EC1DB0" w:rsidRPr="00280E25">
        <w:rPr>
          <w:rFonts w:ascii="Times New Roman" w:hAnsi="Times New Roman"/>
          <w:b w:val="0"/>
          <w:bCs w:val="0"/>
          <w:sz w:val="24"/>
          <w:szCs w:val="24"/>
        </w:rPr>
        <w:t>Recuperado de</w:t>
      </w:r>
      <w:r w:rsidR="00EC1DB0">
        <w:rPr>
          <w:rFonts w:ascii="Times New Roman" w:hAnsi="Times New Roman"/>
          <w:b w:val="0"/>
          <w:sz w:val="24"/>
          <w:szCs w:val="24"/>
        </w:rPr>
        <w:t xml:space="preserve"> </w:t>
      </w:r>
      <w:hyperlink r:id="rId27" w:history="1">
        <w:r w:rsidR="00EC1DB0" w:rsidRPr="00EC1DB0">
          <w:rPr>
            <w:rStyle w:val="Hipervnculo"/>
            <w:rFonts w:ascii="Times New Roman" w:hAnsi="Times New Roman"/>
            <w:b w:val="0"/>
            <w:sz w:val="24"/>
            <w:szCs w:val="24"/>
          </w:rPr>
          <w:t>https://dilemascontemporaneoseducacionpoliticayvalores.com/index.php/dilemas/article/view/185/692</w:t>
        </w:r>
      </w:hyperlink>
    </w:p>
    <w:p w14:paraId="1FB7B0F9" w14:textId="77777777" w:rsidR="009859CC" w:rsidRDefault="009859CC" w:rsidP="009859CC"/>
    <w:p w14:paraId="3F978B3C" w14:textId="77777777" w:rsidR="009859CC" w:rsidRDefault="009859CC" w:rsidP="009859CC"/>
    <w:p w14:paraId="33BF06B7" w14:textId="77777777" w:rsidR="009859CC" w:rsidRDefault="009859CC" w:rsidP="009859CC"/>
    <w:p w14:paraId="16687560" w14:textId="77777777" w:rsidR="009859CC" w:rsidRDefault="009859CC" w:rsidP="009859CC"/>
    <w:p w14:paraId="7E1B0104" w14:textId="77777777" w:rsidR="009859CC" w:rsidRDefault="009859CC" w:rsidP="009859CC"/>
    <w:p w14:paraId="22B53FB3" w14:textId="77777777" w:rsidR="009859CC" w:rsidRDefault="009859CC" w:rsidP="009859CC"/>
    <w:p w14:paraId="6833FFE5" w14:textId="77777777" w:rsidR="009859CC" w:rsidRDefault="009859CC" w:rsidP="009859CC"/>
    <w:p w14:paraId="7280455E" w14:textId="77777777" w:rsidR="009859CC" w:rsidRDefault="009859CC" w:rsidP="009859CC"/>
    <w:p w14:paraId="0A3EE317" w14:textId="77777777" w:rsidR="009859CC" w:rsidRDefault="009859CC" w:rsidP="009859CC"/>
    <w:p w14:paraId="2A1DD8F6" w14:textId="77777777" w:rsidR="009859CC" w:rsidRDefault="009859CC" w:rsidP="009859CC"/>
    <w:p w14:paraId="1A9D2AD3" w14:textId="77777777" w:rsidR="009859CC" w:rsidRDefault="009859CC" w:rsidP="009859CC"/>
    <w:p w14:paraId="514F6CB4" w14:textId="77777777" w:rsidR="009859CC" w:rsidRDefault="009859CC" w:rsidP="009859CC"/>
    <w:p w14:paraId="70FCB056" w14:textId="77777777" w:rsidR="009859CC" w:rsidRDefault="009859CC" w:rsidP="009859CC"/>
    <w:p w14:paraId="5B0A0226" w14:textId="77777777" w:rsidR="009859CC" w:rsidRDefault="009859CC" w:rsidP="009859CC"/>
    <w:p w14:paraId="0FE1E535" w14:textId="77777777" w:rsidR="009859CC" w:rsidRDefault="009859CC" w:rsidP="009859CC"/>
    <w:p w14:paraId="1E903487" w14:textId="77777777" w:rsidR="009859CC" w:rsidRDefault="009859CC" w:rsidP="009859CC"/>
    <w:p w14:paraId="1B21E8D4" w14:textId="77777777" w:rsidR="009859CC" w:rsidRDefault="009859CC" w:rsidP="009859CC"/>
    <w:p w14:paraId="48F5443D" w14:textId="77777777" w:rsidR="00385338" w:rsidRDefault="00385338" w:rsidP="009859CC"/>
    <w:p w14:paraId="4FAF42B6" w14:textId="77777777" w:rsidR="00385338" w:rsidRDefault="00385338" w:rsidP="009859CC"/>
    <w:p w14:paraId="212C2CBC" w14:textId="77777777" w:rsidR="00385338" w:rsidRDefault="00385338" w:rsidP="009859CC"/>
    <w:p w14:paraId="0B8C2FF4" w14:textId="77777777" w:rsidR="00385338" w:rsidRDefault="00385338" w:rsidP="009859CC"/>
    <w:p w14:paraId="6A912590" w14:textId="77777777" w:rsidR="00385338" w:rsidRDefault="00385338" w:rsidP="009859CC"/>
    <w:p w14:paraId="0585666F" w14:textId="77777777" w:rsidR="00385338" w:rsidRDefault="00385338" w:rsidP="009859CC"/>
    <w:p w14:paraId="3BF81B96" w14:textId="77777777" w:rsidR="00385338" w:rsidRDefault="00385338" w:rsidP="009859CC"/>
    <w:p w14:paraId="1882CF53" w14:textId="77777777" w:rsidR="00385338" w:rsidRDefault="00385338" w:rsidP="009859CC"/>
    <w:p w14:paraId="74F122C4" w14:textId="77777777" w:rsidR="00385338" w:rsidRDefault="00385338" w:rsidP="009859CC"/>
    <w:p w14:paraId="74EC8BDC" w14:textId="77777777" w:rsidR="00385338" w:rsidRDefault="00385338" w:rsidP="009859CC"/>
    <w:p w14:paraId="6FF8DA4F" w14:textId="77777777" w:rsidR="00385338" w:rsidRDefault="00385338" w:rsidP="009859CC"/>
    <w:p w14:paraId="67F02A0C" w14:textId="77777777" w:rsidR="00385338" w:rsidRDefault="00385338" w:rsidP="009859CC"/>
    <w:p w14:paraId="5D69D504" w14:textId="77777777" w:rsidR="00385338" w:rsidRDefault="00385338" w:rsidP="009859CC"/>
    <w:p w14:paraId="5579DAFE" w14:textId="77777777" w:rsidR="00385338" w:rsidRDefault="00385338" w:rsidP="009859CC"/>
    <w:p w14:paraId="4493EE94" w14:textId="77777777" w:rsidR="00385338" w:rsidRDefault="00385338" w:rsidP="009859CC"/>
    <w:p w14:paraId="48C0EC21" w14:textId="77777777" w:rsidR="00385338" w:rsidRDefault="00385338" w:rsidP="009859CC"/>
    <w:p w14:paraId="37BC9334" w14:textId="77777777" w:rsidR="00385338" w:rsidRDefault="00385338" w:rsidP="009859CC"/>
    <w:p w14:paraId="021E1207" w14:textId="77777777" w:rsidR="009859CC" w:rsidRDefault="009859CC" w:rsidP="009859CC"/>
    <w:p w14:paraId="4358C02A" w14:textId="77777777" w:rsidR="009859CC" w:rsidRDefault="009859CC" w:rsidP="009859CC"/>
    <w:p w14:paraId="6F9B5A1F" w14:textId="77777777" w:rsidR="009859CC" w:rsidRDefault="009859CC" w:rsidP="009859CC"/>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7202"/>
      </w:tblGrid>
      <w:tr w:rsidR="009859CC" w:rsidRPr="009859CC" w14:paraId="20091B0C" w14:textId="77777777" w:rsidTr="009859CC">
        <w:trPr>
          <w:jc w:val="center"/>
        </w:trPr>
        <w:tc>
          <w:tcPr>
            <w:tcW w:w="2158" w:type="dxa"/>
            <w:shd w:val="clear" w:color="auto" w:fill="auto"/>
            <w:tcMar>
              <w:top w:w="100" w:type="dxa"/>
              <w:left w:w="100" w:type="dxa"/>
              <w:bottom w:w="100" w:type="dxa"/>
              <w:right w:w="100" w:type="dxa"/>
            </w:tcMar>
          </w:tcPr>
          <w:p w14:paraId="227CE06B" w14:textId="77777777" w:rsidR="009859CC" w:rsidRPr="009859CC" w:rsidRDefault="009859CC" w:rsidP="00B6051D">
            <w:pPr>
              <w:pStyle w:val="Ttulo3"/>
              <w:widowControl w:val="0"/>
              <w:spacing w:before="0"/>
              <w:rPr>
                <w:rFonts w:ascii="Times New Roman" w:hAnsi="Times New Roman" w:cs="Times New Roman"/>
                <w:color w:val="auto"/>
              </w:rPr>
            </w:pPr>
            <w:r w:rsidRPr="009859CC">
              <w:rPr>
                <w:rFonts w:ascii="Times New Roman" w:hAnsi="Times New Roman" w:cs="Times New Roman"/>
                <w:color w:val="auto"/>
              </w:rPr>
              <w:lastRenderedPageBreak/>
              <w:t>Rol de Contribución</w:t>
            </w:r>
          </w:p>
        </w:tc>
        <w:tc>
          <w:tcPr>
            <w:tcW w:w="7202" w:type="dxa"/>
            <w:shd w:val="clear" w:color="auto" w:fill="auto"/>
            <w:tcMar>
              <w:top w:w="100" w:type="dxa"/>
              <w:left w:w="100" w:type="dxa"/>
              <w:bottom w:w="100" w:type="dxa"/>
              <w:right w:w="100" w:type="dxa"/>
            </w:tcMar>
          </w:tcPr>
          <w:p w14:paraId="2BBA2ACF" w14:textId="436AF055" w:rsidR="009859CC" w:rsidRPr="009859CC" w:rsidRDefault="009859CC" w:rsidP="00B6051D">
            <w:pPr>
              <w:pStyle w:val="Ttulo3"/>
              <w:widowControl w:val="0"/>
              <w:spacing w:before="0"/>
              <w:rPr>
                <w:rFonts w:ascii="Times New Roman" w:hAnsi="Times New Roman" w:cs="Times New Roman"/>
                <w:color w:val="auto"/>
              </w:rPr>
            </w:pPr>
            <w:bookmarkStart w:id="2" w:name="_btsjgdfgjwkr" w:colFirst="0" w:colLast="0"/>
            <w:bookmarkEnd w:id="2"/>
            <w:r>
              <w:rPr>
                <w:rFonts w:ascii="Times New Roman" w:hAnsi="Times New Roman" w:cs="Times New Roman"/>
                <w:color w:val="auto"/>
              </w:rPr>
              <w:t>Autor (es)</w:t>
            </w:r>
          </w:p>
        </w:tc>
      </w:tr>
      <w:tr w:rsidR="009859CC" w:rsidRPr="009859CC" w14:paraId="78100057" w14:textId="77777777" w:rsidTr="009859CC">
        <w:trPr>
          <w:jc w:val="center"/>
        </w:trPr>
        <w:tc>
          <w:tcPr>
            <w:tcW w:w="2158" w:type="dxa"/>
            <w:shd w:val="clear" w:color="auto" w:fill="auto"/>
            <w:tcMar>
              <w:top w:w="100" w:type="dxa"/>
              <w:left w:w="100" w:type="dxa"/>
              <w:bottom w:w="100" w:type="dxa"/>
              <w:right w:w="100" w:type="dxa"/>
            </w:tcMar>
          </w:tcPr>
          <w:p w14:paraId="185F58A7" w14:textId="77777777" w:rsidR="009859CC" w:rsidRPr="009859CC" w:rsidRDefault="009859CC" w:rsidP="00B6051D">
            <w:pPr>
              <w:widowControl w:val="0"/>
            </w:pPr>
            <w:r w:rsidRPr="009859CC">
              <w:t>Conceptualización</w:t>
            </w:r>
          </w:p>
        </w:tc>
        <w:tc>
          <w:tcPr>
            <w:tcW w:w="7202" w:type="dxa"/>
            <w:shd w:val="clear" w:color="auto" w:fill="auto"/>
            <w:tcMar>
              <w:top w:w="100" w:type="dxa"/>
              <w:left w:w="100" w:type="dxa"/>
              <w:bottom w:w="100" w:type="dxa"/>
              <w:right w:w="100" w:type="dxa"/>
            </w:tcMar>
          </w:tcPr>
          <w:p w14:paraId="438FA093" w14:textId="7892B8DA" w:rsidR="009859CC" w:rsidRPr="009859CC" w:rsidRDefault="009859CC" w:rsidP="00B6051D">
            <w:pPr>
              <w:widowControl w:val="0"/>
            </w:pPr>
            <w:proofErr w:type="spellStart"/>
            <w:r w:rsidRPr="009859CC">
              <w:t>Oshiel</w:t>
            </w:r>
            <w:proofErr w:type="spellEnd"/>
            <w:r w:rsidRPr="009859CC">
              <w:t xml:space="preserve"> Martínez Chapa “Principal” y Jaime G. Malacara </w:t>
            </w:r>
            <w:proofErr w:type="spellStart"/>
            <w:r w:rsidRPr="009859CC">
              <w:t>Navejar</w:t>
            </w:r>
            <w:proofErr w:type="spellEnd"/>
            <w:r w:rsidRPr="009859CC">
              <w:t xml:space="preserve"> “que apoya”</w:t>
            </w:r>
          </w:p>
        </w:tc>
      </w:tr>
      <w:tr w:rsidR="009859CC" w:rsidRPr="009859CC" w14:paraId="39A7FFAB" w14:textId="77777777" w:rsidTr="009859CC">
        <w:trPr>
          <w:jc w:val="center"/>
        </w:trPr>
        <w:tc>
          <w:tcPr>
            <w:tcW w:w="2158" w:type="dxa"/>
            <w:shd w:val="clear" w:color="auto" w:fill="auto"/>
            <w:tcMar>
              <w:top w:w="100" w:type="dxa"/>
              <w:left w:w="100" w:type="dxa"/>
              <w:bottom w:w="100" w:type="dxa"/>
              <w:right w:w="100" w:type="dxa"/>
            </w:tcMar>
          </w:tcPr>
          <w:p w14:paraId="18E9FAC0" w14:textId="77777777" w:rsidR="009859CC" w:rsidRPr="009859CC" w:rsidRDefault="009859CC" w:rsidP="00B6051D">
            <w:pPr>
              <w:widowControl w:val="0"/>
            </w:pPr>
            <w:r w:rsidRPr="009859CC">
              <w:t>Metodología</w:t>
            </w:r>
          </w:p>
        </w:tc>
        <w:tc>
          <w:tcPr>
            <w:tcW w:w="7202" w:type="dxa"/>
            <w:shd w:val="clear" w:color="auto" w:fill="auto"/>
            <w:tcMar>
              <w:top w:w="100" w:type="dxa"/>
              <w:left w:w="100" w:type="dxa"/>
              <w:bottom w:w="100" w:type="dxa"/>
              <w:right w:w="100" w:type="dxa"/>
            </w:tcMar>
          </w:tcPr>
          <w:p w14:paraId="7601AF1E" w14:textId="77777777" w:rsidR="009859CC" w:rsidRPr="009859CC" w:rsidRDefault="009859CC" w:rsidP="00B6051D">
            <w:pPr>
              <w:widowControl w:val="0"/>
            </w:pPr>
            <w:proofErr w:type="spellStart"/>
            <w:r w:rsidRPr="009859CC">
              <w:t>Oshiel</w:t>
            </w:r>
            <w:proofErr w:type="spellEnd"/>
            <w:r w:rsidRPr="009859CC">
              <w:t xml:space="preserve"> Martínez Chapa “Principal” y Jaime G. Malacara </w:t>
            </w:r>
            <w:proofErr w:type="spellStart"/>
            <w:r w:rsidRPr="009859CC">
              <w:t>Navejar</w:t>
            </w:r>
            <w:proofErr w:type="spellEnd"/>
            <w:r w:rsidRPr="009859CC">
              <w:t xml:space="preserve"> “que apoya”</w:t>
            </w:r>
          </w:p>
        </w:tc>
      </w:tr>
      <w:tr w:rsidR="009859CC" w:rsidRPr="009859CC" w14:paraId="36D0E75B" w14:textId="77777777" w:rsidTr="009859CC">
        <w:trPr>
          <w:jc w:val="center"/>
        </w:trPr>
        <w:tc>
          <w:tcPr>
            <w:tcW w:w="2158" w:type="dxa"/>
            <w:shd w:val="clear" w:color="auto" w:fill="auto"/>
            <w:tcMar>
              <w:top w:w="100" w:type="dxa"/>
              <w:left w:w="100" w:type="dxa"/>
              <w:bottom w:w="100" w:type="dxa"/>
              <w:right w:w="100" w:type="dxa"/>
            </w:tcMar>
          </w:tcPr>
          <w:p w14:paraId="7D082101" w14:textId="77777777" w:rsidR="009859CC" w:rsidRPr="009859CC" w:rsidRDefault="009859CC" w:rsidP="00B6051D">
            <w:pPr>
              <w:widowControl w:val="0"/>
            </w:pPr>
            <w:r w:rsidRPr="009859CC">
              <w:t>Software</w:t>
            </w:r>
          </w:p>
        </w:tc>
        <w:tc>
          <w:tcPr>
            <w:tcW w:w="7202" w:type="dxa"/>
            <w:shd w:val="clear" w:color="auto" w:fill="auto"/>
            <w:tcMar>
              <w:top w:w="100" w:type="dxa"/>
              <w:left w:w="100" w:type="dxa"/>
              <w:bottom w:w="100" w:type="dxa"/>
              <w:right w:w="100" w:type="dxa"/>
            </w:tcMar>
          </w:tcPr>
          <w:p w14:paraId="2AF93E1F" w14:textId="77777777" w:rsidR="009859CC" w:rsidRPr="009859CC" w:rsidRDefault="009859CC" w:rsidP="00B6051D">
            <w:pPr>
              <w:widowControl w:val="0"/>
            </w:pPr>
            <w:proofErr w:type="spellStart"/>
            <w:r w:rsidRPr="009859CC">
              <w:t>Oshiel</w:t>
            </w:r>
            <w:proofErr w:type="spellEnd"/>
            <w:r w:rsidRPr="009859CC">
              <w:t xml:space="preserve"> Martínez Chapa “Principal” y Jaime G. Malacara </w:t>
            </w:r>
            <w:proofErr w:type="spellStart"/>
            <w:r w:rsidRPr="009859CC">
              <w:t>Navejar</w:t>
            </w:r>
            <w:proofErr w:type="spellEnd"/>
            <w:r w:rsidRPr="009859CC">
              <w:t xml:space="preserve"> “que apoya”</w:t>
            </w:r>
          </w:p>
        </w:tc>
      </w:tr>
      <w:tr w:rsidR="009859CC" w:rsidRPr="009859CC" w14:paraId="52D8F182" w14:textId="77777777" w:rsidTr="009859CC">
        <w:trPr>
          <w:jc w:val="center"/>
        </w:trPr>
        <w:tc>
          <w:tcPr>
            <w:tcW w:w="2158" w:type="dxa"/>
            <w:shd w:val="clear" w:color="auto" w:fill="auto"/>
            <w:tcMar>
              <w:top w:w="100" w:type="dxa"/>
              <w:left w:w="100" w:type="dxa"/>
              <w:bottom w:w="100" w:type="dxa"/>
              <w:right w:w="100" w:type="dxa"/>
            </w:tcMar>
          </w:tcPr>
          <w:p w14:paraId="07485B77" w14:textId="77777777" w:rsidR="009859CC" w:rsidRPr="009859CC" w:rsidRDefault="009859CC" w:rsidP="00B6051D">
            <w:pPr>
              <w:widowControl w:val="0"/>
            </w:pPr>
            <w:r w:rsidRPr="009859CC">
              <w:t>Validación</w:t>
            </w:r>
          </w:p>
        </w:tc>
        <w:tc>
          <w:tcPr>
            <w:tcW w:w="7202" w:type="dxa"/>
            <w:shd w:val="clear" w:color="auto" w:fill="auto"/>
            <w:tcMar>
              <w:top w:w="100" w:type="dxa"/>
              <w:left w:w="100" w:type="dxa"/>
              <w:bottom w:w="100" w:type="dxa"/>
              <w:right w:w="100" w:type="dxa"/>
            </w:tcMar>
          </w:tcPr>
          <w:p w14:paraId="0354449D" w14:textId="77777777" w:rsidR="009859CC" w:rsidRPr="009859CC" w:rsidRDefault="009859CC" w:rsidP="00B6051D">
            <w:pPr>
              <w:widowControl w:val="0"/>
            </w:pPr>
            <w:proofErr w:type="spellStart"/>
            <w:r w:rsidRPr="009859CC">
              <w:t>Oshiel</w:t>
            </w:r>
            <w:proofErr w:type="spellEnd"/>
            <w:r w:rsidRPr="009859CC">
              <w:t xml:space="preserve"> Martínez Chapa “Principal” y Jaime G. Malacara </w:t>
            </w:r>
            <w:proofErr w:type="spellStart"/>
            <w:r w:rsidRPr="009859CC">
              <w:t>Navejar</w:t>
            </w:r>
            <w:proofErr w:type="spellEnd"/>
            <w:r w:rsidRPr="009859CC">
              <w:t xml:space="preserve"> “que apoya”</w:t>
            </w:r>
          </w:p>
        </w:tc>
      </w:tr>
      <w:tr w:rsidR="009859CC" w:rsidRPr="009859CC" w14:paraId="2CD85FD8" w14:textId="77777777" w:rsidTr="009859CC">
        <w:trPr>
          <w:jc w:val="center"/>
        </w:trPr>
        <w:tc>
          <w:tcPr>
            <w:tcW w:w="2158" w:type="dxa"/>
            <w:shd w:val="clear" w:color="auto" w:fill="auto"/>
            <w:tcMar>
              <w:top w:w="100" w:type="dxa"/>
              <w:left w:w="100" w:type="dxa"/>
              <w:bottom w:w="100" w:type="dxa"/>
              <w:right w:w="100" w:type="dxa"/>
            </w:tcMar>
          </w:tcPr>
          <w:p w14:paraId="67B5E417" w14:textId="77777777" w:rsidR="009859CC" w:rsidRPr="009859CC" w:rsidRDefault="009859CC" w:rsidP="00B6051D">
            <w:pPr>
              <w:widowControl w:val="0"/>
            </w:pPr>
            <w:r w:rsidRPr="009859CC">
              <w:t>Análisis Formal</w:t>
            </w:r>
          </w:p>
        </w:tc>
        <w:tc>
          <w:tcPr>
            <w:tcW w:w="7202" w:type="dxa"/>
            <w:shd w:val="clear" w:color="auto" w:fill="auto"/>
            <w:tcMar>
              <w:top w:w="100" w:type="dxa"/>
              <w:left w:w="100" w:type="dxa"/>
              <w:bottom w:w="100" w:type="dxa"/>
              <w:right w:w="100" w:type="dxa"/>
            </w:tcMar>
          </w:tcPr>
          <w:p w14:paraId="30183C91" w14:textId="77777777" w:rsidR="009859CC" w:rsidRPr="009859CC" w:rsidRDefault="009859CC" w:rsidP="00B6051D">
            <w:pPr>
              <w:widowControl w:val="0"/>
            </w:pPr>
            <w:proofErr w:type="spellStart"/>
            <w:r w:rsidRPr="009859CC">
              <w:t>Oshiel</w:t>
            </w:r>
            <w:proofErr w:type="spellEnd"/>
            <w:r w:rsidRPr="009859CC">
              <w:t xml:space="preserve"> Martínez Chapa “Principal” y Jaime G. Malacara </w:t>
            </w:r>
            <w:proofErr w:type="spellStart"/>
            <w:r w:rsidRPr="009859CC">
              <w:t>Navejar</w:t>
            </w:r>
            <w:proofErr w:type="spellEnd"/>
            <w:r w:rsidRPr="009859CC">
              <w:t xml:space="preserve"> “que apoya”</w:t>
            </w:r>
          </w:p>
        </w:tc>
      </w:tr>
      <w:tr w:rsidR="009859CC" w:rsidRPr="009859CC" w14:paraId="42A8A425" w14:textId="77777777" w:rsidTr="009859CC">
        <w:trPr>
          <w:jc w:val="center"/>
        </w:trPr>
        <w:tc>
          <w:tcPr>
            <w:tcW w:w="2158" w:type="dxa"/>
            <w:shd w:val="clear" w:color="auto" w:fill="auto"/>
            <w:tcMar>
              <w:top w:w="100" w:type="dxa"/>
              <w:left w:w="100" w:type="dxa"/>
              <w:bottom w:w="100" w:type="dxa"/>
              <w:right w:w="100" w:type="dxa"/>
            </w:tcMar>
          </w:tcPr>
          <w:p w14:paraId="03E19ACB" w14:textId="77777777" w:rsidR="009859CC" w:rsidRPr="009859CC" w:rsidRDefault="009859CC" w:rsidP="00B6051D">
            <w:pPr>
              <w:widowControl w:val="0"/>
            </w:pPr>
            <w:r w:rsidRPr="009859CC">
              <w:t>Investigación</w:t>
            </w:r>
          </w:p>
        </w:tc>
        <w:tc>
          <w:tcPr>
            <w:tcW w:w="7202" w:type="dxa"/>
            <w:shd w:val="clear" w:color="auto" w:fill="auto"/>
            <w:tcMar>
              <w:top w:w="100" w:type="dxa"/>
              <w:left w:w="100" w:type="dxa"/>
              <w:bottom w:w="100" w:type="dxa"/>
              <w:right w:w="100" w:type="dxa"/>
            </w:tcMar>
          </w:tcPr>
          <w:p w14:paraId="60EB6C5A" w14:textId="77777777" w:rsidR="009859CC" w:rsidRPr="009859CC" w:rsidRDefault="009859CC" w:rsidP="00B6051D">
            <w:pPr>
              <w:widowControl w:val="0"/>
            </w:pPr>
            <w:proofErr w:type="spellStart"/>
            <w:r w:rsidRPr="009859CC">
              <w:t>Oshiel</w:t>
            </w:r>
            <w:proofErr w:type="spellEnd"/>
            <w:r w:rsidRPr="009859CC">
              <w:t xml:space="preserve"> Martínez Chapa “</w:t>
            </w:r>
            <w:proofErr w:type="gramStart"/>
            <w:r w:rsidRPr="009859CC">
              <w:t xml:space="preserve">Principal”   </w:t>
            </w:r>
            <w:proofErr w:type="gramEnd"/>
            <w:r w:rsidRPr="009859CC">
              <w:t xml:space="preserve">y Jaime G. Malacara </w:t>
            </w:r>
            <w:proofErr w:type="spellStart"/>
            <w:r w:rsidRPr="009859CC">
              <w:t>Navejar</w:t>
            </w:r>
            <w:proofErr w:type="spellEnd"/>
            <w:r w:rsidRPr="009859CC">
              <w:t xml:space="preserve"> “que apoya”</w:t>
            </w:r>
          </w:p>
        </w:tc>
      </w:tr>
      <w:tr w:rsidR="009859CC" w:rsidRPr="009859CC" w14:paraId="5ACAB248" w14:textId="77777777" w:rsidTr="009859CC">
        <w:trPr>
          <w:jc w:val="center"/>
        </w:trPr>
        <w:tc>
          <w:tcPr>
            <w:tcW w:w="2158" w:type="dxa"/>
            <w:shd w:val="clear" w:color="auto" w:fill="auto"/>
            <w:tcMar>
              <w:top w:w="100" w:type="dxa"/>
              <w:left w:w="100" w:type="dxa"/>
              <w:bottom w:w="100" w:type="dxa"/>
              <w:right w:w="100" w:type="dxa"/>
            </w:tcMar>
          </w:tcPr>
          <w:p w14:paraId="5AADF083" w14:textId="77777777" w:rsidR="009859CC" w:rsidRPr="009859CC" w:rsidRDefault="009859CC" w:rsidP="00B6051D">
            <w:pPr>
              <w:widowControl w:val="0"/>
            </w:pPr>
            <w:r w:rsidRPr="009859CC">
              <w:t>Recursos</w:t>
            </w:r>
          </w:p>
        </w:tc>
        <w:tc>
          <w:tcPr>
            <w:tcW w:w="7202" w:type="dxa"/>
            <w:shd w:val="clear" w:color="auto" w:fill="auto"/>
            <w:tcMar>
              <w:top w:w="100" w:type="dxa"/>
              <w:left w:w="100" w:type="dxa"/>
              <w:bottom w:w="100" w:type="dxa"/>
              <w:right w:w="100" w:type="dxa"/>
            </w:tcMar>
          </w:tcPr>
          <w:p w14:paraId="78010932" w14:textId="77777777" w:rsidR="009859CC" w:rsidRPr="009859CC" w:rsidRDefault="009859CC" w:rsidP="00B6051D">
            <w:pPr>
              <w:widowControl w:val="0"/>
            </w:pPr>
            <w:proofErr w:type="spellStart"/>
            <w:r w:rsidRPr="009859CC">
              <w:t>Oshiel</w:t>
            </w:r>
            <w:proofErr w:type="spellEnd"/>
            <w:r w:rsidRPr="009859CC">
              <w:t xml:space="preserve"> Martínez </w:t>
            </w:r>
            <w:proofErr w:type="spellStart"/>
            <w:proofErr w:type="gramStart"/>
            <w:r w:rsidRPr="009859CC">
              <w:t>Chapa“</w:t>
            </w:r>
            <w:proofErr w:type="gramEnd"/>
            <w:r w:rsidRPr="009859CC">
              <w:t>Principal</w:t>
            </w:r>
            <w:proofErr w:type="spellEnd"/>
            <w:r w:rsidRPr="009859CC">
              <w:t xml:space="preserve">”   y Jaime G. Malacara </w:t>
            </w:r>
            <w:proofErr w:type="spellStart"/>
            <w:r w:rsidRPr="009859CC">
              <w:t>Navejar</w:t>
            </w:r>
            <w:proofErr w:type="spellEnd"/>
            <w:r w:rsidRPr="009859CC">
              <w:t xml:space="preserve"> “que apoya”</w:t>
            </w:r>
          </w:p>
        </w:tc>
      </w:tr>
      <w:tr w:rsidR="009859CC" w:rsidRPr="009859CC" w14:paraId="5B452083" w14:textId="77777777" w:rsidTr="009859CC">
        <w:trPr>
          <w:jc w:val="center"/>
        </w:trPr>
        <w:tc>
          <w:tcPr>
            <w:tcW w:w="2158" w:type="dxa"/>
            <w:shd w:val="clear" w:color="auto" w:fill="auto"/>
            <w:tcMar>
              <w:top w:w="100" w:type="dxa"/>
              <w:left w:w="100" w:type="dxa"/>
              <w:bottom w:w="100" w:type="dxa"/>
              <w:right w:w="100" w:type="dxa"/>
            </w:tcMar>
          </w:tcPr>
          <w:p w14:paraId="2D265C62" w14:textId="77777777" w:rsidR="009859CC" w:rsidRPr="009859CC" w:rsidRDefault="009859CC" w:rsidP="00B6051D">
            <w:pPr>
              <w:widowControl w:val="0"/>
            </w:pPr>
            <w:r w:rsidRPr="009859CC">
              <w:t>Curación de datos</w:t>
            </w:r>
          </w:p>
        </w:tc>
        <w:tc>
          <w:tcPr>
            <w:tcW w:w="7202" w:type="dxa"/>
            <w:shd w:val="clear" w:color="auto" w:fill="auto"/>
            <w:tcMar>
              <w:top w:w="100" w:type="dxa"/>
              <w:left w:w="100" w:type="dxa"/>
              <w:bottom w:w="100" w:type="dxa"/>
              <w:right w:w="100" w:type="dxa"/>
            </w:tcMar>
          </w:tcPr>
          <w:p w14:paraId="718D7818" w14:textId="77777777" w:rsidR="009859CC" w:rsidRPr="009859CC" w:rsidRDefault="009859CC" w:rsidP="00B6051D">
            <w:pPr>
              <w:widowControl w:val="0"/>
            </w:pPr>
            <w:proofErr w:type="spellStart"/>
            <w:r w:rsidRPr="009859CC">
              <w:t>Oshiel</w:t>
            </w:r>
            <w:proofErr w:type="spellEnd"/>
            <w:r w:rsidRPr="009859CC">
              <w:t xml:space="preserve"> Martínez Chapa “Principal” y Jaime G. Malacara </w:t>
            </w:r>
            <w:proofErr w:type="spellStart"/>
            <w:r w:rsidRPr="009859CC">
              <w:t>Navejar</w:t>
            </w:r>
            <w:proofErr w:type="spellEnd"/>
            <w:r w:rsidRPr="009859CC">
              <w:t xml:space="preserve"> “que apoya”</w:t>
            </w:r>
          </w:p>
        </w:tc>
      </w:tr>
      <w:tr w:rsidR="009859CC" w:rsidRPr="009859CC" w14:paraId="0267F590" w14:textId="77777777" w:rsidTr="009859CC">
        <w:trPr>
          <w:jc w:val="center"/>
        </w:trPr>
        <w:tc>
          <w:tcPr>
            <w:tcW w:w="2158" w:type="dxa"/>
            <w:shd w:val="clear" w:color="auto" w:fill="auto"/>
            <w:tcMar>
              <w:top w:w="100" w:type="dxa"/>
              <w:left w:w="100" w:type="dxa"/>
              <w:bottom w:w="100" w:type="dxa"/>
              <w:right w:w="100" w:type="dxa"/>
            </w:tcMar>
          </w:tcPr>
          <w:p w14:paraId="05FD1BBC" w14:textId="77777777" w:rsidR="009859CC" w:rsidRPr="009859CC" w:rsidRDefault="009859CC" w:rsidP="00B6051D">
            <w:pPr>
              <w:widowControl w:val="0"/>
            </w:pPr>
            <w:r w:rsidRPr="009859CC">
              <w:t>Escritura - Preparación del borrador original</w:t>
            </w:r>
          </w:p>
        </w:tc>
        <w:tc>
          <w:tcPr>
            <w:tcW w:w="7202" w:type="dxa"/>
            <w:shd w:val="clear" w:color="auto" w:fill="auto"/>
            <w:tcMar>
              <w:top w:w="100" w:type="dxa"/>
              <w:left w:w="100" w:type="dxa"/>
              <w:bottom w:w="100" w:type="dxa"/>
              <w:right w:w="100" w:type="dxa"/>
            </w:tcMar>
          </w:tcPr>
          <w:p w14:paraId="3CFAF3CE" w14:textId="77777777" w:rsidR="009859CC" w:rsidRPr="009859CC" w:rsidRDefault="009859CC" w:rsidP="00B6051D">
            <w:pPr>
              <w:widowControl w:val="0"/>
            </w:pPr>
            <w:proofErr w:type="spellStart"/>
            <w:r w:rsidRPr="009859CC">
              <w:t>Oshiel</w:t>
            </w:r>
            <w:proofErr w:type="spellEnd"/>
            <w:r w:rsidRPr="009859CC">
              <w:t xml:space="preserve"> Martínez Chapa “Principal” y Jaime G. Malacara </w:t>
            </w:r>
            <w:proofErr w:type="spellStart"/>
            <w:r w:rsidRPr="009859CC">
              <w:t>Navejar</w:t>
            </w:r>
            <w:proofErr w:type="spellEnd"/>
            <w:r w:rsidRPr="009859CC">
              <w:t xml:space="preserve"> “que apoya”</w:t>
            </w:r>
          </w:p>
        </w:tc>
      </w:tr>
      <w:tr w:rsidR="009859CC" w:rsidRPr="009859CC" w14:paraId="77DB8B6A" w14:textId="77777777" w:rsidTr="009859CC">
        <w:trPr>
          <w:jc w:val="center"/>
        </w:trPr>
        <w:tc>
          <w:tcPr>
            <w:tcW w:w="2158" w:type="dxa"/>
            <w:shd w:val="clear" w:color="auto" w:fill="auto"/>
            <w:tcMar>
              <w:top w:w="100" w:type="dxa"/>
              <w:left w:w="100" w:type="dxa"/>
              <w:bottom w:w="100" w:type="dxa"/>
              <w:right w:w="100" w:type="dxa"/>
            </w:tcMar>
          </w:tcPr>
          <w:p w14:paraId="694452FA" w14:textId="77777777" w:rsidR="009859CC" w:rsidRPr="009859CC" w:rsidRDefault="009859CC" w:rsidP="00B6051D">
            <w:pPr>
              <w:widowControl w:val="0"/>
            </w:pPr>
            <w:r w:rsidRPr="009859CC">
              <w:t>Escritura - Revisión y edición</w:t>
            </w:r>
          </w:p>
        </w:tc>
        <w:tc>
          <w:tcPr>
            <w:tcW w:w="7202" w:type="dxa"/>
            <w:shd w:val="clear" w:color="auto" w:fill="auto"/>
            <w:tcMar>
              <w:top w:w="100" w:type="dxa"/>
              <w:left w:w="100" w:type="dxa"/>
              <w:bottom w:w="100" w:type="dxa"/>
              <w:right w:w="100" w:type="dxa"/>
            </w:tcMar>
          </w:tcPr>
          <w:p w14:paraId="3C4D2D9C" w14:textId="77777777" w:rsidR="009859CC" w:rsidRPr="009859CC" w:rsidRDefault="009859CC" w:rsidP="00B6051D">
            <w:pPr>
              <w:widowControl w:val="0"/>
            </w:pPr>
            <w:proofErr w:type="spellStart"/>
            <w:r w:rsidRPr="009859CC">
              <w:t>Oshiel</w:t>
            </w:r>
            <w:proofErr w:type="spellEnd"/>
            <w:r w:rsidRPr="009859CC">
              <w:t xml:space="preserve"> Martínez Chapa “Principal” y Jaime G. Malacara </w:t>
            </w:r>
            <w:proofErr w:type="spellStart"/>
            <w:r w:rsidRPr="009859CC">
              <w:t>Navejar</w:t>
            </w:r>
            <w:proofErr w:type="spellEnd"/>
            <w:r w:rsidRPr="009859CC">
              <w:t xml:space="preserve"> “que apoya”</w:t>
            </w:r>
          </w:p>
        </w:tc>
      </w:tr>
      <w:tr w:rsidR="009859CC" w:rsidRPr="009859CC" w14:paraId="5D836993" w14:textId="77777777" w:rsidTr="009859CC">
        <w:trPr>
          <w:jc w:val="center"/>
        </w:trPr>
        <w:tc>
          <w:tcPr>
            <w:tcW w:w="2158" w:type="dxa"/>
            <w:shd w:val="clear" w:color="auto" w:fill="auto"/>
            <w:tcMar>
              <w:top w:w="100" w:type="dxa"/>
              <w:left w:w="100" w:type="dxa"/>
              <w:bottom w:w="100" w:type="dxa"/>
              <w:right w:w="100" w:type="dxa"/>
            </w:tcMar>
          </w:tcPr>
          <w:p w14:paraId="3C80683B" w14:textId="77777777" w:rsidR="009859CC" w:rsidRPr="009859CC" w:rsidRDefault="009859CC" w:rsidP="00B6051D">
            <w:pPr>
              <w:widowControl w:val="0"/>
            </w:pPr>
            <w:r w:rsidRPr="009859CC">
              <w:t>Visualización</w:t>
            </w:r>
          </w:p>
        </w:tc>
        <w:tc>
          <w:tcPr>
            <w:tcW w:w="7202" w:type="dxa"/>
            <w:shd w:val="clear" w:color="auto" w:fill="auto"/>
            <w:tcMar>
              <w:top w:w="100" w:type="dxa"/>
              <w:left w:w="100" w:type="dxa"/>
              <w:bottom w:w="100" w:type="dxa"/>
              <w:right w:w="100" w:type="dxa"/>
            </w:tcMar>
          </w:tcPr>
          <w:p w14:paraId="0D825F01" w14:textId="77777777" w:rsidR="009859CC" w:rsidRPr="009859CC" w:rsidRDefault="009859CC" w:rsidP="00B6051D">
            <w:pPr>
              <w:widowControl w:val="0"/>
            </w:pPr>
            <w:proofErr w:type="spellStart"/>
            <w:r w:rsidRPr="009859CC">
              <w:t>Oshiel</w:t>
            </w:r>
            <w:proofErr w:type="spellEnd"/>
            <w:r w:rsidRPr="009859CC">
              <w:t xml:space="preserve"> Martínez Chapa “Principal” y Jaime G. Malacara </w:t>
            </w:r>
            <w:proofErr w:type="spellStart"/>
            <w:r w:rsidRPr="009859CC">
              <w:t>Navejar</w:t>
            </w:r>
            <w:proofErr w:type="spellEnd"/>
            <w:r w:rsidRPr="009859CC">
              <w:t xml:space="preserve"> “que apoya”</w:t>
            </w:r>
          </w:p>
        </w:tc>
      </w:tr>
      <w:tr w:rsidR="009859CC" w:rsidRPr="009859CC" w14:paraId="681CA01A" w14:textId="77777777" w:rsidTr="009859CC">
        <w:trPr>
          <w:jc w:val="center"/>
        </w:trPr>
        <w:tc>
          <w:tcPr>
            <w:tcW w:w="2158" w:type="dxa"/>
            <w:shd w:val="clear" w:color="auto" w:fill="auto"/>
            <w:tcMar>
              <w:top w:w="100" w:type="dxa"/>
              <w:left w:w="100" w:type="dxa"/>
              <w:bottom w:w="100" w:type="dxa"/>
              <w:right w:w="100" w:type="dxa"/>
            </w:tcMar>
          </w:tcPr>
          <w:p w14:paraId="15761FCB" w14:textId="77777777" w:rsidR="009859CC" w:rsidRPr="009859CC" w:rsidRDefault="009859CC" w:rsidP="00B6051D">
            <w:pPr>
              <w:widowControl w:val="0"/>
            </w:pPr>
            <w:r w:rsidRPr="009859CC">
              <w:t>Supervisión</w:t>
            </w:r>
          </w:p>
        </w:tc>
        <w:tc>
          <w:tcPr>
            <w:tcW w:w="7202" w:type="dxa"/>
            <w:shd w:val="clear" w:color="auto" w:fill="auto"/>
            <w:tcMar>
              <w:top w:w="100" w:type="dxa"/>
              <w:left w:w="100" w:type="dxa"/>
              <w:bottom w:w="100" w:type="dxa"/>
              <w:right w:w="100" w:type="dxa"/>
            </w:tcMar>
          </w:tcPr>
          <w:p w14:paraId="14284646" w14:textId="77777777" w:rsidR="009859CC" w:rsidRPr="009859CC" w:rsidRDefault="009859CC" w:rsidP="00B6051D">
            <w:pPr>
              <w:widowControl w:val="0"/>
            </w:pPr>
            <w:r w:rsidRPr="009859CC">
              <w:t xml:space="preserve">  </w:t>
            </w:r>
            <w:proofErr w:type="spellStart"/>
            <w:r w:rsidRPr="009859CC">
              <w:t>Oshiel</w:t>
            </w:r>
            <w:proofErr w:type="spellEnd"/>
            <w:r w:rsidRPr="009859CC">
              <w:t xml:space="preserve"> Martínez Chapa “</w:t>
            </w:r>
            <w:proofErr w:type="gramStart"/>
            <w:r w:rsidRPr="009859CC">
              <w:t>Principal”  y</w:t>
            </w:r>
            <w:proofErr w:type="gramEnd"/>
            <w:r w:rsidRPr="009859CC">
              <w:t xml:space="preserve"> Jaime G. Malacara </w:t>
            </w:r>
            <w:proofErr w:type="spellStart"/>
            <w:r w:rsidRPr="009859CC">
              <w:t>Navejar</w:t>
            </w:r>
            <w:proofErr w:type="spellEnd"/>
            <w:r w:rsidRPr="009859CC">
              <w:t xml:space="preserve"> “que apoya”   </w:t>
            </w:r>
          </w:p>
        </w:tc>
      </w:tr>
      <w:tr w:rsidR="009859CC" w:rsidRPr="009859CC" w14:paraId="1EAED803" w14:textId="77777777" w:rsidTr="009859CC">
        <w:trPr>
          <w:jc w:val="center"/>
        </w:trPr>
        <w:tc>
          <w:tcPr>
            <w:tcW w:w="2158" w:type="dxa"/>
            <w:shd w:val="clear" w:color="auto" w:fill="auto"/>
            <w:tcMar>
              <w:top w:w="100" w:type="dxa"/>
              <w:left w:w="100" w:type="dxa"/>
              <w:bottom w:w="100" w:type="dxa"/>
              <w:right w:w="100" w:type="dxa"/>
            </w:tcMar>
          </w:tcPr>
          <w:p w14:paraId="2D36F9E3" w14:textId="77777777" w:rsidR="009859CC" w:rsidRPr="009859CC" w:rsidRDefault="009859CC" w:rsidP="00B6051D">
            <w:pPr>
              <w:widowControl w:val="0"/>
            </w:pPr>
            <w:r w:rsidRPr="009859CC">
              <w:t>Administración de Proyectos</w:t>
            </w:r>
          </w:p>
        </w:tc>
        <w:tc>
          <w:tcPr>
            <w:tcW w:w="7202" w:type="dxa"/>
            <w:shd w:val="clear" w:color="auto" w:fill="auto"/>
            <w:tcMar>
              <w:top w:w="100" w:type="dxa"/>
              <w:left w:w="100" w:type="dxa"/>
              <w:bottom w:w="100" w:type="dxa"/>
              <w:right w:w="100" w:type="dxa"/>
            </w:tcMar>
          </w:tcPr>
          <w:p w14:paraId="48DE9960" w14:textId="77777777" w:rsidR="009859CC" w:rsidRPr="009859CC" w:rsidRDefault="009859CC" w:rsidP="00B6051D">
            <w:pPr>
              <w:widowControl w:val="0"/>
            </w:pPr>
            <w:proofErr w:type="spellStart"/>
            <w:r w:rsidRPr="009859CC">
              <w:t>Oshiel</w:t>
            </w:r>
            <w:proofErr w:type="spellEnd"/>
            <w:r w:rsidRPr="009859CC">
              <w:t xml:space="preserve"> Martínez Chapa “Principal” y Jaime G. Malacara </w:t>
            </w:r>
            <w:proofErr w:type="spellStart"/>
            <w:r w:rsidRPr="009859CC">
              <w:t>Navejar</w:t>
            </w:r>
            <w:proofErr w:type="spellEnd"/>
            <w:r w:rsidRPr="009859CC">
              <w:t xml:space="preserve"> “que apoya”</w:t>
            </w:r>
          </w:p>
        </w:tc>
      </w:tr>
      <w:tr w:rsidR="009859CC" w:rsidRPr="009859CC" w14:paraId="064D9D36" w14:textId="77777777" w:rsidTr="009859CC">
        <w:trPr>
          <w:jc w:val="center"/>
        </w:trPr>
        <w:tc>
          <w:tcPr>
            <w:tcW w:w="2158" w:type="dxa"/>
            <w:shd w:val="clear" w:color="auto" w:fill="auto"/>
            <w:tcMar>
              <w:top w:w="100" w:type="dxa"/>
              <w:left w:w="100" w:type="dxa"/>
              <w:bottom w:w="100" w:type="dxa"/>
              <w:right w:w="100" w:type="dxa"/>
            </w:tcMar>
          </w:tcPr>
          <w:p w14:paraId="34A1A04A" w14:textId="77777777" w:rsidR="009859CC" w:rsidRPr="009859CC" w:rsidRDefault="009859CC" w:rsidP="00B6051D">
            <w:pPr>
              <w:widowControl w:val="0"/>
            </w:pPr>
            <w:r w:rsidRPr="009859CC">
              <w:t>Adquisición de fondos</w:t>
            </w:r>
          </w:p>
        </w:tc>
        <w:tc>
          <w:tcPr>
            <w:tcW w:w="7202" w:type="dxa"/>
            <w:shd w:val="clear" w:color="auto" w:fill="auto"/>
            <w:tcMar>
              <w:top w:w="100" w:type="dxa"/>
              <w:left w:w="100" w:type="dxa"/>
              <w:bottom w:w="100" w:type="dxa"/>
              <w:right w:w="100" w:type="dxa"/>
            </w:tcMar>
          </w:tcPr>
          <w:p w14:paraId="378F0F60" w14:textId="082DE5A6" w:rsidR="009859CC" w:rsidRPr="009859CC" w:rsidRDefault="009859CC" w:rsidP="00B6051D">
            <w:pPr>
              <w:widowControl w:val="0"/>
            </w:pPr>
            <w:proofErr w:type="spellStart"/>
            <w:r w:rsidRPr="009859CC">
              <w:t>Oshiel</w:t>
            </w:r>
            <w:proofErr w:type="spellEnd"/>
            <w:r w:rsidRPr="009859CC">
              <w:t xml:space="preserve"> Martínez Chapa “</w:t>
            </w:r>
            <w:proofErr w:type="gramStart"/>
            <w:r w:rsidRPr="009859CC">
              <w:t xml:space="preserve">Principal”   </w:t>
            </w:r>
            <w:proofErr w:type="gramEnd"/>
            <w:r w:rsidRPr="009859CC">
              <w:t xml:space="preserve">y Jaime G. Malacara </w:t>
            </w:r>
            <w:proofErr w:type="spellStart"/>
            <w:r w:rsidRPr="009859CC">
              <w:t>Navejar</w:t>
            </w:r>
            <w:proofErr w:type="spellEnd"/>
            <w:r w:rsidRPr="009859CC">
              <w:t xml:space="preserve"> “Que apoya “</w:t>
            </w:r>
          </w:p>
        </w:tc>
      </w:tr>
    </w:tbl>
    <w:p w14:paraId="056EB90E" w14:textId="77777777" w:rsidR="009859CC" w:rsidRPr="009859CC" w:rsidRDefault="009859CC" w:rsidP="009859CC"/>
    <w:sectPr w:rsidR="009859CC" w:rsidRPr="009859CC" w:rsidSect="00280E25">
      <w:headerReference w:type="default" r:id="rId28"/>
      <w:footerReference w:type="default" r:id="rId29"/>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3599C" w14:textId="77777777" w:rsidR="005E734F" w:rsidRPr="00C119EA" w:rsidRDefault="005E734F" w:rsidP="006F46E7">
      <w:r w:rsidRPr="00C119EA">
        <w:separator/>
      </w:r>
    </w:p>
  </w:endnote>
  <w:endnote w:type="continuationSeparator" w:id="0">
    <w:p w14:paraId="201DAD0D" w14:textId="77777777" w:rsidR="005E734F" w:rsidRPr="00C119EA" w:rsidRDefault="005E734F" w:rsidP="006F46E7">
      <w:r w:rsidRPr="00C119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EC8B2" w14:textId="1337BDAC" w:rsidR="00A632A2" w:rsidRPr="00C119EA" w:rsidRDefault="00280E25">
    <w:pPr>
      <w:pStyle w:val="Piedepgina"/>
    </w:pPr>
    <w:r>
      <w:t xml:space="preserve">              </w:t>
    </w:r>
    <w:r w:rsidRPr="002A3D98">
      <w:rPr>
        <w:noProof/>
        <w:lang w:eastAsia="es-MX"/>
      </w:rPr>
      <w:drawing>
        <wp:inline distT="0" distB="0" distL="0" distR="0" wp14:anchorId="16476B6B" wp14:editId="4CF0AEC1">
          <wp:extent cx="1600200" cy="419100"/>
          <wp:effectExtent l="0" t="0" r="0" b="0"/>
          <wp:docPr id="689048119" name="Imagen 68904811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401A8">
      <w:rPr>
        <w:rFonts w:ascii="Calibri" w:hAnsi="Calibri" w:cs="Calibri"/>
        <w:b/>
        <w:sz w:val="22"/>
        <w:szCs w:val="22"/>
      </w:rPr>
      <w:t xml:space="preserve">Vol. 15 </w:t>
    </w:r>
    <w:proofErr w:type="spellStart"/>
    <w:r w:rsidRPr="00A401A8">
      <w:rPr>
        <w:rFonts w:ascii="Calibri" w:hAnsi="Calibri" w:cs="Calibri"/>
        <w:b/>
        <w:sz w:val="22"/>
        <w:szCs w:val="22"/>
      </w:rPr>
      <w:t>Num</w:t>
    </w:r>
    <w:proofErr w:type="spellEnd"/>
    <w:r w:rsidRPr="00A401A8">
      <w:rPr>
        <w:rFonts w:ascii="Calibri" w:hAnsi="Calibri" w:cs="Calibri"/>
        <w:b/>
        <w:sz w:val="22"/>
        <w:szCs w:val="22"/>
      </w:rPr>
      <w:t xml:space="preserve">. 29 Julio - </w:t>
    </w:r>
    <w:proofErr w:type="gramStart"/>
    <w:r w:rsidRPr="00A401A8">
      <w:rPr>
        <w:rFonts w:ascii="Calibri" w:hAnsi="Calibri" w:cs="Calibri"/>
        <w:b/>
        <w:sz w:val="22"/>
        <w:szCs w:val="22"/>
      </w:rPr>
      <w:t>Diciembre</w:t>
    </w:r>
    <w:proofErr w:type="gramEnd"/>
    <w:r w:rsidRPr="00A401A8">
      <w:rPr>
        <w:rFonts w:ascii="Calibri" w:hAnsi="Calibri" w:cs="Calibri"/>
        <w:b/>
        <w:sz w:val="22"/>
        <w:szCs w:val="22"/>
      </w:rPr>
      <w:t xml:space="preserve"> 2024, e</w:t>
    </w:r>
    <w:r w:rsidR="00385338">
      <w:rPr>
        <w:rFonts w:ascii="Calibri" w:hAnsi="Calibri" w:cs="Calibri"/>
        <w:b/>
        <w:sz w:val="22"/>
        <w:szCs w:val="22"/>
      </w:rPr>
      <w:t>792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549CE" w14:textId="77777777" w:rsidR="005E734F" w:rsidRPr="00C119EA" w:rsidRDefault="005E734F" w:rsidP="006F46E7">
      <w:r w:rsidRPr="00C119EA">
        <w:separator/>
      </w:r>
    </w:p>
  </w:footnote>
  <w:footnote w:type="continuationSeparator" w:id="0">
    <w:p w14:paraId="7ABDAFB9" w14:textId="77777777" w:rsidR="005E734F" w:rsidRPr="00C119EA" w:rsidRDefault="005E734F" w:rsidP="006F46E7">
      <w:r w:rsidRPr="00C119E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AAEE" w14:textId="3E628974" w:rsidR="00280E25" w:rsidRDefault="00280E25" w:rsidP="00280E25">
    <w:pPr>
      <w:pStyle w:val="Encabezado"/>
      <w:jc w:val="center"/>
    </w:pPr>
    <w:r w:rsidRPr="002A3D98">
      <w:rPr>
        <w:noProof/>
        <w:lang w:eastAsia="es-MX"/>
      </w:rPr>
      <w:drawing>
        <wp:inline distT="0" distB="0" distL="0" distR="0" wp14:anchorId="653FF49D" wp14:editId="61982431">
          <wp:extent cx="5397500" cy="635000"/>
          <wp:effectExtent l="0" t="0" r="0" b="0"/>
          <wp:docPr id="518081316" name="Imagen 51808131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C49"/>
    <w:multiLevelType w:val="multilevel"/>
    <w:tmpl w:val="5F188A70"/>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991B81"/>
    <w:multiLevelType w:val="hybridMultilevel"/>
    <w:tmpl w:val="74264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FF4B0B"/>
    <w:multiLevelType w:val="hybridMultilevel"/>
    <w:tmpl w:val="4F2CDC8E"/>
    <w:lvl w:ilvl="0" w:tplc="2CF86C0A">
      <w:start w:val="17"/>
      <w:numFmt w:val="bullet"/>
      <w:lvlText w:val=""/>
      <w:lvlJc w:val="left"/>
      <w:pPr>
        <w:ind w:left="1068" w:hanging="360"/>
      </w:pPr>
      <w:rPr>
        <w:rFonts w:ascii="Symbol" w:eastAsia="Times New Roman"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23B6422"/>
    <w:multiLevelType w:val="hybridMultilevel"/>
    <w:tmpl w:val="13700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DD64B2"/>
    <w:multiLevelType w:val="hybridMultilevel"/>
    <w:tmpl w:val="03CABD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3A54BF"/>
    <w:multiLevelType w:val="hybridMultilevel"/>
    <w:tmpl w:val="58C26A78"/>
    <w:lvl w:ilvl="0" w:tplc="285E04B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152C63"/>
    <w:multiLevelType w:val="hybridMultilevel"/>
    <w:tmpl w:val="6A0245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5C5F1A"/>
    <w:multiLevelType w:val="multilevel"/>
    <w:tmpl w:val="793EC08E"/>
    <w:lvl w:ilvl="0">
      <w:start w:val="1"/>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25F7F01"/>
    <w:multiLevelType w:val="hybridMultilevel"/>
    <w:tmpl w:val="36D039FA"/>
    <w:lvl w:ilvl="0" w:tplc="080A0005">
      <w:start w:val="1"/>
      <w:numFmt w:val="bullet"/>
      <w:lvlText w:val=""/>
      <w:lvlJc w:val="left"/>
      <w:pPr>
        <w:ind w:left="2148" w:hanging="360"/>
      </w:pPr>
      <w:rPr>
        <w:rFonts w:ascii="Wingdings" w:hAnsi="Wingdings"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9" w15:restartNumberingAfterBreak="0">
    <w:nsid w:val="44B91E8B"/>
    <w:multiLevelType w:val="hybridMultilevel"/>
    <w:tmpl w:val="8D3A6708"/>
    <w:lvl w:ilvl="0" w:tplc="0C0A000F">
      <w:start w:val="4"/>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491731D9"/>
    <w:multiLevelType w:val="hybridMultilevel"/>
    <w:tmpl w:val="9B209126"/>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295E71"/>
    <w:multiLevelType w:val="hybridMultilevel"/>
    <w:tmpl w:val="F0CA04E4"/>
    <w:lvl w:ilvl="0" w:tplc="18E209B0">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05B6A"/>
    <w:multiLevelType w:val="hybridMultilevel"/>
    <w:tmpl w:val="2384F9D2"/>
    <w:lvl w:ilvl="0" w:tplc="8512ADFC">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7371E2"/>
    <w:multiLevelType w:val="hybridMultilevel"/>
    <w:tmpl w:val="13700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6D304C"/>
    <w:multiLevelType w:val="hybridMultilevel"/>
    <w:tmpl w:val="07BC2472"/>
    <w:lvl w:ilvl="0" w:tplc="080A000F">
      <w:start w:val="1"/>
      <w:numFmt w:val="decimal"/>
      <w:lvlText w:val="%1."/>
      <w:lvlJc w:val="left"/>
      <w:pPr>
        <w:ind w:left="1353"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69923468">
    <w:abstractNumId w:val="1"/>
  </w:num>
  <w:num w:numId="2" w16cid:durableId="74712437">
    <w:abstractNumId w:val="7"/>
  </w:num>
  <w:num w:numId="3" w16cid:durableId="1691368934">
    <w:abstractNumId w:val="8"/>
  </w:num>
  <w:num w:numId="4" w16cid:durableId="83646024">
    <w:abstractNumId w:val="3"/>
  </w:num>
  <w:num w:numId="5" w16cid:durableId="910044006">
    <w:abstractNumId w:val="13"/>
  </w:num>
  <w:num w:numId="6" w16cid:durableId="477918925">
    <w:abstractNumId w:val="6"/>
  </w:num>
  <w:num w:numId="7" w16cid:durableId="1377972444">
    <w:abstractNumId w:val="2"/>
  </w:num>
  <w:num w:numId="8" w16cid:durableId="1072463393">
    <w:abstractNumId w:val="9"/>
  </w:num>
  <w:num w:numId="9" w16cid:durableId="134105109">
    <w:abstractNumId w:val="4"/>
  </w:num>
  <w:num w:numId="10" w16cid:durableId="1355350263">
    <w:abstractNumId w:val="10"/>
  </w:num>
  <w:num w:numId="11" w16cid:durableId="103154930">
    <w:abstractNumId w:val="0"/>
  </w:num>
  <w:num w:numId="12" w16cid:durableId="447742662">
    <w:abstractNumId w:val="11"/>
  </w:num>
  <w:num w:numId="13" w16cid:durableId="376126939">
    <w:abstractNumId w:val="12"/>
  </w:num>
  <w:num w:numId="14" w16cid:durableId="406734969">
    <w:abstractNumId w:val="14"/>
  </w:num>
  <w:num w:numId="15" w16cid:durableId="513961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E7"/>
    <w:rsid w:val="00000546"/>
    <w:rsid w:val="0000180F"/>
    <w:rsid w:val="000027E5"/>
    <w:rsid w:val="0000525D"/>
    <w:rsid w:val="00005FD3"/>
    <w:rsid w:val="00007718"/>
    <w:rsid w:val="0001290B"/>
    <w:rsid w:val="000148FF"/>
    <w:rsid w:val="000151B0"/>
    <w:rsid w:val="000157D6"/>
    <w:rsid w:val="0002687B"/>
    <w:rsid w:val="00035F16"/>
    <w:rsid w:val="000407F9"/>
    <w:rsid w:val="000450EA"/>
    <w:rsid w:val="00046179"/>
    <w:rsid w:val="00046A80"/>
    <w:rsid w:val="00055021"/>
    <w:rsid w:val="00061A22"/>
    <w:rsid w:val="00061B23"/>
    <w:rsid w:val="00063671"/>
    <w:rsid w:val="00067DF4"/>
    <w:rsid w:val="00071DD2"/>
    <w:rsid w:val="00072A0D"/>
    <w:rsid w:val="00072ECA"/>
    <w:rsid w:val="000750EA"/>
    <w:rsid w:val="00076285"/>
    <w:rsid w:val="000839FB"/>
    <w:rsid w:val="0008434B"/>
    <w:rsid w:val="0008551D"/>
    <w:rsid w:val="0009022B"/>
    <w:rsid w:val="00090B23"/>
    <w:rsid w:val="0009275F"/>
    <w:rsid w:val="00093887"/>
    <w:rsid w:val="00096F6C"/>
    <w:rsid w:val="000A0BBA"/>
    <w:rsid w:val="000A0F2D"/>
    <w:rsid w:val="000A1CAD"/>
    <w:rsid w:val="000A1E55"/>
    <w:rsid w:val="000A2D87"/>
    <w:rsid w:val="000A583E"/>
    <w:rsid w:val="000A5962"/>
    <w:rsid w:val="000A6098"/>
    <w:rsid w:val="000B1671"/>
    <w:rsid w:val="000B16C1"/>
    <w:rsid w:val="000B28A9"/>
    <w:rsid w:val="000B4399"/>
    <w:rsid w:val="000B4E55"/>
    <w:rsid w:val="000B7BA2"/>
    <w:rsid w:val="000C2620"/>
    <w:rsid w:val="000C41C4"/>
    <w:rsid w:val="000C622D"/>
    <w:rsid w:val="000C79EE"/>
    <w:rsid w:val="000D229E"/>
    <w:rsid w:val="000D2A5E"/>
    <w:rsid w:val="000D3130"/>
    <w:rsid w:val="000D60A5"/>
    <w:rsid w:val="000D66BE"/>
    <w:rsid w:val="000E21FA"/>
    <w:rsid w:val="000E48B1"/>
    <w:rsid w:val="000F05EB"/>
    <w:rsid w:val="000F1FBB"/>
    <w:rsid w:val="000F5BAF"/>
    <w:rsid w:val="000F776F"/>
    <w:rsid w:val="0010071E"/>
    <w:rsid w:val="00100C75"/>
    <w:rsid w:val="00100E21"/>
    <w:rsid w:val="00102A88"/>
    <w:rsid w:val="00102D77"/>
    <w:rsid w:val="00105ADC"/>
    <w:rsid w:val="00107D91"/>
    <w:rsid w:val="001120CF"/>
    <w:rsid w:val="00112195"/>
    <w:rsid w:val="001144AC"/>
    <w:rsid w:val="00116F48"/>
    <w:rsid w:val="0012468F"/>
    <w:rsid w:val="00126592"/>
    <w:rsid w:val="001267FD"/>
    <w:rsid w:val="00127131"/>
    <w:rsid w:val="00127CA4"/>
    <w:rsid w:val="00135624"/>
    <w:rsid w:val="00140075"/>
    <w:rsid w:val="00142A20"/>
    <w:rsid w:val="00143345"/>
    <w:rsid w:val="00144EDC"/>
    <w:rsid w:val="00147520"/>
    <w:rsid w:val="00150D09"/>
    <w:rsid w:val="0015132C"/>
    <w:rsid w:val="001526B1"/>
    <w:rsid w:val="0015393F"/>
    <w:rsid w:val="00154EF0"/>
    <w:rsid w:val="001606E2"/>
    <w:rsid w:val="00162954"/>
    <w:rsid w:val="00166B98"/>
    <w:rsid w:val="001704DD"/>
    <w:rsid w:val="00171EDB"/>
    <w:rsid w:val="00172910"/>
    <w:rsid w:val="001733DB"/>
    <w:rsid w:val="00174B26"/>
    <w:rsid w:val="00176A94"/>
    <w:rsid w:val="0017717A"/>
    <w:rsid w:val="00177FD8"/>
    <w:rsid w:val="00181A53"/>
    <w:rsid w:val="001846ED"/>
    <w:rsid w:val="00184D3E"/>
    <w:rsid w:val="00186183"/>
    <w:rsid w:val="00193E9E"/>
    <w:rsid w:val="00194281"/>
    <w:rsid w:val="001967B9"/>
    <w:rsid w:val="001A0BC6"/>
    <w:rsid w:val="001A0C90"/>
    <w:rsid w:val="001A134B"/>
    <w:rsid w:val="001A1C7E"/>
    <w:rsid w:val="001A28D2"/>
    <w:rsid w:val="001A35DE"/>
    <w:rsid w:val="001A4CEE"/>
    <w:rsid w:val="001A7EAF"/>
    <w:rsid w:val="001B00FB"/>
    <w:rsid w:val="001B0588"/>
    <w:rsid w:val="001B19CF"/>
    <w:rsid w:val="001B2779"/>
    <w:rsid w:val="001B439C"/>
    <w:rsid w:val="001C04BA"/>
    <w:rsid w:val="001C1F66"/>
    <w:rsid w:val="001C580C"/>
    <w:rsid w:val="001D09BE"/>
    <w:rsid w:val="001D1B95"/>
    <w:rsid w:val="001D20DD"/>
    <w:rsid w:val="001D4584"/>
    <w:rsid w:val="001E164B"/>
    <w:rsid w:val="001E1B9B"/>
    <w:rsid w:val="001E41F8"/>
    <w:rsid w:val="001F14FC"/>
    <w:rsid w:val="001F176C"/>
    <w:rsid w:val="001F2497"/>
    <w:rsid w:val="001F7EAB"/>
    <w:rsid w:val="00200ABB"/>
    <w:rsid w:val="0020378C"/>
    <w:rsid w:val="00203CA7"/>
    <w:rsid w:val="00203E88"/>
    <w:rsid w:val="0020730C"/>
    <w:rsid w:val="00207A43"/>
    <w:rsid w:val="00211862"/>
    <w:rsid w:val="002135DC"/>
    <w:rsid w:val="00215E59"/>
    <w:rsid w:val="002209E7"/>
    <w:rsid w:val="00221859"/>
    <w:rsid w:val="002228A6"/>
    <w:rsid w:val="00224B8B"/>
    <w:rsid w:val="00226492"/>
    <w:rsid w:val="00226531"/>
    <w:rsid w:val="0022659B"/>
    <w:rsid w:val="00226F72"/>
    <w:rsid w:val="00232264"/>
    <w:rsid w:val="00232FFB"/>
    <w:rsid w:val="00234A6A"/>
    <w:rsid w:val="00235B4A"/>
    <w:rsid w:val="00235C6D"/>
    <w:rsid w:val="00236251"/>
    <w:rsid w:val="00244CE0"/>
    <w:rsid w:val="002453B5"/>
    <w:rsid w:val="002464DD"/>
    <w:rsid w:val="00247BB7"/>
    <w:rsid w:val="00250B96"/>
    <w:rsid w:val="00251C0C"/>
    <w:rsid w:val="002552BE"/>
    <w:rsid w:val="00257498"/>
    <w:rsid w:val="002632B0"/>
    <w:rsid w:val="0026453E"/>
    <w:rsid w:val="00264D35"/>
    <w:rsid w:val="00265C73"/>
    <w:rsid w:val="0027077D"/>
    <w:rsid w:val="002716E0"/>
    <w:rsid w:val="00271B4C"/>
    <w:rsid w:val="00273D71"/>
    <w:rsid w:val="00276C7B"/>
    <w:rsid w:val="00280E25"/>
    <w:rsid w:val="00283730"/>
    <w:rsid w:val="0028480F"/>
    <w:rsid w:val="00287C06"/>
    <w:rsid w:val="0029074D"/>
    <w:rsid w:val="0029218B"/>
    <w:rsid w:val="00292E75"/>
    <w:rsid w:val="00296FE5"/>
    <w:rsid w:val="002970DB"/>
    <w:rsid w:val="002A5E16"/>
    <w:rsid w:val="002A630B"/>
    <w:rsid w:val="002A7E19"/>
    <w:rsid w:val="002A7F70"/>
    <w:rsid w:val="002B0526"/>
    <w:rsid w:val="002B081B"/>
    <w:rsid w:val="002B1DF8"/>
    <w:rsid w:val="002B3C9E"/>
    <w:rsid w:val="002B4072"/>
    <w:rsid w:val="002B4D18"/>
    <w:rsid w:val="002B4D44"/>
    <w:rsid w:val="002B55D1"/>
    <w:rsid w:val="002B5C80"/>
    <w:rsid w:val="002B60D0"/>
    <w:rsid w:val="002C257C"/>
    <w:rsid w:val="002C3004"/>
    <w:rsid w:val="002C46AE"/>
    <w:rsid w:val="002C4BC7"/>
    <w:rsid w:val="002C5101"/>
    <w:rsid w:val="002C5889"/>
    <w:rsid w:val="002C58B9"/>
    <w:rsid w:val="002C6029"/>
    <w:rsid w:val="002D16A2"/>
    <w:rsid w:val="002F002E"/>
    <w:rsid w:val="002F0D7D"/>
    <w:rsid w:val="002F2375"/>
    <w:rsid w:val="002F3779"/>
    <w:rsid w:val="002F41AA"/>
    <w:rsid w:val="002F48F4"/>
    <w:rsid w:val="002F5D32"/>
    <w:rsid w:val="002F610B"/>
    <w:rsid w:val="002F72BB"/>
    <w:rsid w:val="0030131C"/>
    <w:rsid w:val="00301E20"/>
    <w:rsid w:val="00301F2B"/>
    <w:rsid w:val="00305CC8"/>
    <w:rsid w:val="00306B45"/>
    <w:rsid w:val="00307FAA"/>
    <w:rsid w:val="003110FE"/>
    <w:rsid w:val="003116AF"/>
    <w:rsid w:val="0031218A"/>
    <w:rsid w:val="00314075"/>
    <w:rsid w:val="003166D9"/>
    <w:rsid w:val="00317E4A"/>
    <w:rsid w:val="003202AD"/>
    <w:rsid w:val="003218CE"/>
    <w:rsid w:val="003235F1"/>
    <w:rsid w:val="003270AE"/>
    <w:rsid w:val="00327AFB"/>
    <w:rsid w:val="00332C48"/>
    <w:rsid w:val="00333EE4"/>
    <w:rsid w:val="003367E3"/>
    <w:rsid w:val="00342FBC"/>
    <w:rsid w:val="003438C8"/>
    <w:rsid w:val="0034460A"/>
    <w:rsid w:val="0035340B"/>
    <w:rsid w:val="00353608"/>
    <w:rsid w:val="003540D9"/>
    <w:rsid w:val="0035415E"/>
    <w:rsid w:val="00354684"/>
    <w:rsid w:val="00355980"/>
    <w:rsid w:val="00357A11"/>
    <w:rsid w:val="00357B12"/>
    <w:rsid w:val="00357CF2"/>
    <w:rsid w:val="003604D9"/>
    <w:rsid w:val="003613CB"/>
    <w:rsid w:val="00361DF9"/>
    <w:rsid w:val="00363C51"/>
    <w:rsid w:val="00364FD3"/>
    <w:rsid w:val="00365694"/>
    <w:rsid w:val="00367B35"/>
    <w:rsid w:val="00370651"/>
    <w:rsid w:val="00371364"/>
    <w:rsid w:val="00374DAC"/>
    <w:rsid w:val="003770B1"/>
    <w:rsid w:val="0037710E"/>
    <w:rsid w:val="0038031E"/>
    <w:rsid w:val="00380446"/>
    <w:rsid w:val="00380FF5"/>
    <w:rsid w:val="00385338"/>
    <w:rsid w:val="00390E01"/>
    <w:rsid w:val="00391717"/>
    <w:rsid w:val="0039356F"/>
    <w:rsid w:val="003A14E4"/>
    <w:rsid w:val="003A1C3C"/>
    <w:rsid w:val="003A2276"/>
    <w:rsid w:val="003A3FDD"/>
    <w:rsid w:val="003A457B"/>
    <w:rsid w:val="003A496D"/>
    <w:rsid w:val="003A53BF"/>
    <w:rsid w:val="003A66FB"/>
    <w:rsid w:val="003A6D46"/>
    <w:rsid w:val="003B1A9D"/>
    <w:rsid w:val="003B554F"/>
    <w:rsid w:val="003B7413"/>
    <w:rsid w:val="003B7D7E"/>
    <w:rsid w:val="003C006B"/>
    <w:rsid w:val="003C05AF"/>
    <w:rsid w:val="003C22A3"/>
    <w:rsid w:val="003C2C11"/>
    <w:rsid w:val="003C3099"/>
    <w:rsid w:val="003C408C"/>
    <w:rsid w:val="003C4A62"/>
    <w:rsid w:val="003C5755"/>
    <w:rsid w:val="003D042D"/>
    <w:rsid w:val="003D0576"/>
    <w:rsid w:val="003D0FFD"/>
    <w:rsid w:val="003D109F"/>
    <w:rsid w:val="003D37EC"/>
    <w:rsid w:val="003D5212"/>
    <w:rsid w:val="003D5242"/>
    <w:rsid w:val="003E1456"/>
    <w:rsid w:val="003E23B2"/>
    <w:rsid w:val="003E508F"/>
    <w:rsid w:val="003E53F4"/>
    <w:rsid w:val="003E5437"/>
    <w:rsid w:val="003E5957"/>
    <w:rsid w:val="003E715B"/>
    <w:rsid w:val="003E71B6"/>
    <w:rsid w:val="003F17BF"/>
    <w:rsid w:val="003F50C7"/>
    <w:rsid w:val="003F57E4"/>
    <w:rsid w:val="003F5898"/>
    <w:rsid w:val="00400C53"/>
    <w:rsid w:val="00402269"/>
    <w:rsid w:val="00402370"/>
    <w:rsid w:val="00411095"/>
    <w:rsid w:val="00411CC0"/>
    <w:rsid w:val="00411D04"/>
    <w:rsid w:val="004124FD"/>
    <w:rsid w:val="00414C35"/>
    <w:rsid w:val="00415130"/>
    <w:rsid w:val="00417A74"/>
    <w:rsid w:val="00423485"/>
    <w:rsid w:val="00424ACF"/>
    <w:rsid w:val="00426541"/>
    <w:rsid w:val="0043022D"/>
    <w:rsid w:val="00430E64"/>
    <w:rsid w:val="00432807"/>
    <w:rsid w:val="00433CD4"/>
    <w:rsid w:val="004355C7"/>
    <w:rsid w:val="00435602"/>
    <w:rsid w:val="004357BF"/>
    <w:rsid w:val="004358F2"/>
    <w:rsid w:val="004373AC"/>
    <w:rsid w:val="00441CBB"/>
    <w:rsid w:val="00442BE2"/>
    <w:rsid w:val="004513DA"/>
    <w:rsid w:val="0045172D"/>
    <w:rsid w:val="00454028"/>
    <w:rsid w:val="004632B9"/>
    <w:rsid w:val="004644F4"/>
    <w:rsid w:val="00464DCA"/>
    <w:rsid w:val="00466FBF"/>
    <w:rsid w:val="0047137A"/>
    <w:rsid w:val="00473238"/>
    <w:rsid w:val="00476A66"/>
    <w:rsid w:val="00476F5C"/>
    <w:rsid w:val="00477C07"/>
    <w:rsid w:val="004827E6"/>
    <w:rsid w:val="004875A2"/>
    <w:rsid w:val="004955F3"/>
    <w:rsid w:val="004964B2"/>
    <w:rsid w:val="0049693E"/>
    <w:rsid w:val="004976CB"/>
    <w:rsid w:val="00497B84"/>
    <w:rsid w:val="004A1EAD"/>
    <w:rsid w:val="004A4EC1"/>
    <w:rsid w:val="004A6DDF"/>
    <w:rsid w:val="004B01D9"/>
    <w:rsid w:val="004B2224"/>
    <w:rsid w:val="004B2271"/>
    <w:rsid w:val="004B292D"/>
    <w:rsid w:val="004B40D0"/>
    <w:rsid w:val="004B4749"/>
    <w:rsid w:val="004C0988"/>
    <w:rsid w:val="004C2195"/>
    <w:rsid w:val="004C2537"/>
    <w:rsid w:val="004C4633"/>
    <w:rsid w:val="004C7737"/>
    <w:rsid w:val="004D4D25"/>
    <w:rsid w:val="004D5DE9"/>
    <w:rsid w:val="004D6DF8"/>
    <w:rsid w:val="004E18C9"/>
    <w:rsid w:val="004E4064"/>
    <w:rsid w:val="004E557D"/>
    <w:rsid w:val="004E55D3"/>
    <w:rsid w:val="004F2C36"/>
    <w:rsid w:val="004F33FB"/>
    <w:rsid w:val="004F3914"/>
    <w:rsid w:val="004F4F75"/>
    <w:rsid w:val="004F60A7"/>
    <w:rsid w:val="004F7C3F"/>
    <w:rsid w:val="005000B5"/>
    <w:rsid w:val="005009D0"/>
    <w:rsid w:val="005023E6"/>
    <w:rsid w:val="005024B7"/>
    <w:rsid w:val="005057C8"/>
    <w:rsid w:val="00510211"/>
    <w:rsid w:val="00510AE0"/>
    <w:rsid w:val="00514D76"/>
    <w:rsid w:val="00516444"/>
    <w:rsid w:val="00521233"/>
    <w:rsid w:val="00521EAC"/>
    <w:rsid w:val="005253B9"/>
    <w:rsid w:val="00526223"/>
    <w:rsid w:val="00526580"/>
    <w:rsid w:val="00530090"/>
    <w:rsid w:val="005304C5"/>
    <w:rsid w:val="00530A3A"/>
    <w:rsid w:val="0053392A"/>
    <w:rsid w:val="0053493B"/>
    <w:rsid w:val="00534B2F"/>
    <w:rsid w:val="005432E9"/>
    <w:rsid w:val="00543D6B"/>
    <w:rsid w:val="00545E1A"/>
    <w:rsid w:val="0055030B"/>
    <w:rsid w:val="005504C0"/>
    <w:rsid w:val="00551C01"/>
    <w:rsid w:val="00555BE8"/>
    <w:rsid w:val="0056227F"/>
    <w:rsid w:val="00564357"/>
    <w:rsid w:val="0057081F"/>
    <w:rsid w:val="00570A5A"/>
    <w:rsid w:val="0057252A"/>
    <w:rsid w:val="00573E03"/>
    <w:rsid w:val="00574F7D"/>
    <w:rsid w:val="005809D2"/>
    <w:rsid w:val="00584ADE"/>
    <w:rsid w:val="00585D2B"/>
    <w:rsid w:val="00587199"/>
    <w:rsid w:val="00587B03"/>
    <w:rsid w:val="00587D3E"/>
    <w:rsid w:val="0059153F"/>
    <w:rsid w:val="00594CC7"/>
    <w:rsid w:val="005955E5"/>
    <w:rsid w:val="00596572"/>
    <w:rsid w:val="00597C6F"/>
    <w:rsid w:val="00597E45"/>
    <w:rsid w:val="005A09C4"/>
    <w:rsid w:val="005A385F"/>
    <w:rsid w:val="005A38F4"/>
    <w:rsid w:val="005A5C2E"/>
    <w:rsid w:val="005B13DD"/>
    <w:rsid w:val="005B2715"/>
    <w:rsid w:val="005B3345"/>
    <w:rsid w:val="005B46B7"/>
    <w:rsid w:val="005B4B68"/>
    <w:rsid w:val="005B4D7F"/>
    <w:rsid w:val="005B4D99"/>
    <w:rsid w:val="005C17A2"/>
    <w:rsid w:val="005C1B70"/>
    <w:rsid w:val="005C1C60"/>
    <w:rsid w:val="005C3921"/>
    <w:rsid w:val="005C5453"/>
    <w:rsid w:val="005D0A35"/>
    <w:rsid w:val="005D101A"/>
    <w:rsid w:val="005D27FE"/>
    <w:rsid w:val="005D2C18"/>
    <w:rsid w:val="005D47EE"/>
    <w:rsid w:val="005D4A10"/>
    <w:rsid w:val="005D6DD6"/>
    <w:rsid w:val="005D700E"/>
    <w:rsid w:val="005D7492"/>
    <w:rsid w:val="005E06F9"/>
    <w:rsid w:val="005E0B7A"/>
    <w:rsid w:val="005E1E8F"/>
    <w:rsid w:val="005E24E1"/>
    <w:rsid w:val="005E38B5"/>
    <w:rsid w:val="005E402D"/>
    <w:rsid w:val="005E6EF5"/>
    <w:rsid w:val="005E734F"/>
    <w:rsid w:val="005F1879"/>
    <w:rsid w:val="005F266B"/>
    <w:rsid w:val="005F31BC"/>
    <w:rsid w:val="005F6F8C"/>
    <w:rsid w:val="0060007D"/>
    <w:rsid w:val="00600CB4"/>
    <w:rsid w:val="00600FC9"/>
    <w:rsid w:val="00601872"/>
    <w:rsid w:val="00603AB1"/>
    <w:rsid w:val="00603BAD"/>
    <w:rsid w:val="0060426D"/>
    <w:rsid w:val="00604734"/>
    <w:rsid w:val="0060477A"/>
    <w:rsid w:val="00606AFC"/>
    <w:rsid w:val="006114A4"/>
    <w:rsid w:val="006116AB"/>
    <w:rsid w:val="00612EEA"/>
    <w:rsid w:val="006206D3"/>
    <w:rsid w:val="00622797"/>
    <w:rsid w:val="00623418"/>
    <w:rsid w:val="00623613"/>
    <w:rsid w:val="0063007A"/>
    <w:rsid w:val="00630374"/>
    <w:rsid w:val="00633F10"/>
    <w:rsid w:val="00634665"/>
    <w:rsid w:val="00634D0C"/>
    <w:rsid w:val="00640659"/>
    <w:rsid w:val="00641F2A"/>
    <w:rsid w:val="00647686"/>
    <w:rsid w:val="00653433"/>
    <w:rsid w:val="006539A3"/>
    <w:rsid w:val="00661D24"/>
    <w:rsid w:val="00665637"/>
    <w:rsid w:val="00665A2A"/>
    <w:rsid w:val="0067017B"/>
    <w:rsid w:val="006719F3"/>
    <w:rsid w:val="00673B93"/>
    <w:rsid w:val="00674D6C"/>
    <w:rsid w:val="00675AF9"/>
    <w:rsid w:val="00676D96"/>
    <w:rsid w:val="00680034"/>
    <w:rsid w:val="00680393"/>
    <w:rsid w:val="0068358C"/>
    <w:rsid w:val="00684415"/>
    <w:rsid w:val="00685569"/>
    <w:rsid w:val="00685FED"/>
    <w:rsid w:val="0068777A"/>
    <w:rsid w:val="00687D6F"/>
    <w:rsid w:val="0069165C"/>
    <w:rsid w:val="00692B55"/>
    <w:rsid w:val="0069501E"/>
    <w:rsid w:val="00696DB8"/>
    <w:rsid w:val="006A0681"/>
    <w:rsid w:val="006A1E53"/>
    <w:rsid w:val="006A2BCC"/>
    <w:rsid w:val="006A31D4"/>
    <w:rsid w:val="006A4631"/>
    <w:rsid w:val="006A4B61"/>
    <w:rsid w:val="006A7E75"/>
    <w:rsid w:val="006B3ECC"/>
    <w:rsid w:val="006B4A37"/>
    <w:rsid w:val="006B533E"/>
    <w:rsid w:val="006C0843"/>
    <w:rsid w:val="006C1319"/>
    <w:rsid w:val="006C1A4D"/>
    <w:rsid w:val="006C3603"/>
    <w:rsid w:val="006C4308"/>
    <w:rsid w:val="006D0433"/>
    <w:rsid w:val="006D1FE0"/>
    <w:rsid w:val="006D3830"/>
    <w:rsid w:val="006D5A46"/>
    <w:rsid w:val="006D5ED8"/>
    <w:rsid w:val="006D6786"/>
    <w:rsid w:val="006D7DE8"/>
    <w:rsid w:val="006E03A1"/>
    <w:rsid w:val="006E71FF"/>
    <w:rsid w:val="006E730D"/>
    <w:rsid w:val="006E7847"/>
    <w:rsid w:val="006F3F97"/>
    <w:rsid w:val="006F46E7"/>
    <w:rsid w:val="006F7A64"/>
    <w:rsid w:val="007004D1"/>
    <w:rsid w:val="007029B3"/>
    <w:rsid w:val="0070341F"/>
    <w:rsid w:val="00704BC0"/>
    <w:rsid w:val="00706892"/>
    <w:rsid w:val="00707851"/>
    <w:rsid w:val="007124E4"/>
    <w:rsid w:val="00714E18"/>
    <w:rsid w:val="0071548F"/>
    <w:rsid w:val="007216F1"/>
    <w:rsid w:val="00727BF0"/>
    <w:rsid w:val="00730099"/>
    <w:rsid w:val="007304CA"/>
    <w:rsid w:val="0073208B"/>
    <w:rsid w:val="00733754"/>
    <w:rsid w:val="00737DE9"/>
    <w:rsid w:val="00740221"/>
    <w:rsid w:val="007405EE"/>
    <w:rsid w:val="007408F8"/>
    <w:rsid w:val="00750751"/>
    <w:rsid w:val="00752440"/>
    <w:rsid w:val="007559C5"/>
    <w:rsid w:val="00761E5E"/>
    <w:rsid w:val="00763EC0"/>
    <w:rsid w:val="007652F3"/>
    <w:rsid w:val="00765EFB"/>
    <w:rsid w:val="0076612C"/>
    <w:rsid w:val="007662CE"/>
    <w:rsid w:val="00766A02"/>
    <w:rsid w:val="00766F60"/>
    <w:rsid w:val="00771751"/>
    <w:rsid w:val="00774A27"/>
    <w:rsid w:val="00777386"/>
    <w:rsid w:val="00777D23"/>
    <w:rsid w:val="0078200C"/>
    <w:rsid w:val="00782C3E"/>
    <w:rsid w:val="00783819"/>
    <w:rsid w:val="007846F9"/>
    <w:rsid w:val="00785C33"/>
    <w:rsid w:val="00790037"/>
    <w:rsid w:val="0079260D"/>
    <w:rsid w:val="00793B8E"/>
    <w:rsid w:val="0079500D"/>
    <w:rsid w:val="00795BEB"/>
    <w:rsid w:val="00797130"/>
    <w:rsid w:val="007A0404"/>
    <w:rsid w:val="007A10C3"/>
    <w:rsid w:val="007A2C96"/>
    <w:rsid w:val="007A495A"/>
    <w:rsid w:val="007A541E"/>
    <w:rsid w:val="007A79BE"/>
    <w:rsid w:val="007A7EDE"/>
    <w:rsid w:val="007B168A"/>
    <w:rsid w:val="007B1B79"/>
    <w:rsid w:val="007B4793"/>
    <w:rsid w:val="007B5C5A"/>
    <w:rsid w:val="007B7A8A"/>
    <w:rsid w:val="007C0597"/>
    <w:rsid w:val="007C29A6"/>
    <w:rsid w:val="007C3D3A"/>
    <w:rsid w:val="007C5FFE"/>
    <w:rsid w:val="007D203C"/>
    <w:rsid w:val="007E0E24"/>
    <w:rsid w:val="007E2DE0"/>
    <w:rsid w:val="007E53EE"/>
    <w:rsid w:val="007E563D"/>
    <w:rsid w:val="007E7EEF"/>
    <w:rsid w:val="007F06F3"/>
    <w:rsid w:val="007F1937"/>
    <w:rsid w:val="007F2304"/>
    <w:rsid w:val="007F5A79"/>
    <w:rsid w:val="007F7E1E"/>
    <w:rsid w:val="00800432"/>
    <w:rsid w:val="00800D25"/>
    <w:rsid w:val="00801F57"/>
    <w:rsid w:val="008024FC"/>
    <w:rsid w:val="00805A72"/>
    <w:rsid w:val="008068D7"/>
    <w:rsid w:val="00814944"/>
    <w:rsid w:val="008150FA"/>
    <w:rsid w:val="008159B5"/>
    <w:rsid w:val="00816D77"/>
    <w:rsid w:val="00821E8C"/>
    <w:rsid w:val="008251E9"/>
    <w:rsid w:val="00830D09"/>
    <w:rsid w:val="00836ACE"/>
    <w:rsid w:val="00837D5A"/>
    <w:rsid w:val="00842C87"/>
    <w:rsid w:val="00843632"/>
    <w:rsid w:val="008454A7"/>
    <w:rsid w:val="00846913"/>
    <w:rsid w:val="00847255"/>
    <w:rsid w:val="00847290"/>
    <w:rsid w:val="00847DDC"/>
    <w:rsid w:val="00850C08"/>
    <w:rsid w:val="008514A8"/>
    <w:rsid w:val="00851B51"/>
    <w:rsid w:val="00851D26"/>
    <w:rsid w:val="008537D0"/>
    <w:rsid w:val="0085437F"/>
    <w:rsid w:val="00855946"/>
    <w:rsid w:val="00860F8F"/>
    <w:rsid w:val="0086123E"/>
    <w:rsid w:val="00863DBF"/>
    <w:rsid w:val="008644FA"/>
    <w:rsid w:val="0086609D"/>
    <w:rsid w:val="00871F8C"/>
    <w:rsid w:val="00872F63"/>
    <w:rsid w:val="00873D21"/>
    <w:rsid w:val="00874737"/>
    <w:rsid w:val="008751EF"/>
    <w:rsid w:val="008754E5"/>
    <w:rsid w:val="00875C22"/>
    <w:rsid w:val="00876EE2"/>
    <w:rsid w:val="008777E1"/>
    <w:rsid w:val="00877FF4"/>
    <w:rsid w:val="008805F3"/>
    <w:rsid w:val="008849C1"/>
    <w:rsid w:val="00887815"/>
    <w:rsid w:val="008878B9"/>
    <w:rsid w:val="008911CE"/>
    <w:rsid w:val="00892586"/>
    <w:rsid w:val="0089536C"/>
    <w:rsid w:val="008A1502"/>
    <w:rsid w:val="008A1668"/>
    <w:rsid w:val="008B3D9B"/>
    <w:rsid w:val="008B4116"/>
    <w:rsid w:val="008B472E"/>
    <w:rsid w:val="008B6615"/>
    <w:rsid w:val="008C0CDD"/>
    <w:rsid w:val="008C1E6A"/>
    <w:rsid w:val="008C6F75"/>
    <w:rsid w:val="008C7A17"/>
    <w:rsid w:val="008D1443"/>
    <w:rsid w:val="008D28F0"/>
    <w:rsid w:val="008D2E6C"/>
    <w:rsid w:val="008D692C"/>
    <w:rsid w:val="008E117B"/>
    <w:rsid w:val="008E12AB"/>
    <w:rsid w:val="008E14A7"/>
    <w:rsid w:val="008E5E3A"/>
    <w:rsid w:val="008E72B0"/>
    <w:rsid w:val="008E7D76"/>
    <w:rsid w:val="008F0673"/>
    <w:rsid w:val="008F0ACD"/>
    <w:rsid w:val="008F1DC2"/>
    <w:rsid w:val="008F2F5C"/>
    <w:rsid w:val="008F375D"/>
    <w:rsid w:val="008F6EB0"/>
    <w:rsid w:val="008F6FCC"/>
    <w:rsid w:val="00900145"/>
    <w:rsid w:val="00900B9C"/>
    <w:rsid w:val="00900C39"/>
    <w:rsid w:val="009019F5"/>
    <w:rsid w:val="009040ED"/>
    <w:rsid w:val="00904416"/>
    <w:rsid w:val="0090677F"/>
    <w:rsid w:val="009070FF"/>
    <w:rsid w:val="009125B8"/>
    <w:rsid w:val="009145C1"/>
    <w:rsid w:val="00924731"/>
    <w:rsid w:val="00933C74"/>
    <w:rsid w:val="009402FC"/>
    <w:rsid w:val="009410DB"/>
    <w:rsid w:val="009420B7"/>
    <w:rsid w:val="00961403"/>
    <w:rsid w:val="009637F8"/>
    <w:rsid w:val="00965297"/>
    <w:rsid w:val="009668A5"/>
    <w:rsid w:val="00966A72"/>
    <w:rsid w:val="009670D0"/>
    <w:rsid w:val="009708EA"/>
    <w:rsid w:val="009714E7"/>
    <w:rsid w:val="009724A8"/>
    <w:rsid w:val="00973575"/>
    <w:rsid w:val="00973844"/>
    <w:rsid w:val="00974178"/>
    <w:rsid w:val="00976E5D"/>
    <w:rsid w:val="00977476"/>
    <w:rsid w:val="009839A5"/>
    <w:rsid w:val="009840E4"/>
    <w:rsid w:val="0098436D"/>
    <w:rsid w:val="009853E6"/>
    <w:rsid w:val="009859CC"/>
    <w:rsid w:val="009875DD"/>
    <w:rsid w:val="00987DB5"/>
    <w:rsid w:val="00990FC9"/>
    <w:rsid w:val="00992379"/>
    <w:rsid w:val="00992CF2"/>
    <w:rsid w:val="00993F41"/>
    <w:rsid w:val="00995F57"/>
    <w:rsid w:val="00996878"/>
    <w:rsid w:val="009A06A6"/>
    <w:rsid w:val="009A1192"/>
    <w:rsid w:val="009A282E"/>
    <w:rsid w:val="009A34B4"/>
    <w:rsid w:val="009A5084"/>
    <w:rsid w:val="009B1BD8"/>
    <w:rsid w:val="009B2E8A"/>
    <w:rsid w:val="009C19E9"/>
    <w:rsid w:val="009C34EC"/>
    <w:rsid w:val="009C3604"/>
    <w:rsid w:val="009C5C73"/>
    <w:rsid w:val="009D070B"/>
    <w:rsid w:val="009D098C"/>
    <w:rsid w:val="009D1FF8"/>
    <w:rsid w:val="009D20A5"/>
    <w:rsid w:val="009D2317"/>
    <w:rsid w:val="009D352E"/>
    <w:rsid w:val="009D4045"/>
    <w:rsid w:val="009D42E6"/>
    <w:rsid w:val="009E1052"/>
    <w:rsid w:val="009E24B2"/>
    <w:rsid w:val="009E2B86"/>
    <w:rsid w:val="009E3662"/>
    <w:rsid w:val="009E5AF9"/>
    <w:rsid w:val="009E6491"/>
    <w:rsid w:val="009F277F"/>
    <w:rsid w:val="009F563D"/>
    <w:rsid w:val="00A00A32"/>
    <w:rsid w:val="00A041B3"/>
    <w:rsid w:val="00A0528D"/>
    <w:rsid w:val="00A10122"/>
    <w:rsid w:val="00A11194"/>
    <w:rsid w:val="00A1425D"/>
    <w:rsid w:val="00A158A3"/>
    <w:rsid w:val="00A16EBD"/>
    <w:rsid w:val="00A17283"/>
    <w:rsid w:val="00A221FB"/>
    <w:rsid w:val="00A23CC8"/>
    <w:rsid w:val="00A2501C"/>
    <w:rsid w:val="00A301CF"/>
    <w:rsid w:val="00A32B7C"/>
    <w:rsid w:val="00A34997"/>
    <w:rsid w:val="00A34A99"/>
    <w:rsid w:val="00A34B35"/>
    <w:rsid w:val="00A35E54"/>
    <w:rsid w:val="00A35ECF"/>
    <w:rsid w:val="00A36AB9"/>
    <w:rsid w:val="00A37E94"/>
    <w:rsid w:val="00A4059B"/>
    <w:rsid w:val="00A43900"/>
    <w:rsid w:val="00A439ED"/>
    <w:rsid w:val="00A47139"/>
    <w:rsid w:val="00A50173"/>
    <w:rsid w:val="00A50D39"/>
    <w:rsid w:val="00A51710"/>
    <w:rsid w:val="00A5366B"/>
    <w:rsid w:val="00A54717"/>
    <w:rsid w:val="00A55141"/>
    <w:rsid w:val="00A6069F"/>
    <w:rsid w:val="00A632A2"/>
    <w:rsid w:val="00A64D59"/>
    <w:rsid w:val="00A64D9E"/>
    <w:rsid w:val="00A64EFF"/>
    <w:rsid w:val="00A674A6"/>
    <w:rsid w:val="00A70BB2"/>
    <w:rsid w:val="00A70C03"/>
    <w:rsid w:val="00A711F2"/>
    <w:rsid w:val="00A748AA"/>
    <w:rsid w:val="00A755FB"/>
    <w:rsid w:val="00A75726"/>
    <w:rsid w:val="00A759B3"/>
    <w:rsid w:val="00A807C0"/>
    <w:rsid w:val="00A81691"/>
    <w:rsid w:val="00A8246C"/>
    <w:rsid w:val="00A83835"/>
    <w:rsid w:val="00A842CC"/>
    <w:rsid w:val="00A84337"/>
    <w:rsid w:val="00A87651"/>
    <w:rsid w:val="00A9319B"/>
    <w:rsid w:val="00A93667"/>
    <w:rsid w:val="00A939F8"/>
    <w:rsid w:val="00A94E48"/>
    <w:rsid w:val="00A96447"/>
    <w:rsid w:val="00AA01AE"/>
    <w:rsid w:val="00AA111E"/>
    <w:rsid w:val="00AA6423"/>
    <w:rsid w:val="00AA692E"/>
    <w:rsid w:val="00AA6CA7"/>
    <w:rsid w:val="00AB07C5"/>
    <w:rsid w:val="00AB29D4"/>
    <w:rsid w:val="00AB5A71"/>
    <w:rsid w:val="00AB6B1B"/>
    <w:rsid w:val="00AC09E8"/>
    <w:rsid w:val="00AC0F69"/>
    <w:rsid w:val="00AC130A"/>
    <w:rsid w:val="00AC21D2"/>
    <w:rsid w:val="00AC4B12"/>
    <w:rsid w:val="00AC59BD"/>
    <w:rsid w:val="00AC5F36"/>
    <w:rsid w:val="00AC6CA8"/>
    <w:rsid w:val="00AC780D"/>
    <w:rsid w:val="00AD0CF1"/>
    <w:rsid w:val="00AD2EF9"/>
    <w:rsid w:val="00AD3AFB"/>
    <w:rsid w:val="00AD462F"/>
    <w:rsid w:val="00AD4E57"/>
    <w:rsid w:val="00AD609F"/>
    <w:rsid w:val="00AD6A03"/>
    <w:rsid w:val="00AE01B9"/>
    <w:rsid w:val="00AE1723"/>
    <w:rsid w:val="00AE2950"/>
    <w:rsid w:val="00AF6A4D"/>
    <w:rsid w:val="00AF74D9"/>
    <w:rsid w:val="00B014D0"/>
    <w:rsid w:val="00B03295"/>
    <w:rsid w:val="00B04189"/>
    <w:rsid w:val="00B045BA"/>
    <w:rsid w:val="00B11489"/>
    <w:rsid w:val="00B150F6"/>
    <w:rsid w:val="00B2107A"/>
    <w:rsid w:val="00B217E2"/>
    <w:rsid w:val="00B2248A"/>
    <w:rsid w:val="00B23C1B"/>
    <w:rsid w:val="00B30DC5"/>
    <w:rsid w:val="00B31883"/>
    <w:rsid w:val="00B3261C"/>
    <w:rsid w:val="00B34B5B"/>
    <w:rsid w:val="00B354E8"/>
    <w:rsid w:val="00B36043"/>
    <w:rsid w:val="00B365EE"/>
    <w:rsid w:val="00B3705D"/>
    <w:rsid w:val="00B4009F"/>
    <w:rsid w:val="00B43312"/>
    <w:rsid w:val="00B4694E"/>
    <w:rsid w:val="00B51576"/>
    <w:rsid w:val="00B518CB"/>
    <w:rsid w:val="00B524BA"/>
    <w:rsid w:val="00B53C1F"/>
    <w:rsid w:val="00B57FF2"/>
    <w:rsid w:val="00B633CB"/>
    <w:rsid w:val="00B63939"/>
    <w:rsid w:val="00B63C20"/>
    <w:rsid w:val="00B63F3C"/>
    <w:rsid w:val="00B6506A"/>
    <w:rsid w:val="00B65253"/>
    <w:rsid w:val="00B702D1"/>
    <w:rsid w:val="00B72C3C"/>
    <w:rsid w:val="00B7537D"/>
    <w:rsid w:val="00B7573A"/>
    <w:rsid w:val="00B75795"/>
    <w:rsid w:val="00B819D0"/>
    <w:rsid w:val="00B81A6B"/>
    <w:rsid w:val="00B9072B"/>
    <w:rsid w:val="00B9112B"/>
    <w:rsid w:val="00B9352A"/>
    <w:rsid w:val="00B9558E"/>
    <w:rsid w:val="00B9628D"/>
    <w:rsid w:val="00B968C8"/>
    <w:rsid w:val="00B96F83"/>
    <w:rsid w:val="00BA151B"/>
    <w:rsid w:val="00BB087E"/>
    <w:rsid w:val="00BB0907"/>
    <w:rsid w:val="00BB4C2B"/>
    <w:rsid w:val="00BB5544"/>
    <w:rsid w:val="00BB5A88"/>
    <w:rsid w:val="00BB6A5E"/>
    <w:rsid w:val="00BB7BCF"/>
    <w:rsid w:val="00BC2DB0"/>
    <w:rsid w:val="00BC4458"/>
    <w:rsid w:val="00BC7EE3"/>
    <w:rsid w:val="00BD0235"/>
    <w:rsid w:val="00BD0B74"/>
    <w:rsid w:val="00BD3BCF"/>
    <w:rsid w:val="00BD540F"/>
    <w:rsid w:val="00BE1DC5"/>
    <w:rsid w:val="00BE225E"/>
    <w:rsid w:val="00BE3B4E"/>
    <w:rsid w:val="00BE3BDF"/>
    <w:rsid w:val="00BE43E8"/>
    <w:rsid w:val="00BE4C21"/>
    <w:rsid w:val="00BE4F15"/>
    <w:rsid w:val="00BE693B"/>
    <w:rsid w:val="00BF092E"/>
    <w:rsid w:val="00BF2AD3"/>
    <w:rsid w:val="00BF2E16"/>
    <w:rsid w:val="00BF381E"/>
    <w:rsid w:val="00BF38C5"/>
    <w:rsid w:val="00BF3C23"/>
    <w:rsid w:val="00BF4587"/>
    <w:rsid w:val="00BF4662"/>
    <w:rsid w:val="00C00D4E"/>
    <w:rsid w:val="00C01C45"/>
    <w:rsid w:val="00C01D68"/>
    <w:rsid w:val="00C0203F"/>
    <w:rsid w:val="00C04E1C"/>
    <w:rsid w:val="00C05B32"/>
    <w:rsid w:val="00C06901"/>
    <w:rsid w:val="00C119EA"/>
    <w:rsid w:val="00C14577"/>
    <w:rsid w:val="00C162D8"/>
    <w:rsid w:val="00C1664E"/>
    <w:rsid w:val="00C22FDD"/>
    <w:rsid w:val="00C24C20"/>
    <w:rsid w:val="00C3078A"/>
    <w:rsid w:val="00C30CD8"/>
    <w:rsid w:val="00C3143C"/>
    <w:rsid w:val="00C33B9C"/>
    <w:rsid w:val="00C3435E"/>
    <w:rsid w:val="00C35E80"/>
    <w:rsid w:val="00C363D1"/>
    <w:rsid w:val="00C3749B"/>
    <w:rsid w:val="00C40474"/>
    <w:rsid w:val="00C40850"/>
    <w:rsid w:val="00C40F3A"/>
    <w:rsid w:val="00C4166F"/>
    <w:rsid w:val="00C45F6E"/>
    <w:rsid w:val="00C46417"/>
    <w:rsid w:val="00C47A70"/>
    <w:rsid w:val="00C5105D"/>
    <w:rsid w:val="00C51E40"/>
    <w:rsid w:val="00C52E88"/>
    <w:rsid w:val="00C547C8"/>
    <w:rsid w:val="00C55D6B"/>
    <w:rsid w:val="00C57258"/>
    <w:rsid w:val="00C57757"/>
    <w:rsid w:val="00C6274A"/>
    <w:rsid w:val="00C648C2"/>
    <w:rsid w:val="00C64ABC"/>
    <w:rsid w:val="00C64F87"/>
    <w:rsid w:val="00C663B9"/>
    <w:rsid w:val="00C66C47"/>
    <w:rsid w:val="00C67579"/>
    <w:rsid w:val="00C72ABD"/>
    <w:rsid w:val="00C7624F"/>
    <w:rsid w:val="00C76368"/>
    <w:rsid w:val="00C841C3"/>
    <w:rsid w:val="00C858D0"/>
    <w:rsid w:val="00C8691F"/>
    <w:rsid w:val="00C8791C"/>
    <w:rsid w:val="00C906B6"/>
    <w:rsid w:val="00C91CE6"/>
    <w:rsid w:val="00C979FE"/>
    <w:rsid w:val="00CA1745"/>
    <w:rsid w:val="00CA1944"/>
    <w:rsid w:val="00CA1F16"/>
    <w:rsid w:val="00CA2FE7"/>
    <w:rsid w:val="00CA3AC4"/>
    <w:rsid w:val="00CB12A8"/>
    <w:rsid w:val="00CB3F19"/>
    <w:rsid w:val="00CB627E"/>
    <w:rsid w:val="00CC376F"/>
    <w:rsid w:val="00CC5501"/>
    <w:rsid w:val="00CC7854"/>
    <w:rsid w:val="00CC78E2"/>
    <w:rsid w:val="00CD0544"/>
    <w:rsid w:val="00CD06CE"/>
    <w:rsid w:val="00CD1364"/>
    <w:rsid w:val="00CD3433"/>
    <w:rsid w:val="00CD548B"/>
    <w:rsid w:val="00CE2484"/>
    <w:rsid w:val="00CE4F6E"/>
    <w:rsid w:val="00CE550A"/>
    <w:rsid w:val="00CE68CC"/>
    <w:rsid w:val="00CF3D40"/>
    <w:rsid w:val="00CF48C8"/>
    <w:rsid w:val="00CF6155"/>
    <w:rsid w:val="00CF6A37"/>
    <w:rsid w:val="00CF7BA9"/>
    <w:rsid w:val="00D009D6"/>
    <w:rsid w:val="00D0183A"/>
    <w:rsid w:val="00D01D7F"/>
    <w:rsid w:val="00D021EB"/>
    <w:rsid w:val="00D03586"/>
    <w:rsid w:val="00D03879"/>
    <w:rsid w:val="00D044B4"/>
    <w:rsid w:val="00D048BC"/>
    <w:rsid w:val="00D0675A"/>
    <w:rsid w:val="00D07150"/>
    <w:rsid w:val="00D1016B"/>
    <w:rsid w:val="00D131B5"/>
    <w:rsid w:val="00D14AE4"/>
    <w:rsid w:val="00D1511A"/>
    <w:rsid w:val="00D1595D"/>
    <w:rsid w:val="00D161AD"/>
    <w:rsid w:val="00D210F0"/>
    <w:rsid w:val="00D239DD"/>
    <w:rsid w:val="00D25157"/>
    <w:rsid w:val="00D25314"/>
    <w:rsid w:val="00D30930"/>
    <w:rsid w:val="00D32E2E"/>
    <w:rsid w:val="00D33D6C"/>
    <w:rsid w:val="00D344C6"/>
    <w:rsid w:val="00D34B1E"/>
    <w:rsid w:val="00D35B14"/>
    <w:rsid w:val="00D36E43"/>
    <w:rsid w:val="00D41EC1"/>
    <w:rsid w:val="00D43B94"/>
    <w:rsid w:val="00D505C8"/>
    <w:rsid w:val="00D509F3"/>
    <w:rsid w:val="00D51957"/>
    <w:rsid w:val="00D52F70"/>
    <w:rsid w:val="00D52FC6"/>
    <w:rsid w:val="00D54D43"/>
    <w:rsid w:val="00D56571"/>
    <w:rsid w:val="00D57BF0"/>
    <w:rsid w:val="00D60CE0"/>
    <w:rsid w:val="00D61B5E"/>
    <w:rsid w:val="00D628CB"/>
    <w:rsid w:val="00D62BC0"/>
    <w:rsid w:val="00D63D9A"/>
    <w:rsid w:val="00D70542"/>
    <w:rsid w:val="00D73930"/>
    <w:rsid w:val="00D73ECE"/>
    <w:rsid w:val="00D74177"/>
    <w:rsid w:val="00D74F8C"/>
    <w:rsid w:val="00D7581E"/>
    <w:rsid w:val="00D759E0"/>
    <w:rsid w:val="00D77473"/>
    <w:rsid w:val="00D77830"/>
    <w:rsid w:val="00D806A0"/>
    <w:rsid w:val="00D808DA"/>
    <w:rsid w:val="00D811B1"/>
    <w:rsid w:val="00D81A75"/>
    <w:rsid w:val="00D82B74"/>
    <w:rsid w:val="00D86BE2"/>
    <w:rsid w:val="00D876D2"/>
    <w:rsid w:val="00D9127F"/>
    <w:rsid w:val="00D92E90"/>
    <w:rsid w:val="00D96163"/>
    <w:rsid w:val="00D971CB"/>
    <w:rsid w:val="00DA192F"/>
    <w:rsid w:val="00DB1D9E"/>
    <w:rsid w:val="00DB2BC8"/>
    <w:rsid w:val="00DB414B"/>
    <w:rsid w:val="00DB4595"/>
    <w:rsid w:val="00DB5ED9"/>
    <w:rsid w:val="00DB6153"/>
    <w:rsid w:val="00DC07CD"/>
    <w:rsid w:val="00DC08BD"/>
    <w:rsid w:val="00DC286C"/>
    <w:rsid w:val="00DC35CF"/>
    <w:rsid w:val="00DC57F8"/>
    <w:rsid w:val="00DC6E98"/>
    <w:rsid w:val="00DD0911"/>
    <w:rsid w:val="00DD36CA"/>
    <w:rsid w:val="00DD5249"/>
    <w:rsid w:val="00DD5CDF"/>
    <w:rsid w:val="00DD6A7F"/>
    <w:rsid w:val="00DD6FF7"/>
    <w:rsid w:val="00DD7780"/>
    <w:rsid w:val="00DE1C07"/>
    <w:rsid w:val="00DE3467"/>
    <w:rsid w:val="00DE4255"/>
    <w:rsid w:val="00DE561B"/>
    <w:rsid w:val="00DE5BF2"/>
    <w:rsid w:val="00DE6E27"/>
    <w:rsid w:val="00DE6F2B"/>
    <w:rsid w:val="00DE78C1"/>
    <w:rsid w:val="00E0451E"/>
    <w:rsid w:val="00E04B86"/>
    <w:rsid w:val="00E04C68"/>
    <w:rsid w:val="00E0508A"/>
    <w:rsid w:val="00E05C45"/>
    <w:rsid w:val="00E07533"/>
    <w:rsid w:val="00E07742"/>
    <w:rsid w:val="00E1054F"/>
    <w:rsid w:val="00E10F0D"/>
    <w:rsid w:val="00E11528"/>
    <w:rsid w:val="00E116DE"/>
    <w:rsid w:val="00E122C7"/>
    <w:rsid w:val="00E132B7"/>
    <w:rsid w:val="00E143DE"/>
    <w:rsid w:val="00E146B7"/>
    <w:rsid w:val="00E1549E"/>
    <w:rsid w:val="00E1621D"/>
    <w:rsid w:val="00E17689"/>
    <w:rsid w:val="00E17DA5"/>
    <w:rsid w:val="00E20184"/>
    <w:rsid w:val="00E20A6B"/>
    <w:rsid w:val="00E23A2B"/>
    <w:rsid w:val="00E255BB"/>
    <w:rsid w:val="00E3109A"/>
    <w:rsid w:val="00E35F2E"/>
    <w:rsid w:val="00E368C1"/>
    <w:rsid w:val="00E374B4"/>
    <w:rsid w:val="00E37B32"/>
    <w:rsid w:val="00E4059A"/>
    <w:rsid w:val="00E45FAA"/>
    <w:rsid w:val="00E46E43"/>
    <w:rsid w:val="00E53AAD"/>
    <w:rsid w:val="00E546E2"/>
    <w:rsid w:val="00E623C3"/>
    <w:rsid w:val="00E63B75"/>
    <w:rsid w:val="00E63C0A"/>
    <w:rsid w:val="00E64D6D"/>
    <w:rsid w:val="00E65917"/>
    <w:rsid w:val="00E672DF"/>
    <w:rsid w:val="00E7108B"/>
    <w:rsid w:val="00E75187"/>
    <w:rsid w:val="00E751DF"/>
    <w:rsid w:val="00E76B4C"/>
    <w:rsid w:val="00E76C8F"/>
    <w:rsid w:val="00E77479"/>
    <w:rsid w:val="00E8198A"/>
    <w:rsid w:val="00E81D02"/>
    <w:rsid w:val="00E82E0C"/>
    <w:rsid w:val="00E83206"/>
    <w:rsid w:val="00E833A4"/>
    <w:rsid w:val="00E85FF4"/>
    <w:rsid w:val="00E86542"/>
    <w:rsid w:val="00E8677A"/>
    <w:rsid w:val="00E906A0"/>
    <w:rsid w:val="00E90E8E"/>
    <w:rsid w:val="00E94A0D"/>
    <w:rsid w:val="00EA0396"/>
    <w:rsid w:val="00EB3103"/>
    <w:rsid w:val="00EB370A"/>
    <w:rsid w:val="00EB42CC"/>
    <w:rsid w:val="00EB4E30"/>
    <w:rsid w:val="00EB54DE"/>
    <w:rsid w:val="00EB62E7"/>
    <w:rsid w:val="00EB6640"/>
    <w:rsid w:val="00EB750E"/>
    <w:rsid w:val="00EC0FA4"/>
    <w:rsid w:val="00EC103F"/>
    <w:rsid w:val="00EC1AC5"/>
    <w:rsid w:val="00EC1DB0"/>
    <w:rsid w:val="00EC1E8F"/>
    <w:rsid w:val="00EC2C73"/>
    <w:rsid w:val="00EC2DED"/>
    <w:rsid w:val="00EC4EEF"/>
    <w:rsid w:val="00EC6E52"/>
    <w:rsid w:val="00EC74E6"/>
    <w:rsid w:val="00ED2084"/>
    <w:rsid w:val="00ED253A"/>
    <w:rsid w:val="00ED5E02"/>
    <w:rsid w:val="00ED6A4D"/>
    <w:rsid w:val="00ED74FA"/>
    <w:rsid w:val="00ED7A0A"/>
    <w:rsid w:val="00EE3341"/>
    <w:rsid w:val="00EE51D5"/>
    <w:rsid w:val="00EE60BC"/>
    <w:rsid w:val="00EE6A1B"/>
    <w:rsid w:val="00EF112E"/>
    <w:rsid w:val="00EF2AF8"/>
    <w:rsid w:val="00F00278"/>
    <w:rsid w:val="00F030B5"/>
    <w:rsid w:val="00F0359F"/>
    <w:rsid w:val="00F03863"/>
    <w:rsid w:val="00F03E48"/>
    <w:rsid w:val="00F1114F"/>
    <w:rsid w:val="00F14D55"/>
    <w:rsid w:val="00F14DB2"/>
    <w:rsid w:val="00F155A9"/>
    <w:rsid w:val="00F20923"/>
    <w:rsid w:val="00F20BC4"/>
    <w:rsid w:val="00F21D61"/>
    <w:rsid w:val="00F22829"/>
    <w:rsid w:val="00F23BAB"/>
    <w:rsid w:val="00F241F2"/>
    <w:rsid w:val="00F36EA6"/>
    <w:rsid w:val="00F40E81"/>
    <w:rsid w:val="00F41127"/>
    <w:rsid w:val="00F43C8D"/>
    <w:rsid w:val="00F446BF"/>
    <w:rsid w:val="00F50022"/>
    <w:rsid w:val="00F50538"/>
    <w:rsid w:val="00F55A7B"/>
    <w:rsid w:val="00F55E5A"/>
    <w:rsid w:val="00F62899"/>
    <w:rsid w:val="00F62D37"/>
    <w:rsid w:val="00F6329C"/>
    <w:rsid w:val="00F636D9"/>
    <w:rsid w:val="00F6721F"/>
    <w:rsid w:val="00F72172"/>
    <w:rsid w:val="00F72AA4"/>
    <w:rsid w:val="00F76E55"/>
    <w:rsid w:val="00F77AC4"/>
    <w:rsid w:val="00F807DD"/>
    <w:rsid w:val="00F83C97"/>
    <w:rsid w:val="00F8489F"/>
    <w:rsid w:val="00F903BA"/>
    <w:rsid w:val="00F93064"/>
    <w:rsid w:val="00FA2F8D"/>
    <w:rsid w:val="00FA4C0F"/>
    <w:rsid w:val="00FA54DC"/>
    <w:rsid w:val="00FB014F"/>
    <w:rsid w:val="00FB2A09"/>
    <w:rsid w:val="00FB3DAD"/>
    <w:rsid w:val="00FB4917"/>
    <w:rsid w:val="00FB6839"/>
    <w:rsid w:val="00FC27FF"/>
    <w:rsid w:val="00FC4DE0"/>
    <w:rsid w:val="00FD2168"/>
    <w:rsid w:val="00FD3E07"/>
    <w:rsid w:val="00FD4556"/>
    <w:rsid w:val="00FD46A7"/>
    <w:rsid w:val="00FD604D"/>
    <w:rsid w:val="00FE14EE"/>
    <w:rsid w:val="00FE2C5B"/>
    <w:rsid w:val="00FE4834"/>
    <w:rsid w:val="00FE4A87"/>
    <w:rsid w:val="00FE6BFD"/>
    <w:rsid w:val="00FE6FC7"/>
    <w:rsid w:val="00FE7613"/>
    <w:rsid w:val="00FF14C2"/>
    <w:rsid w:val="00FF4325"/>
    <w:rsid w:val="00FF4752"/>
    <w:rsid w:val="00FF4EA5"/>
    <w:rsid w:val="00FF573B"/>
    <w:rsid w:val="00FF6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EAD87"/>
  <w15:chartTrackingRefBased/>
  <w15:docId w15:val="{EFF5EE9B-6F7B-4DCC-9257-A85EDADF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25"/>
    <w:rPr>
      <w:rFonts w:ascii="Times New Roman" w:eastAsia="Times New Roman" w:hAnsi="Times New Roman"/>
      <w:sz w:val="24"/>
      <w:szCs w:val="24"/>
      <w:lang w:eastAsia="en-US"/>
    </w:rPr>
  </w:style>
  <w:style w:type="paragraph" w:styleId="Ttulo1">
    <w:name w:val="heading 1"/>
    <w:basedOn w:val="Normal"/>
    <w:next w:val="Normal"/>
    <w:link w:val="Ttulo1Car"/>
    <w:uiPriority w:val="9"/>
    <w:qFormat/>
    <w:rsid w:val="001846E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4632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859CC"/>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F46E7"/>
    <w:pPr>
      <w:spacing w:before="100" w:beforeAutospacing="1" w:after="100" w:afterAutospacing="1"/>
    </w:pPr>
  </w:style>
  <w:style w:type="paragraph" w:customStyle="1" w:styleId="Epgrafe">
    <w:name w:val="Epígrafe"/>
    <w:basedOn w:val="Normal"/>
    <w:next w:val="Normal"/>
    <w:uiPriority w:val="35"/>
    <w:semiHidden/>
    <w:unhideWhenUsed/>
    <w:qFormat/>
    <w:rsid w:val="006F46E7"/>
    <w:rPr>
      <w:b/>
      <w:bCs/>
      <w:sz w:val="20"/>
      <w:szCs w:val="20"/>
    </w:rPr>
  </w:style>
  <w:style w:type="paragraph" w:styleId="Textonotaalfinal">
    <w:name w:val="endnote text"/>
    <w:basedOn w:val="Normal"/>
    <w:link w:val="TextonotaalfinalCar"/>
    <w:uiPriority w:val="99"/>
    <w:semiHidden/>
    <w:unhideWhenUsed/>
    <w:rsid w:val="006F46E7"/>
    <w:rPr>
      <w:sz w:val="20"/>
      <w:szCs w:val="20"/>
      <w:lang w:eastAsia="x-none"/>
    </w:rPr>
  </w:style>
  <w:style w:type="character" w:customStyle="1" w:styleId="TextonotaalfinalCar">
    <w:name w:val="Texto nota al final Car"/>
    <w:link w:val="Textonotaalfinal"/>
    <w:uiPriority w:val="99"/>
    <w:semiHidden/>
    <w:rsid w:val="006F46E7"/>
    <w:rPr>
      <w:rFonts w:ascii="Times New Roman" w:eastAsia="Times New Roman" w:hAnsi="Times New Roman" w:cs="Times New Roman"/>
      <w:sz w:val="20"/>
      <w:szCs w:val="20"/>
      <w:lang w:val="en-US"/>
    </w:rPr>
  </w:style>
  <w:style w:type="paragraph" w:styleId="Sinespaciado">
    <w:name w:val="No Spacing"/>
    <w:uiPriority w:val="1"/>
    <w:qFormat/>
    <w:rsid w:val="006F46E7"/>
    <w:rPr>
      <w:rFonts w:ascii="Times New Roman" w:eastAsia="Times New Roman" w:hAnsi="Times New Roman"/>
      <w:sz w:val="24"/>
      <w:szCs w:val="24"/>
      <w:lang w:val="en-US" w:eastAsia="en-US"/>
    </w:rPr>
  </w:style>
  <w:style w:type="paragraph" w:customStyle="1" w:styleId="Default">
    <w:name w:val="Default"/>
    <w:uiPriority w:val="99"/>
    <w:rsid w:val="006F46E7"/>
    <w:pPr>
      <w:autoSpaceDE w:val="0"/>
      <w:autoSpaceDN w:val="0"/>
      <w:adjustRightInd w:val="0"/>
    </w:pPr>
    <w:rPr>
      <w:rFonts w:cs="Calibri"/>
      <w:color w:val="000000"/>
      <w:sz w:val="24"/>
      <w:szCs w:val="24"/>
      <w:lang w:val="en-US" w:eastAsia="en-US"/>
    </w:rPr>
  </w:style>
  <w:style w:type="paragraph" w:customStyle="1" w:styleId="DefaultText">
    <w:name w:val="Default Text"/>
    <w:basedOn w:val="Normal"/>
    <w:uiPriority w:val="99"/>
    <w:rsid w:val="006F46E7"/>
    <w:pPr>
      <w:autoSpaceDE w:val="0"/>
      <w:autoSpaceDN w:val="0"/>
      <w:adjustRightInd w:val="0"/>
    </w:pPr>
  </w:style>
  <w:style w:type="character" w:styleId="Refdenotaalfinal">
    <w:name w:val="endnote reference"/>
    <w:uiPriority w:val="99"/>
    <w:semiHidden/>
    <w:unhideWhenUsed/>
    <w:rsid w:val="006F46E7"/>
    <w:rPr>
      <w:vertAlign w:val="superscript"/>
    </w:rPr>
  </w:style>
  <w:style w:type="paragraph" w:styleId="Textodeglobo">
    <w:name w:val="Balloon Text"/>
    <w:basedOn w:val="Normal"/>
    <w:link w:val="TextodegloboCar"/>
    <w:uiPriority w:val="99"/>
    <w:semiHidden/>
    <w:unhideWhenUsed/>
    <w:rsid w:val="006F46E7"/>
    <w:rPr>
      <w:rFonts w:ascii="Tahoma" w:hAnsi="Tahoma"/>
      <w:sz w:val="16"/>
      <w:szCs w:val="16"/>
      <w:lang w:eastAsia="x-none"/>
    </w:rPr>
  </w:style>
  <w:style w:type="character" w:customStyle="1" w:styleId="TextodegloboCar">
    <w:name w:val="Texto de globo Car"/>
    <w:link w:val="Textodeglobo"/>
    <w:uiPriority w:val="99"/>
    <w:semiHidden/>
    <w:rsid w:val="006F46E7"/>
    <w:rPr>
      <w:rFonts w:ascii="Tahoma" w:eastAsia="Times New Roman" w:hAnsi="Tahoma" w:cs="Tahoma"/>
      <w:sz w:val="16"/>
      <w:szCs w:val="16"/>
      <w:lang w:val="en-US"/>
    </w:rPr>
  </w:style>
  <w:style w:type="paragraph" w:styleId="Encabezado">
    <w:name w:val="header"/>
    <w:basedOn w:val="Normal"/>
    <w:link w:val="EncabezadoCar"/>
    <w:uiPriority w:val="99"/>
    <w:unhideWhenUsed/>
    <w:rsid w:val="00BE4F15"/>
    <w:pPr>
      <w:tabs>
        <w:tab w:val="center" w:pos="4419"/>
        <w:tab w:val="right" w:pos="8838"/>
      </w:tabs>
    </w:pPr>
    <w:rPr>
      <w:lang w:eastAsia="x-none"/>
    </w:rPr>
  </w:style>
  <w:style w:type="character" w:customStyle="1" w:styleId="EncabezadoCar">
    <w:name w:val="Encabezado Car"/>
    <w:link w:val="Encabezado"/>
    <w:uiPriority w:val="99"/>
    <w:rsid w:val="00BE4F15"/>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E4F15"/>
    <w:pPr>
      <w:tabs>
        <w:tab w:val="center" w:pos="4419"/>
        <w:tab w:val="right" w:pos="8838"/>
      </w:tabs>
    </w:pPr>
    <w:rPr>
      <w:lang w:eastAsia="x-none"/>
    </w:rPr>
  </w:style>
  <w:style w:type="character" w:customStyle="1" w:styleId="PiedepginaCar">
    <w:name w:val="Pie de página Car"/>
    <w:link w:val="Piedepgina"/>
    <w:uiPriority w:val="99"/>
    <w:rsid w:val="00BE4F15"/>
    <w:rPr>
      <w:rFonts w:ascii="Times New Roman" w:eastAsia="Times New Roman" w:hAnsi="Times New Roman" w:cs="Times New Roman"/>
      <w:sz w:val="24"/>
      <w:szCs w:val="24"/>
      <w:lang w:val="en-US"/>
    </w:rPr>
  </w:style>
  <w:style w:type="paragraph" w:styleId="Textonotapie">
    <w:name w:val="footnote text"/>
    <w:basedOn w:val="Normal"/>
    <w:link w:val="TextonotapieCar"/>
    <w:uiPriority w:val="99"/>
    <w:unhideWhenUsed/>
    <w:rsid w:val="00FE4834"/>
    <w:rPr>
      <w:rFonts w:ascii="Calibri" w:eastAsia="Calibri" w:hAnsi="Calibri"/>
      <w:sz w:val="20"/>
      <w:szCs w:val="20"/>
      <w:lang w:eastAsia="x-none"/>
    </w:rPr>
  </w:style>
  <w:style w:type="character" w:customStyle="1" w:styleId="TextonotapieCar">
    <w:name w:val="Texto nota pie Car"/>
    <w:link w:val="Textonotapie"/>
    <w:uiPriority w:val="99"/>
    <w:rsid w:val="00FE4834"/>
    <w:rPr>
      <w:rFonts w:ascii="Calibri" w:eastAsia="Calibri" w:hAnsi="Calibri" w:cs="Times New Roman"/>
      <w:sz w:val="20"/>
      <w:szCs w:val="20"/>
      <w:lang w:val="en-US"/>
    </w:rPr>
  </w:style>
  <w:style w:type="character" w:styleId="Refdenotaalpie">
    <w:name w:val="footnote reference"/>
    <w:semiHidden/>
    <w:unhideWhenUsed/>
    <w:rsid w:val="00FE4834"/>
    <w:rPr>
      <w:vertAlign w:val="superscript"/>
    </w:rPr>
  </w:style>
  <w:style w:type="character" w:customStyle="1" w:styleId="contenido1">
    <w:name w:val="contenido1"/>
    <w:rsid w:val="00FE4834"/>
    <w:rPr>
      <w:rFonts w:ascii="Verdana" w:hAnsi="Verdana" w:hint="default"/>
      <w:color w:val="333333"/>
      <w:sz w:val="11"/>
      <w:szCs w:val="11"/>
    </w:rPr>
  </w:style>
  <w:style w:type="paragraph" w:styleId="Sangradetextonormal">
    <w:name w:val="Body Text Indent"/>
    <w:basedOn w:val="Normal"/>
    <w:link w:val="SangradetextonormalCar"/>
    <w:rsid w:val="00FE4834"/>
    <w:pPr>
      <w:ind w:left="360"/>
      <w:jc w:val="both"/>
    </w:pPr>
    <w:rPr>
      <w:rFonts w:ascii="Arial" w:hAnsi="Arial"/>
      <w:sz w:val="20"/>
      <w:lang w:val="es-ES_tradnl" w:eastAsia="es-ES"/>
    </w:rPr>
  </w:style>
  <w:style w:type="character" w:customStyle="1" w:styleId="SangradetextonormalCar">
    <w:name w:val="Sangría de texto normal Car"/>
    <w:link w:val="Sangradetextonormal"/>
    <w:rsid w:val="00FE4834"/>
    <w:rPr>
      <w:rFonts w:ascii="Arial" w:eastAsia="Times New Roman" w:hAnsi="Arial" w:cs="Arial"/>
      <w:szCs w:val="24"/>
      <w:lang w:val="es-ES_tradnl" w:eastAsia="es-ES"/>
    </w:rPr>
  </w:style>
  <w:style w:type="paragraph" w:styleId="Prrafodelista">
    <w:name w:val="List Paragraph"/>
    <w:basedOn w:val="Normal"/>
    <w:uiPriority w:val="34"/>
    <w:qFormat/>
    <w:rsid w:val="00FE4834"/>
    <w:pPr>
      <w:ind w:left="720"/>
      <w:contextualSpacing/>
    </w:pPr>
  </w:style>
  <w:style w:type="paragraph" w:styleId="Textoindependiente2">
    <w:name w:val="Body Text 2"/>
    <w:basedOn w:val="Normal"/>
    <w:link w:val="Textoindependiente2Car"/>
    <w:uiPriority w:val="99"/>
    <w:semiHidden/>
    <w:unhideWhenUsed/>
    <w:rsid w:val="00E3109A"/>
    <w:pPr>
      <w:spacing w:after="120" w:line="480" w:lineRule="auto"/>
    </w:pPr>
    <w:rPr>
      <w:rFonts w:ascii="Calibri" w:eastAsia="Calibri" w:hAnsi="Calibri"/>
      <w:sz w:val="20"/>
      <w:szCs w:val="20"/>
      <w:lang w:eastAsia="x-none"/>
    </w:rPr>
  </w:style>
  <w:style w:type="character" w:customStyle="1" w:styleId="Textoindependiente2Car">
    <w:name w:val="Texto independiente 2 Car"/>
    <w:link w:val="Textoindependiente2"/>
    <w:uiPriority w:val="99"/>
    <w:semiHidden/>
    <w:rsid w:val="00E3109A"/>
    <w:rPr>
      <w:rFonts w:ascii="Calibri" w:eastAsia="Calibri" w:hAnsi="Calibri" w:cs="Times New Roman"/>
      <w:lang w:val="en-US"/>
    </w:rPr>
  </w:style>
  <w:style w:type="paragraph" w:styleId="Textoindependiente3">
    <w:name w:val="Body Text 3"/>
    <w:basedOn w:val="Normal"/>
    <w:link w:val="Textoindependiente3Car"/>
    <w:uiPriority w:val="99"/>
    <w:unhideWhenUsed/>
    <w:rsid w:val="00E3109A"/>
    <w:pPr>
      <w:spacing w:after="120" w:line="276" w:lineRule="auto"/>
    </w:pPr>
    <w:rPr>
      <w:rFonts w:ascii="Calibri" w:eastAsia="Calibri" w:hAnsi="Calibri"/>
      <w:sz w:val="16"/>
      <w:szCs w:val="16"/>
      <w:lang w:eastAsia="x-none"/>
    </w:rPr>
  </w:style>
  <w:style w:type="character" w:customStyle="1" w:styleId="Textoindependiente3Car">
    <w:name w:val="Texto independiente 3 Car"/>
    <w:link w:val="Textoindependiente3"/>
    <w:uiPriority w:val="99"/>
    <w:rsid w:val="00E3109A"/>
    <w:rPr>
      <w:rFonts w:ascii="Calibri" w:eastAsia="Calibri" w:hAnsi="Calibri" w:cs="Times New Roman"/>
      <w:sz w:val="16"/>
      <w:szCs w:val="16"/>
      <w:lang w:val="en-US"/>
    </w:rPr>
  </w:style>
  <w:style w:type="table" w:styleId="Tablaconcuadrcula">
    <w:name w:val="Table Grid"/>
    <w:basedOn w:val="Tablanormal"/>
    <w:uiPriority w:val="59"/>
    <w:rsid w:val="00E122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3A496D"/>
    <w:rPr>
      <w:color w:val="002BB8"/>
      <w:u w:val="single"/>
    </w:rPr>
  </w:style>
  <w:style w:type="character" w:customStyle="1" w:styleId="Mencinsinresolver1">
    <w:name w:val="Mención sin resolver1"/>
    <w:uiPriority w:val="99"/>
    <w:semiHidden/>
    <w:unhideWhenUsed/>
    <w:rsid w:val="008514A8"/>
    <w:rPr>
      <w:color w:val="605E5C"/>
      <w:shd w:val="clear" w:color="auto" w:fill="E1DFDD"/>
    </w:rPr>
  </w:style>
  <w:style w:type="character" w:styleId="Refdecomentario">
    <w:name w:val="annotation reference"/>
    <w:uiPriority w:val="99"/>
    <w:semiHidden/>
    <w:unhideWhenUsed/>
    <w:rsid w:val="00FE14EE"/>
    <w:rPr>
      <w:sz w:val="16"/>
      <w:szCs w:val="16"/>
    </w:rPr>
  </w:style>
  <w:style w:type="paragraph" w:styleId="Textocomentario">
    <w:name w:val="annotation text"/>
    <w:basedOn w:val="Normal"/>
    <w:link w:val="TextocomentarioCar"/>
    <w:uiPriority w:val="99"/>
    <w:unhideWhenUsed/>
    <w:rsid w:val="00FE14EE"/>
    <w:rPr>
      <w:sz w:val="20"/>
      <w:szCs w:val="20"/>
    </w:rPr>
  </w:style>
  <w:style w:type="character" w:customStyle="1" w:styleId="TextocomentarioCar">
    <w:name w:val="Texto comentario Car"/>
    <w:link w:val="Textocomentario"/>
    <w:uiPriority w:val="99"/>
    <w:rsid w:val="00FE14EE"/>
    <w:rPr>
      <w:rFonts w:ascii="Times New Roman" w:eastAsia="Times New Roman" w:hAnsi="Times New Roman"/>
      <w:lang w:val="en-US" w:eastAsia="en-US"/>
    </w:rPr>
  </w:style>
  <w:style w:type="paragraph" w:styleId="Asuntodelcomentario">
    <w:name w:val="annotation subject"/>
    <w:basedOn w:val="Textocomentario"/>
    <w:next w:val="Textocomentario"/>
    <w:link w:val="AsuntodelcomentarioCar"/>
    <w:uiPriority w:val="99"/>
    <w:semiHidden/>
    <w:unhideWhenUsed/>
    <w:rsid w:val="00FE14EE"/>
    <w:rPr>
      <w:b/>
      <w:bCs/>
    </w:rPr>
  </w:style>
  <w:style w:type="character" w:customStyle="1" w:styleId="AsuntodelcomentarioCar">
    <w:name w:val="Asunto del comentario Car"/>
    <w:link w:val="Asuntodelcomentario"/>
    <w:uiPriority w:val="99"/>
    <w:semiHidden/>
    <w:rsid w:val="00FE14EE"/>
    <w:rPr>
      <w:rFonts w:ascii="Times New Roman" w:eastAsia="Times New Roman" w:hAnsi="Times New Roman"/>
      <w:b/>
      <w:bCs/>
      <w:lang w:val="en-US" w:eastAsia="en-US"/>
    </w:rPr>
  </w:style>
  <w:style w:type="character" w:customStyle="1" w:styleId="Ttulo1Car">
    <w:name w:val="Título 1 Car"/>
    <w:link w:val="Ttulo1"/>
    <w:uiPriority w:val="9"/>
    <w:rsid w:val="001846ED"/>
    <w:rPr>
      <w:rFonts w:ascii="Calibri Light" w:eastAsia="Times New Roman" w:hAnsi="Calibri Light" w:cs="Times New Roman"/>
      <w:b/>
      <w:bCs/>
      <w:kern w:val="32"/>
      <w:sz w:val="32"/>
      <w:szCs w:val="32"/>
      <w:lang w:val="en-US" w:eastAsia="en-US"/>
    </w:rPr>
  </w:style>
  <w:style w:type="character" w:customStyle="1" w:styleId="anchor-text">
    <w:name w:val="anchor-text"/>
    <w:basedOn w:val="Fuentedeprrafopredeter"/>
    <w:rsid w:val="00AC130A"/>
  </w:style>
  <w:style w:type="paragraph" w:styleId="Revisin">
    <w:name w:val="Revision"/>
    <w:hidden/>
    <w:uiPriority w:val="99"/>
    <w:semiHidden/>
    <w:rsid w:val="00C119EA"/>
    <w:rPr>
      <w:rFonts w:ascii="Times New Roman" w:eastAsia="Times New Roman" w:hAnsi="Times New Roman"/>
      <w:sz w:val="24"/>
      <w:szCs w:val="24"/>
      <w:lang w:eastAsia="en-US"/>
    </w:rPr>
  </w:style>
  <w:style w:type="character" w:styleId="Hipervnculovisitado">
    <w:name w:val="FollowedHyperlink"/>
    <w:basedOn w:val="Fuentedeprrafopredeter"/>
    <w:uiPriority w:val="99"/>
    <w:semiHidden/>
    <w:unhideWhenUsed/>
    <w:rsid w:val="009B2E8A"/>
    <w:rPr>
      <w:color w:val="954F72" w:themeColor="followedHyperlink"/>
      <w:u w:val="single"/>
    </w:rPr>
  </w:style>
  <w:style w:type="character" w:customStyle="1" w:styleId="Mencinsinresolver2">
    <w:name w:val="Mención sin resolver2"/>
    <w:basedOn w:val="Fuentedeprrafopredeter"/>
    <w:uiPriority w:val="99"/>
    <w:semiHidden/>
    <w:unhideWhenUsed/>
    <w:rsid w:val="0053392A"/>
    <w:rPr>
      <w:color w:val="605E5C"/>
      <w:shd w:val="clear" w:color="auto" w:fill="E1DFDD"/>
    </w:rPr>
  </w:style>
  <w:style w:type="paragraph" w:styleId="HTMLconformatoprevio">
    <w:name w:val="HTML Preformatted"/>
    <w:basedOn w:val="Normal"/>
    <w:link w:val="HTMLconformatoprevioCar"/>
    <w:uiPriority w:val="99"/>
    <w:unhideWhenUsed/>
    <w:rsid w:val="00280E25"/>
    <w:rPr>
      <w:rFonts w:ascii="Consolas"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280E25"/>
    <w:rPr>
      <w:rFonts w:ascii="Consolas" w:eastAsia="Times New Roman" w:hAnsi="Consolas" w:cs="Consolas"/>
      <w:lang w:val="es-ES" w:eastAsia="es-ES"/>
    </w:rPr>
  </w:style>
  <w:style w:type="character" w:customStyle="1" w:styleId="Ttulo2Car">
    <w:name w:val="Título 2 Car"/>
    <w:basedOn w:val="Fuentedeprrafopredeter"/>
    <w:link w:val="Ttulo2"/>
    <w:uiPriority w:val="9"/>
    <w:rsid w:val="004632B9"/>
    <w:rPr>
      <w:rFonts w:asciiTheme="majorHAnsi" w:eastAsiaTheme="majorEastAsia" w:hAnsiTheme="majorHAnsi" w:cstheme="majorBidi"/>
      <w:color w:val="2F5496" w:themeColor="accent1" w:themeShade="BF"/>
      <w:sz w:val="26"/>
      <w:szCs w:val="26"/>
      <w:lang w:eastAsia="en-US"/>
    </w:rPr>
  </w:style>
  <w:style w:type="character" w:customStyle="1" w:styleId="Ttulo3Car">
    <w:name w:val="Título 3 Car"/>
    <w:basedOn w:val="Fuentedeprrafopredeter"/>
    <w:link w:val="Ttulo3"/>
    <w:uiPriority w:val="9"/>
    <w:semiHidden/>
    <w:rsid w:val="009859CC"/>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53696">
      <w:bodyDiv w:val="1"/>
      <w:marLeft w:val="0"/>
      <w:marRight w:val="0"/>
      <w:marTop w:val="0"/>
      <w:marBottom w:val="0"/>
      <w:divBdr>
        <w:top w:val="none" w:sz="0" w:space="0" w:color="auto"/>
        <w:left w:val="none" w:sz="0" w:space="0" w:color="auto"/>
        <w:bottom w:val="none" w:sz="0" w:space="0" w:color="auto"/>
        <w:right w:val="none" w:sz="0" w:space="0" w:color="auto"/>
      </w:divBdr>
    </w:div>
    <w:div w:id="179198378">
      <w:bodyDiv w:val="1"/>
      <w:marLeft w:val="0"/>
      <w:marRight w:val="0"/>
      <w:marTop w:val="0"/>
      <w:marBottom w:val="0"/>
      <w:divBdr>
        <w:top w:val="none" w:sz="0" w:space="0" w:color="auto"/>
        <w:left w:val="none" w:sz="0" w:space="0" w:color="auto"/>
        <w:bottom w:val="none" w:sz="0" w:space="0" w:color="auto"/>
        <w:right w:val="none" w:sz="0" w:space="0" w:color="auto"/>
      </w:divBdr>
    </w:div>
    <w:div w:id="292711601">
      <w:bodyDiv w:val="1"/>
      <w:marLeft w:val="0"/>
      <w:marRight w:val="0"/>
      <w:marTop w:val="0"/>
      <w:marBottom w:val="0"/>
      <w:divBdr>
        <w:top w:val="none" w:sz="0" w:space="0" w:color="auto"/>
        <w:left w:val="none" w:sz="0" w:space="0" w:color="auto"/>
        <w:bottom w:val="none" w:sz="0" w:space="0" w:color="auto"/>
        <w:right w:val="none" w:sz="0" w:space="0" w:color="auto"/>
      </w:divBdr>
      <w:divsChild>
        <w:div w:id="10378729">
          <w:marLeft w:val="0"/>
          <w:marRight w:val="0"/>
          <w:marTop w:val="0"/>
          <w:marBottom w:val="0"/>
          <w:divBdr>
            <w:top w:val="none" w:sz="0" w:space="0" w:color="auto"/>
            <w:left w:val="none" w:sz="0" w:space="0" w:color="auto"/>
            <w:bottom w:val="none" w:sz="0" w:space="0" w:color="auto"/>
            <w:right w:val="none" w:sz="0" w:space="0" w:color="auto"/>
          </w:divBdr>
        </w:div>
        <w:div w:id="45182723">
          <w:marLeft w:val="0"/>
          <w:marRight w:val="0"/>
          <w:marTop w:val="0"/>
          <w:marBottom w:val="0"/>
          <w:divBdr>
            <w:top w:val="none" w:sz="0" w:space="0" w:color="auto"/>
            <w:left w:val="none" w:sz="0" w:space="0" w:color="auto"/>
            <w:bottom w:val="none" w:sz="0" w:space="0" w:color="auto"/>
            <w:right w:val="none" w:sz="0" w:space="0" w:color="auto"/>
          </w:divBdr>
        </w:div>
        <w:div w:id="86968324">
          <w:marLeft w:val="0"/>
          <w:marRight w:val="0"/>
          <w:marTop w:val="0"/>
          <w:marBottom w:val="0"/>
          <w:divBdr>
            <w:top w:val="none" w:sz="0" w:space="0" w:color="auto"/>
            <w:left w:val="none" w:sz="0" w:space="0" w:color="auto"/>
            <w:bottom w:val="none" w:sz="0" w:space="0" w:color="auto"/>
            <w:right w:val="none" w:sz="0" w:space="0" w:color="auto"/>
          </w:divBdr>
        </w:div>
        <w:div w:id="190533781">
          <w:marLeft w:val="0"/>
          <w:marRight w:val="0"/>
          <w:marTop w:val="0"/>
          <w:marBottom w:val="0"/>
          <w:divBdr>
            <w:top w:val="none" w:sz="0" w:space="0" w:color="auto"/>
            <w:left w:val="none" w:sz="0" w:space="0" w:color="auto"/>
            <w:bottom w:val="none" w:sz="0" w:space="0" w:color="auto"/>
            <w:right w:val="none" w:sz="0" w:space="0" w:color="auto"/>
          </w:divBdr>
        </w:div>
        <w:div w:id="195505903">
          <w:marLeft w:val="0"/>
          <w:marRight w:val="0"/>
          <w:marTop w:val="0"/>
          <w:marBottom w:val="0"/>
          <w:divBdr>
            <w:top w:val="none" w:sz="0" w:space="0" w:color="auto"/>
            <w:left w:val="none" w:sz="0" w:space="0" w:color="auto"/>
            <w:bottom w:val="none" w:sz="0" w:space="0" w:color="auto"/>
            <w:right w:val="none" w:sz="0" w:space="0" w:color="auto"/>
          </w:divBdr>
        </w:div>
        <w:div w:id="206113611">
          <w:marLeft w:val="0"/>
          <w:marRight w:val="0"/>
          <w:marTop w:val="0"/>
          <w:marBottom w:val="0"/>
          <w:divBdr>
            <w:top w:val="none" w:sz="0" w:space="0" w:color="auto"/>
            <w:left w:val="none" w:sz="0" w:space="0" w:color="auto"/>
            <w:bottom w:val="none" w:sz="0" w:space="0" w:color="auto"/>
            <w:right w:val="none" w:sz="0" w:space="0" w:color="auto"/>
          </w:divBdr>
        </w:div>
        <w:div w:id="211965390">
          <w:marLeft w:val="0"/>
          <w:marRight w:val="0"/>
          <w:marTop w:val="0"/>
          <w:marBottom w:val="0"/>
          <w:divBdr>
            <w:top w:val="none" w:sz="0" w:space="0" w:color="auto"/>
            <w:left w:val="none" w:sz="0" w:space="0" w:color="auto"/>
            <w:bottom w:val="none" w:sz="0" w:space="0" w:color="auto"/>
            <w:right w:val="none" w:sz="0" w:space="0" w:color="auto"/>
          </w:divBdr>
        </w:div>
        <w:div w:id="222255314">
          <w:marLeft w:val="0"/>
          <w:marRight w:val="0"/>
          <w:marTop w:val="0"/>
          <w:marBottom w:val="0"/>
          <w:divBdr>
            <w:top w:val="none" w:sz="0" w:space="0" w:color="auto"/>
            <w:left w:val="none" w:sz="0" w:space="0" w:color="auto"/>
            <w:bottom w:val="none" w:sz="0" w:space="0" w:color="auto"/>
            <w:right w:val="none" w:sz="0" w:space="0" w:color="auto"/>
          </w:divBdr>
        </w:div>
        <w:div w:id="291640053">
          <w:marLeft w:val="0"/>
          <w:marRight w:val="0"/>
          <w:marTop w:val="0"/>
          <w:marBottom w:val="0"/>
          <w:divBdr>
            <w:top w:val="none" w:sz="0" w:space="0" w:color="auto"/>
            <w:left w:val="none" w:sz="0" w:space="0" w:color="auto"/>
            <w:bottom w:val="none" w:sz="0" w:space="0" w:color="auto"/>
            <w:right w:val="none" w:sz="0" w:space="0" w:color="auto"/>
          </w:divBdr>
        </w:div>
        <w:div w:id="336151820">
          <w:marLeft w:val="0"/>
          <w:marRight w:val="0"/>
          <w:marTop w:val="0"/>
          <w:marBottom w:val="0"/>
          <w:divBdr>
            <w:top w:val="none" w:sz="0" w:space="0" w:color="auto"/>
            <w:left w:val="none" w:sz="0" w:space="0" w:color="auto"/>
            <w:bottom w:val="none" w:sz="0" w:space="0" w:color="auto"/>
            <w:right w:val="none" w:sz="0" w:space="0" w:color="auto"/>
          </w:divBdr>
        </w:div>
        <w:div w:id="497355179">
          <w:marLeft w:val="0"/>
          <w:marRight w:val="0"/>
          <w:marTop w:val="0"/>
          <w:marBottom w:val="0"/>
          <w:divBdr>
            <w:top w:val="none" w:sz="0" w:space="0" w:color="auto"/>
            <w:left w:val="none" w:sz="0" w:space="0" w:color="auto"/>
            <w:bottom w:val="none" w:sz="0" w:space="0" w:color="auto"/>
            <w:right w:val="none" w:sz="0" w:space="0" w:color="auto"/>
          </w:divBdr>
        </w:div>
        <w:div w:id="563368546">
          <w:marLeft w:val="0"/>
          <w:marRight w:val="0"/>
          <w:marTop w:val="0"/>
          <w:marBottom w:val="0"/>
          <w:divBdr>
            <w:top w:val="none" w:sz="0" w:space="0" w:color="auto"/>
            <w:left w:val="none" w:sz="0" w:space="0" w:color="auto"/>
            <w:bottom w:val="none" w:sz="0" w:space="0" w:color="auto"/>
            <w:right w:val="none" w:sz="0" w:space="0" w:color="auto"/>
          </w:divBdr>
        </w:div>
        <w:div w:id="602885869">
          <w:marLeft w:val="0"/>
          <w:marRight w:val="0"/>
          <w:marTop w:val="0"/>
          <w:marBottom w:val="0"/>
          <w:divBdr>
            <w:top w:val="none" w:sz="0" w:space="0" w:color="auto"/>
            <w:left w:val="none" w:sz="0" w:space="0" w:color="auto"/>
            <w:bottom w:val="none" w:sz="0" w:space="0" w:color="auto"/>
            <w:right w:val="none" w:sz="0" w:space="0" w:color="auto"/>
          </w:divBdr>
        </w:div>
        <w:div w:id="628366845">
          <w:marLeft w:val="0"/>
          <w:marRight w:val="0"/>
          <w:marTop w:val="0"/>
          <w:marBottom w:val="0"/>
          <w:divBdr>
            <w:top w:val="none" w:sz="0" w:space="0" w:color="auto"/>
            <w:left w:val="none" w:sz="0" w:space="0" w:color="auto"/>
            <w:bottom w:val="none" w:sz="0" w:space="0" w:color="auto"/>
            <w:right w:val="none" w:sz="0" w:space="0" w:color="auto"/>
          </w:divBdr>
        </w:div>
        <w:div w:id="753281593">
          <w:marLeft w:val="0"/>
          <w:marRight w:val="0"/>
          <w:marTop w:val="0"/>
          <w:marBottom w:val="0"/>
          <w:divBdr>
            <w:top w:val="none" w:sz="0" w:space="0" w:color="auto"/>
            <w:left w:val="none" w:sz="0" w:space="0" w:color="auto"/>
            <w:bottom w:val="none" w:sz="0" w:space="0" w:color="auto"/>
            <w:right w:val="none" w:sz="0" w:space="0" w:color="auto"/>
          </w:divBdr>
        </w:div>
        <w:div w:id="1027557574">
          <w:marLeft w:val="0"/>
          <w:marRight w:val="0"/>
          <w:marTop w:val="0"/>
          <w:marBottom w:val="0"/>
          <w:divBdr>
            <w:top w:val="none" w:sz="0" w:space="0" w:color="auto"/>
            <w:left w:val="none" w:sz="0" w:space="0" w:color="auto"/>
            <w:bottom w:val="none" w:sz="0" w:space="0" w:color="auto"/>
            <w:right w:val="none" w:sz="0" w:space="0" w:color="auto"/>
          </w:divBdr>
        </w:div>
        <w:div w:id="1029839869">
          <w:marLeft w:val="0"/>
          <w:marRight w:val="0"/>
          <w:marTop w:val="0"/>
          <w:marBottom w:val="0"/>
          <w:divBdr>
            <w:top w:val="none" w:sz="0" w:space="0" w:color="auto"/>
            <w:left w:val="none" w:sz="0" w:space="0" w:color="auto"/>
            <w:bottom w:val="none" w:sz="0" w:space="0" w:color="auto"/>
            <w:right w:val="none" w:sz="0" w:space="0" w:color="auto"/>
          </w:divBdr>
        </w:div>
        <w:div w:id="1047341305">
          <w:marLeft w:val="0"/>
          <w:marRight w:val="0"/>
          <w:marTop w:val="0"/>
          <w:marBottom w:val="0"/>
          <w:divBdr>
            <w:top w:val="none" w:sz="0" w:space="0" w:color="auto"/>
            <w:left w:val="none" w:sz="0" w:space="0" w:color="auto"/>
            <w:bottom w:val="none" w:sz="0" w:space="0" w:color="auto"/>
            <w:right w:val="none" w:sz="0" w:space="0" w:color="auto"/>
          </w:divBdr>
        </w:div>
        <w:div w:id="1147355574">
          <w:marLeft w:val="0"/>
          <w:marRight w:val="0"/>
          <w:marTop w:val="0"/>
          <w:marBottom w:val="0"/>
          <w:divBdr>
            <w:top w:val="none" w:sz="0" w:space="0" w:color="auto"/>
            <w:left w:val="none" w:sz="0" w:space="0" w:color="auto"/>
            <w:bottom w:val="none" w:sz="0" w:space="0" w:color="auto"/>
            <w:right w:val="none" w:sz="0" w:space="0" w:color="auto"/>
          </w:divBdr>
        </w:div>
        <w:div w:id="1178693538">
          <w:marLeft w:val="0"/>
          <w:marRight w:val="0"/>
          <w:marTop w:val="0"/>
          <w:marBottom w:val="0"/>
          <w:divBdr>
            <w:top w:val="none" w:sz="0" w:space="0" w:color="auto"/>
            <w:left w:val="none" w:sz="0" w:space="0" w:color="auto"/>
            <w:bottom w:val="none" w:sz="0" w:space="0" w:color="auto"/>
            <w:right w:val="none" w:sz="0" w:space="0" w:color="auto"/>
          </w:divBdr>
        </w:div>
        <w:div w:id="1199121181">
          <w:marLeft w:val="0"/>
          <w:marRight w:val="0"/>
          <w:marTop w:val="0"/>
          <w:marBottom w:val="0"/>
          <w:divBdr>
            <w:top w:val="none" w:sz="0" w:space="0" w:color="auto"/>
            <w:left w:val="none" w:sz="0" w:space="0" w:color="auto"/>
            <w:bottom w:val="none" w:sz="0" w:space="0" w:color="auto"/>
            <w:right w:val="none" w:sz="0" w:space="0" w:color="auto"/>
          </w:divBdr>
        </w:div>
        <w:div w:id="1312489837">
          <w:marLeft w:val="0"/>
          <w:marRight w:val="0"/>
          <w:marTop w:val="0"/>
          <w:marBottom w:val="0"/>
          <w:divBdr>
            <w:top w:val="none" w:sz="0" w:space="0" w:color="auto"/>
            <w:left w:val="none" w:sz="0" w:space="0" w:color="auto"/>
            <w:bottom w:val="none" w:sz="0" w:space="0" w:color="auto"/>
            <w:right w:val="none" w:sz="0" w:space="0" w:color="auto"/>
          </w:divBdr>
        </w:div>
        <w:div w:id="1321150687">
          <w:marLeft w:val="0"/>
          <w:marRight w:val="0"/>
          <w:marTop w:val="0"/>
          <w:marBottom w:val="0"/>
          <w:divBdr>
            <w:top w:val="none" w:sz="0" w:space="0" w:color="auto"/>
            <w:left w:val="none" w:sz="0" w:space="0" w:color="auto"/>
            <w:bottom w:val="none" w:sz="0" w:space="0" w:color="auto"/>
            <w:right w:val="none" w:sz="0" w:space="0" w:color="auto"/>
          </w:divBdr>
        </w:div>
        <w:div w:id="1521891046">
          <w:marLeft w:val="0"/>
          <w:marRight w:val="0"/>
          <w:marTop w:val="0"/>
          <w:marBottom w:val="0"/>
          <w:divBdr>
            <w:top w:val="none" w:sz="0" w:space="0" w:color="auto"/>
            <w:left w:val="none" w:sz="0" w:space="0" w:color="auto"/>
            <w:bottom w:val="none" w:sz="0" w:space="0" w:color="auto"/>
            <w:right w:val="none" w:sz="0" w:space="0" w:color="auto"/>
          </w:divBdr>
        </w:div>
        <w:div w:id="1553230437">
          <w:marLeft w:val="0"/>
          <w:marRight w:val="0"/>
          <w:marTop w:val="0"/>
          <w:marBottom w:val="0"/>
          <w:divBdr>
            <w:top w:val="none" w:sz="0" w:space="0" w:color="auto"/>
            <w:left w:val="none" w:sz="0" w:space="0" w:color="auto"/>
            <w:bottom w:val="none" w:sz="0" w:space="0" w:color="auto"/>
            <w:right w:val="none" w:sz="0" w:space="0" w:color="auto"/>
          </w:divBdr>
        </w:div>
        <w:div w:id="1571192594">
          <w:marLeft w:val="0"/>
          <w:marRight w:val="0"/>
          <w:marTop w:val="0"/>
          <w:marBottom w:val="0"/>
          <w:divBdr>
            <w:top w:val="none" w:sz="0" w:space="0" w:color="auto"/>
            <w:left w:val="none" w:sz="0" w:space="0" w:color="auto"/>
            <w:bottom w:val="none" w:sz="0" w:space="0" w:color="auto"/>
            <w:right w:val="none" w:sz="0" w:space="0" w:color="auto"/>
          </w:divBdr>
        </w:div>
        <w:div w:id="1575898909">
          <w:marLeft w:val="0"/>
          <w:marRight w:val="0"/>
          <w:marTop w:val="0"/>
          <w:marBottom w:val="0"/>
          <w:divBdr>
            <w:top w:val="none" w:sz="0" w:space="0" w:color="auto"/>
            <w:left w:val="none" w:sz="0" w:space="0" w:color="auto"/>
            <w:bottom w:val="none" w:sz="0" w:space="0" w:color="auto"/>
            <w:right w:val="none" w:sz="0" w:space="0" w:color="auto"/>
          </w:divBdr>
        </w:div>
        <w:div w:id="1640645817">
          <w:marLeft w:val="0"/>
          <w:marRight w:val="0"/>
          <w:marTop w:val="0"/>
          <w:marBottom w:val="0"/>
          <w:divBdr>
            <w:top w:val="none" w:sz="0" w:space="0" w:color="auto"/>
            <w:left w:val="none" w:sz="0" w:space="0" w:color="auto"/>
            <w:bottom w:val="none" w:sz="0" w:space="0" w:color="auto"/>
            <w:right w:val="none" w:sz="0" w:space="0" w:color="auto"/>
          </w:divBdr>
        </w:div>
        <w:div w:id="1733039549">
          <w:marLeft w:val="0"/>
          <w:marRight w:val="0"/>
          <w:marTop w:val="0"/>
          <w:marBottom w:val="0"/>
          <w:divBdr>
            <w:top w:val="none" w:sz="0" w:space="0" w:color="auto"/>
            <w:left w:val="none" w:sz="0" w:space="0" w:color="auto"/>
            <w:bottom w:val="none" w:sz="0" w:space="0" w:color="auto"/>
            <w:right w:val="none" w:sz="0" w:space="0" w:color="auto"/>
          </w:divBdr>
        </w:div>
        <w:div w:id="1770268723">
          <w:marLeft w:val="0"/>
          <w:marRight w:val="0"/>
          <w:marTop w:val="0"/>
          <w:marBottom w:val="0"/>
          <w:divBdr>
            <w:top w:val="none" w:sz="0" w:space="0" w:color="auto"/>
            <w:left w:val="none" w:sz="0" w:space="0" w:color="auto"/>
            <w:bottom w:val="none" w:sz="0" w:space="0" w:color="auto"/>
            <w:right w:val="none" w:sz="0" w:space="0" w:color="auto"/>
          </w:divBdr>
        </w:div>
        <w:div w:id="1905988563">
          <w:marLeft w:val="0"/>
          <w:marRight w:val="0"/>
          <w:marTop w:val="0"/>
          <w:marBottom w:val="0"/>
          <w:divBdr>
            <w:top w:val="none" w:sz="0" w:space="0" w:color="auto"/>
            <w:left w:val="none" w:sz="0" w:space="0" w:color="auto"/>
            <w:bottom w:val="none" w:sz="0" w:space="0" w:color="auto"/>
            <w:right w:val="none" w:sz="0" w:space="0" w:color="auto"/>
          </w:divBdr>
        </w:div>
        <w:div w:id="1908952913">
          <w:marLeft w:val="0"/>
          <w:marRight w:val="0"/>
          <w:marTop w:val="0"/>
          <w:marBottom w:val="0"/>
          <w:divBdr>
            <w:top w:val="none" w:sz="0" w:space="0" w:color="auto"/>
            <w:left w:val="none" w:sz="0" w:space="0" w:color="auto"/>
            <w:bottom w:val="none" w:sz="0" w:space="0" w:color="auto"/>
            <w:right w:val="none" w:sz="0" w:space="0" w:color="auto"/>
          </w:divBdr>
        </w:div>
        <w:div w:id="2117403783">
          <w:marLeft w:val="0"/>
          <w:marRight w:val="0"/>
          <w:marTop w:val="0"/>
          <w:marBottom w:val="0"/>
          <w:divBdr>
            <w:top w:val="none" w:sz="0" w:space="0" w:color="auto"/>
            <w:left w:val="none" w:sz="0" w:space="0" w:color="auto"/>
            <w:bottom w:val="none" w:sz="0" w:space="0" w:color="auto"/>
            <w:right w:val="none" w:sz="0" w:space="0" w:color="auto"/>
          </w:divBdr>
        </w:div>
      </w:divsChild>
    </w:div>
    <w:div w:id="309405909">
      <w:bodyDiv w:val="1"/>
      <w:marLeft w:val="0"/>
      <w:marRight w:val="0"/>
      <w:marTop w:val="0"/>
      <w:marBottom w:val="0"/>
      <w:divBdr>
        <w:top w:val="none" w:sz="0" w:space="0" w:color="auto"/>
        <w:left w:val="none" w:sz="0" w:space="0" w:color="auto"/>
        <w:bottom w:val="none" w:sz="0" w:space="0" w:color="auto"/>
        <w:right w:val="none" w:sz="0" w:space="0" w:color="auto"/>
      </w:divBdr>
    </w:div>
    <w:div w:id="524439369">
      <w:bodyDiv w:val="1"/>
      <w:marLeft w:val="0"/>
      <w:marRight w:val="0"/>
      <w:marTop w:val="0"/>
      <w:marBottom w:val="0"/>
      <w:divBdr>
        <w:top w:val="none" w:sz="0" w:space="0" w:color="auto"/>
        <w:left w:val="none" w:sz="0" w:space="0" w:color="auto"/>
        <w:bottom w:val="none" w:sz="0" w:space="0" w:color="auto"/>
        <w:right w:val="none" w:sz="0" w:space="0" w:color="auto"/>
      </w:divBdr>
    </w:div>
    <w:div w:id="613562745">
      <w:bodyDiv w:val="1"/>
      <w:marLeft w:val="0"/>
      <w:marRight w:val="0"/>
      <w:marTop w:val="0"/>
      <w:marBottom w:val="0"/>
      <w:divBdr>
        <w:top w:val="none" w:sz="0" w:space="0" w:color="auto"/>
        <w:left w:val="none" w:sz="0" w:space="0" w:color="auto"/>
        <w:bottom w:val="none" w:sz="0" w:space="0" w:color="auto"/>
        <w:right w:val="none" w:sz="0" w:space="0" w:color="auto"/>
      </w:divBdr>
    </w:div>
    <w:div w:id="651376487">
      <w:bodyDiv w:val="1"/>
      <w:marLeft w:val="0"/>
      <w:marRight w:val="0"/>
      <w:marTop w:val="0"/>
      <w:marBottom w:val="0"/>
      <w:divBdr>
        <w:top w:val="none" w:sz="0" w:space="0" w:color="auto"/>
        <w:left w:val="none" w:sz="0" w:space="0" w:color="auto"/>
        <w:bottom w:val="none" w:sz="0" w:space="0" w:color="auto"/>
        <w:right w:val="none" w:sz="0" w:space="0" w:color="auto"/>
      </w:divBdr>
      <w:divsChild>
        <w:div w:id="470636678">
          <w:marLeft w:val="0"/>
          <w:marRight w:val="0"/>
          <w:marTop w:val="0"/>
          <w:marBottom w:val="0"/>
          <w:divBdr>
            <w:top w:val="none" w:sz="0" w:space="0" w:color="auto"/>
            <w:left w:val="none" w:sz="0" w:space="0" w:color="auto"/>
            <w:bottom w:val="none" w:sz="0" w:space="0" w:color="auto"/>
            <w:right w:val="none" w:sz="0" w:space="0" w:color="auto"/>
          </w:divBdr>
          <w:divsChild>
            <w:div w:id="531384179">
              <w:marLeft w:val="0"/>
              <w:marRight w:val="0"/>
              <w:marTop w:val="0"/>
              <w:marBottom w:val="0"/>
              <w:divBdr>
                <w:top w:val="none" w:sz="0" w:space="0" w:color="auto"/>
                <w:left w:val="none" w:sz="0" w:space="0" w:color="auto"/>
                <w:bottom w:val="none" w:sz="0" w:space="0" w:color="auto"/>
                <w:right w:val="none" w:sz="0" w:space="0" w:color="auto"/>
              </w:divBdr>
              <w:divsChild>
                <w:div w:id="19846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347">
      <w:bodyDiv w:val="1"/>
      <w:marLeft w:val="0"/>
      <w:marRight w:val="0"/>
      <w:marTop w:val="0"/>
      <w:marBottom w:val="0"/>
      <w:divBdr>
        <w:top w:val="none" w:sz="0" w:space="0" w:color="auto"/>
        <w:left w:val="none" w:sz="0" w:space="0" w:color="auto"/>
        <w:bottom w:val="none" w:sz="0" w:space="0" w:color="auto"/>
        <w:right w:val="none" w:sz="0" w:space="0" w:color="auto"/>
      </w:divBdr>
    </w:div>
    <w:div w:id="784078285">
      <w:bodyDiv w:val="1"/>
      <w:marLeft w:val="0"/>
      <w:marRight w:val="0"/>
      <w:marTop w:val="0"/>
      <w:marBottom w:val="0"/>
      <w:divBdr>
        <w:top w:val="none" w:sz="0" w:space="0" w:color="auto"/>
        <w:left w:val="none" w:sz="0" w:space="0" w:color="auto"/>
        <w:bottom w:val="none" w:sz="0" w:space="0" w:color="auto"/>
        <w:right w:val="none" w:sz="0" w:space="0" w:color="auto"/>
      </w:divBdr>
    </w:div>
    <w:div w:id="789203077">
      <w:bodyDiv w:val="1"/>
      <w:marLeft w:val="0"/>
      <w:marRight w:val="0"/>
      <w:marTop w:val="0"/>
      <w:marBottom w:val="0"/>
      <w:divBdr>
        <w:top w:val="none" w:sz="0" w:space="0" w:color="auto"/>
        <w:left w:val="none" w:sz="0" w:space="0" w:color="auto"/>
        <w:bottom w:val="none" w:sz="0" w:space="0" w:color="auto"/>
        <w:right w:val="none" w:sz="0" w:space="0" w:color="auto"/>
      </w:divBdr>
    </w:div>
    <w:div w:id="1069621732">
      <w:bodyDiv w:val="1"/>
      <w:marLeft w:val="0"/>
      <w:marRight w:val="0"/>
      <w:marTop w:val="0"/>
      <w:marBottom w:val="0"/>
      <w:divBdr>
        <w:top w:val="none" w:sz="0" w:space="0" w:color="auto"/>
        <w:left w:val="none" w:sz="0" w:space="0" w:color="auto"/>
        <w:bottom w:val="none" w:sz="0" w:space="0" w:color="auto"/>
        <w:right w:val="none" w:sz="0" w:space="0" w:color="auto"/>
      </w:divBdr>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
    <w:div w:id="1167945209">
      <w:bodyDiv w:val="1"/>
      <w:marLeft w:val="0"/>
      <w:marRight w:val="0"/>
      <w:marTop w:val="0"/>
      <w:marBottom w:val="0"/>
      <w:divBdr>
        <w:top w:val="none" w:sz="0" w:space="0" w:color="auto"/>
        <w:left w:val="none" w:sz="0" w:space="0" w:color="auto"/>
        <w:bottom w:val="none" w:sz="0" w:space="0" w:color="auto"/>
        <w:right w:val="none" w:sz="0" w:space="0" w:color="auto"/>
      </w:divBdr>
      <w:divsChild>
        <w:div w:id="1456488631">
          <w:marLeft w:val="0"/>
          <w:marRight w:val="0"/>
          <w:marTop w:val="0"/>
          <w:marBottom w:val="0"/>
          <w:divBdr>
            <w:top w:val="none" w:sz="0" w:space="0" w:color="auto"/>
            <w:left w:val="none" w:sz="0" w:space="0" w:color="auto"/>
            <w:bottom w:val="none" w:sz="0" w:space="0" w:color="auto"/>
            <w:right w:val="none" w:sz="0" w:space="0" w:color="auto"/>
          </w:divBdr>
          <w:divsChild>
            <w:div w:id="4499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6994">
      <w:bodyDiv w:val="1"/>
      <w:marLeft w:val="0"/>
      <w:marRight w:val="0"/>
      <w:marTop w:val="0"/>
      <w:marBottom w:val="0"/>
      <w:divBdr>
        <w:top w:val="none" w:sz="0" w:space="0" w:color="auto"/>
        <w:left w:val="none" w:sz="0" w:space="0" w:color="auto"/>
        <w:bottom w:val="none" w:sz="0" w:space="0" w:color="auto"/>
        <w:right w:val="none" w:sz="0" w:space="0" w:color="auto"/>
      </w:divBdr>
    </w:div>
    <w:div w:id="1461996547">
      <w:bodyDiv w:val="1"/>
      <w:marLeft w:val="0"/>
      <w:marRight w:val="0"/>
      <w:marTop w:val="0"/>
      <w:marBottom w:val="0"/>
      <w:divBdr>
        <w:top w:val="none" w:sz="0" w:space="0" w:color="auto"/>
        <w:left w:val="none" w:sz="0" w:space="0" w:color="auto"/>
        <w:bottom w:val="none" w:sz="0" w:space="0" w:color="auto"/>
        <w:right w:val="none" w:sz="0" w:space="0" w:color="auto"/>
      </w:divBdr>
    </w:div>
    <w:div w:id="1700005602">
      <w:bodyDiv w:val="1"/>
      <w:marLeft w:val="0"/>
      <w:marRight w:val="0"/>
      <w:marTop w:val="0"/>
      <w:marBottom w:val="0"/>
      <w:divBdr>
        <w:top w:val="none" w:sz="0" w:space="0" w:color="auto"/>
        <w:left w:val="none" w:sz="0" w:space="0" w:color="auto"/>
        <w:bottom w:val="none" w:sz="0" w:space="0" w:color="auto"/>
        <w:right w:val="none" w:sz="0" w:space="0" w:color="auto"/>
      </w:divBdr>
      <w:divsChild>
        <w:div w:id="591816417">
          <w:marLeft w:val="0"/>
          <w:marRight w:val="0"/>
          <w:marTop w:val="0"/>
          <w:marBottom w:val="0"/>
          <w:divBdr>
            <w:top w:val="none" w:sz="0" w:space="0" w:color="auto"/>
            <w:left w:val="none" w:sz="0" w:space="0" w:color="auto"/>
            <w:bottom w:val="none" w:sz="0" w:space="0" w:color="auto"/>
            <w:right w:val="none" w:sz="0" w:space="0" w:color="auto"/>
          </w:divBdr>
          <w:divsChild>
            <w:div w:id="12236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88731">
      <w:bodyDiv w:val="1"/>
      <w:marLeft w:val="0"/>
      <w:marRight w:val="0"/>
      <w:marTop w:val="0"/>
      <w:marBottom w:val="0"/>
      <w:divBdr>
        <w:top w:val="none" w:sz="0" w:space="0" w:color="auto"/>
        <w:left w:val="none" w:sz="0" w:space="0" w:color="auto"/>
        <w:bottom w:val="none" w:sz="0" w:space="0" w:color="auto"/>
        <w:right w:val="none" w:sz="0" w:space="0" w:color="auto"/>
      </w:divBdr>
    </w:div>
    <w:div w:id="2007173087">
      <w:bodyDiv w:val="1"/>
      <w:marLeft w:val="0"/>
      <w:marRight w:val="0"/>
      <w:marTop w:val="0"/>
      <w:marBottom w:val="0"/>
      <w:divBdr>
        <w:top w:val="none" w:sz="0" w:space="0" w:color="auto"/>
        <w:left w:val="none" w:sz="0" w:space="0" w:color="auto"/>
        <w:bottom w:val="none" w:sz="0" w:space="0" w:color="auto"/>
        <w:right w:val="none" w:sz="0" w:space="0" w:color="auto"/>
      </w:divBdr>
      <w:divsChild>
        <w:div w:id="373895208">
          <w:marLeft w:val="0"/>
          <w:marRight w:val="0"/>
          <w:marTop w:val="0"/>
          <w:marBottom w:val="0"/>
          <w:divBdr>
            <w:top w:val="none" w:sz="0" w:space="0" w:color="auto"/>
            <w:left w:val="none" w:sz="0" w:space="0" w:color="auto"/>
            <w:bottom w:val="none" w:sz="0" w:space="0" w:color="auto"/>
            <w:right w:val="none" w:sz="0" w:space="0" w:color="auto"/>
          </w:divBdr>
          <w:divsChild>
            <w:div w:id="8114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5905">
      <w:bodyDiv w:val="1"/>
      <w:marLeft w:val="0"/>
      <w:marRight w:val="0"/>
      <w:marTop w:val="0"/>
      <w:marBottom w:val="0"/>
      <w:divBdr>
        <w:top w:val="none" w:sz="0" w:space="0" w:color="auto"/>
        <w:left w:val="none" w:sz="0" w:space="0" w:color="auto"/>
        <w:bottom w:val="none" w:sz="0" w:space="0" w:color="auto"/>
        <w:right w:val="none" w:sz="0" w:space="0" w:color="auto"/>
      </w:divBdr>
    </w:div>
    <w:div w:id="2053193846">
      <w:bodyDiv w:val="1"/>
      <w:marLeft w:val="0"/>
      <w:marRight w:val="0"/>
      <w:marTop w:val="0"/>
      <w:marBottom w:val="0"/>
      <w:divBdr>
        <w:top w:val="none" w:sz="0" w:space="0" w:color="auto"/>
        <w:left w:val="none" w:sz="0" w:space="0" w:color="auto"/>
        <w:bottom w:val="none" w:sz="0" w:space="0" w:color="auto"/>
        <w:right w:val="none" w:sz="0" w:space="0" w:color="auto"/>
      </w:divBdr>
    </w:div>
    <w:div w:id="20588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artinez@uat.edu.mx" TargetMode="External"/><Relationship Id="rId13" Type="http://schemas.openxmlformats.org/officeDocument/2006/relationships/chart" Target="charts/chart2.xml"/><Relationship Id="rId18" Type="http://schemas.openxmlformats.org/officeDocument/2006/relationships/hyperlink" Target="https://www.sciencedirect.com/science/article/abs/pii/S0738059316300281" TargetMode="External"/><Relationship Id="rId26" Type="http://schemas.openxmlformats.org/officeDocument/2006/relationships/hyperlink" Target="https://www.sciencedirect.com/science/article/abs/pii/S0165176599001202" TargetMode="External"/><Relationship Id="rId3" Type="http://schemas.openxmlformats.org/officeDocument/2006/relationships/styles" Target="styles.xml"/><Relationship Id="rId21" Type="http://schemas.openxmlformats.org/officeDocument/2006/relationships/hyperlink" Target="https://ideas.repec.org/p/eaa/ecodev/12.html"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sciencedirect.com/science/article/abs/pii/S0304387812000855" TargetMode="External"/><Relationship Id="rId25" Type="http://schemas.openxmlformats.org/officeDocument/2006/relationships/hyperlink" Target="https://ideas.repec.org/a/eee/ecolet/v48y1995i1p99-106.html" TargetMode="External"/><Relationship Id="rId2" Type="http://schemas.openxmlformats.org/officeDocument/2006/relationships/numbering" Target="numbering.xml"/><Relationship Id="rId16" Type="http://schemas.openxmlformats.org/officeDocument/2006/relationships/hyperlink" Target="https://www.jstor.org/stable/26609241" TargetMode="External"/><Relationship Id="rId20" Type="http://schemas.openxmlformats.org/officeDocument/2006/relationships/hyperlink" Target="https://www.sciencedirect.com/science/article/abs/pii/S01651765030002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jstor.org/stable/2586994" TargetMode="External"/><Relationship Id="rId5" Type="http://schemas.openxmlformats.org/officeDocument/2006/relationships/webSettings" Target="webSettings.xml"/><Relationship Id="rId15" Type="http://schemas.openxmlformats.org/officeDocument/2006/relationships/hyperlink" Target="https://revistavirtual.ucn.edu.co/index.php/RevistaRyS/article/view/971" TargetMode="External"/><Relationship Id="rId23" Type="http://schemas.openxmlformats.org/officeDocument/2006/relationships/hyperlink" Target="https://ideas.repec.org/p/eaa/ecodev/12.html" TargetMode="External"/><Relationship Id="rId28" Type="http://schemas.openxmlformats.org/officeDocument/2006/relationships/header" Target="header1.xml"/><Relationship Id="rId10" Type="http://schemas.openxmlformats.org/officeDocument/2006/relationships/hyperlink" Target="mailto:jmalacara@docentes.uat.edu.mx" TargetMode="External"/><Relationship Id="rId19" Type="http://schemas.openxmlformats.org/officeDocument/2006/relationships/hyperlink" Target="https://www.aeaweb.org/articles/pdf/doi/10.1257/aer.2013095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rcid.org/0000-0001-9675-5472" TargetMode="External"/><Relationship Id="rId14" Type="http://schemas.openxmlformats.org/officeDocument/2006/relationships/chart" Target="charts/chart3.xml"/><Relationship Id="rId22" Type="http://schemas.openxmlformats.org/officeDocument/2006/relationships/hyperlink" Target="https://ideas.repec.org/s/eaa/ecodev.html" TargetMode="External"/><Relationship Id="rId27" Type="http://schemas.openxmlformats.org/officeDocument/2006/relationships/hyperlink" Target="https://dilemascontemporaneoseducacionpoliticayvalores.com/index.php/dilemas/article/view/185/692"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'Gasto publico per capita Mexico'!$A$1:$A$23</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2020</c:v>
                </c:pt>
                <c:pt idx="20">
                  <c:v>2021</c:v>
                </c:pt>
                <c:pt idx="21">
                  <c:v>2022</c:v>
                </c:pt>
                <c:pt idx="22">
                  <c:v>2023</c:v>
                </c:pt>
              </c:numCache>
            </c:numRef>
          </c:xVal>
          <c:yVal>
            <c:numRef>
              <c:f>'Gasto publico per capita Mexico'!$B$1:$B$23</c:f>
              <c:numCache>
                <c:formatCode>General</c:formatCode>
                <c:ptCount val="23"/>
                <c:pt idx="0">
                  <c:v>323</c:v>
                </c:pt>
                <c:pt idx="1">
                  <c:v>374</c:v>
                </c:pt>
                <c:pt idx="2">
                  <c:v>374</c:v>
                </c:pt>
                <c:pt idx="3">
                  <c:v>332</c:v>
                </c:pt>
                <c:pt idx="4">
                  <c:v>297</c:v>
                </c:pt>
                <c:pt idx="5">
                  <c:v>336</c:v>
                </c:pt>
                <c:pt idx="6">
                  <c:v>354</c:v>
                </c:pt>
                <c:pt idx="7">
                  <c:v>344</c:v>
                </c:pt>
                <c:pt idx="8">
                  <c:v>342</c:v>
                </c:pt>
                <c:pt idx="9">
                  <c:v>311</c:v>
                </c:pt>
                <c:pt idx="10">
                  <c:v>375</c:v>
                </c:pt>
                <c:pt idx="11">
                  <c:v>387</c:v>
                </c:pt>
                <c:pt idx="12">
                  <c:v>422</c:v>
                </c:pt>
                <c:pt idx="13">
                  <c:v>392</c:v>
                </c:pt>
                <c:pt idx="14">
                  <c:v>446</c:v>
                </c:pt>
                <c:pt idx="15">
                  <c:v>467</c:v>
                </c:pt>
                <c:pt idx="16">
                  <c:v>399</c:v>
                </c:pt>
                <c:pt idx="17">
                  <c:v>382</c:v>
                </c:pt>
                <c:pt idx="18" formatCode="0">
                  <c:v>359</c:v>
                </c:pt>
                <c:pt idx="19" formatCode="0">
                  <c:v>354</c:v>
                </c:pt>
                <c:pt idx="20" formatCode="0">
                  <c:v>357</c:v>
                </c:pt>
                <c:pt idx="21" formatCode="0">
                  <c:v>362</c:v>
                </c:pt>
                <c:pt idx="22">
                  <c:v>372</c:v>
                </c:pt>
              </c:numCache>
            </c:numRef>
          </c:yVal>
          <c:smooth val="0"/>
          <c:extLst>
            <c:ext xmlns:c16="http://schemas.microsoft.com/office/drawing/2014/chart" uri="{C3380CC4-5D6E-409C-BE32-E72D297353CC}">
              <c16:uniqueId val="{00000000-AB02-44FA-8B97-18374827724E}"/>
            </c:ext>
          </c:extLst>
        </c:ser>
        <c:dLbls>
          <c:showLegendKey val="0"/>
          <c:showVal val="0"/>
          <c:showCatName val="0"/>
          <c:showSerName val="0"/>
          <c:showPercent val="0"/>
          <c:showBubbleSize val="0"/>
        </c:dLbls>
        <c:axId val="-1933185664"/>
        <c:axId val="-222560544"/>
      </c:scatterChart>
      <c:valAx>
        <c:axId val="-1933185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22560544"/>
        <c:crosses val="autoZero"/>
        <c:crossBetween val="midCat"/>
      </c:valAx>
      <c:valAx>
        <c:axId val="-2225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933185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1200">
                <a:latin typeface="Times New Roman" panose="02020603050405020304" pitchFamily="18" charset="0"/>
                <a:cs typeface="Times New Roman" panose="02020603050405020304" pitchFamily="18" charset="0"/>
              </a:rPr>
              <a:t>En  porcentaje del PIB</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numRef>
              <c:f>Hoja2!$A$3:$A$45</c:f>
              <c:numCache>
                <c:formatCode>General</c:formatCode>
                <c:ptCount val="43"/>
                <c:pt idx="0">
                  <c:v>1990</c:v>
                </c:pt>
                <c:pt idx="1">
                  <c:v>1991</c:v>
                </c:pt>
                <c:pt idx="2">
                  <c:v>1992</c:v>
                </c:pt>
                <c:pt idx="3">
                  <c:v>1994</c:v>
                </c:pt>
                <c:pt idx="4">
                  <c:v>1995</c:v>
                </c:pt>
                <c:pt idx="5">
                  <c:v>1998</c:v>
                </c:pt>
                <c:pt idx="6">
                  <c:v>2005</c:v>
                </c:pt>
                <c:pt idx="7">
                  <c:v>2008</c:v>
                </c:pt>
                <c:pt idx="8">
                  <c:v>2009</c:v>
                </c:pt>
                <c:pt idx="9">
                  <c:v>2009</c:v>
                </c:pt>
                <c:pt idx="10">
                  <c:v>2010</c:v>
                </c:pt>
                <c:pt idx="11">
                  <c:v>2011</c:v>
                </c:pt>
                <c:pt idx="12">
                  <c:v>2012</c:v>
                </c:pt>
                <c:pt idx="13">
                  <c:v>2012</c:v>
                </c:pt>
                <c:pt idx="14">
                  <c:v>2014</c:v>
                </c:pt>
                <c:pt idx="15">
                  <c:v>2016</c:v>
                </c:pt>
                <c:pt idx="16">
                  <c:v>2016</c:v>
                </c:pt>
                <c:pt idx="17">
                  <c:v>2017</c:v>
                </c:pt>
                <c:pt idx="18">
                  <c:v>1999</c:v>
                </c:pt>
                <c:pt idx="19">
                  <c:v>1999</c:v>
                </c:pt>
                <c:pt idx="20">
                  <c:v>2000</c:v>
                </c:pt>
                <c:pt idx="21">
                  <c:v>2001</c:v>
                </c:pt>
                <c:pt idx="22">
                  <c:v>2006</c:v>
                </c:pt>
                <c:pt idx="23">
                  <c:v>2002</c:v>
                </c:pt>
                <c:pt idx="24">
                  <c:v>2002</c:v>
                </c:pt>
                <c:pt idx="25">
                  <c:v>2003</c:v>
                </c:pt>
                <c:pt idx="26">
                  <c:v>2004</c:v>
                </c:pt>
                <c:pt idx="27">
                  <c:v>2007</c:v>
                </c:pt>
                <c:pt idx="28">
                  <c:v>2013</c:v>
                </c:pt>
                <c:pt idx="29">
                  <c:v>2013</c:v>
                </c:pt>
                <c:pt idx="30">
                  <c:v>2014</c:v>
                </c:pt>
                <c:pt idx="31">
                  <c:v>2015</c:v>
                </c:pt>
                <c:pt idx="32">
                  <c:v>2015</c:v>
                </c:pt>
                <c:pt idx="33">
                  <c:v>2017</c:v>
                </c:pt>
                <c:pt idx="34">
                  <c:v>2018</c:v>
                </c:pt>
                <c:pt idx="35">
                  <c:v>2018</c:v>
                </c:pt>
                <c:pt idx="36">
                  <c:v>2019</c:v>
                </c:pt>
                <c:pt idx="37">
                  <c:v>2020</c:v>
                </c:pt>
                <c:pt idx="38">
                  <c:v>2020</c:v>
                </c:pt>
                <c:pt idx="39">
                  <c:v>2021</c:v>
                </c:pt>
                <c:pt idx="40">
                  <c:v>2022</c:v>
                </c:pt>
                <c:pt idx="41">
                  <c:v>2023</c:v>
                </c:pt>
              </c:numCache>
            </c:numRef>
          </c:cat>
          <c:val>
            <c:numRef>
              <c:f>Hoja2!$B$3:$B$45</c:f>
              <c:numCache>
                <c:formatCode>0.0</c:formatCode>
                <c:ptCount val="43"/>
                <c:pt idx="0">
                  <c:v>2.32498002052307</c:v>
                </c:pt>
                <c:pt idx="1">
                  <c:v>2.5480000972747798</c:v>
                </c:pt>
                <c:pt idx="2">
                  <c:v>3.0050199031829798</c:v>
                </c:pt>
                <c:pt idx="3">
                  <c:v>3.6470899581909202</c:v>
                </c:pt>
                <c:pt idx="4">
                  <c:v>3.6925599575042698</c:v>
                </c:pt>
                <c:pt idx="5">
                  <c:v>3.3652899265289302</c:v>
                </c:pt>
                <c:pt idx="6">
                  <c:v>4.8456897735595703</c:v>
                </c:pt>
                <c:pt idx="7">
                  <c:v>4.8200697898864702</c:v>
                </c:pt>
                <c:pt idx="8">
                  <c:v>5.1879401206970197</c:v>
                </c:pt>
                <c:pt idx="9">
                  <c:v>2.50888991355896</c:v>
                </c:pt>
                <c:pt idx="10">
                  <c:v>5.1592202186584499</c:v>
                </c:pt>
                <c:pt idx="11">
                  <c:v>5.1056499481201199</c:v>
                </c:pt>
                <c:pt idx="12">
                  <c:v>2.3559999999999999</c:v>
                </c:pt>
                <c:pt idx="13">
                  <c:v>5.1030998229980504</c:v>
                </c:pt>
                <c:pt idx="14">
                  <c:v>5.2574701309204102</c:v>
                </c:pt>
                <c:pt idx="15">
                  <c:v>4.9068198204040501</c:v>
                </c:pt>
                <c:pt idx="16">
                  <c:v>2.9039999999999999</c:v>
                </c:pt>
                <c:pt idx="17">
                  <c:v>4.5182199478149396</c:v>
                </c:pt>
                <c:pt idx="18">
                  <c:v>3.5353600978851301</c:v>
                </c:pt>
                <c:pt idx="19">
                  <c:v>2.7539699077606201</c:v>
                </c:pt>
                <c:pt idx="20">
                  <c:v>3.9924399852752699</c:v>
                </c:pt>
                <c:pt idx="21">
                  <c:v>4.2410402297973597</c:v>
                </c:pt>
                <c:pt idx="22">
                  <c:v>4.6999201774597203</c:v>
                </c:pt>
                <c:pt idx="23">
                  <c:v>4.4549598693847701</c:v>
                </c:pt>
                <c:pt idx="24">
                  <c:v>3.3952500820159899</c:v>
                </c:pt>
                <c:pt idx="25">
                  <c:v>5.0725798606872603</c:v>
                </c:pt>
                <c:pt idx="26">
                  <c:v>4.7267098426818803</c:v>
                </c:pt>
                <c:pt idx="27">
                  <c:v>4.6905097961425799</c:v>
                </c:pt>
                <c:pt idx="28">
                  <c:v>4.6960501670837402</c:v>
                </c:pt>
                <c:pt idx="29">
                  <c:v>2.6469999999999998</c:v>
                </c:pt>
                <c:pt idx="30">
                  <c:v>2.5419999999999998</c:v>
                </c:pt>
                <c:pt idx="31">
                  <c:v>5.2294201850891104</c:v>
                </c:pt>
                <c:pt idx="32">
                  <c:v>2.6509999999999998</c:v>
                </c:pt>
                <c:pt idx="33">
                  <c:v>2.871</c:v>
                </c:pt>
                <c:pt idx="34">
                  <c:v>2.7730000000000001</c:v>
                </c:pt>
                <c:pt idx="35">
                  <c:v>4.2542200088501003</c:v>
                </c:pt>
                <c:pt idx="36">
                  <c:v>3.4569999999999999</c:v>
                </c:pt>
                <c:pt idx="37">
                  <c:v>2.9929999999999999</c:v>
                </c:pt>
                <c:pt idx="38">
                  <c:v>4.6257200241088903</c:v>
                </c:pt>
                <c:pt idx="39">
                  <c:v>2.5750000000000002</c:v>
                </c:pt>
                <c:pt idx="40">
                  <c:v>3.6480000000000001</c:v>
                </c:pt>
                <c:pt idx="41">
                  <c:v>3.7</c:v>
                </c:pt>
              </c:numCache>
            </c:numRef>
          </c:val>
          <c:extLst>
            <c:ext xmlns:c16="http://schemas.microsoft.com/office/drawing/2014/chart" uri="{C3380CC4-5D6E-409C-BE32-E72D297353CC}">
              <c16:uniqueId val="{00000000-0D06-449F-B737-5ACBFDD8AE0F}"/>
            </c:ext>
          </c:extLst>
        </c:ser>
        <c:dLbls>
          <c:showLegendKey val="0"/>
          <c:showVal val="0"/>
          <c:showCatName val="0"/>
          <c:showSerName val="0"/>
          <c:showPercent val="0"/>
          <c:showBubbleSize val="0"/>
        </c:dLbls>
        <c:gapWidth val="219"/>
        <c:overlap val="-27"/>
        <c:axId val="-222563264"/>
        <c:axId val="-222564896"/>
      </c:barChart>
      <c:catAx>
        <c:axId val="-22256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22564896"/>
        <c:crosses val="autoZero"/>
        <c:auto val="1"/>
        <c:lblAlgn val="ctr"/>
        <c:lblOffset val="100"/>
        <c:noMultiLvlLbl val="0"/>
      </c:catAx>
      <c:valAx>
        <c:axId val="-222564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22563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8" b="0" i="0" u="none" strike="noStrike" baseline="0">
                <a:solidFill>
                  <a:srgbClr val="000000"/>
                </a:solidFill>
                <a:latin typeface="Calibri"/>
                <a:ea typeface="Calibri"/>
                <a:cs typeface="Calibri"/>
              </a:defRPr>
            </a:pPr>
            <a:r>
              <a:rPr lang="es-MX" sz="1398" b="0" i="0" u="none" strike="noStrike" baseline="0">
                <a:solidFill>
                  <a:srgbClr val="333333"/>
                </a:solidFill>
                <a:latin typeface="Calibri"/>
                <a:ea typeface="Calibri"/>
                <a:cs typeface="Calibri"/>
              </a:rPr>
              <a:t> </a:t>
            </a:r>
            <a:r>
              <a:rPr lang="es-MX" sz="1198" b="0" i="0" u="none" strike="noStrike" baseline="0">
                <a:solidFill>
                  <a:srgbClr val="333333"/>
                </a:solidFill>
                <a:latin typeface="Times New Roman"/>
                <a:ea typeface="Calibri"/>
                <a:cs typeface="Times New Roman"/>
              </a:rPr>
              <a:t>En millones de  pesos</a:t>
            </a:r>
            <a:endParaRPr lang="es-MX" sz="1398" b="0" i="0" u="none" strike="noStrike" baseline="0">
              <a:solidFill>
                <a:srgbClr val="333333"/>
              </a:solidFill>
              <a:latin typeface="Calibri"/>
              <a:ea typeface="Calibri"/>
              <a:cs typeface="Calibri"/>
            </a:endParaRPr>
          </a:p>
        </c:rich>
      </c:tx>
      <c:overlay val="0"/>
      <c:spPr>
        <a:noFill/>
        <a:ln w="25360">
          <a:noFill/>
        </a:ln>
      </c:spPr>
    </c:title>
    <c:autoTitleDeleted val="0"/>
    <c:plotArea>
      <c:layout/>
      <c:lineChart>
        <c:grouping val="standard"/>
        <c:varyColors val="0"/>
        <c:ser>
          <c:idx val="0"/>
          <c:order val="0"/>
          <c:tx>
            <c:strRef>
              <c:f>'mexico-education-spending'!$B$1</c:f>
              <c:strCache>
                <c:ptCount val="1"/>
                <c:pt idx="0">
                  <c:v>Educación (Millones de  pesos</c:v>
                </c:pt>
              </c:strCache>
            </c:strRef>
          </c:tx>
          <c:spPr>
            <a:ln w="28530" cap="rnd">
              <a:solidFill>
                <a:schemeClr val="accent1"/>
              </a:solidFill>
              <a:round/>
            </a:ln>
            <a:effectLst/>
          </c:spPr>
          <c:marker>
            <c:symbol val="none"/>
          </c:marker>
          <c:trendline>
            <c:spPr>
              <a:ln w="19020" cap="rnd">
                <a:solidFill>
                  <a:schemeClr val="accent1"/>
                </a:solidFill>
                <a:prstDash val="sysDot"/>
              </a:ln>
              <a:effectLst/>
            </c:spPr>
            <c:trendlineType val="linear"/>
            <c:dispRSqr val="0"/>
            <c:dispEq val="1"/>
            <c:trendlineLbl>
              <c:layout>
                <c:manualLayout>
                  <c:x val="2.294400699912511E-4"/>
                  <c:y val="-7.0322615923009618E-2"/>
                </c:manualLayout>
              </c:layout>
              <c:numFmt formatCode="General" sourceLinked="0"/>
              <c:spPr>
                <a:noFill/>
                <a:ln w="25360">
                  <a:noFill/>
                </a:ln>
              </c:spPr>
              <c:txPr>
                <a:bodyPr/>
                <a:lstStyle/>
                <a:p>
                  <a:pPr>
                    <a:defRPr sz="1098" b="0" i="0" u="none" strike="noStrike" baseline="0">
                      <a:solidFill>
                        <a:srgbClr val="333333"/>
                      </a:solidFill>
                      <a:latin typeface="Times New Roman" panose="02020603050405020304" pitchFamily="18" charset="0"/>
                      <a:ea typeface="Calibri"/>
                      <a:cs typeface="Times New Roman" panose="02020603050405020304" pitchFamily="18" charset="0"/>
                    </a:defRPr>
                  </a:pPr>
                  <a:endParaRPr lang="es-MX"/>
                </a:p>
              </c:txPr>
            </c:trendlineLbl>
          </c:trendline>
          <c:cat>
            <c:numRef>
              <c:f>'mexico-education-spending'!$A$2:$A$24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'mexico-education-spending'!$B$2:$B$24</c:f>
              <c:numCache>
                <c:formatCode>General</c:formatCode>
                <c:ptCount val="23"/>
                <c:pt idx="0">
                  <c:v>613.40599999999995</c:v>
                </c:pt>
                <c:pt idx="1">
                  <c:v>717.13599999999997</c:v>
                </c:pt>
                <c:pt idx="2">
                  <c:v>730.346</c:v>
                </c:pt>
                <c:pt idx="3">
                  <c:v>655.44</c:v>
                </c:pt>
                <c:pt idx="4">
                  <c:v>665.23199999999997</c:v>
                </c:pt>
                <c:pt idx="5">
                  <c:v>684.23800000000006</c:v>
                </c:pt>
                <c:pt idx="6">
                  <c:v>730.81399999999996</c:v>
                </c:pt>
                <c:pt idx="7">
                  <c:v>721.52623000000006</c:v>
                </c:pt>
                <c:pt idx="8">
                  <c:v>793.01</c:v>
                </c:pt>
                <c:pt idx="9">
                  <c:v>845.42</c:v>
                </c:pt>
                <c:pt idx="10">
                  <c:v>845.54</c:v>
                </c:pt>
                <c:pt idx="11">
                  <c:v>876.98</c:v>
                </c:pt>
                <c:pt idx="12">
                  <c:v>825.82</c:v>
                </c:pt>
                <c:pt idx="13">
                  <c:v>856.7</c:v>
                </c:pt>
                <c:pt idx="14">
                  <c:v>915.01</c:v>
                </c:pt>
                <c:pt idx="15">
                  <c:v>956.76</c:v>
                </c:pt>
                <c:pt idx="16">
                  <c:v>952.89</c:v>
                </c:pt>
                <c:pt idx="17">
                  <c:v>897.02</c:v>
                </c:pt>
                <c:pt idx="18">
                  <c:v>892.6</c:v>
                </c:pt>
                <c:pt idx="19">
                  <c:v>915.94</c:v>
                </c:pt>
                <c:pt idx="20">
                  <c:v>924.7</c:v>
                </c:pt>
                <c:pt idx="21">
                  <c:v>907.3</c:v>
                </c:pt>
                <c:pt idx="22">
                  <c:v>902.54</c:v>
                </c:pt>
              </c:numCache>
            </c:numRef>
          </c:val>
          <c:smooth val="0"/>
          <c:extLst>
            <c:ext xmlns:c16="http://schemas.microsoft.com/office/drawing/2014/chart" uri="{C3380CC4-5D6E-409C-BE32-E72D297353CC}">
              <c16:uniqueId val="{00000001-DFCE-410E-B171-415410BEDC66}"/>
            </c:ext>
          </c:extLst>
        </c:ser>
        <c:dLbls>
          <c:showLegendKey val="0"/>
          <c:showVal val="0"/>
          <c:showCatName val="0"/>
          <c:showSerName val="0"/>
          <c:showPercent val="0"/>
          <c:showBubbleSize val="0"/>
        </c:dLbls>
        <c:smooth val="0"/>
        <c:axId val="-226885312"/>
        <c:axId val="-226892384"/>
      </c:lineChart>
      <c:catAx>
        <c:axId val="-226885312"/>
        <c:scaling>
          <c:orientation val="minMax"/>
        </c:scaling>
        <c:delete val="0"/>
        <c:axPos val="b"/>
        <c:numFmt formatCode="General" sourceLinked="1"/>
        <c:majorTickMark val="none"/>
        <c:minorTickMark val="none"/>
        <c:tickLblPos val="nextTo"/>
        <c:spPr>
          <a:noFill/>
          <a:ln w="9510" cap="flat" cmpd="sng" algn="ctr">
            <a:solidFill>
              <a:schemeClr val="tx1">
                <a:lumMod val="15000"/>
                <a:lumOff val="85000"/>
              </a:schemeClr>
            </a:solidFill>
            <a:round/>
          </a:ln>
          <a:effectLst/>
        </c:spPr>
        <c:txPr>
          <a:bodyPr rot="-5400000" vert="horz"/>
          <a:lstStyle/>
          <a:p>
            <a:pPr>
              <a:defRPr sz="1098" b="0" i="0" u="none" strike="noStrike" baseline="0">
                <a:solidFill>
                  <a:srgbClr val="333333"/>
                </a:solidFill>
                <a:latin typeface="Times New Roman" panose="02020603050405020304" pitchFamily="18" charset="0"/>
                <a:ea typeface="Calibri"/>
                <a:cs typeface="Times New Roman" panose="02020603050405020304" pitchFamily="18" charset="0"/>
              </a:defRPr>
            </a:pPr>
            <a:endParaRPr lang="es-MX"/>
          </a:p>
        </c:txPr>
        <c:crossAx val="-226892384"/>
        <c:crosses val="autoZero"/>
        <c:auto val="1"/>
        <c:lblAlgn val="ctr"/>
        <c:lblOffset val="100"/>
        <c:noMultiLvlLbl val="0"/>
      </c:catAx>
      <c:valAx>
        <c:axId val="-226892384"/>
        <c:scaling>
          <c:orientation val="minMax"/>
        </c:scaling>
        <c:delete val="0"/>
        <c:axPos val="l"/>
        <c:majorGridlines>
          <c:spPr>
            <a:ln w="9510" cap="flat" cmpd="sng" algn="ctr">
              <a:solidFill>
                <a:schemeClr val="tx1">
                  <a:lumMod val="15000"/>
                  <a:lumOff val="85000"/>
                </a:schemeClr>
              </a:solidFill>
              <a:round/>
            </a:ln>
            <a:effectLst/>
          </c:spPr>
        </c:majorGridlines>
        <c:numFmt formatCode="General" sourceLinked="1"/>
        <c:majorTickMark val="none"/>
        <c:minorTickMark val="none"/>
        <c:tickLblPos val="nextTo"/>
        <c:spPr>
          <a:ln w="6340">
            <a:noFill/>
          </a:ln>
        </c:spPr>
        <c:txPr>
          <a:bodyPr rot="0" vert="horz"/>
          <a:lstStyle/>
          <a:p>
            <a:pPr>
              <a:defRPr sz="1098" b="0" i="0" u="none" strike="noStrike" baseline="0">
                <a:solidFill>
                  <a:srgbClr val="333333"/>
                </a:solidFill>
                <a:latin typeface="Times New Roman" panose="02020603050405020304" pitchFamily="18" charset="0"/>
                <a:ea typeface="Calibri"/>
                <a:cs typeface="Times New Roman" panose="02020603050405020304" pitchFamily="18" charset="0"/>
              </a:defRPr>
            </a:pPr>
            <a:endParaRPr lang="es-MX"/>
          </a:p>
        </c:txPr>
        <c:crossAx val="-226885312"/>
        <c:crosses val="autoZero"/>
        <c:crossBetween val="between"/>
      </c:valAx>
      <c:spPr>
        <a:noFill/>
        <a:ln w="25360">
          <a:noFill/>
        </a:ln>
      </c:spPr>
    </c:plotArea>
    <c:plotVisOnly val="1"/>
    <c:dispBlanksAs val="gap"/>
    <c:showDLblsOverMax val="0"/>
  </c:chart>
  <c:spPr>
    <a:solidFill>
      <a:schemeClr val="bg1"/>
    </a:solidFill>
    <a:ln w="9510" cap="flat" cmpd="sng" algn="ctr">
      <a:solidFill>
        <a:schemeClr val="tx1">
          <a:lumMod val="15000"/>
          <a:lumOff val="85000"/>
        </a:schemeClr>
      </a:solidFill>
      <a:round/>
    </a:ln>
    <a:effectLst/>
  </c:spPr>
  <c:txPr>
    <a:bodyPr/>
    <a:lstStyle/>
    <a:p>
      <a:pPr>
        <a:defRPr sz="998" b="0" i="0" u="none" strike="noStrike" baseline="0">
          <a:solidFill>
            <a:srgbClr val="000000"/>
          </a:solidFill>
          <a:latin typeface="Calibri"/>
          <a:ea typeface="Calibri"/>
          <a:cs typeface="Calibri"/>
        </a:defRPr>
      </a:pPr>
      <a:endParaRPr lang="es-MX"/>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D3F6-490D-4785-B0E9-D29BC76B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18</Pages>
  <Words>5528</Words>
  <Characters>30405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uat</Company>
  <LinksUpToDate>false</LinksUpToDate>
  <CharactersWithSpaces>35862</CharactersWithSpaces>
  <SharedDoc>false</SharedDoc>
  <HLinks>
    <vt:vector size="132" baseType="variant">
      <vt:variant>
        <vt:i4>1572880</vt:i4>
      </vt:variant>
      <vt:variant>
        <vt:i4>69</vt:i4>
      </vt:variant>
      <vt:variant>
        <vt:i4>0</vt:i4>
      </vt:variant>
      <vt:variant>
        <vt:i4>5</vt:i4>
      </vt:variant>
      <vt:variant>
        <vt:lpwstr>https://dilemascontemporaneoseducacionpoliticayvalores.com/index.php/dilemas/article/view/185/692</vt:lpwstr>
      </vt:variant>
      <vt:variant>
        <vt:lpwstr/>
      </vt:variant>
      <vt:variant>
        <vt:i4>2490464</vt:i4>
      </vt:variant>
      <vt:variant>
        <vt:i4>66</vt:i4>
      </vt:variant>
      <vt:variant>
        <vt:i4>0</vt:i4>
      </vt:variant>
      <vt:variant>
        <vt:i4>5</vt:i4>
      </vt:variant>
      <vt:variant>
        <vt:lpwstr>https://www.sciencedirect.com/science/article/abs/pii/S0165176599001202</vt:lpwstr>
      </vt:variant>
      <vt:variant>
        <vt:lpwstr/>
      </vt:variant>
      <vt:variant>
        <vt:i4>5767244</vt:i4>
      </vt:variant>
      <vt:variant>
        <vt:i4>63</vt:i4>
      </vt:variant>
      <vt:variant>
        <vt:i4>0</vt:i4>
      </vt:variant>
      <vt:variant>
        <vt:i4>5</vt:i4>
      </vt:variant>
      <vt:variant>
        <vt:lpwstr>https://academic.oup.com/qje/article-abstract/70/1/65/1903777?redirectedFrom=fulltext</vt:lpwstr>
      </vt:variant>
      <vt:variant>
        <vt:lpwstr/>
      </vt:variant>
      <vt:variant>
        <vt:i4>4653140</vt:i4>
      </vt:variant>
      <vt:variant>
        <vt:i4>60</vt:i4>
      </vt:variant>
      <vt:variant>
        <vt:i4>0</vt:i4>
      </vt:variant>
      <vt:variant>
        <vt:i4>5</vt:i4>
      </vt:variant>
      <vt:variant>
        <vt:lpwstr>https://www.journals.uchicago.edu/doi/epdf/10.1086/258393</vt:lpwstr>
      </vt:variant>
      <vt:variant>
        <vt:lpwstr/>
      </vt:variant>
      <vt:variant>
        <vt:i4>1966116</vt:i4>
      </vt:variant>
      <vt:variant>
        <vt:i4>57</vt:i4>
      </vt:variant>
      <vt:variant>
        <vt:i4>0</vt:i4>
      </vt:variant>
      <vt:variant>
        <vt:i4>5</vt:i4>
      </vt:variant>
      <vt:variant>
        <vt:lpwstr>https://econpapers.repec.org/article/eeewdevel/v_3a22_3ay_3a1994_3ai_3a9_3ap_3a1325-1343.htm</vt:lpwstr>
      </vt:variant>
      <vt:variant>
        <vt:lpwstr/>
      </vt:variant>
      <vt:variant>
        <vt:i4>6553661</vt:i4>
      </vt:variant>
      <vt:variant>
        <vt:i4>54</vt:i4>
      </vt:variant>
      <vt:variant>
        <vt:i4>0</vt:i4>
      </vt:variant>
      <vt:variant>
        <vt:i4>5</vt:i4>
      </vt:variant>
      <vt:variant>
        <vt:lpwstr>https://www.oecd.org/en/data/indicators/spending-on-tertiary-education.html</vt:lpwstr>
      </vt:variant>
      <vt:variant>
        <vt:lpwstr/>
      </vt:variant>
      <vt:variant>
        <vt:i4>6160400</vt:i4>
      </vt:variant>
      <vt:variant>
        <vt:i4>51</vt:i4>
      </vt:variant>
      <vt:variant>
        <vt:i4>0</vt:i4>
      </vt:variant>
      <vt:variant>
        <vt:i4>5</vt:i4>
      </vt:variant>
      <vt:variant>
        <vt:lpwstr>https://doi.org/10.23913/ride.v11i22.900</vt:lpwstr>
      </vt:variant>
      <vt:variant>
        <vt:lpwstr/>
      </vt:variant>
      <vt:variant>
        <vt:i4>2621544</vt:i4>
      </vt:variant>
      <vt:variant>
        <vt:i4>48</vt:i4>
      </vt:variant>
      <vt:variant>
        <vt:i4>0</vt:i4>
      </vt:variant>
      <vt:variant>
        <vt:i4>5</vt:i4>
      </vt:variant>
      <vt:variant>
        <vt:lpwstr>https://doi.org/10.23913/ride.v9i18.430</vt:lpwstr>
      </vt:variant>
      <vt:variant>
        <vt:lpwstr/>
      </vt:variant>
      <vt:variant>
        <vt:i4>3342457</vt:i4>
      </vt:variant>
      <vt:variant>
        <vt:i4>45</vt:i4>
      </vt:variant>
      <vt:variant>
        <vt:i4>0</vt:i4>
      </vt:variant>
      <vt:variant>
        <vt:i4>5</vt:i4>
      </vt:variant>
      <vt:variant>
        <vt:lpwstr>https://ideas.repec.org/a/eee/ecolet/v48y1995i1p99-106.html</vt:lpwstr>
      </vt:variant>
      <vt:variant>
        <vt:lpwstr/>
      </vt:variant>
      <vt:variant>
        <vt:i4>5439567</vt:i4>
      </vt:variant>
      <vt:variant>
        <vt:i4>42</vt:i4>
      </vt:variant>
      <vt:variant>
        <vt:i4>0</vt:i4>
      </vt:variant>
      <vt:variant>
        <vt:i4>5</vt:i4>
      </vt:variant>
      <vt:variant>
        <vt:lpwstr>https://www.jstor.org/stable/2586994</vt:lpwstr>
      </vt:variant>
      <vt:variant>
        <vt:lpwstr/>
      </vt:variant>
      <vt:variant>
        <vt:i4>6160469</vt:i4>
      </vt:variant>
      <vt:variant>
        <vt:i4>39</vt:i4>
      </vt:variant>
      <vt:variant>
        <vt:i4>0</vt:i4>
      </vt:variant>
      <vt:variant>
        <vt:i4>5</vt:i4>
      </vt:variant>
      <vt:variant>
        <vt:lpwstr>https://ideas.repec.org/p/eaa/ecodev/12.html</vt:lpwstr>
      </vt:variant>
      <vt:variant>
        <vt:lpwstr/>
      </vt:variant>
      <vt:variant>
        <vt:i4>6029332</vt:i4>
      </vt:variant>
      <vt:variant>
        <vt:i4>36</vt:i4>
      </vt:variant>
      <vt:variant>
        <vt:i4>0</vt:i4>
      </vt:variant>
      <vt:variant>
        <vt:i4>5</vt:i4>
      </vt:variant>
      <vt:variant>
        <vt:lpwstr>https://ideas.repec.org/s/eaa/ecodev.html</vt:lpwstr>
      </vt:variant>
      <vt:variant>
        <vt:lpwstr/>
      </vt:variant>
      <vt:variant>
        <vt:i4>6160469</vt:i4>
      </vt:variant>
      <vt:variant>
        <vt:i4>33</vt:i4>
      </vt:variant>
      <vt:variant>
        <vt:i4>0</vt:i4>
      </vt:variant>
      <vt:variant>
        <vt:i4>5</vt:i4>
      </vt:variant>
      <vt:variant>
        <vt:lpwstr>https://ideas.repec.org/p/eaa/ecodev/12.html</vt:lpwstr>
      </vt:variant>
      <vt:variant>
        <vt:lpwstr/>
      </vt:variant>
      <vt:variant>
        <vt:i4>3866686</vt:i4>
      </vt:variant>
      <vt:variant>
        <vt:i4>30</vt:i4>
      </vt:variant>
      <vt:variant>
        <vt:i4>0</vt:i4>
      </vt:variant>
      <vt:variant>
        <vt:i4>5</vt:i4>
      </vt:variant>
      <vt:variant>
        <vt:lpwstr>http://www.ggdc.net/pwt</vt:lpwstr>
      </vt:variant>
      <vt:variant>
        <vt:lpwstr/>
      </vt:variant>
      <vt:variant>
        <vt:i4>3604599</vt:i4>
      </vt:variant>
      <vt:variant>
        <vt:i4>27</vt:i4>
      </vt:variant>
      <vt:variant>
        <vt:i4>0</vt:i4>
      </vt:variant>
      <vt:variant>
        <vt:i4>5</vt:i4>
      </vt:variant>
      <vt:variant>
        <vt:lpwstr>https://www.researchgate.net/publication/299520768_The_efficiency_of_public_education_spending_in_Latin_America_A_comparison_to_high-income_countries</vt:lpwstr>
      </vt:variant>
      <vt:variant>
        <vt:lpwstr/>
      </vt:variant>
      <vt:variant>
        <vt:i4>7667762</vt:i4>
      </vt:variant>
      <vt:variant>
        <vt:i4>24</vt:i4>
      </vt:variant>
      <vt:variant>
        <vt:i4>0</vt:i4>
      </vt:variant>
      <vt:variant>
        <vt:i4>5</vt:i4>
      </vt:variant>
      <vt:variant>
        <vt:lpwstr>http://revistas.bancomext.gob.mx/rce/magazines/59/4/RCE.pdf</vt:lpwstr>
      </vt:variant>
      <vt:variant>
        <vt:lpwstr/>
      </vt:variant>
      <vt:variant>
        <vt:i4>7602303</vt:i4>
      </vt:variant>
      <vt:variant>
        <vt:i4>21</vt:i4>
      </vt:variant>
      <vt:variant>
        <vt:i4>0</vt:i4>
      </vt:variant>
      <vt:variant>
        <vt:i4>5</vt:i4>
      </vt:variant>
      <vt:variant>
        <vt:lpwstr>https://econpapers.repec.org/paper/izaizadps/dp767.htm</vt:lpwstr>
      </vt:variant>
      <vt:variant>
        <vt:lpwstr/>
      </vt:variant>
      <vt:variant>
        <vt:i4>3080288</vt:i4>
      </vt:variant>
      <vt:variant>
        <vt:i4>18</vt:i4>
      </vt:variant>
      <vt:variant>
        <vt:i4>0</vt:i4>
      </vt:variant>
      <vt:variant>
        <vt:i4>5</vt:i4>
      </vt:variant>
      <vt:variant>
        <vt:lpwstr>https://www.sciencedirect.com/science/article/abs/pii/S0304387812000855</vt:lpwstr>
      </vt:variant>
      <vt:variant>
        <vt:lpwstr/>
      </vt:variant>
      <vt:variant>
        <vt:i4>6094913</vt:i4>
      </vt:variant>
      <vt:variant>
        <vt:i4>15</vt:i4>
      </vt:variant>
      <vt:variant>
        <vt:i4>0</vt:i4>
      </vt:variant>
      <vt:variant>
        <vt:i4>5</vt:i4>
      </vt:variant>
      <vt:variant>
        <vt:lpwstr>https://www.jstor.org/stable/26609241</vt:lpwstr>
      </vt:variant>
      <vt:variant>
        <vt:lpwstr/>
      </vt:variant>
      <vt:variant>
        <vt:i4>5701739</vt:i4>
      </vt:variant>
      <vt:variant>
        <vt:i4>6</vt:i4>
      </vt:variant>
      <vt:variant>
        <vt:i4>0</vt:i4>
      </vt:variant>
      <vt:variant>
        <vt:i4>5</vt:i4>
      </vt:variant>
      <vt:variant>
        <vt:lpwstr>mailto:jmalacara@docentes.uat.edu.mx</vt:lpwstr>
      </vt:variant>
      <vt:variant>
        <vt:lpwstr/>
      </vt:variant>
      <vt:variant>
        <vt:i4>4325453</vt:i4>
      </vt:variant>
      <vt:variant>
        <vt:i4>3</vt:i4>
      </vt:variant>
      <vt:variant>
        <vt:i4>0</vt:i4>
      </vt:variant>
      <vt:variant>
        <vt:i4>5</vt:i4>
      </vt:variant>
      <vt:variant>
        <vt:lpwstr>http://orcid.org/0000-0001-9675-5472</vt:lpwstr>
      </vt:variant>
      <vt:variant>
        <vt:lpwstr/>
      </vt:variant>
      <vt:variant>
        <vt:i4>7340060</vt:i4>
      </vt:variant>
      <vt:variant>
        <vt:i4>0</vt:i4>
      </vt:variant>
      <vt:variant>
        <vt:i4>0</vt:i4>
      </vt:variant>
      <vt:variant>
        <vt:i4>5</vt:i4>
      </vt:variant>
      <vt:variant>
        <vt:lpwstr>mailto:omartinez@uat.edu.mx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Oshiel</dc:creator>
  <cp:keywords/>
  <cp:lastModifiedBy>Gustavo Toledo</cp:lastModifiedBy>
  <cp:revision>21</cp:revision>
  <dcterms:created xsi:type="dcterms:W3CDTF">2024-12-11T23:21:00Z</dcterms:created>
  <dcterms:modified xsi:type="dcterms:W3CDTF">2024-12-19T20:37:00Z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b2fdd80e49339f2a33674fdfe9b481d52d275023fcf29503466aee066dc5fd34</vt:lpwstr>
  </property>
</Properties>
</file>