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8BD" w:rsidRPr="00130B1A" w:rsidRDefault="000C7C82" w:rsidP="00130B1A">
      <w:pPr>
        <w:spacing w:after="0" w:line="240" w:lineRule="auto"/>
        <w:jc w:val="right"/>
        <w:rPr>
          <w:rFonts w:ascii="Calibri" w:eastAsia="Times New Roman" w:hAnsi="Calibri" w:cs="Calibri"/>
          <w:color w:val="7030A0"/>
          <w:sz w:val="36"/>
          <w:szCs w:val="36"/>
          <w:shd w:val="solid" w:color="FFFFFF" w:fill="auto"/>
          <w:lang w:eastAsia="ru-RU"/>
        </w:rPr>
      </w:pPr>
      <w:r w:rsidRPr="00130B1A">
        <w:rPr>
          <w:rFonts w:ascii="Calibri" w:eastAsia="Times New Roman" w:hAnsi="Calibri" w:cs="Calibri"/>
          <w:color w:val="7030A0"/>
          <w:sz w:val="36"/>
          <w:szCs w:val="36"/>
          <w:shd w:val="solid" w:color="FFFFFF" w:fill="auto"/>
          <w:lang w:eastAsia="ru-RU"/>
        </w:rPr>
        <w:t>Impacto de la n</w:t>
      </w:r>
      <w:r w:rsidR="007836E5" w:rsidRPr="00130B1A">
        <w:rPr>
          <w:rFonts w:ascii="Calibri" w:eastAsia="Times New Roman" w:hAnsi="Calibri" w:cs="Calibri"/>
          <w:color w:val="7030A0"/>
          <w:sz w:val="36"/>
          <w:szCs w:val="36"/>
          <w:shd w:val="solid" w:color="FFFFFF" w:fill="auto"/>
          <w:lang w:eastAsia="ru-RU"/>
        </w:rPr>
        <w:t>utrición</w:t>
      </w:r>
      <w:r w:rsidR="0019666E" w:rsidRPr="00130B1A">
        <w:rPr>
          <w:rFonts w:ascii="Calibri" w:eastAsia="Times New Roman" w:hAnsi="Calibri" w:cs="Calibri"/>
          <w:color w:val="7030A0"/>
          <w:sz w:val="36"/>
          <w:szCs w:val="36"/>
          <w:shd w:val="solid" w:color="FFFFFF" w:fill="auto"/>
          <w:lang w:eastAsia="ru-RU"/>
        </w:rPr>
        <w:t xml:space="preserve"> </w:t>
      </w:r>
      <w:r w:rsidR="00C110DB" w:rsidRPr="00130B1A">
        <w:rPr>
          <w:rFonts w:ascii="Calibri" w:eastAsia="Times New Roman" w:hAnsi="Calibri" w:cs="Calibri"/>
          <w:color w:val="7030A0"/>
          <w:sz w:val="36"/>
          <w:szCs w:val="36"/>
          <w:shd w:val="solid" w:color="FFFFFF" w:fill="auto"/>
          <w:lang w:eastAsia="ru-RU"/>
        </w:rPr>
        <w:t xml:space="preserve">enteral </w:t>
      </w:r>
      <w:r w:rsidRPr="00130B1A">
        <w:rPr>
          <w:rFonts w:ascii="Calibri" w:eastAsia="Times New Roman" w:hAnsi="Calibri" w:cs="Calibri"/>
          <w:color w:val="7030A0"/>
          <w:sz w:val="36"/>
          <w:szCs w:val="36"/>
          <w:shd w:val="solid" w:color="FFFFFF" w:fill="auto"/>
          <w:lang w:eastAsia="ru-RU"/>
        </w:rPr>
        <w:t>temprana en</w:t>
      </w:r>
      <w:r w:rsidR="0019666E" w:rsidRPr="00130B1A">
        <w:rPr>
          <w:rFonts w:ascii="Calibri" w:eastAsia="Times New Roman" w:hAnsi="Calibri" w:cs="Calibri"/>
          <w:color w:val="7030A0"/>
          <w:sz w:val="36"/>
          <w:szCs w:val="36"/>
          <w:shd w:val="solid" w:color="FFFFFF" w:fill="auto"/>
          <w:lang w:eastAsia="ru-RU"/>
        </w:rPr>
        <w:t xml:space="preserve"> paciente</w:t>
      </w:r>
      <w:r w:rsidRPr="00130B1A">
        <w:rPr>
          <w:rFonts w:ascii="Calibri" w:eastAsia="Times New Roman" w:hAnsi="Calibri" w:cs="Calibri"/>
          <w:color w:val="7030A0"/>
          <w:sz w:val="36"/>
          <w:szCs w:val="36"/>
          <w:shd w:val="solid" w:color="FFFFFF" w:fill="auto"/>
          <w:lang w:eastAsia="ru-RU"/>
        </w:rPr>
        <w:t>s</w:t>
      </w:r>
      <w:r w:rsidR="0019666E" w:rsidRPr="00130B1A">
        <w:rPr>
          <w:rFonts w:ascii="Calibri" w:eastAsia="Times New Roman" w:hAnsi="Calibri" w:cs="Calibri"/>
          <w:color w:val="7030A0"/>
          <w:sz w:val="36"/>
          <w:szCs w:val="36"/>
          <w:shd w:val="solid" w:color="FFFFFF" w:fill="auto"/>
          <w:lang w:eastAsia="ru-RU"/>
        </w:rPr>
        <w:t xml:space="preserve"> con traumatismo craneoencefálico en la </w:t>
      </w:r>
      <w:r w:rsidR="00C2130C" w:rsidRPr="00130B1A">
        <w:rPr>
          <w:rFonts w:ascii="Calibri" w:eastAsia="Times New Roman" w:hAnsi="Calibri" w:cs="Calibri"/>
          <w:color w:val="7030A0"/>
          <w:sz w:val="36"/>
          <w:szCs w:val="36"/>
          <w:shd w:val="solid" w:color="FFFFFF" w:fill="auto"/>
          <w:lang w:eastAsia="ru-RU"/>
        </w:rPr>
        <w:t>U</w:t>
      </w:r>
      <w:r w:rsidR="0019666E" w:rsidRPr="00130B1A">
        <w:rPr>
          <w:rFonts w:ascii="Calibri" w:eastAsia="Times New Roman" w:hAnsi="Calibri" w:cs="Calibri"/>
          <w:color w:val="7030A0"/>
          <w:sz w:val="36"/>
          <w:szCs w:val="36"/>
          <w:shd w:val="solid" w:color="FFFFFF" w:fill="auto"/>
          <w:lang w:eastAsia="ru-RU"/>
        </w:rPr>
        <w:t xml:space="preserve">nidad de </w:t>
      </w:r>
      <w:r w:rsidR="00C2130C" w:rsidRPr="00130B1A">
        <w:rPr>
          <w:rFonts w:ascii="Calibri" w:eastAsia="Times New Roman" w:hAnsi="Calibri" w:cs="Calibri"/>
          <w:color w:val="7030A0"/>
          <w:sz w:val="36"/>
          <w:szCs w:val="36"/>
          <w:shd w:val="solid" w:color="FFFFFF" w:fill="auto"/>
          <w:lang w:eastAsia="ru-RU"/>
        </w:rPr>
        <w:t>C</w:t>
      </w:r>
      <w:r w:rsidR="0019666E" w:rsidRPr="00130B1A">
        <w:rPr>
          <w:rFonts w:ascii="Calibri" w:eastAsia="Times New Roman" w:hAnsi="Calibri" w:cs="Calibri"/>
          <w:color w:val="7030A0"/>
          <w:sz w:val="36"/>
          <w:szCs w:val="36"/>
          <w:shd w:val="solid" w:color="FFFFFF" w:fill="auto"/>
          <w:lang w:eastAsia="ru-RU"/>
        </w:rPr>
        <w:t>uid</w:t>
      </w:r>
      <w:r w:rsidR="00BE0C45" w:rsidRPr="00130B1A">
        <w:rPr>
          <w:rFonts w:ascii="Calibri" w:eastAsia="Times New Roman" w:hAnsi="Calibri" w:cs="Calibri"/>
          <w:color w:val="7030A0"/>
          <w:sz w:val="36"/>
          <w:szCs w:val="36"/>
          <w:shd w:val="solid" w:color="FFFFFF" w:fill="auto"/>
          <w:lang w:eastAsia="ru-RU"/>
        </w:rPr>
        <w:t xml:space="preserve">ados </w:t>
      </w:r>
      <w:r w:rsidR="00C2130C" w:rsidRPr="00130B1A">
        <w:rPr>
          <w:rFonts w:ascii="Calibri" w:eastAsia="Times New Roman" w:hAnsi="Calibri" w:cs="Calibri"/>
          <w:color w:val="7030A0"/>
          <w:sz w:val="36"/>
          <w:szCs w:val="36"/>
          <w:shd w:val="solid" w:color="FFFFFF" w:fill="auto"/>
          <w:lang w:eastAsia="ru-RU"/>
        </w:rPr>
        <w:t>I</w:t>
      </w:r>
      <w:r w:rsidR="00BE0C45" w:rsidRPr="00130B1A">
        <w:rPr>
          <w:rFonts w:ascii="Calibri" w:eastAsia="Times New Roman" w:hAnsi="Calibri" w:cs="Calibri"/>
          <w:color w:val="7030A0"/>
          <w:sz w:val="36"/>
          <w:szCs w:val="36"/>
          <w:shd w:val="solid" w:color="FFFFFF" w:fill="auto"/>
          <w:lang w:eastAsia="ru-RU"/>
        </w:rPr>
        <w:t xml:space="preserve">ntensivos de un hospital </w:t>
      </w:r>
      <w:r w:rsidR="00601921" w:rsidRPr="00130B1A">
        <w:rPr>
          <w:rFonts w:ascii="Calibri" w:eastAsia="Times New Roman" w:hAnsi="Calibri" w:cs="Calibri"/>
          <w:color w:val="7030A0"/>
          <w:sz w:val="36"/>
          <w:szCs w:val="36"/>
          <w:shd w:val="solid" w:color="FFFFFF" w:fill="auto"/>
          <w:lang w:eastAsia="ru-RU"/>
        </w:rPr>
        <w:t>m</w:t>
      </w:r>
      <w:r w:rsidR="0019666E" w:rsidRPr="00130B1A">
        <w:rPr>
          <w:rFonts w:ascii="Calibri" w:eastAsia="Times New Roman" w:hAnsi="Calibri" w:cs="Calibri"/>
          <w:color w:val="7030A0"/>
          <w:sz w:val="36"/>
          <w:szCs w:val="36"/>
          <w:shd w:val="solid" w:color="FFFFFF" w:fill="auto"/>
          <w:lang w:eastAsia="ru-RU"/>
        </w:rPr>
        <w:t>exicano</w:t>
      </w:r>
    </w:p>
    <w:p w:rsidR="00BE0C45" w:rsidRDefault="00BE0C45" w:rsidP="002B3D32">
      <w:pPr>
        <w:spacing w:after="0" w:line="240" w:lineRule="auto"/>
        <w:jc w:val="center"/>
        <w:rPr>
          <w:rFonts w:ascii="Arial" w:hAnsi="Arial" w:cs="Arial"/>
          <w:b/>
          <w:sz w:val="24"/>
          <w:szCs w:val="24"/>
        </w:rPr>
      </w:pPr>
    </w:p>
    <w:p w:rsidR="009C1A58" w:rsidRPr="00130B1A" w:rsidRDefault="00786373" w:rsidP="00130B1A">
      <w:pPr>
        <w:spacing w:after="0" w:line="240" w:lineRule="auto"/>
        <w:jc w:val="right"/>
        <w:rPr>
          <w:rFonts w:ascii="Arial" w:hAnsi="Arial" w:cs="Arial"/>
          <w:b/>
          <w:i/>
          <w:sz w:val="24"/>
          <w:szCs w:val="24"/>
          <w:lang w:val="en-US"/>
        </w:rPr>
      </w:pPr>
      <w:r w:rsidRPr="0019583F">
        <w:rPr>
          <w:rFonts w:ascii="Calibri" w:eastAsia="Times New Roman" w:hAnsi="Calibri" w:cs="Calibri"/>
          <w:i/>
          <w:color w:val="7030A0"/>
          <w:sz w:val="28"/>
          <w:szCs w:val="36"/>
          <w:shd w:val="solid" w:color="FFFFFF" w:fill="auto"/>
          <w:lang w:val="en-US" w:eastAsia="ru-RU"/>
        </w:rPr>
        <w:t>Impact of early Enteral Nutrition in patients with traumatic brain injury in a Mexican hospital Intensive Care Unit</w:t>
      </w:r>
    </w:p>
    <w:p w:rsidR="00F977FF" w:rsidRDefault="00F977FF" w:rsidP="002B3D32">
      <w:pPr>
        <w:spacing w:after="0" w:line="240" w:lineRule="auto"/>
        <w:jc w:val="center"/>
        <w:rPr>
          <w:rFonts w:ascii="Arial" w:hAnsi="Arial" w:cs="Arial"/>
          <w:b/>
          <w:sz w:val="24"/>
          <w:szCs w:val="24"/>
          <w:lang w:val="en-US"/>
        </w:rPr>
      </w:pPr>
    </w:p>
    <w:p w:rsidR="00F977FF" w:rsidRDefault="00F977FF" w:rsidP="002B3D32">
      <w:pPr>
        <w:spacing w:after="0" w:line="240" w:lineRule="auto"/>
        <w:jc w:val="center"/>
        <w:rPr>
          <w:rFonts w:ascii="Arial" w:hAnsi="Arial" w:cs="Arial"/>
          <w:b/>
          <w:sz w:val="24"/>
          <w:szCs w:val="24"/>
          <w:lang w:val="en-US"/>
        </w:rPr>
      </w:pPr>
    </w:p>
    <w:p w:rsidR="00F27B9F" w:rsidRPr="00F27B9F" w:rsidRDefault="00F27B9F" w:rsidP="00D70C85">
      <w:pPr>
        <w:spacing w:after="0" w:line="240" w:lineRule="auto"/>
        <w:rPr>
          <w:rFonts w:ascii="Arial" w:hAnsi="Arial" w:cs="Arial"/>
          <w:b/>
          <w:sz w:val="24"/>
          <w:szCs w:val="24"/>
          <w:lang w:val="en-US"/>
        </w:rPr>
      </w:pPr>
    </w:p>
    <w:p w:rsidR="002B3D32" w:rsidRDefault="002B3D32" w:rsidP="002B3D32">
      <w:pPr>
        <w:spacing w:after="0" w:line="240" w:lineRule="auto"/>
        <w:jc w:val="right"/>
        <w:rPr>
          <w:rFonts w:ascii="Arial" w:hAnsi="Arial" w:cs="Arial"/>
          <w:sz w:val="24"/>
          <w:szCs w:val="24"/>
        </w:rPr>
      </w:pPr>
      <w:r w:rsidRPr="00130B1A">
        <w:rPr>
          <w:rFonts w:ascii="Calibri" w:eastAsia="Calibri" w:hAnsi="Calibri" w:cs="Calibri"/>
          <w:b/>
          <w:sz w:val="24"/>
          <w:szCs w:val="24"/>
          <w:lang w:val="es-ES" w:eastAsia="en-US"/>
        </w:rPr>
        <w:t xml:space="preserve">Gisela </w:t>
      </w:r>
      <w:r w:rsidR="005D02A6" w:rsidRPr="00130B1A">
        <w:rPr>
          <w:rFonts w:ascii="Calibri" w:eastAsia="Calibri" w:hAnsi="Calibri" w:cs="Calibri"/>
          <w:b/>
          <w:sz w:val="24"/>
          <w:szCs w:val="24"/>
          <w:lang w:val="es-ES" w:eastAsia="en-US"/>
        </w:rPr>
        <w:t>Ponce y Ponce de León</w:t>
      </w:r>
    </w:p>
    <w:p w:rsidR="002B3D32" w:rsidRDefault="00130B1A" w:rsidP="002B3D32">
      <w:pPr>
        <w:spacing w:after="0" w:line="240" w:lineRule="auto"/>
        <w:jc w:val="right"/>
        <w:rPr>
          <w:rFonts w:ascii="Arial" w:hAnsi="Arial" w:cs="Arial"/>
          <w:sz w:val="24"/>
          <w:szCs w:val="24"/>
        </w:rPr>
      </w:pPr>
      <w:r w:rsidRPr="00130B1A">
        <w:rPr>
          <w:rFonts w:ascii="Calibri" w:eastAsia="Calibri" w:hAnsi="Calibri" w:cs="Calibri"/>
          <w:sz w:val="24"/>
          <w:szCs w:val="24"/>
          <w:lang w:val="es-ES" w:eastAsia="en-US"/>
        </w:rPr>
        <w:t>Universidad Autónoma de Baja California</w:t>
      </w:r>
      <w:r w:rsidR="0019583F">
        <w:rPr>
          <w:rFonts w:ascii="Calibri" w:eastAsia="Calibri" w:hAnsi="Calibri" w:cs="Calibri"/>
          <w:sz w:val="24"/>
          <w:lang w:val="es-ES"/>
        </w:rPr>
        <w:t>, México</w:t>
      </w:r>
      <w:r>
        <w:rPr>
          <w:rFonts w:ascii="Calibri" w:eastAsia="Calibri" w:hAnsi="Calibri" w:cs="Calibri"/>
          <w:sz w:val="24"/>
          <w:szCs w:val="24"/>
          <w:lang w:val="es-ES" w:eastAsia="en-US"/>
        </w:rPr>
        <w:br/>
      </w:r>
      <w:r w:rsidRPr="00130B1A">
        <w:rPr>
          <w:rStyle w:val="Hipervnculo"/>
          <w:rFonts w:ascii="Calibri" w:eastAsia="Calibri" w:hAnsi="Calibri" w:cs="Calibri"/>
          <w:color w:val="FF0000"/>
          <w:sz w:val="24"/>
          <w:u w:val="none"/>
          <w:lang w:eastAsia="en-US"/>
        </w:rPr>
        <w:t>giselaponce@uabc.edu.mx</w:t>
      </w:r>
    </w:p>
    <w:p w:rsidR="002B3D32" w:rsidRDefault="002B3D32" w:rsidP="002B3D32">
      <w:pPr>
        <w:spacing w:after="0" w:line="240" w:lineRule="auto"/>
        <w:jc w:val="right"/>
        <w:rPr>
          <w:rFonts w:ascii="Arial" w:hAnsi="Arial" w:cs="Arial"/>
          <w:sz w:val="24"/>
          <w:szCs w:val="24"/>
          <w:vertAlign w:val="superscript"/>
        </w:rPr>
      </w:pPr>
    </w:p>
    <w:p w:rsidR="002B3D32" w:rsidRDefault="002B3D32" w:rsidP="002B3D32">
      <w:pPr>
        <w:spacing w:after="0" w:line="240" w:lineRule="auto"/>
        <w:jc w:val="right"/>
        <w:rPr>
          <w:rFonts w:ascii="Arial" w:hAnsi="Arial" w:cs="Arial"/>
          <w:sz w:val="24"/>
          <w:szCs w:val="24"/>
        </w:rPr>
      </w:pPr>
      <w:r w:rsidRPr="00130B1A">
        <w:rPr>
          <w:rFonts w:ascii="Calibri" w:eastAsia="Calibri" w:hAnsi="Calibri" w:cs="Calibri"/>
          <w:b/>
          <w:sz w:val="24"/>
          <w:szCs w:val="24"/>
          <w:lang w:val="es-ES" w:eastAsia="en-US"/>
        </w:rPr>
        <w:t>José de Jesús</w:t>
      </w:r>
      <w:r w:rsidR="00EC4191" w:rsidRPr="00130B1A">
        <w:rPr>
          <w:rFonts w:ascii="Calibri" w:eastAsia="Calibri" w:hAnsi="Calibri" w:cs="Calibri"/>
          <w:b/>
          <w:sz w:val="24"/>
          <w:szCs w:val="24"/>
          <w:lang w:val="es-ES" w:eastAsia="en-US"/>
        </w:rPr>
        <w:t xml:space="preserve"> </w:t>
      </w:r>
      <w:proofErr w:type="spellStart"/>
      <w:r w:rsidR="00B20E8C" w:rsidRPr="00130B1A">
        <w:rPr>
          <w:rFonts w:ascii="Calibri" w:eastAsia="Calibri" w:hAnsi="Calibri" w:cs="Calibri"/>
          <w:b/>
          <w:sz w:val="24"/>
          <w:szCs w:val="24"/>
          <w:lang w:val="es-ES" w:eastAsia="en-US"/>
        </w:rPr>
        <w:t>M</w:t>
      </w:r>
      <w:r w:rsidR="005D02A6" w:rsidRPr="00130B1A">
        <w:rPr>
          <w:rFonts w:ascii="Calibri" w:eastAsia="Calibri" w:hAnsi="Calibri" w:cs="Calibri"/>
          <w:b/>
          <w:sz w:val="24"/>
          <w:szCs w:val="24"/>
          <w:lang w:val="es-ES" w:eastAsia="en-US"/>
        </w:rPr>
        <w:t>ayagoitia</w:t>
      </w:r>
      <w:proofErr w:type="spellEnd"/>
      <w:r w:rsidR="005D02A6" w:rsidRPr="00130B1A">
        <w:rPr>
          <w:rFonts w:ascii="Calibri" w:eastAsia="Calibri" w:hAnsi="Calibri" w:cs="Calibri"/>
          <w:b/>
          <w:sz w:val="24"/>
          <w:szCs w:val="24"/>
          <w:lang w:val="es-ES" w:eastAsia="en-US"/>
        </w:rPr>
        <w:t xml:space="preserve"> </w:t>
      </w:r>
      <w:proofErr w:type="spellStart"/>
      <w:r w:rsidR="005D02A6" w:rsidRPr="00130B1A">
        <w:rPr>
          <w:rFonts w:ascii="Calibri" w:eastAsia="Calibri" w:hAnsi="Calibri" w:cs="Calibri"/>
          <w:b/>
          <w:sz w:val="24"/>
          <w:szCs w:val="24"/>
          <w:lang w:val="es-ES" w:eastAsia="en-US"/>
        </w:rPr>
        <w:t>Witrón</w:t>
      </w:r>
      <w:proofErr w:type="spellEnd"/>
      <w:r w:rsidR="005D02A6" w:rsidRPr="00DA15C0">
        <w:rPr>
          <w:rFonts w:ascii="Arial" w:hAnsi="Arial" w:cs="Arial"/>
          <w:sz w:val="24"/>
          <w:szCs w:val="24"/>
        </w:rPr>
        <w:t xml:space="preserve"> </w:t>
      </w:r>
    </w:p>
    <w:p w:rsidR="002B3D32" w:rsidRDefault="00130B1A" w:rsidP="002B3D32">
      <w:pPr>
        <w:spacing w:after="0" w:line="240" w:lineRule="auto"/>
        <w:jc w:val="right"/>
        <w:rPr>
          <w:rFonts w:ascii="Arial" w:hAnsi="Arial" w:cs="Arial"/>
          <w:sz w:val="24"/>
          <w:szCs w:val="24"/>
        </w:rPr>
      </w:pPr>
      <w:r w:rsidRPr="00130B1A">
        <w:rPr>
          <w:rFonts w:ascii="Calibri" w:eastAsia="Calibri" w:hAnsi="Calibri" w:cs="Calibri"/>
          <w:sz w:val="24"/>
          <w:szCs w:val="24"/>
          <w:lang w:val="es-ES" w:eastAsia="en-US"/>
        </w:rPr>
        <w:t>Universidad Autónoma de Baja California</w:t>
      </w:r>
      <w:r w:rsidR="0019583F">
        <w:rPr>
          <w:rFonts w:ascii="Calibri" w:eastAsia="Calibri" w:hAnsi="Calibri" w:cs="Calibri"/>
          <w:sz w:val="24"/>
          <w:lang w:val="es-ES"/>
        </w:rPr>
        <w:t>, México</w:t>
      </w:r>
      <w:r>
        <w:rPr>
          <w:rFonts w:ascii="Calibri" w:eastAsia="Calibri" w:hAnsi="Calibri" w:cs="Calibri"/>
          <w:sz w:val="24"/>
          <w:szCs w:val="24"/>
          <w:lang w:val="es-ES" w:eastAsia="en-US"/>
        </w:rPr>
        <w:br/>
      </w:r>
      <w:r w:rsidRPr="00130B1A">
        <w:rPr>
          <w:rStyle w:val="Hipervnculo"/>
          <w:color w:val="FF0000"/>
          <w:sz w:val="24"/>
          <w:u w:val="none"/>
        </w:rPr>
        <w:t>josemaya01@prodigy.net</w:t>
      </w:r>
    </w:p>
    <w:p w:rsidR="002B3D32" w:rsidRDefault="002B3D32" w:rsidP="002B3D32">
      <w:pPr>
        <w:spacing w:after="0" w:line="240" w:lineRule="auto"/>
        <w:jc w:val="right"/>
        <w:rPr>
          <w:rFonts w:ascii="Arial" w:hAnsi="Arial" w:cs="Arial"/>
          <w:sz w:val="24"/>
          <w:szCs w:val="24"/>
          <w:vertAlign w:val="superscript"/>
        </w:rPr>
      </w:pPr>
    </w:p>
    <w:p w:rsidR="002B3D32" w:rsidRPr="00130B1A" w:rsidRDefault="002B3D32" w:rsidP="002B3D32">
      <w:pPr>
        <w:spacing w:after="0" w:line="240" w:lineRule="auto"/>
        <w:jc w:val="right"/>
        <w:rPr>
          <w:rFonts w:ascii="Calibri" w:eastAsia="Calibri" w:hAnsi="Calibri" w:cs="Calibri"/>
          <w:b/>
          <w:sz w:val="24"/>
          <w:szCs w:val="24"/>
          <w:lang w:val="es-ES" w:eastAsia="en-US"/>
        </w:rPr>
      </w:pPr>
      <w:r w:rsidRPr="00130B1A">
        <w:rPr>
          <w:rFonts w:ascii="Calibri" w:eastAsia="Calibri" w:hAnsi="Calibri" w:cs="Calibri"/>
          <w:b/>
          <w:sz w:val="24"/>
          <w:szCs w:val="24"/>
          <w:lang w:val="es-ES" w:eastAsia="en-US"/>
        </w:rPr>
        <w:t xml:space="preserve">José Manuel </w:t>
      </w:r>
      <w:r w:rsidR="004515CF" w:rsidRPr="00130B1A">
        <w:rPr>
          <w:rFonts w:ascii="Calibri" w:eastAsia="Calibri" w:hAnsi="Calibri" w:cs="Calibri"/>
          <w:b/>
          <w:sz w:val="24"/>
          <w:szCs w:val="24"/>
          <w:lang w:val="es-ES" w:eastAsia="en-US"/>
        </w:rPr>
        <w:t>Cornejo</w:t>
      </w:r>
      <w:r w:rsidR="005D02A6" w:rsidRPr="00130B1A">
        <w:rPr>
          <w:rFonts w:ascii="Calibri" w:eastAsia="Calibri" w:hAnsi="Calibri" w:cs="Calibri"/>
          <w:b/>
          <w:sz w:val="24"/>
          <w:szCs w:val="24"/>
          <w:lang w:val="es-ES" w:eastAsia="en-US"/>
        </w:rPr>
        <w:t xml:space="preserve"> Bravo</w:t>
      </w:r>
      <w:r w:rsidR="00130B1A">
        <w:rPr>
          <w:rFonts w:ascii="Calibri" w:eastAsia="Calibri" w:hAnsi="Calibri" w:cs="Calibri"/>
          <w:b/>
          <w:sz w:val="24"/>
          <w:szCs w:val="24"/>
          <w:lang w:val="es-ES" w:eastAsia="en-US"/>
        </w:rPr>
        <w:br/>
      </w:r>
      <w:r w:rsidR="00130B1A" w:rsidRPr="00130B1A">
        <w:rPr>
          <w:rFonts w:ascii="Calibri" w:eastAsia="Calibri" w:hAnsi="Calibri" w:cs="Calibri"/>
          <w:sz w:val="24"/>
          <w:szCs w:val="24"/>
          <w:lang w:val="es-ES" w:eastAsia="en-US"/>
        </w:rPr>
        <w:t>Universidad Autónoma de Baja California</w:t>
      </w:r>
      <w:r w:rsidR="0019583F">
        <w:rPr>
          <w:rFonts w:ascii="Calibri" w:eastAsia="Calibri" w:hAnsi="Calibri" w:cs="Calibri"/>
          <w:sz w:val="24"/>
          <w:lang w:val="es-ES"/>
        </w:rPr>
        <w:t>, México</w:t>
      </w:r>
      <w:r w:rsidR="00130B1A">
        <w:rPr>
          <w:rFonts w:ascii="Calibri" w:eastAsia="Calibri" w:hAnsi="Calibri" w:cs="Calibri"/>
          <w:sz w:val="24"/>
          <w:szCs w:val="24"/>
          <w:lang w:val="es-ES" w:eastAsia="en-US"/>
        </w:rPr>
        <w:br/>
      </w:r>
      <w:r w:rsidR="00130B1A" w:rsidRPr="00130B1A">
        <w:rPr>
          <w:rStyle w:val="Hipervnculo"/>
          <w:color w:val="FF0000"/>
          <w:sz w:val="24"/>
          <w:u w:val="none"/>
        </w:rPr>
        <w:t>jmcornejo@uabc.edu.mx</w:t>
      </w:r>
      <w:r w:rsidR="00130B1A">
        <w:rPr>
          <w:rFonts w:ascii="Calibri" w:eastAsia="Calibri" w:hAnsi="Calibri" w:cs="Calibri"/>
          <w:sz w:val="24"/>
          <w:szCs w:val="24"/>
          <w:lang w:val="es-ES" w:eastAsia="en-US"/>
        </w:rPr>
        <w:br/>
      </w:r>
    </w:p>
    <w:p w:rsidR="004515CF" w:rsidRDefault="005D02A6" w:rsidP="002B3D32">
      <w:pPr>
        <w:spacing w:after="0" w:line="240" w:lineRule="auto"/>
        <w:jc w:val="right"/>
        <w:rPr>
          <w:rFonts w:ascii="Arial" w:hAnsi="Arial" w:cs="Arial"/>
          <w:sz w:val="24"/>
          <w:szCs w:val="24"/>
        </w:rPr>
      </w:pPr>
      <w:r w:rsidRPr="00DA15C0">
        <w:rPr>
          <w:rFonts w:ascii="Arial" w:hAnsi="Arial" w:cs="Arial"/>
          <w:sz w:val="24"/>
          <w:szCs w:val="24"/>
        </w:rPr>
        <w:t xml:space="preserve"> </w:t>
      </w:r>
      <w:r w:rsidRPr="00130B1A">
        <w:rPr>
          <w:rFonts w:ascii="Calibri" w:eastAsia="Calibri" w:hAnsi="Calibri" w:cs="Calibri"/>
          <w:b/>
          <w:sz w:val="24"/>
          <w:szCs w:val="24"/>
          <w:lang w:val="es-ES" w:eastAsia="en-US"/>
        </w:rPr>
        <w:t>María Eugenia Pérez Morales</w:t>
      </w:r>
      <w:r w:rsidR="00130B1A">
        <w:rPr>
          <w:rFonts w:ascii="Calibri" w:eastAsia="Calibri" w:hAnsi="Calibri" w:cs="Calibri"/>
          <w:b/>
          <w:sz w:val="24"/>
          <w:szCs w:val="24"/>
          <w:lang w:val="es-ES" w:eastAsia="en-US"/>
        </w:rPr>
        <w:br/>
      </w:r>
      <w:r w:rsidR="00130B1A" w:rsidRPr="00130B1A">
        <w:rPr>
          <w:rFonts w:ascii="Calibri" w:eastAsia="Calibri" w:hAnsi="Calibri" w:cs="Calibri"/>
          <w:sz w:val="24"/>
          <w:szCs w:val="24"/>
          <w:lang w:val="es-ES" w:eastAsia="en-US"/>
        </w:rPr>
        <w:t>Universidad Autónoma de Baja California</w:t>
      </w:r>
      <w:r w:rsidR="0019583F">
        <w:rPr>
          <w:rFonts w:ascii="Calibri" w:eastAsia="Calibri" w:hAnsi="Calibri" w:cs="Calibri"/>
          <w:sz w:val="24"/>
          <w:lang w:val="es-ES"/>
        </w:rPr>
        <w:t>, México</w:t>
      </w:r>
      <w:bookmarkStart w:id="0" w:name="_GoBack"/>
      <w:bookmarkEnd w:id="0"/>
      <w:r w:rsidR="00130B1A">
        <w:rPr>
          <w:rFonts w:ascii="Calibri" w:eastAsia="Calibri" w:hAnsi="Calibri" w:cs="Calibri"/>
          <w:sz w:val="24"/>
          <w:szCs w:val="24"/>
          <w:lang w:val="es-ES" w:eastAsia="en-US"/>
        </w:rPr>
        <w:br/>
      </w:r>
      <w:r w:rsidR="00130B1A" w:rsidRPr="00130B1A">
        <w:rPr>
          <w:rStyle w:val="Hipervnculo"/>
          <w:color w:val="FF0000"/>
          <w:sz w:val="24"/>
          <w:u w:val="none"/>
        </w:rPr>
        <w:t>eugenia@uabc.edu.mx</w:t>
      </w:r>
    </w:p>
    <w:p w:rsidR="005D02A6" w:rsidRPr="00DA15C0" w:rsidRDefault="005D02A6" w:rsidP="002B3D32">
      <w:pPr>
        <w:spacing w:after="0" w:line="240" w:lineRule="auto"/>
        <w:jc w:val="right"/>
        <w:rPr>
          <w:rFonts w:ascii="Arial" w:hAnsi="Arial" w:cs="Arial"/>
          <w:sz w:val="24"/>
          <w:szCs w:val="24"/>
          <w:vertAlign w:val="superscript"/>
        </w:rPr>
      </w:pPr>
    </w:p>
    <w:p w:rsidR="005D02A6" w:rsidRPr="00A70A76" w:rsidRDefault="00A70A76" w:rsidP="002B3D32">
      <w:pPr>
        <w:spacing w:after="0" w:line="240" w:lineRule="auto"/>
        <w:jc w:val="right"/>
        <w:rPr>
          <w:rFonts w:ascii="Arial" w:hAnsi="Arial" w:cs="Arial"/>
          <w:sz w:val="24"/>
          <w:szCs w:val="24"/>
          <w:vertAlign w:val="superscript"/>
        </w:rPr>
      </w:pPr>
      <w:r>
        <w:rPr>
          <w:rFonts w:ascii="Arial" w:hAnsi="Arial" w:cs="Arial"/>
          <w:sz w:val="24"/>
          <w:szCs w:val="24"/>
        </w:rPr>
        <w:t>.</w:t>
      </w:r>
      <w:r w:rsidR="004515CF" w:rsidRPr="00DA15C0">
        <w:rPr>
          <w:rFonts w:ascii="Arial" w:hAnsi="Arial" w:cs="Arial"/>
          <w:sz w:val="24"/>
          <w:szCs w:val="24"/>
        </w:rPr>
        <w:t>.</w:t>
      </w:r>
      <w:r w:rsidR="005D02A6" w:rsidRPr="00DA15C0">
        <w:rPr>
          <w:rFonts w:ascii="Arial" w:hAnsi="Arial" w:cs="Arial"/>
          <w:sz w:val="24"/>
          <w:szCs w:val="24"/>
        </w:rPr>
        <w:t>.</w:t>
      </w:r>
    </w:p>
    <w:p w:rsidR="006E21DE" w:rsidRPr="00DA15C0" w:rsidRDefault="006E21DE" w:rsidP="002B3D32">
      <w:pPr>
        <w:spacing w:after="0" w:line="240" w:lineRule="auto"/>
        <w:jc w:val="right"/>
        <w:rPr>
          <w:rFonts w:ascii="Arial" w:hAnsi="Arial" w:cs="Arial"/>
          <w:b/>
          <w:caps/>
          <w:sz w:val="24"/>
          <w:szCs w:val="24"/>
        </w:rPr>
      </w:pPr>
    </w:p>
    <w:p w:rsidR="006E21DE" w:rsidRPr="00DA15C0" w:rsidRDefault="006E21DE" w:rsidP="002B3D32">
      <w:pPr>
        <w:spacing w:after="0"/>
        <w:jc w:val="right"/>
        <w:rPr>
          <w:rFonts w:ascii="Arial" w:hAnsi="Arial" w:cs="Arial"/>
          <w:b/>
          <w:caps/>
          <w:sz w:val="24"/>
          <w:szCs w:val="24"/>
        </w:rPr>
      </w:pPr>
    </w:p>
    <w:p w:rsidR="006A56FF" w:rsidRPr="00DA15C0" w:rsidRDefault="006A56FF" w:rsidP="002B3D32">
      <w:pPr>
        <w:spacing w:after="0"/>
        <w:jc w:val="right"/>
        <w:rPr>
          <w:rFonts w:ascii="Arial" w:hAnsi="Arial" w:cs="Arial"/>
          <w:caps/>
          <w:sz w:val="24"/>
          <w:szCs w:val="24"/>
        </w:rPr>
      </w:pPr>
    </w:p>
    <w:p w:rsidR="004338BD" w:rsidRPr="00130B1A" w:rsidRDefault="00D70C85" w:rsidP="00D70C85">
      <w:pPr>
        <w:spacing w:after="0" w:line="240" w:lineRule="auto"/>
        <w:rPr>
          <w:rFonts w:ascii="Calibri" w:eastAsia="Times New Roman" w:hAnsi="Calibri" w:cs="Calibri"/>
          <w:color w:val="7030A0"/>
          <w:sz w:val="28"/>
          <w:szCs w:val="28"/>
          <w:lang w:val="es-ES" w:eastAsia="es-ES"/>
        </w:rPr>
      </w:pPr>
      <w:r w:rsidRPr="00130B1A">
        <w:rPr>
          <w:rFonts w:ascii="Calibri" w:eastAsia="Times New Roman" w:hAnsi="Calibri" w:cs="Calibri"/>
          <w:color w:val="7030A0"/>
          <w:sz w:val="28"/>
          <w:szCs w:val="28"/>
          <w:lang w:val="es-ES" w:eastAsia="es-ES"/>
        </w:rPr>
        <w:t>Resumen</w:t>
      </w:r>
    </w:p>
    <w:p w:rsidR="00D70C85" w:rsidRDefault="00D70C85" w:rsidP="00D70C85">
      <w:pPr>
        <w:spacing w:after="0" w:line="240" w:lineRule="auto"/>
        <w:rPr>
          <w:rFonts w:ascii="Arial" w:hAnsi="Arial" w:cs="Arial"/>
          <w:b/>
          <w:sz w:val="24"/>
          <w:szCs w:val="24"/>
        </w:rPr>
      </w:pPr>
    </w:p>
    <w:p w:rsidR="004338BD" w:rsidRPr="0069230C" w:rsidRDefault="004338BD" w:rsidP="0069230C">
      <w:pPr>
        <w:spacing w:after="0" w:line="360" w:lineRule="auto"/>
        <w:jc w:val="both"/>
        <w:rPr>
          <w:rFonts w:ascii="Times New Roman" w:hAnsi="Times New Roman" w:cs="Times New Roman"/>
          <w:b/>
          <w:sz w:val="24"/>
          <w:szCs w:val="24"/>
        </w:rPr>
      </w:pPr>
      <w:r w:rsidRPr="0069230C">
        <w:rPr>
          <w:rFonts w:ascii="Times New Roman" w:hAnsi="Times New Roman" w:cs="Times New Roman"/>
          <w:b/>
          <w:sz w:val="24"/>
          <w:szCs w:val="24"/>
        </w:rPr>
        <w:t>Objetivo</w:t>
      </w:r>
    </w:p>
    <w:p w:rsidR="003B7CFA" w:rsidRPr="0069230C" w:rsidRDefault="003B7CFA" w:rsidP="0069230C">
      <w:pPr>
        <w:spacing w:after="0" w:line="360" w:lineRule="auto"/>
        <w:jc w:val="both"/>
        <w:rPr>
          <w:rFonts w:ascii="Times New Roman" w:hAnsi="Times New Roman" w:cs="Times New Roman"/>
          <w:b/>
          <w:sz w:val="24"/>
          <w:szCs w:val="24"/>
        </w:rPr>
      </w:pPr>
    </w:p>
    <w:p w:rsidR="008A4BE6" w:rsidRPr="0069230C" w:rsidRDefault="004338BD" w:rsidP="0069230C">
      <w:pPr>
        <w:spacing w:after="0" w:line="360" w:lineRule="auto"/>
        <w:jc w:val="both"/>
        <w:rPr>
          <w:rFonts w:ascii="Times New Roman" w:hAnsi="Times New Roman" w:cs="Times New Roman"/>
          <w:sz w:val="24"/>
          <w:szCs w:val="24"/>
        </w:rPr>
      </w:pPr>
      <w:r w:rsidRPr="0069230C">
        <w:rPr>
          <w:rFonts w:ascii="Times New Roman" w:hAnsi="Times New Roman" w:cs="Times New Roman"/>
          <w:sz w:val="24"/>
          <w:szCs w:val="24"/>
        </w:rPr>
        <w:t>El objetivo fue</w:t>
      </w:r>
      <w:r w:rsidRPr="0069230C">
        <w:rPr>
          <w:rFonts w:ascii="Times New Roman" w:hAnsi="Times New Roman" w:cs="Times New Roman"/>
          <w:b/>
          <w:sz w:val="24"/>
          <w:szCs w:val="24"/>
        </w:rPr>
        <w:t xml:space="preserve"> </w:t>
      </w:r>
      <w:r w:rsidRPr="0069230C">
        <w:rPr>
          <w:rFonts w:ascii="Times New Roman" w:hAnsi="Times New Roman" w:cs="Times New Roman"/>
          <w:sz w:val="24"/>
          <w:szCs w:val="24"/>
        </w:rPr>
        <w:t xml:space="preserve">determinar </w:t>
      </w:r>
      <w:r w:rsidR="000C7C82" w:rsidRPr="0069230C">
        <w:rPr>
          <w:rFonts w:ascii="Times New Roman" w:hAnsi="Times New Roman" w:cs="Times New Roman"/>
          <w:sz w:val="24"/>
          <w:szCs w:val="24"/>
        </w:rPr>
        <w:t>el impacto d</w:t>
      </w:r>
      <w:r w:rsidR="007A7489" w:rsidRPr="0069230C">
        <w:rPr>
          <w:rFonts w:ascii="Times New Roman" w:hAnsi="Times New Roman" w:cs="Times New Roman"/>
          <w:sz w:val="24"/>
          <w:szCs w:val="24"/>
        </w:rPr>
        <w:t xml:space="preserve">e la nutrición enteral </w:t>
      </w:r>
      <w:r w:rsidR="000C7C82" w:rsidRPr="0069230C">
        <w:rPr>
          <w:rFonts w:ascii="Times New Roman" w:hAnsi="Times New Roman" w:cs="Times New Roman"/>
          <w:sz w:val="24"/>
          <w:szCs w:val="24"/>
        </w:rPr>
        <w:t xml:space="preserve">temprana en </w:t>
      </w:r>
      <w:r w:rsidR="007A7489" w:rsidRPr="0069230C">
        <w:rPr>
          <w:rFonts w:ascii="Times New Roman" w:hAnsi="Times New Roman" w:cs="Times New Roman"/>
          <w:sz w:val="24"/>
          <w:szCs w:val="24"/>
        </w:rPr>
        <w:t xml:space="preserve">la </w:t>
      </w:r>
      <w:proofErr w:type="spellStart"/>
      <w:r w:rsidR="000C7C82" w:rsidRPr="0069230C">
        <w:rPr>
          <w:rFonts w:ascii="Times New Roman" w:hAnsi="Times New Roman" w:cs="Times New Roman"/>
          <w:sz w:val="24"/>
          <w:szCs w:val="24"/>
        </w:rPr>
        <w:t>morbi</w:t>
      </w:r>
      <w:proofErr w:type="spellEnd"/>
      <w:r w:rsidR="00962D80" w:rsidRPr="0069230C">
        <w:rPr>
          <w:rFonts w:ascii="Times New Roman" w:hAnsi="Times New Roman" w:cs="Times New Roman"/>
          <w:sz w:val="24"/>
          <w:szCs w:val="24"/>
        </w:rPr>
        <w:t>-</w:t>
      </w:r>
      <w:r w:rsidR="008A4BE6" w:rsidRPr="0069230C">
        <w:rPr>
          <w:rFonts w:ascii="Times New Roman" w:hAnsi="Times New Roman" w:cs="Times New Roman"/>
          <w:sz w:val="24"/>
          <w:szCs w:val="24"/>
        </w:rPr>
        <w:t>mortalidad y días de hospitalización en el paciente con</w:t>
      </w:r>
      <w:r w:rsidR="00DA794A" w:rsidRPr="0069230C">
        <w:rPr>
          <w:rFonts w:ascii="Times New Roman" w:hAnsi="Times New Roman" w:cs="Times New Roman"/>
          <w:sz w:val="24"/>
          <w:szCs w:val="24"/>
        </w:rPr>
        <w:t xml:space="preserve"> traumatismo craneoencefálico</w:t>
      </w:r>
      <w:r w:rsidR="008A4BE6" w:rsidRPr="0069230C">
        <w:rPr>
          <w:rFonts w:ascii="Times New Roman" w:hAnsi="Times New Roman" w:cs="Times New Roman"/>
          <w:sz w:val="24"/>
          <w:szCs w:val="24"/>
        </w:rPr>
        <w:t xml:space="preserve"> </w:t>
      </w:r>
      <w:r w:rsidR="00DA794A" w:rsidRPr="0069230C">
        <w:rPr>
          <w:rFonts w:ascii="Times New Roman" w:hAnsi="Times New Roman" w:cs="Times New Roman"/>
          <w:sz w:val="24"/>
          <w:szCs w:val="24"/>
        </w:rPr>
        <w:t>(</w:t>
      </w:r>
      <w:r w:rsidR="008A4BE6" w:rsidRPr="0069230C">
        <w:rPr>
          <w:rFonts w:ascii="Times New Roman" w:hAnsi="Times New Roman" w:cs="Times New Roman"/>
          <w:sz w:val="24"/>
          <w:szCs w:val="24"/>
        </w:rPr>
        <w:t>TCE</w:t>
      </w:r>
      <w:r w:rsidR="00DA794A" w:rsidRPr="0069230C">
        <w:rPr>
          <w:rFonts w:ascii="Times New Roman" w:hAnsi="Times New Roman" w:cs="Times New Roman"/>
          <w:sz w:val="24"/>
          <w:szCs w:val="24"/>
        </w:rPr>
        <w:t>)</w:t>
      </w:r>
      <w:r w:rsidR="000C7C82" w:rsidRPr="0069230C">
        <w:rPr>
          <w:rFonts w:ascii="Times New Roman" w:hAnsi="Times New Roman" w:cs="Times New Roman"/>
          <w:sz w:val="24"/>
          <w:szCs w:val="24"/>
        </w:rPr>
        <w:t xml:space="preserve"> que ingres</w:t>
      </w:r>
      <w:r w:rsidR="003B7CFA" w:rsidRPr="0069230C">
        <w:rPr>
          <w:rFonts w:ascii="Times New Roman" w:hAnsi="Times New Roman" w:cs="Times New Roman"/>
          <w:sz w:val="24"/>
          <w:szCs w:val="24"/>
        </w:rPr>
        <w:t>ó</w:t>
      </w:r>
      <w:r w:rsidR="000C7C82" w:rsidRPr="0069230C">
        <w:rPr>
          <w:rFonts w:ascii="Times New Roman" w:hAnsi="Times New Roman" w:cs="Times New Roman"/>
          <w:sz w:val="24"/>
          <w:szCs w:val="24"/>
        </w:rPr>
        <w:t xml:space="preserve"> </w:t>
      </w:r>
      <w:r w:rsidR="008A4BE6" w:rsidRPr="0069230C">
        <w:rPr>
          <w:rFonts w:ascii="Times New Roman" w:hAnsi="Times New Roman" w:cs="Times New Roman"/>
          <w:sz w:val="24"/>
          <w:szCs w:val="24"/>
        </w:rPr>
        <w:t xml:space="preserve">en la Unidad de Cuidados Intensivos de un Hospital de </w:t>
      </w:r>
      <w:r w:rsidR="00DA794A" w:rsidRPr="0069230C">
        <w:rPr>
          <w:rFonts w:ascii="Times New Roman" w:hAnsi="Times New Roman" w:cs="Times New Roman"/>
          <w:sz w:val="24"/>
          <w:szCs w:val="24"/>
        </w:rPr>
        <w:t>segundo</w:t>
      </w:r>
      <w:r w:rsidR="008A4BE6" w:rsidRPr="0069230C">
        <w:rPr>
          <w:rFonts w:ascii="Times New Roman" w:hAnsi="Times New Roman" w:cs="Times New Roman"/>
          <w:sz w:val="24"/>
          <w:szCs w:val="24"/>
        </w:rPr>
        <w:t xml:space="preserve"> nivel en México.</w:t>
      </w:r>
    </w:p>
    <w:p w:rsidR="00FE28EA" w:rsidRPr="0069230C" w:rsidRDefault="00FE28EA" w:rsidP="0069230C">
      <w:pPr>
        <w:spacing w:after="0" w:line="360" w:lineRule="auto"/>
        <w:jc w:val="both"/>
        <w:rPr>
          <w:rFonts w:ascii="Times New Roman" w:hAnsi="Times New Roman" w:cs="Times New Roman"/>
          <w:sz w:val="24"/>
          <w:szCs w:val="24"/>
        </w:rPr>
      </w:pPr>
    </w:p>
    <w:p w:rsidR="006C5CA0" w:rsidRDefault="006C5CA0" w:rsidP="0069230C">
      <w:pPr>
        <w:spacing w:after="0" w:line="360" w:lineRule="auto"/>
        <w:jc w:val="both"/>
        <w:rPr>
          <w:rFonts w:ascii="Times New Roman" w:hAnsi="Times New Roman" w:cs="Times New Roman"/>
          <w:b/>
          <w:sz w:val="24"/>
          <w:szCs w:val="24"/>
        </w:rPr>
      </w:pPr>
    </w:p>
    <w:p w:rsidR="006C5CA0" w:rsidRDefault="006C5CA0" w:rsidP="0069230C">
      <w:pPr>
        <w:spacing w:after="0" w:line="360" w:lineRule="auto"/>
        <w:jc w:val="both"/>
        <w:rPr>
          <w:rFonts w:ascii="Times New Roman" w:hAnsi="Times New Roman" w:cs="Times New Roman"/>
          <w:b/>
          <w:sz w:val="24"/>
          <w:szCs w:val="24"/>
        </w:rPr>
      </w:pPr>
    </w:p>
    <w:p w:rsidR="004338BD" w:rsidRPr="0069230C" w:rsidRDefault="004338BD" w:rsidP="0069230C">
      <w:pPr>
        <w:spacing w:after="0" w:line="360" w:lineRule="auto"/>
        <w:jc w:val="both"/>
        <w:rPr>
          <w:rFonts w:ascii="Times New Roman" w:hAnsi="Times New Roman" w:cs="Times New Roman"/>
          <w:b/>
          <w:sz w:val="24"/>
          <w:szCs w:val="24"/>
        </w:rPr>
      </w:pPr>
      <w:r w:rsidRPr="0069230C">
        <w:rPr>
          <w:rFonts w:ascii="Times New Roman" w:hAnsi="Times New Roman" w:cs="Times New Roman"/>
          <w:b/>
          <w:sz w:val="24"/>
          <w:szCs w:val="24"/>
        </w:rPr>
        <w:lastRenderedPageBreak/>
        <w:t>Métodos</w:t>
      </w:r>
    </w:p>
    <w:p w:rsidR="003B7CFA" w:rsidRPr="0069230C" w:rsidRDefault="003B7CFA" w:rsidP="0069230C">
      <w:pPr>
        <w:spacing w:after="0" w:line="360" w:lineRule="auto"/>
        <w:jc w:val="both"/>
        <w:rPr>
          <w:rFonts w:ascii="Times New Roman" w:hAnsi="Times New Roman" w:cs="Times New Roman"/>
          <w:b/>
          <w:sz w:val="24"/>
          <w:szCs w:val="24"/>
        </w:rPr>
      </w:pPr>
    </w:p>
    <w:p w:rsidR="004338BD" w:rsidRPr="0069230C" w:rsidRDefault="004338BD" w:rsidP="0069230C">
      <w:pPr>
        <w:spacing w:after="0" w:line="360" w:lineRule="auto"/>
        <w:jc w:val="both"/>
        <w:rPr>
          <w:rFonts w:ascii="Times New Roman" w:hAnsi="Times New Roman" w:cs="Times New Roman"/>
          <w:sz w:val="24"/>
          <w:szCs w:val="24"/>
        </w:rPr>
      </w:pPr>
      <w:r w:rsidRPr="0069230C">
        <w:rPr>
          <w:rFonts w:ascii="Times New Roman" w:hAnsi="Times New Roman" w:cs="Times New Roman"/>
          <w:sz w:val="24"/>
          <w:szCs w:val="24"/>
        </w:rPr>
        <w:t>Se realizó estudio descriptivo, retrospectivo y de correlación</w:t>
      </w:r>
      <w:r w:rsidRPr="0069230C">
        <w:rPr>
          <w:rStyle w:val="Refdecomentario"/>
          <w:rFonts w:ascii="Times New Roman" w:hAnsi="Times New Roman" w:cs="Times New Roman"/>
        </w:rPr>
        <w:t xml:space="preserve">, </w:t>
      </w:r>
      <w:r w:rsidRPr="0069230C">
        <w:rPr>
          <w:rStyle w:val="Refdecomentario"/>
          <w:rFonts w:ascii="Times New Roman" w:hAnsi="Times New Roman" w:cs="Times New Roman"/>
          <w:sz w:val="24"/>
          <w:szCs w:val="24"/>
        </w:rPr>
        <w:t>s</w:t>
      </w:r>
      <w:r w:rsidRPr="0069230C">
        <w:rPr>
          <w:rFonts w:ascii="Times New Roman" w:hAnsi="Times New Roman" w:cs="Times New Roman"/>
          <w:sz w:val="24"/>
          <w:szCs w:val="24"/>
        </w:rPr>
        <w:t xml:space="preserve">e revisaron 33 expedientes clínicos de pacientes hospitalizados en la Unidad de Cuidados Intensivos  (UCI) </w:t>
      </w:r>
      <w:r w:rsidR="00DA794A" w:rsidRPr="0069230C">
        <w:rPr>
          <w:rFonts w:ascii="Times New Roman" w:hAnsi="Times New Roman" w:cs="Times New Roman"/>
          <w:sz w:val="24"/>
          <w:szCs w:val="24"/>
        </w:rPr>
        <w:t>con diagn</w:t>
      </w:r>
      <w:r w:rsidR="003B7CFA" w:rsidRPr="0069230C">
        <w:rPr>
          <w:rFonts w:ascii="Times New Roman" w:hAnsi="Times New Roman" w:cs="Times New Roman"/>
          <w:sz w:val="24"/>
          <w:szCs w:val="24"/>
        </w:rPr>
        <w:t>ó</w:t>
      </w:r>
      <w:r w:rsidR="00DA794A" w:rsidRPr="0069230C">
        <w:rPr>
          <w:rFonts w:ascii="Times New Roman" w:hAnsi="Times New Roman" w:cs="Times New Roman"/>
          <w:sz w:val="24"/>
          <w:szCs w:val="24"/>
        </w:rPr>
        <w:t xml:space="preserve">stico de TCE, </w:t>
      </w:r>
      <w:r w:rsidRPr="0069230C">
        <w:rPr>
          <w:rFonts w:ascii="Times New Roman" w:hAnsi="Times New Roman" w:cs="Times New Roman"/>
          <w:sz w:val="24"/>
          <w:szCs w:val="24"/>
        </w:rPr>
        <w:t xml:space="preserve">de enero a diciembre de 2012, de los cuales se eliminaron </w:t>
      </w:r>
      <w:r w:rsidR="00767C16" w:rsidRPr="0069230C">
        <w:rPr>
          <w:rFonts w:ascii="Times New Roman" w:hAnsi="Times New Roman" w:cs="Times New Roman"/>
          <w:sz w:val="24"/>
          <w:szCs w:val="24"/>
        </w:rPr>
        <w:t xml:space="preserve">tres </w:t>
      </w:r>
      <w:r w:rsidRPr="0069230C">
        <w:rPr>
          <w:rFonts w:ascii="Times New Roman" w:hAnsi="Times New Roman" w:cs="Times New Roman"/>
          <w:sz w:val="24"/>
          <w:szCs w:val="24"/>
        </w:rPr>
        <w:t xml:space="preserve">por no </w:t>
      </w:r>
      <w:r w:rsidR="008A4BE6" w:rsidRPr="0069230C">
        <w:rPr>
          <w:rFonts w:ascii="Times New Roman" w:hAnsi="Times New Roman" w:cs="Times New Roman"/>
          <w:sz w:val="24"/>
          <w:szCs w:val="24"/>
        </w:rPr>
        <w:t xml:space="preserve">cumplir con los </w:t>
      </w:r>
      <w:r w:rsidR="0053602C" w:rsidRPr="0069230C">
        <w:rPr>
          <w:rFonts w:ascii="Times New Roman" w:hAnsi="Times New Roman" w:cs="Times New Roman"/>
          <w:sz w:val="24"/>
          <w:szCs w:val="24"/>
        </w:rPr>
        <w:t>criterios</w:t>
      </w:r>
      <w:r w:rsidR="008A4BE6" w:rsidRPr="0069230C">
        <w:rPr>
          <w:rFonts w:ascii="Times New Roman" w:hAnsi="Times New Roman" w:cs="Times New Roman"/>
          <w:sz w:val="24"/>
          <w:szCs w:val="24"/>
        </w:rPr>
        <w:t xml:space="preserve"> de inclusión</w:t>
      </w:r>
      <w:r w:rsidR="00863A8C" w:rsidRPr="0069230C">
        <w:rPr>
          <w:rFonts w:ascii="Times New Roman" w:hAnsi="Times New Roman" w:cs="Times New Roman"/>
          <w:sz w:val="24"/>
          <w:szCs w:val="24"/>
        </w:rPr>
        <w:t xml:space="preserve">. </w:t>
      </w:r>
      <w:r w:rsidRPr="0069230C">
        <w:rPr>
          <w:rFonts w:ascii="Times New Roman" w:hAnsi="Times New Roman" w:cs="Times New Roman"/>
          <w:sz w:val="24"/>
          <w:szCs w:val="24"/>
        </w:rPr>
        <w:t>Se realizó análisis de prueba T y correlación de Pearson, p&lt;0.05.</w:t>
      </w:r>
    </w:p>
    <w:p w:rsidR="003B7CFA" w:rsidRPr="0069230C" w:rsidRDefault="003B7CFA" w:rsidP="0069230C">
      <w:pPr>
        <w:spacing w:after="0" w:line="360" w:lineRule="auto"/>
        <w:jc w:val="both"/>
        <w:rPr>
          <w:rFonts w:ascii="Times New Roman" w:hAnsi="Times New Roman" w:cs="Times New Roman"/>
          <w:sz w:val="24"/>
          <w:szCs w:val="24"/>
        </w:rPr>
      </w:pPr>
    </w:p>
    <w:p w:rsidR="004338BD" w:rsidRPr="0069230C" w:rsidRDefault="004338BD" w:rsidP="0069230C">
      <w:pPr>
        <w:spacing w:after="0" w:line="360" w:lineRule="auto"/>
        <w:jc w:val="both"/>
        <w:rPr>
          <w:rFonts w:ascii="Times New Roman" w:hAnsi="Times New Roman" w:cs="Times New Roman"/>
          <w:b/>
          <w:sz w:val="24"/>
          <w:szCs w:val="24"/>
        </w:rPr>
      </w:pPr>
      <w:r w:rsidRPr="0069230C">
        <w:rPr>
          <w:rFonts w:ascii="Times New Roman" w:hAnsi="Times New Roman" w:cs="Times New Roman"/>
          <w:b/>
          <w:sz w:val="24"/>
          <w:szCs w:val="24"/>
        </w:rPr>
        <w:t>Resultados</w:t>
      </w:r>
    </w:p>
    <w:p w:rsidR="003B7CFA" w:rsidRPr="0069230C" w:rsidRDefault="003B7CFA" w:rsidP="0069230C">
      <w:pPr>
        <w:spacing w:after="0" w:line="360" w:lineRule="auto"/>
        <w:jc w:val="both"/>
        <w:rPr>
          <w:rFonts w:ascii="Times New Roman" w:hAnsi="Times New Roman" w:cs="Times New Roman"/>
          <w:b/>
          <w:sz w:val="24"/>
          <w:szCs w:val="24"/>
        </w:rPr>
      </w:pPr>
    </w:p>
    <w:p w:rsidR="00C110DB" w:rsidRPr="0069230C" w:rsidRDefault="00830110" w:rsidP="0069230C">
      <w:pPr>
        <w:spacing w:after="0" w:line="360" w:lineRule="auto"/>
        <w:jc w:val="both"/>
        <w:rPr>
          <w:rFonts w:ascii="Times New Roman" w:hAnsi="Times New Roman" w:cs="Times New Roman"/>
          <w:sz w:val="24"/>
          <w:szCs w:val="24"/>
        </w:rPr>
      </w:pPr>
      <w:r w:rsidRPr="0069230C">
        <w:rPr>
          <w:rFonts w:ascii="Times New Roman" w:hAnsi="Times New Roman" w:cs="Times New Roman"/>
          <w:sz w:val="24"/>
          <w:szCs w:val="24"/>
        </w:rPr>
        <w:t>E</w:t>
      </w:r>
      <w:r w:rsidR="00226BB2" w:rsidRPr="0069230C">
        <w:rPr>
          <w:rFonts w:ascii="Times New Roman" w:hAnsi="Times New Roman" w:cs="Times New Roman"/>
          <w:sz w:val="24"/>
          <w:szCs w:val="24"/>
        </w:rPr>
        <w:t>n el periodo de un año ingresaron a la</w:t>
      </w:r>
      <w:r w:rsidR="00DA794A" w:rsidRPr="0069230C">
        <w:rPr>
          <w:rFonts w:ascii="Times New Roman" w:hAnsi="Times New Roman" w:cs="Times New Roman"/>
          <w:sz w:val="24"/>
          <w:szCs w:val="24"/>
        </w:rPr>
        <w:t xml:space="preserve"> </w:t>
      </w:r>
      <w:r w:rsidR="00226BB2" w:rsidRPr="0069230C">
        <w:rPr>
          <w:rFonts w:ascii="Times New Roman" w:hAnsi="Times New Roman" w:cs="Times New Roman"/>
          <w:sz w:val="24"/>
          <w:szCs w:val="24"/>
        </w:rPr>
        <w:t>UCI</w:t>
      </w:r>
      <w:r w:rsidR="006E6656" w:rsidRPr="0069230C">
        <w:rPr>
          <w:rFonts w:ascii="Times New Roman" w:hAnsi="Times New Roman" w:cs="Times New Roman"/>
          <w:sz w:val="24"/>
          <w:szCs w:val="24"/>
        </w:rPr>
        <w:t xml:space="preserve"> 33 paci</w:t>
      </w:r>
      <w:r w:rsidR="00226BB2" w:rsidRPr="0069230C">
        <w:rPr>
          <w:rFonts w:ascii="Times New Roman" w:hAnsi="Times New Roman" w:cs="Times New Roman"/>
          <w:sz w:val="24"/>
          <w:szCs w:val="24"/>
        </w:rPr>
        <w:t xml:space="preserve">entes con </w:t>
      </w:r>
      <w:r w:rsidR="00DA794A" w:rsidRPr="0069230C">
        <w:rPr>
          <w:rFonts w:ascii="Times New Roman" w:hAnsi="Times New Roman" w:cs="Times New Roman"/>
          <w:sz w:val="24"/>
          <w:szCs w:val="24"/>
        </w:rPr>
        <w:t>TCE</w:t>
      </w:r>
      <w:r w:rsidR="00997B89" w:rsidRPr="0069230C">
        <w:rPr>
          <w:rFonts w:ascii="Times New Roman" w:hAnsi="Times New Roman" w:cs="Times New Roman"/>
          <w:sz w:val="24"/>
          <w:szCs w:val="24"/>
        </w:rPr>
        <w:t xml:space="preserve">, </w:t>
      </w:r>
      <w:r w:rsidR="006E6656" w:rsidRPr="0069230C">
        <w:rPr>
          <w:rFonts w:ascii="Times New Roman" w:hAnsi="Times New Roman" w:cs="Times New Roman"/>
          <w:sz w:val="24"/>
          <w:szCs w:val="24"/>
        </w:rPr>
        <w:t xml:space="preserve">30 </w:t>
      </w:r>
      <w:r w:rsidR="006653D6" w:rsidRPr="0069230C">
        <w:rPr>
          <w:rFonts w:ascii="Times New Roman" w:hAnsi="Times New Roman" w:cs="Times New Roman"/>
          <w:sz w:val="24"/>
          <w:szCs w:val="24"/>
        </w:rPr>
        <w:t>se incluyeron en el estudio al</w:t>
      </w:r>
      <w:r w:rsidR="00226BB2" w:rsidRPr="0069230C">
        <w:rPr>
          <w:rFonts w:ascii="Times New Roman" w:hAnsi="Times New Roman" w:cs="Times New Roman"/>
          <w:sz w:val="24"/>
          <w:szCs w:val="24"/>
        </w:rPr>
        <w:t xml:space="preserve"> cumplir </w:t>
      </w:r>
      <w:r w:rsidR="006E6656" w:rsidRPr="0069230C">
        <w:rPr>
          <w:rFonts w:ascii="Times New Roman" w:hAnsi="Times New Roman" w:cs="Times New Roman"/>
          <w:sz w:val="24"/>
          <w:szCs w:val="24"/>
        </w:rPr>
        <w:t>con los criterios de inclusión; 90</w:t>
      </w:r>
      <w:r w:rsidR="003B7CFA" w:rsidRPr="0069230C">
        <w:rPr>
          <w:rFonts w:ascii="Times New Roman" w:hAnsi="Times New Roman" w:cs="Times New Roman"/>
          <w:sz w:val="24"/>
          <w:szCs w:val="24"/>
        </w:rPr>
        <w:t xml:space="preserve"> </w:t>
      </w:r>
      <w:r w:rsidR="006E6656" w:rsidRPr="0069230C">
        <w:rPr>
          <w:rFonts w:ascii="Times New Roman" w:hAnsi="Times New Roman" w:cs="Times New Roman"/>
          <w:sz w:val="24"/>
          <w:szCs w:val="24"/>
        </w:rPr>
        <w:t>% (27) fueron hombres y 10</w:t>
      </w:r>
      <w:r w:rsidR="003B7CFA" w:rsidRPr="0069230C">
        <w:rPr>
          <w:rFonts w:ascii="Times New Roman" w:hAnsi="Times New Roman" w:cs="Times New Roman"/>
          <w:sz w:val="24"/>
          <w:szCs w:val="24"/>
        </w:rPr>
        <w:t xml:space="preserve"> </w:t>
      </w:r>
      <w:r w:rsidR="006E6656" w:rsidRPr="0069230C">
        <w:rPr>
          <w:rFonts w:ascii="Times New Roman" w:hAnsi="Times New Roman" w:cs="Times New Roman"/>
          <w:sz w:val="24"/>
          <w:szCs w:val="24"/>
        </w:rPr>
        <w:t>% (3) mujeres, con un promedio de edad de 33 años en hombre</w:t>
      </w:r>
      <w:r w:rsidR="003B7CFA" w:rsidRPr="0069230C">
        <w:rPr>
          <w:rFonts w:ascii="Times New Roman" w:hAnsi="Times New Roman" w:cs="Times New Roman"/>
          <w:sz w:val="24"/>
          <w:szCs w:val="24"/>
        </w:rPr>
        <w:t>s</w:t>
      </w:r>
      <w:r w:rsidR="006E6656" w:rsidRPr="0069230C">
        <w:rPr>
          <w:rFonts w:ascii="Times New Roman" w:hAnsi="Times New Roman" w:cs="Times New Roman"/>
          <w:sz w:val="24"/>
          <w:szCs w:val="24"/>
        </w:rPr>
        <w:t xml:space="preserve"> y 18 años en mujer</w:t>
      </w:r>
      <w:r w:rsidR="003B7CFA" w:rsidRPr="0069230C">
        <w:rPr>
          <w:rFonts w:ascii="Times New Roman" w:hAnsi="Times New Roman" w:cs="Times New Roman"/>
          <w:sz w:val="24"/>
          <w:szCs w:val="24"/>
        </w:rPr>
        <w:t>es</w:t>
      </w:r>
      <w:r w:rsidR="006E6656" w:rsidRPr="0069230C">
        <w:rPr>
          <w:rFonts w:ascii="Times New Roman" w:hAnsi="Times New Roman" w:cs="Times New Roman"/>
          <w:sz w:val="24"/>
          <w:szCs w:val="24"/>
        </w:rPr>
        <w:t>.</w:t>
      </w:r>
      <w:r w:rsidR="00C773C0" w:rsidRPr="0069230C">
        <w:rPr>
          <w:rFonts w:ascii="Times New Roman" w:hAnsi="Times New Roman" w:cs="Times New Roman"/>
          <w:sz w:val="24"/>
          <w:szCs w:val="24"/>
        </w:rPr>
        <w:t xml:space="preserve"> </w:t>
      </w:r>
      <w:r w:rsidR="00366498" w:rsidRPr="0069230C">
        <w:rPr>
          <w:rFonts w:ascii="Times New Roman" w:hAnsi="Times New Roman" w:cs="Times New Roman"/>
          <w:sz w:val="24"/>
          <w:szCs w:val="24"/>
        </w:rPr>
        <w:t>Se administró dieta enteral</w:t>
      </w:r>
      <w:r w:rsidR="003F6E42" w:rsidRPr="0069230C">
        <w:rPr>
          <w:rFonts w:ascii="Times New Roman" w:hAnsi="Times New Roman" w:cs="Times New Roman"/>
          <w:sz w:val="24"/>
          <w:szCs w:val="24"/>
        </w:rPr>
        <w:t xml:space="preserve"> (licuada)</w:t>
      </w:r>
      <w:r w:rsidR="00366498" w:rsidRPr="0069230C">
        <w:rPr>
          <w:rFonts w:ascii="Times New Roman" w:hAnsi="Times New Roman" w:cs="Times New Roman"/>
          <w:sz w:val="24"/>
          <w:szCs w:val="24"/>
        </w:rPr>
        <w:t xml:space="preserve"> al 86.6</w:t>
      </w:r>
      <w:r w:rsidR="003B7CFA" w:rsidRPr="0069230C">
        <w:rPr>
          <w:rFonts w:ascii="Times New Roman" w:hAnsi="Times New Roman" w:cs="Times New Roman"/>
          <w:sz w:val="24"/>
          <w:szCs w:val="24"/>
        </w:rPr>
        <w:t xml:space="preserve"> </w:t>
      </w:r>
      <w:r w:rsidR="00366498" w:rsidRPr="0069230C">
        <w:rPr>
          <w:rFonts w:ascii="Times New Roman" w:hAnsi="Times New Roman" w:cs="Times New Roman"/>
          <w:sz w:val="24"/>
          <w:szCs w:val="24"/>
        </w:rPr>
        <w:t>% (26 pacientes); a 10.0</w:t>
      </w:r>
      <w:r w:rsidR="003B7CFA" w:rsidRPr="0069230C">
        <w:rPr>
          <w:rFonts w:ascii="Times New Roman" w:hAnsi="Times New Roman" w:cs="Times New Roman"/>
          <w:sz w:val="24"/>
          <w:szCs w:val="24"/>
        </w:rPr>
        <w:t xml:space="preserve"> </w:t>
      </w:r>
      <w:r w:rsidR="00366498" w:rsidRPr="0069230C">
        <w:rPr>
          <w:rFonts w:ascii="Times New Roman" w:hAnsi="Times New Roman" w:cs="Times New Roman"/>
          <w:sz w:val="24"/>
          <w:szCs w:val="24"/>
        </w:rPr>
        <w:t xml:space="preserve">% (3) dieta vía oral y </w:t>
      </w:r>
      <w:r w:rsidR="003B7CFA" w:rsidRPr="0069230C">
        <w:rPr>
          <w:rFonts w:ascii="Times New Roman" w:hAnsi="Times New Roman" w:cs="Times New Roman"/>
          <w:sz w:val="24"/>
          <w:szCs w:val="24"/>
        </w:rPr>
        <w:t xml:space="preserve">a </w:t>
      </w:r>
      <w:r w:rsidR="00366498" w:rsidRPr="0069230C">
        <w:rPr>
          <w:rFonts w:ascii="Times New Roman" w:hAnsi="Times New Roman" w:cs="Times New Roman"/>
          <w:sz w:val="24"/>
          <w:szCs w:val="24"/>
        </w:rPr>
        <w:t>2.3</w:t>
      </w:r>
      <w:r w:rsidR="003B7CFA" w:rsidRPr="0069230C">
        <w:rPr>
          <w:rFonts w:ascii="Times New Roman" w:hAnsi="Times New Roman" w:cs="Times New Roman"/>
          <w:sz w:val="24"/>
          <w:szCs w:val="24"/>
        </w:rPr>
        <w:t xml:space="preserve"> </w:t>
      </w:r>
      <w:r w:rsidR="00366498" w:rsidRPr="0069230C">
        <w:rPr>
          <w:rFonts w:ascii="Times New Roman" w:hAnsi="Times New Roman" w:cs="Times New Roman"/>
          <w:sz w:val="24"/>
          <w:szCs w:val="24"/>
        </w:rPr>
        <w:t>% (1) no se le administró dieta por fallecimiento; al 42.3</w:t>
      </w:r>
      <w:r w:rsidR="003B7CFA" w:rsidRPr="0069230C">
        <w:rPr>
          <w:rFonts w:ascii="Times New Roman" w:hAnsi="Times New Roman" w:cs="Times New Roman"/>
          <w:sz w:val="24"/>
          <w:szCs w:val="24"/>
        </w:rPr>
        <w:t xml:space="preserve"> </w:t>
      </w:r>
      <w:r w:rsidR="00366498" w:rsidRPr="0069230C">
        <w:rPr>
          <w:rFonts w:ascii="Times New Roman" w:hAnsi="Times New Roman" w:cs="Times New Roman"/>
          <w:sz w:val="24"/>
          <w:szCs w:val="24"/>
        </w:rPr>
        <w:t>% se le administr</w:t>
      </w:r>
      <w:r w:rsidR="003B7CFA" w:rsidRPr="0069230C">
        <w:rPr>
          <w:rFonts w:ascii="Times New Roman" w:hAnsi="Times New Roman" w:cs="Times New Roman"/>
          <w:sz w:val="24"/>
          <w:szCs w:val="24"/>
        </w:rPr>
        <w:t>ó</w:t>
      </w:r>
      <w:r w:rsidR="00366498" w:rsidRPr="0069230C">
        <w:rPr>
          <w:rFonts w:ascii="Times New Roman" w:hAnsi="Times New Roman" w:cs="Times New Roman"/>
          <w:sz w:val="24"/>
          <w:szCs w:val="24"/>
        </w:rPr>
        <w:t xml:space="preserve"> dieta enteral dentro de las primeras 48 horas de su ingreso a la UCI</w:t>
      </w:r>
      <w:r w:rsidR="00226BB2" w:rsidRPr="0069230C">
        <w:rPr>
          <w:rFonts w:ascii="Times New Roman" w:hAnsi="Times New Roman" w:cs="Times New Roman"/>
          <w:sz w:val="24"/>
          <w:szCs w:val="24"/>
        </w:rPr>
        <w:t>;</w:t>
      </w:r>
      <w:r w:rsidR="00346D1A" w:rsidRPr="0069230C">
        <w:rPr>
          <w:rFonts w:ascii="Times New Roman" w:hAnsi="Times New Roman" w:cs="Times New Roman"/>
          <w:sz w:val="24"/>
          <w:szCs w:val="24"/>
        </w:rPr>
        <w:t xml:space="preserve"> </w:t>
      </w:r>
      <w:r w:rsidR="004338BD" w:rsidRPr="0069230C">
        <w:rPr>
          <w:rFonts w:ascii="Times New Roman" w:hAnsi="Times New Roman" w:cs="Times New Roman"/>
          <w:sz w:val="24"/>
          <w:szCs w:val="24"/>
        </w:rPr>
        <w:t>91.6</w:t>
      </w:r>
      <w:r w:rsidR="003B7CFA" w:rsidRPr="0069230C">
        <w:rPr>
          <w:rFonts w:ascii="Times New Roman" w:hAnsi="Times New Roman" w:cs="Times New Roman"/>
          <w:sz w:val="24"/>
          <w:szCs w:val="24"/>
        </w:rPr>
        <w:t xml:space="preserve"> </w:t>
      </w:r>
      <w:r w:rsidR="004338BD" w:rsidRPr="0069230C">
        <w:rPr>
          <w:rFonts w:ascii="Times New Roman" w:hAnsi="Times New Roman" w:cs="Times New Roman"/>
          <w:sz w:val="24"/>
          <w:szCs w:val="24"/>
        </w:rPr>
        <w:t>% prese</w:t>
      </w:r>
      <w:r w:rsidR="003F6E42" w:rsidRPr="0069230C">
        <w:rPr>
          <w:rFonts w:ascii="Times New Roman" w:hAnsi="Times New Roman" w:cs="Times New Roman"/>
          <w:sz w:val="24"/>
          <w:szCs w:val="24"/>
        </w:rPr>
        <w:t>ntaron</w:t>
      </w:r>
      <w:r w:rsidR="000762B9" w:rsidRPr="0069230C">
        <w:rPr>
          <w:rFonts w:ascii="Times New Roman" w:hAnsi="Times New Roman" w:cs="Times New Roman"/>
          <w:sz w:val="24"/>
          <w:szCs w:val="24"/>
        </w:rPr>
        <w:t xml:space="preserve"> complicaciones infecciosas </w:t>
      </w:r>
      <w:r w:rsidR="00226BB2" w:rsidRPr="0069230C">
        <w:rPr>
          <w:rFonts w:ascii="Times New Roman" w:hAnsi="Times New Roman" w:cs="Times New Roman"/>
          <w:sz w:val="24"/>
          <w:szCs w:val="24"/>
        </w:rPr>
        <w:t>y</w:t>
      </w:r>
      <w:r w:rsidR="003F6E42" w:rsidRPr="0069230C">
        <w:rPr>
          <w:rFonts w:ascii="Times New Roman" w:hAnsi="Times New Roman" w:cs="Times New Roman"/>
          <w:sz w:val="24"/>
          <w:szCs w:val="24"/>
        </w:rPr>
        <w:t xml:space="preserve"> </w:t>
      </w:r>
      <w:r w:rsidR="004338BD" w:rsidRPr="0069230C">
        <w:rPr>
          <w:rFonts w:ascii="Times New Roman" w:hAnsi="Times New Roman" w:cs="Times New Roman"/>
          <w:sz w:val="24"/>
          <w:szCs w:val="24"/>
        </w:rPr>
        <w:t>20</w:t>
      </w:r>
      <w:r w:rsidR="003B7CFA" w:rsidRPr="0069230C">
        <w:rPr>
          <w:rFonts w:ascii="Times New Roman" w:hAnsi="Times New Roman" w:cs="Times New Roman"/>
          <w:sz w:val="24"/>
          <w:szCs w:val="24"/>
        </w:rPr>
        <w:t xml:space="preserve"> </w:t>
      </w:r>
      <w:r w:rsidR="004338BD" w:rsidRPr="0069230C">
        <w:rPr>
          <w:rFonts w:ascii="Times New Roman" w:hAnsi="Times New Roman" w:cs="Times New Roman"/>
          <w:sz w:val="24"/>
          <w:szCs w:val="24"/>
        </w:rPr>
        <w:t>%</w:t>
      </w:r>
      <w:r w:rsidR="00C773C0" w:rsidRPr="0069230C">
        <w:rPr>
          <w:rFonts w:ascii="Times New Roman" w:hAnsi="Times New Roman" w:cs="Times New Roman"/>
          <w:sz w:val="24"/>
          <w:szCs w:val="24"/>
        </w:rPr>
        <w:t xml:space="preserve"> </w:t>
      </w:r>
      <w:r w:rsidR="00226BB2" w:rsidRPr="0069230C">
        <w:rPr>
          <w:rFonts w:ascii="Times New Roman" w:hAnsi="Times New Roman" w:cs="Times New Roman"/>
          <w:sz w:val="24"/>
          <w:szCs w:val="24"/>
        </w:rPr>
        <w:t xml:space="preserve">de </w:t>
      </w:r>
      <w:r w:rsidR="00C773C0" w:rsidRPr="0069230C">
        <w:rPr>
          <w:rFonts w:ascii="Times New Roman" w:hAnsi="Times New Roman" w:cs="Times New Roman"/>
          <w:sz w:val="24"/>
          <w:szCs w:val="24"/>
        </w:rPr>
        <w:t>mortalidad</w:t>
      </w:r>
      <w:r w:rsidR="003F6E42" w:rsidRPr="0069230C">
        <w:rPr>
          <w:rFonts w:ascii="Times New Roman" w:hAnsi="Times New Roman" w:cs="Times New Roman"/>
          <w:sz w:val="24"/>
          <w:szCs w:val="24"/>
        </w:rPr>
        <w:t xml:space="preserve"> en general</w:t>
      </w:r>
      <w:r w:rsidR="004338BD" w:rsidRPr="0069230C">
        <w:rPr>
          <w:rFonts w:ascii="Times New Roman" w:hAnsi="Times New Roman" w:cs="Times New Roman"/>
          <w:sz w:val="24"/>
          <w:szCs w:val="24"/>
        </w:rPr>
        <w:t>. El promedio de días de estancia hospitalaria</w:t>
      </w:r>
      <w:r w:rsidR="0090137E" w:rsidRPr="0069230C">
        <w:rPr>
          <w:rFonts w:ascii="Times New Roman" w:hAnsi="Times New Roman" w:cs="Times New Roman"/>
          <w:sz w:val="24"/>
          <w:szCs w:val="24"/>
        </w:rPr>
        <w:t xml:space="preserve"> en la UCI</w:t>
      </w:r>
      <w:r w:rsidR="004338BD" w:rsidRPr="0069230C">
        <w:rPr>
          <w:rFonts w:ascii="Times New Roman" w:hAnsi="Times New Roman" w:cs="Times New Roman"/>
          <w:sz w:val="24"/>
          <w:szCs w:val="24"/>
        </w:rPr>
        <w:t xml:space="preserve"> fue de 7.5 días. </w:t>
      </w:r>
      <w:r w:rsidR="00C110DB" w:rsidRPr="0069230C">
        <w:rPr>
          <w:rFonts w:ascii="Times New Roman" w:hAnsi="Times New Roman" w:cs="Times New Roman"/>
          <w:sz w:val="24"/>
          <w:szCs w:val="24"/>
        </w:rPr>
        <w:t>Se encontró una relación sign</w:t>
      </w:r>
      <w:r w:rsidR="0090137E" w:rsidRPr="0069230C">
        <w:rPr>
          <w:rFonts w:ascii="Times New Roman" w:hAnsi="Times New Roman" w:cs="Times New Roman"/>
          <w:sz w:val="24"/>
          <w:szCs w:val="24"/>
        </w:rPr>
        <w:t>ificativa (p&lt;0.05) entre el tiempo</w:t>
      </w:r>
      <w:r w:rsidR="00C110DB" w:rsidRPr="0069230C">
        <w:rPr>
          <w:rFonts w:ascii="Times New Roman" w:hAnsi="Times New Roman" w:cs="Times New Roman"/>
          <w:sz w:val="24"/>
          <w:szCs w:val="24"/>
        </w:rPr>
        <w:t xml:space="preserve"> de inicio de la dieta con días de estancia hospitalaria, días de intubación </w:t>
      </w:r>
      <w:proofErr w:type="spellStart"/>
      <w:r w:rsidR="00C110DB" w:rsidRPr="0069230C">
        <w:rPr>
          <w:rFonts w:ascii="Times New Roman" w:hAnsi="Times New Roman" w:cs="Times New Roman"/>
          <w:sz w:val="24"/>
          <w:szCs w:val="24"/>
        </w:rPr>
        <w:t>endotraque</w:t>
      </w:r>
      <w:r w:rsidR="0090137E" w:rsidRPr="0069230C">
        <w:rPr>
          <w:rFonts w:ascii="Times New Roman" w:hAnsi="Times New Roman" w:cs="Times New Roman"/>
          <w:sz w:val="24"/>
          <w:szCs w:val="24"/>
        </w:rPr>
        <w:t>al</w:t>
      </w:r>
      <w:proofErr w:type="spellEnd"/>
      <w:r w:rsidR="0090137E" w:rsidRPr="0069230C">
        <w:rPr>
          <w:rFonts w:ascii="Times New Roman" w:hAnsi="Times New Roman" w:cs="Times New Roman"/>
          <w:sz w:val="24"/>
          <w:szCs w:val="24"/>
        </w:rPr>
        <w:t xml:space="preserve">  y el conteo leucocitario a su </w:t>
      </w:r>
      <w:r w:rsidR="00C110DB" w:rsidRPr="0069230C">
        <w:rPr>
          <w:rFonts w:ascii="Times New Roman" w:hAnsi="Times New Roman" w:cs="Times New Roman"/>
          <w:sz w:val="24"/>
          <w:szCs w:val="24"/>
        </w:rPr>
        <w:t>e</w:t>
      </w:r>
      <w:r w:rsidR="0090137E" w:rsidRPr="0069230C">
        <w:rPr>
          <w:rFonts w:ascii="Times New Roman" w:hAnsi="Times New Roman" w:cs="Times New Roman"/>
          <w:sz w:val="24"/>
          <w:szCs w:val="24"/>
        </w:rPr>
        <w:t>greso</w:t>
      </w:r>
      <w:r w:rsidR="00C110DB" w:rsidRPr="0069230C">
        <w:rPr>
          <w:rFonts w:ascii="Times New Roman" w:hAnsi="Times New Roman" w:cs="Times New Roman"/>
          <w:sz w:val="24"/>
          <w:szCs w:val="24"/>
        </w:rPr>
        <w:t>.</w:t>
      </w:r>
    </w:p>
    <w:p w:rsidR="003B7CFA" w:rsidRPr="0069230C" w:rsidRDefault="004338BD" w:rsidP="0069230C">
      <w:pPr>
        <w:spacing w:after="0" w:line="360" w:lineRule="auto"/>
        <w:jc w:val="both"/>
        <w:rPr>
          <w:rFonts w:ascii="Times New Roman" w:hAnsi="Times New Roman" w:cs="Times New Roman"/>
          <w:sz w:val="24"/>
          <w:szCs w:val="24"/>
        </w:rPr>
      </w:pPr>
      <w:r w:rsidRPr="0069230C">
        <w:rPr>
          <w:rFonts w:ascii="Times New Roman" w:hAnsi="Times New Roman" w:cs="Times New Roman"/>
          <w:sz w:val="24"/>
          <w:szCs w:val="24"/>
        </w:rPr>
        <w:t>En ninguno de los pacientes se realizó evaluación nutricional al ingreso a la UCI.</w:t>
      </w:r>
      <w:r w:rsidR="00C110DB" w:rsidRPr="0069230C">
        <w:rPr>
          <w:rFonts w:ascii="Times New Roman" w:hAnsi="Times New Roman" w:cs="Times New Roman"/>
          <w:sz w:val="24"/>
          <w:szCs w:val="24"/>
        </w:rPr>
        <w:t xml:space="preserve"> </w:t>
      </w:r>
    </w:p>
    <w:p w:rsidR="003B7CFA" w:rsidRPr="0069230C" w:rsidRDefault="003B7CFA" w:rsidP="0069230C">
      <w:pPr>
        <w:spacing w:after="0" w:line="360" w:lineRule="auto"/>
        <w:jc w:val="both"/>
        <w:rPr>
          <w:rFonts w:ascii="Times New Roman" w:hAnsi="Times New Roman" w:cs="Times New Roman"/>
          <w:sz w:val="24"/>
          <w:szCs w:val="24"/>
        </w:rPr>
      </w:pPr>
    </w:p>
    <w:p w:rsidR="004338BD" w:rsidRPr="0069230C" w:rsidRDefault="004338BD" w:rsidP="0069230C">
      <w:pPr>
        <w:spacing w:after="0" w:line="360" w:lineRule="auto"/>
        <w:jc w:val="both"/>
        <w:rPr>
          <w:rFonts w:ascii="Times New Roman" w:hAnsi="Times New Roman" w:cs="Times New Roman"/>
          <w:b/>
          <w:sz w:val="24"/>
          <w:szCs w:val="24"/>
        </w:rPr>
      </w:pPr>
      <w:r w:rsidRPr="0069230C">
        <w:rPr>
          <w:rFonts w:ascii="Times New Roman" w:hAnsi="Times New Roman" w:cs="Times New Roman"/>
          <w:b/>
          <w:sz w:val="24"/>
          <w:szCs w:val="24"/>
        </w:rPr>
        <w:t>Conclusiones</w:t>
      </w:r>
    </w:p>
    <w:p w:rsidR="003B7CFA" w:rsidRPr="0069230C" w:rsidRDefault="003B7CFA" w:rsidP="0069230C">
      <w:pPr>
        <w:spacing w:after="0" w:line="360" w:lineRule="auto"/>
        <w:jc w:val="both"/>
        <w:rPr>
          <w:rFonts w:ascii="Times New Roman" w:hAnsi="Times New Roman" w:cs="Times New Roman"/>
          <w:b/>
          <w:sz w:val="24"/>
          <w:szCs w:val="24"/>
        </w:rPr>
      </w:pPr>
    </w:p>
    <w:p w:rsidR="004F4FC6" w:rsidRPr="0069230C" w:rsidRDefault="0090137E" w:rsidP="0069230C">
      <w:pPr>
        <w:spacing w:after="0" w:line="360" w:lineRule="auto"/>
        <w:jc w:val="both"/>
        <w:rPr>
          <w:rFonts w:ascii="Times New Roman" w:hAnsi="Times New Roman" w:cs="Times New Roman"/>
          <w:sz w:val="24"/>
          <w:szCs w:val="24"/>
        </w:rPr>
      </w:pPr>
      <w:r w:rsidRPr="0069230C">
        <w:rPr>
          <w:rFonts w:ascii="Times New Roman" w:hAnsi="Times New Roman" w:cs="Times New Roman"/>
          <w:sz w:val="24"/>
          <w:szCs w:val="24"/>
        </w:rPr>
        <w:t>El empleo de nutrición enteral</w:t>
      </w:r>
      <w:r w:rsidR="007E6EFC" w:rsidRPr="0069230C">
        <w:rPr>
          <w:rFonts w:ascii="Times New Roman" w:hAnsi="Times New Roman" w:cs="Times New Roman"/>
          <w:sz w:val="24"/>
          <w:szCs w:val="24"/>
        </w:rPr>
        <w:t xml:space="preserve"> temprana </w:t>
      </w:r>
      <w:r w:rsidRPr="0069230C">
        <w:rPr>
          <w:rFonts w:ascii="Times New Roman" w:hAnsi="Times New Roman" w:cs="Times New Roman"/>
          <w:sz w:val="24"/>
          <w:szCs w:val="24"/>
        </w:rPr>
        <w:t xml:space="preserve">(antes de 72 horas) </w:t>
      </w:r>
      <w:r w:rsidR="00226078" w:rsidRPr="0069230C">
        <w:rPr>
          <w:rFonts w:ascii="Times New Roman" w:hAnsi="Times New Roman" w:cs="Times New Roman"/>
          <w:sz w:val="24"/>
          <w:szCs w:val="24"/>
        </w:rPr>
        <w:t xml:space="preserve">en el paciente con TCE, </w:t>
      </w:r>
      <w:r w:rsidR="007E6EFC" w:rsidRPr="0069230C">
        <w:rPr>
          <w:rFonts w:ascii="Times New Roman" w:hAnsi="Times New Roman" w:cs="Times New Roman"/>
          <w:sz w:val="24"/>
          <w:szCs w:val="24"/>
        </w:rPr>
        <w:t>disminuye</w:t>
      </w:r>
      <w:r w:rsidR="00C110DB" w:rsidRPr="0069230C">
        <w:rPr>
          <w:rFonts w:ascii="Times New Roman" w:hAnsi="Times New Roman" w:cs="Times New Roman"/>
          <w:sz w:val="24"/>
          <w:szCs w:val="24"/>
        </w:rPr>
        <w:t xml:space="preserve"> la incidencia de infecciones nosocomiales, días de ventilación mecánica y de estancia hospitalaria</w:t>
      </w:r>
      <w:r w:rsidR="00226078" w:rsidRPr="0069230C">
        <w:rPr>
          <w:rFonts w:ascii="Times New Roman" w:hAnsi="Times New Roman" w:cs="Times New Roman"/>
          <w:sz w:val="24"/>
          <w:szCs w:val="24"/>
        </w:rPr>
        <w:t xml:space="preserve"> en la UCI</w:t>
      </w:r>
      <w:r w:rsidR="00C110DB" w:rsidRPr="0069230C">
        <w:rPr>
          <w:rFonts w:ascii="Times New Roman" w:hAnsi="Times New Roman" w:cs="Times New Roman"/>
          <w:sz w:val="24"/>
          <w:szCs w:val="24"/>
        </w:rPr>
        <w:t>.</w:t>
      </w:r>
    </w:p>
    <w:p w:rsidR="00C110DB" w:rsidRDefault="00C110DB" w:rsidP="00666D07">
      <w:pPr>
        <w:spacing w:after="0" w:line="240" w:lineRule="auto"/>
        <w:jc w:val="both"/>
        <w:rPr>
          <w:rFonts w:ascii="Arial" w:hAnsi="Arial" w:cs="Arial"/>
          <w:b/>
          <w:sz w:val="24"/>
          <w:szCs w:val="24"/>
        </w:rPr>
      </w:pPr>
    </w:p>
    <w:p w:rsidR="004338BD" w:rsidRDefault="004338BD" w:rsidP="0069230C">
      <w:pPr>
        <w:spacing w:after="0" w:line="360" w:lineRule="auto"/>
        <w:jc w:val="both"/>
        <w:rPr>
          <w:rFonts w:ascii="Arial" w:hAnsi="Arial" w:cs="Arial"/>
          <w:sz w:val="24"/>
          <w:szCs w:val="24"/>
        </w:rPr>
      </w:pPr>
      <w:r w:rsidRPr="00130B1A">
        <w:rPr>
          <w:rFonts w:ascii="Calibri" w:eastAsia="Times New Roman" w:hAnsi="Calibri" w:cs="Calibri"/>
          <w:color w:val="7030A0"/>
          <w:sz w:val="28"/>
          <w:szCs w:val="28"/>
          <w:lang w:val="es-ES" w:eastAsia="es-ES"/>
        </w:rPr>
        <w:t>Palabras clave</w:t>
      </w:r>
      <w:r w:rsidR="003B7CFA" w:rsidRPr="00130B1A">
        <w:rPr>
          <w:rFonts w:ascii="Calibri" w:eastAsia="Times New Roman" w:hAnsi="Calibri" w:cs="Calibri"/>
          <w:color w:val="7030A0"/>
          <w:sz w:val="28"/>
          <w:szCs w:val="28"/>
          <w:lang w:val="es-ES" w:eastAsia="es-ES"/>
        </w:rPr>
        <w:t>:</w:t>
      </w:r>
      <w:r w:rsidR="003B7CFA">
        <w:rPr>
          <w:rFonts w:ascii="Arial" w:hAnsi="Arial" w:cs="Arial"/>
          <w:b/>
          <w:sz w:val="24"/>
          <w:szCs w:val="24"/>
        </w:rPr>
        <w:t xml:space="preserve"> </w:t>
      </w:r>
      <w:r w:rsidR="003B7CFA" w:rsidRPr="0069230C">
        <w:rPr>
          <w:rFonts w:ascii="Times New Roman" w:hAnsi="Times New Roman" w:cs="Times New Roman"/>
          <w:sz w:val="24"/>
          <w:szCs w:val="24"/>
        </w:rPr>
        <w:t>n</w:t>
      </w:r>
      <w:r w:rsidR="000420E9" w:rsidRPr="0069230C">
        <w:rPr>
          <w:rFonts w:ascii="Times New Roman" w:hAnsi="Times New Roman" w:cs="Times New Roman"/>
          <w:sz w:val="24"/>
          <w:szCs w:val="24"/>
        </w:rPr>
        <w:t>utri</w:t>
      </w:r>
      <w:r w:rsidRPr="0069230C">
        <w:rPr>
          <w:rFonts w:ascii="Times New Roman" w:hAnsi="Times New Roman" w:cs="Times New Roman"/>
          <w:sz w:val="24"/>
          <w:szCs w:val="24"/>
        </w:rPr>
        <w:t>ción enteral, traumatismo craneoencefálico, morbimortalidad, estancia hospitalaria.</w:t>
      </w:r>
    </w:p>
    <w:p w:rsidR="004338BD" w:rsidRDefault="004338BD" w:rsidP="00666D07">
      <w:pPr>
        <w:spacing w:after="0" w:line="240" w:lineRule="auto"/>
        <w:jc w:val="both"/>
        <w:rPr>
          <w:rFonts w:ascii="Arial" w:hAnsi="Arial" w:cs="Arial"/>
          <w:b/>
        </w:rPr>
      </w:pPr>
    </w:p>
    <w:p w:rsidR="006C5CA0" w:rsidRDefault="006C5CA0" w:rsidP="00666D07">
      <w:pPr>
        <w:spacing w:line="240" w:lineRule="auto"/>
        <w:jc w:val="both"/>
        <w:rPr>
          <w:rFonts w:ascii="Calibri" w:eastAsia="Times New Roman" w:hAnsi="Calibri" w:cs="Calibri"/>
          <w:color w:val="7030A0"/>
          <w:sz w:val="28"/>
          <w:szCs w:val="28"/>
          <w:lang w:val="es-ES" w:eastAsia="es-ES"/>
        </w:rPr>
      </w:pPr>
    </w:p>
    <w:p w:rsidR="006C5CA0" w:rsidRDefault="006C5CA0" w:rsidP="00666D07">
      <w:pPr>
        <w:spacing w:line="240" w:lineRule="auto"/>
        <w:jc w:val="both"/>
        <w:rPr>
          <w:rFonts w:ascii="Calibri" w:eastAsia="Times New Roman" w:hAnsi="Calibri" w:cs="Calibri"/>
          <w:color w:val="7030A0"/>
          <w:sz w:val="28"/>
          <w:szCs w:val="28"/>
          <w:lang w:val="es-ES" w:eastAsia="es-ES"/>
        </w:rPr>
      </w:pPr>
    </w:p>
    <w:p w:rsidR="00786373" w:rsidRPr="0019583F" w:rsidRDefault="00786373" w:rsidP="00786373">
      <w:pPr>
        <w:spacing w:after="0" w:line="240" w:lineRule="auto"/>
        <w:jc w:val="both"/>
        <w:rPr>
          <w:rFonts w:ascii="Calibri" w:eastAsia="Times New Roman" w:hAnsi="Calibri" w:cs="Calibri"/>
          <w:color w:val="7030A0"/>
          <w:sz w:val="28"/>
          <w:szCs w:val="28"/>
          <w:lang w:val="en-US" w:eastAsia="es-ES"/>
        </w:rPr>
      </w:pPr>
      <w:r w:rsidRPr="0019583F">
        <w:rPr>
          <w:rFonts w:ascii="Calibri" w:eastAsia="Times New Roman" w:hAnsi="Calibri" w:cs="Calibri"/>
          <w:color w:val="7030A0"/>
          <w:sz w:val="28"/>
          <w:szCs w:val="28"/>
          <w:lang w:val="en-US" w:eastAsia="es-ES"/>
        </w:rPr>
        <w:lastRenderedPageBreak/>
        <w:t>Abstract</w:t>
      </w:r>
    </w:p>
    <w:p w:rsidR="00786373" w:rsidRPr="0019583F" w:rsidRDefault="00786373" w:rsidP="00786373">
      <w:pPr>
        <w:spacing w:after="0" w:line="360" w:lineRule="auto"/>
        <w:jc w:val="both"/>
        <w:rPr>
          <w:rFonts w:ascii="Times New Roman" w:hAnsi="Times New Roman" w:cs="Times New Roman"/>
          <w:sz w:val="24"/>
          <w:szCs w:val="24"/>
          <w:lang w:val="en-US"/>
        </w:rPr>
      </w:pPr>
      <w:r w:rsidRPr="0019583F">
        <w:rPr>
          <w:rFonts w:ascii="Times New Roman" w:hAnsi="Times New Roman" w:cs="Times New Roman"/>
          <w:sz w:val="24"/>
          <w:szCs w:val="24"/>
          <w:lang w:val="en-US"/>
        </w:rPr>
        <w:br/>
      </w:r>
      <w:r w:rsidRPr="0019583F">
        <w:rPr>
          <w:rFonts w:ascii="Times New Roman" w:hAnsi="Times New Roman" w:cs="Times New Roman"/>
          <w:b/>
          <w:sz w:val="24"/>
          <w:szCs w:val="24"/>
          <w:lang w:val="en-US"/>
        </w:rPr>
        <w:t>Objective</w:t>
      </w:r>
      <w:r w:rsidRPr="0019583F">
        <w:rPr>
          <w:rFonts w:ascii="Times New Roman" w:hAnsi="Times New Roman" w:cs="Times New Roman"/>
          <w:sz w:val="24"/>
          <w:szCs w:val="24"/>
          <w:lang w:val="en-US"/>
        </w:rPr>
        <w:t xml:space="preserve"> The objective was to determine the impact of morbidity-mortality early enteral nutrition and days of hospitalization in patients with Traumatic Brain Injury (TBI) who was admitted to the intensive care unit of a Hospital of second level in Mexico.</w:t>
      </w:r>
    </w:p>
    <w:p w:rsidR="00786373" w:rsidRPr="0019583F" w:rsidRDefault="00786373" w:rsidP="00786373">
      <w:pPr>
        <w:spacing w:after="0" w:line="360" w:lineRule="auto"/>
        <w:jc w:val="both"/>
        <w:rPr>
          <w:rFonts w:ascii="Times New Roman" w:hAnsi="Times New Roman" w:cs="Times New Roman"/>
          <w:sz w:val="24"/>
          <w:szCs w:val="24"/>
          <w:lang w:val="en-US"/>
        </w:rPr>
      </w:pPr>
      <w:r w:rsidRPr="0019583F">
        <w:rPr>
          <w:rFonts w:ascii="Times New Roman" w:hAnsi="Times New Roman" w:cs="Times New Roman"/>
          <w:b/>
          <w:sz w:val="24"/>
          <w:szCs w:val="24"/>
          <w:lang w:val="en-US"/>
        </w:rPr>
        <w:t>Methods</w:t>
      </w:r>
      <w:r w:rsidRPr="0019583F">
        <w:rPr>
          <w:rFonts w:ascii="Times New Roman" w:hAnsi="Times New Roman" w:cs="Times New Roman"/>
          <w:sz w:val="24"/>
          <w:szCs w:val="24"/>
          <w:lang w:val="en-US"/>
        </w:rPr>
        <w:t xml:space="preserve"> Descriptive, retrospective study was conducted and correlation, we reviewed 33 clinical records of hospitalized patients in the Intensive Care Unit (ICU) with a diagnosis of TBI, from January to December 2012, of which three for failing to comply with the inclusion criteria were eliminated. Analysis of T test and Pearson correlation, p &lt; 0.05.</w:t>
      </w:r>
    </w:p>
    <w:p w:rsidR="00786373" w:rsidRPr="0019583F" w:rsidRDefault="00786373" w:rsidP="00786373">
      <w:pPr>
        <w:spacing w:after="0" w:line="360" w:lineRule="auto"/>
        <w:jc w:val="both"/>
        <w:rPr>
          <w:rFonts w:ascii="Times New Roman" w:hAnsi="Times New Roman" w:cs="Times New Roman"/>
          <w:sz w:val="24"/>
          <w:szCs w:val="24"/>
          <w:lang w:val="en-US"/>
        </w:rPr>
      </w:pPr>
      <w:r w:rsidRPr="0019583F">
        <w:rPr>
          <w:rFonts w:ascii="Times New Roman" w:hAnsi="Times New Roman" w:cs="Times New Roman"/>
          <w:b/>
          <w:sz w:val="24"/>
          <w:szCs w:val="24"/>
          <w:lang w:val="en-US"/>
        </w:rPr>
        <w:t>Results</w:t>
      </w:r>
      <w:r w:rsidRPr="0019583F">
        <w:rPr>
          <w:rFonts w:ascii="Times New Roman" w:hAnsi="Times New Roman" w:cs="Times New Roman"/>
          <w:sz w:val="24"/>
          <w:szCs w:val="24"/>
          <w:lang w:val="en-US"/>
        </w:rPr>
        <w:t xml:space="preserve"> In the period of a year entered the ICU 33 patients with TEC, 30 were included in the study to meet the inclusion criteria; 90% (27) were men and 10% (3) women, with an average age of 33 years in men and 18 years for women. Was administered enteral diet (blending) the 86.6% (26 patients); 10.0% (3) diet oral and 2.3% (1) not be administered diet by death; the 42.3% was administered enteral diet within 48 hours of their admission to the ICU; 91.6% had 20% mortality and infectious complications in general. The average number of days of hospital stay in the ICU was 7.5 days. A significant relationship was found (p &amp;</w:t>
      </w:r>
      <w:proofErr w:type="spellStart"/>
      <w:r w:rsidRPr="0019583F">
        <w:rPr>
          <w:rFonts w:ascii="Times New Roman" w:hAnsi="Times New Roman" w:cs="Times New Roman"/>
          <w:sz w:val="24"/>
          <w:szCs w:val="24"/>
          <w:lang w:val="en-US"/>
        </w:rPr>
        <w:t>lt</w:t>
      </w:r>
      <w:proofErr w:type="spellEnd"/>
      <w:r w:rsidRPr="0019583F">
        <w:rPr>
          <w:rFonts w:ascii="Times New Roman" w:hAnsi="Times New Roman" w:cs="Times New Roman"/>
          <w:sz w:val="24"/>
          <w:szCs w:val="24"/>
          <w:lang w:val="en-US"/>
        </w:rPr>
        <w:t>; 0.05) between the start time of the diet with days of hospital stay, days of endotracheal intubation and leukocyte count to their exit. In none of the patients was carried out nutritional assessment at admission to the ICU.</w:t>
      </w:r>
    </w:p>
    <w:p w:rsidR="00786373" w:rsidRPr="0019583F" w:rsidRDefault="00786373" w:rsidP="00786373">
      <w:pPr>
        <w:spacing w:after="0" w:line="360" w:lineRule="auto"/>
        <w:jc w:val="both"/>
        <w:rPr>
          <w:rFonts w:ascii="Calibri" w:eastAsia="Times New Roman" w:hAnsi="Calibri" w:cs="Calibri"/>
          <w:color w:val="7030A0"/>
          <w:sz w:val="28"/>
          <w:szCs w:val="28"/>
          <w:lang w:val="en-US" w:eastAsia="es-ES"/>
        </w:rPr>
      </w:pPr>
      <w:r w:rsidRPr="0019583F">
        <w:rPr>
          <w:rFonts w:ascii="Times New Roman" w:hAnsi="Times New Roman" w:cs="Times New Roman"/>
          <w:b/>
          <w:sz w:val="24"/>
          <w:szCs w:val="24"/>
          <w:lang w:val="en-US"/>
        </w:rPr>
        <w:t xml:space="preserve">Conclusions </w:t>
      </w:r>
      <w:r w:rsidRPr="0019583F">
        <w:rPr>
          <w:rFonts w:ascii="Times New Roman" w:hAnsi="Times New Roman" w:cs="Times New Roman"/>
          <w:sz w:val="24"/>
          <w:szCs w:val="24"/>
          <w:lang w:val="en-US"/>
        </w:rPr>
        <w:t>The use of early enteral nutrition (within 72 hours) in patients with TCE, decreases the incidence of Hospital-acquired infection (HAI), also known as Nosocomial Infections, days of mechanical ventilation and ICU hospital stay.</w:t>
      </w:r>
    </w:p>
    <w:p w:rsidR="003F6E42" w:rsidRDefault="00786373" w:rsidP="00786373">
      <w:pPr>
        <w:spacing w:after="0" w:line="240" w:lineRule="auto"/>
        <w:jc w:val="both"/>
        <w:rPr>
          <w:rFonts w:ascii="Times New Roman" w:hAnsi="Times New Roman" w:cs="Times New Roman"/>
          <w:sz w:val="24"/>
          <w:szCs w:val="24"/>
          <w:lang w:val="en-US"/>
        </w:rPr>
      </w:pPr>
      <w:r w:rsidRPr="0019583F">
        <w:rPr>
          <w:rFonts w:ascii="Calibri" w:eastAsia="Times New Roman" w:hAnsi="Calibri" w:cs="Calibri"/>
          <w:color w:val="7030A0"/>
          <w:sz w:val="28"/>
          <w:szCs w:val="28"/>
          <w:lang w:val="en-US" w:eastAsia="es-ES"/>
        </w:rPr>
        <w:t xml:space="preserve">Keywords: </w:t>
      </w:r>
      <w:r w:rsidRPr="0019583F">
        <w:rPr>
          <w:rFonts w:ascii="Times New Roman" w:hAnsi="Times New Roman" w:cs="Times New Roman"/>
          <w:sz w:val="24"/>
          <w:szCs w:val="24"/>
          <w:lang w:val="en-US"/>
        </w:rPr>
        <w:t xml:space="preserve">enteral nutrition, TBI, </w:t>
      </w:r>
      <w:proofErr w:type="spellStart"/>
      <w:r w:rsidRPr="0019583F">
        <w:rPr>
          <w:rFonts w:ascii="Times New Roman" w:hAnsi="Times New Roman" w:cs="Times New Roman"/>
          <w:sz w:val="24"/>
          <w:szCs w:val="24"/>
          <w:lang w:val="en-US"/>
        </w:rPr>
        <w:t>morbidmortality</w:t>
      </w:r>
      <w:proofErr w:type="spellEnd"/>
      <w:r w:rsidRPr="0019583F">
        <w:rPr>
          <w:rFonts w:ascii="Times New Roman" w:hAnsi="Times New Roman" w:cs="Times New Roman"/>
          <w:sz w:val="24"/>
          <w:szCs w:val="24"/>
          <w:lang w:val="en-US"/>
        </w:rPr>
        <w:t>, length of stay, WBC.</w:t>
      </w:r>
    </w:p>
    <w:p w:rsidR="0069230C" w:rsidRPr="004512E4" w:rsidRDefault="0069230C" w:rsidP="0069230C">
      <w:pPr>
        <w:spacing w:line="480" w:lineRule="auto"/>
      </w:pPr>
      <w:r w:rsidRPr="0019583F">
        <w:rPr>
          <w:b/>
          <w:color w:val="000000" w:themeColor="text1"/>
        </w:rPr>
        <w:br/>
      </w:r>
      <w:r w:rsidRPr="00B27461">
        <w:rPr>
          <w:rFonts w:ascii="Times New Roman" w:hAnsi="Times New Roman" w:cs="Times New Roman"/>
          <w:b/>
          <w:color w:val="000000" w:themeColor="text1"/>
          <w:sz w:val="24"/>
        </w:rPr>
        <w:t>Fecha Recepción:</w:t>
      </w:r>
      <w:r w:rsidRPr="00B27461">
        <w:rPr>
          <w:rFonts w:ascii="Times New Roman" w:hAnsi="Times New Roman" w:cs="Times New Roman"/>
          <w:color w:val="000000" w:themeColor="text1"/>
          <w:sz w:val="24"/>
        </w:rPr>
        <w:t xml:space="preserve">     </w:t>
      </w:r>
      <w:r w:rsidR="00B27461">
        <w:rPr>
          <w:rFonts w:ascii="Times New Roman" w:hAnsi="Times New Roman" w:cs="Times New Roman"/>
          <w:color w:val="000000" w:themeColor="text1"/>
          <w:sz w:val="24"/>
        </w:rPr>
        <w:t>Octubre</w:t>
      </w:r>
      <w:r w:rsidRPr="00B27461">
        <w:rPr>
          <w:rFonts w:ascii="Times New Roman" w:hAnsi="Times New Roman" w:cs="Times New Roman"/>
          <w:color w:val="000000" w:themeColor="text1"/>
          <w:sz w:val="24"/>
        </w:rPr>
        <w:t xml:space="preserve"> 201</w:t>
      </w:r>
      <w:r w:rsidR="00B27461">
        <w:rPr>
          <w:rFonts w:ascii="Times New Roman" w:hAnsi="Times New Roman" w:cs="Times New Roman"/>
          <w:color w:val="000000" w:themeColor="text1"/>
          <w:sz w:val="24"/>
        </w:rPr>
        <w:t>4</w:t>
      </w:r>
      <w:r w:rsidRPr="00B27461">
        <w:rPr>
          <w:rFonts w:ascii="Times New Roman" w:hAnsi="Times New Roman" w:cs="Times New Roman"/>
          <w:color w:val="000000" w:themeColor="text1"/>
          <w:sz w:val="24"/>
        </w:rPr>
        <w:t xml:space="preserve">     </w:t>
      </w:r>
      <w:r w:rsidRPr="00B27461">
        <w:rPr>
          <w:rFonts w:ascii="Times New Roman" w:hAnsi="Times New Roman" w:cs="Times New Roman"/>
          <w:b/>
          <w:color w:val="000000" w:themeColor="text1"/>
          <w:sz w:val="24"/>
        </w:rPr>
        <w:t>Fecha Aceptación:</w:t>
      </w:r>
      <w:r w:rsidRPr="00B27461">
        <w:rPr>
          <w:rFonts w:ascii="Times New Roman" w:hAnsi="Times New Roman" w:cs="Times New Roman"/>
          <w:color w:val="000000" w:themeColor="text1"/>
          <w:sz w:val="24"/>
        </w:rPr>
        <w:t xml:space="preserve">  </w:t>
      </w:r>
      <w:r w:rsidR="00B27461">
        <w:rPr>
          <w:rFonts w:ascii="Times New Roman" w:hAnsi="Times New Roman" w:cs="Times New Roman"/>
          <w:color w:val="000000" w:themeColor="text1"/>
          <w:sz w:val="24"/>
        </w:rPr>
        <w:t>Marzo</w:t>
      </w:r>
      <w:r w:rsidRPr="00B27461">
        <w:rPr>
          <w:rFonts w:ascii="Times New Roman" w:hAnsi="Times New Roman" w:cs="Times New Roman"/>
          <w:color w:val="000000" w:themeColor="text1"/>
          <w:sz w:val="24"/>
        </w:rPr>
        <w:t xml:space="preserve"> 2015</w:t>
      </w:r>
      <w:r w:rsidR="00C6337A">
        <w:rPr>
          <w:rFonts w:cs="Calibri"/>
        </w:rPr>
        <w:pict>
          <v:rect id="_x0000_i1025" style="width:0;height:1.5pt" o:hralign="center" o:hrstd="t" o:hr="t" fillcolor="#a0a0a0" stroked="f"/>
        </w:pict>
      </w:r>
    </w:p>
    <w:p w:rsidR="00786373" w:rsidRDefault="00786373" w:rsidP="00666D07">
      <w:pPr>
        <w:spacing w:after="0" w:line="240" w:lineRule="auto"/>
        <w:jc w:val="both"/>
        <w:rPr>
          <w:rFonts w:ascii="Calibri" w:eastAsia="Times New Roman" w:hAnsi="Calibri" w:cs="Calibri"/>
          <w:color w:val="7030A0"/>
          <w:sz w:val="28"/>
          <w:szCs w:val="28"/>
          <w:lang w:val="es-ES" w:eastAsia="es-ES"/>
        </w:rPr>
      </w:pPr>
    </w:p>
    <w:p w:rsidR="00786373" w:rsidRDefault="00786373" w:rsidP="00666D07">
      <w:pPr>
        <w:spacing w:after="0" w:line="240" w:lineRule="auto"/>
        <w:jc w:val="both"/>
        <w:rPr>
          <w:rFonts w:ascii="Calibri" w:eastAsia="Times New Roman" w:hAnsi="Calibri" w:cs="Calibri"/>
          <w:color w:val="7030A0"/>
          <w:sz w:val="28"/>
          <w:szCs w:val="28"/>
          <w:lang w:val="es-ES" w:eastAsia="es-ES"/>
        </w:rPr>
      </w:pPr>
    </w:p>
    <w:p w:rsidR="00786373" w:rsidRDefault="00786373" w:rsidP="00666D07">
      <w:pPr>
        <w:spacing w:after="0" w:line="240" w:lineRule="auto"/>
        <w:jc w:val="both"/>
        <w:rPr>
          <w:rFonts w:ascii="Calibri" w:eastAsia="Times New Roman" w:hAnsi="Calibri" w:cs="Calibri"/>
          <w:color w:val="7030A0"/>
          <w:sz w:val="28"/>
          <w:szCs w:val="28"/>
          <w:lang w:val="es-ES" w:eastAsia="es-ES"/>
        </w:rPr>
      </w:pPr>
    </w:p>
    <w:p w:rsidR="00786373" w:rsidRDefault="00786373" w:rsidP="00666D07">
      <w:pPr>
        <w:spacing w:after="0" w:line="240" w:lineRule="auto"/>
        <w:jc w:val="both"/>
        <w:rPr>
          <w:rFonts w:ascii="Calibri" w:eastAsia="Times New Roman" w:hAnsi="Calibri" w:cs="Calibri"/>
          <w:color w:val="7030A0"/>
          <w:sz w:val="28"/>
          <w:szCs w:val="28"/>
          <w:lang w:val="es-ES" w:eastAsia="es-ES"/>
        </w:rPr>
      </w:pPr>
    </w:p>
    <w:p w:rsidR="00786373" w:rsidRDefault="00786373" w:rsidP="00666D07">
      <w:pPr>
        <w:spacing w:after="0" w:line="240" w:lineRule="auto"/>
        <w:jc w:val="both"/>
        <w:rPr>
          <w:rFonts w:ascii="Calibri" w:eastAsia="Times New Roman" w:hAnsi="Calibri" w:cs="Calibri"/>
          <w:color w:val="7030A0"/>
          <w:sz w:val="28"/>
          <w:szCs w:val="28"/>
          <w:lang w:val="es-ES" w:eastAsia="es-ES"/>
        </w:rPr>
      </w:pPr>
    </w:p>
    <w:p w:rsidR="00786373" w:rsidRDefault="00786373" w:rsidP="00666D07">
      <w:pPr>
        <w:spacing w:after="0" w:line="240" w:lineRule="auto"/>
        <w:jc w:val="both"/>
        <w:rPr>
          <w:rFonts w:ascii="Calibri" w:eastAsia="Times New Roman" w:hAnsi="Calibri" w:cs="Calibri"/>
          <w:color w:val="7030A0"/>
          <w:sz w:val="28"/>
          <w:szCs w:val="28"/>
          <w:lang w:val="es-ES" w:eastAsia="es-ES"/>
        </w:rPr>
      </w:pPr>
    </w:p>
    <w:p w:rsidR="004515CF" w:rsidRPr="0069230C" w:rsidRDefault="007612A3" w:rsidP="00666D07">
      <w:pPr>
        <w:spacing w:after="0" w:line="240" w:lineRule="auto"/>
        <w:jc w:val="both"/>
        <w:rPr>
          <w:rFonts w:ascii="Calibri" w:eastAsia="Times New Roman" w:hAnsi="Calibri" w:cs="Calibri"/>
          <w:color w:val="7030A0"/>
          <w:sz w:val="28"/>
          <w:szCs w:val="28"/>
          <w:lang w:val="es-ES" w:eastAsia="es-ES"/>
        </w:rPr>
      </w:pPr>
      <w:r w:rsidRPr="0069230C">
        <w:rPr>
          <w:rFonts w:ascii="Calibri" w:eastAsia="Times New Roman" w:hAnsi="Calibri" w:cs="Calibri"/>
          <w:color w:val="7030A0"/>
          <w:sz w:val="28"/>
          <w:szCs w:val="28"/>
          <w:lang w:val="es-ES" w:eastAsia="es-ES"/>
        </w:rPr>
        <w:lastRenderedPageBreak/>
        <w:t>Introducción</w:t>
      </w:r>
    </w:p>
    <w:p w:rsidR="00A60B12" w:rsidRPr="008E2E16" w:rsidRDefault="00A60B12" w:rsidP="00666D07">
      <w:pPr>
        <w:spacing w:after="0" w:line="240" w:lineRule="auto"/>
        <w:jc w:val="both"/>
        <w:rPr>
          <w:rFonts w:ascii="Arial" w:hAnsi="Arial" w:cs="Arial"/>
          <w:b/>
          <w:sz w:val="24"/>
          <w:szCs w:val="24"/>
        </w:rPr>
      </w:pPr>
    </w:p>
    <w:p w:rsidR="00CB5C48" w:rsidRPr="0069230C" w:rsidRDefault="00FB7DF8" w:rsidP="0069230C">
      <w:pPr>
        <w:autoSpaceDE w:val="0"/>
        <w:autoSpaceDN w:val="0"/>
        <w:adjustRightInd w:val="0"/>
        <w:spacing w:after="0" w:line="360" w:lineRule="auto"/>
        <w:jc w:val="both"/>
        <w:rPr>
          <w:rFonts w:ascii="Times New Roman" w:eastAsia="Times-Bold" w:hAnsi="Times New Roman" w:cs="Times New Roman"/>
          <w:bCs/>
          <w:sz w:val="24"/>
          <w:szCs w:val="24"/>
          <w:vertAlign w:val="superscript"/>
        </w:rPr>
      </w:pPr>
      <w:r w:rsidRPr="0069230C">
        <w:rPr>
          <w:rFonts w:ascii="Times New Roman" w:eastAsia="Times-Bold" w:hAnsi="Times New Roman" w:cs="Times New Roman"/>
          <w:bCs/>
          <w:sz w:val="24"/>
          <w:szCs w:val="24"/>
        </w:rPr>
        <w:t xml:space="preserve">El TCE suele presentarse en pacientes </w:t>
      </w:r>
      <w:r w:rsidR="002469BB" w:rsidRPr="0069230C">
        <w:rPr>
          <w:rFonts w:ascii="Times New Roman" w:eastAsia="Times-Bold" w:hAnsi="Times New Roman" w:cs="Times New Roman"/>
          <w:bCs/>
          <w:sz w:val="24"/>
          <w:szCs w:val="24"/>
        </w:rPr>
        <w:t xml:space="preserve">jóvenes, </w:t>
      </w:r>
      <w:r w:rsidRPr="0069230C">
        <w:rPr>
          <w:rFonts w:ascii="Times New Roman" w:eastAsia="Times-Bold" w:hAnsi="Times New Roman" w:cs="Times New Roman"/>
          <w:bCs/>
          <w:sz w:val="24"/>
          <w:szCs w:val="24"/>
        </w:rPr>
        <w:t>previamente sanos y con buen estado nutricional</w:t>
      </w:r>
      <w:r w:rsidR="00A60B12" w:rsidRPr="0069230C">
        <w:rPr>
          <w:rFonts w:ascii="Times New Roman" w:eastAsia="Times-Bold" w:hAnsi="Times New Roman" w:cs="Times New Roman"/>
          <w:bCs/>
          <w:sz w:val="24"/>
          <w:szCs w:val="24"/>
        </w:rPr>
        <w:t>.</w:t>
      </w:r>
      <w:r w:rsidR="0032675D" w:rsidRPr="0069230C">
        <w:rPr>
          <w:rFonts w:ascii="Times New Roman" w:eastAsia="Times-Bold" w:hAnsi="Times New Roman" w:cs="Times New Roman"/>
          <w:bCs/>
          <w:sz w:val="24"/>
          <w:szCs w:val="24"/>
          <w:vertAlign w:val="superscript"/>
        </w:rPr>
        <w:t>1,</w:t>
      </w:r>
      <w:r w:rsidR="003D6F01" w:rsidRPr="0069230C">
        <w:rPr>
          <w:rFonts w:ascii="Times New Roman" w:eastAsia="Times-Bold" w:hAnsi="Times New Roman" w:cs="Times New Roman"/>
          <w:bCs/>
          <w:sz w:val="24"/>
          <w:szCs w:val="24"/>
          <w:vertAlign w:val="superscript"/>
        </w:rPr>
        <w:t>2</w:t>
      </w:r>
      <w:r w:rsidRPr="0069230C">
        <w:rPr>
          <w:rFonts w:ascii="Times New Roman" w:eastAsia="Times-Bold" w:hAnsi="Times New Roman" w:cs="Times New Roman"/>
          <w:bCs/>
          <w:sz w:val="24"/>
          <w:szCs w:val="24"/>
        </w:rPr>
        <w:t xml:space="preserve"> A pesar de ello, los cambios metabólicos originados por la agresión traumática colocan a estos pacientes en situación de riesgo nutricional. El soporte nutricional </w:t>
      </w:r>
      <w:r w:rsidR="00636A3D" w:rsidRPr="0069230C">
        <w:rPr>
          <w:rFonts w:ascii="Times New Roman" w:eastAsia="Times-Bold" w:hAnsi="Times New Roman" w:cs="Times New Roman"/>
          <w:bCs/>
          <w:sz w:val="24"/>
          <w:szCs w:val="24"/>
        </w:rPr>
        <w:t>deberá</w:t>
      </w:r>
      <w:r w:rsidRPr="0069230C">
        <w:rPr>
          <w:rFonts w:ascii="Times New Roman" w:eastAsia="Times-Bold" w:hAnsi="Times New Roman" w:cs="Times New Roman"/>
          <w:bCs/>
          <w:sz w:val="24"/>
          <w:szCs w:val="24"/>
        </w:rPr>
        <w:t xml:space="preserve"> iniciarse </w:t>
      </w:r>
      <w:r w:rsidR="004F6CB7" w:rsidRPr="0069230C">
        <w:rPr>
          <w:rFonts w:ascii="Times New Roman" w:eastAsia="Times-Bold" w:hAnsi="Times New Roman" w:cs="Times New Roman"/>
          <w:bCs/>
          <w:sz w:val="24"/>
          <w:szCs w:val="24"/>
        </w:rPr>
        <w:t>lo antes posible cuando</w:t>
      </w:r>
      <w:r w:rsidRPr="0069230C">
        <w:rPr>
          <w:rFonts w:ascii="Times New Roman" w:eastAsia="Times-Bold" w:hAnsi="Times New Roman" w:cs="Times New Roman"/>
          <w:bCs/>
          <w:sz w:val="24"/>
          <w:szCs w:val="24"/>
        </w:rPr>
        <w:t xml:space="preserve"> los requerimientos nutricionales no puedan ser cubiertos por vía oral en un periodo de 5-10</w:t>
      </w:r>
      <w:r w:rsidR="00C773C0" w:rsidRPr="0069230C">
        <w:rPr>
          <w:rFonts w:ascii="Times New Roman" w:eastAsia="Times-Bold" w:hAnsi="Times New Roman" w:cs="Times New Roman"/>
          <w:bCs/>
          <w:sz w:val="24"/>
          <w:szCs w:val="24"/>
        </w:rPr>
        <w:t xml:space="preserve"> días</w:t>
      </w:r>
      <w:r w:rsidRPr="0069230C">
        <w:rPr>
          <w:rFonts w:ascii="Times New Roman" w:eastAsia="Times-Bold" w:hAnsi="Times New Roman" w:cs="Times New Roman"/>
          <w:bCs/>
          <w:sz w:val="24"/>
          <w:szCs w:val="24"/>
        </w:rPr>
        <w:t xml:space="preserve"> </w:t>
      </w:r>
      <w:r w:rsidR="004F6CB7" w:rsidRPr="0069230C">
        <w:rPr>
          <w:rFonts w:ascii="Times New Roman" w:eastAsia="Times-Bold" w:hAnsi="Times New Roman" w:cs="Times New Roman"/>
          <w:bCs/>
          <w:sz w:val="24"/>
          <w:szCs w:val="24"/>
        </w:rPr>
        <w:t xml:space="preserve">a su ingreso a la </w:t>
      </w:r>
      <w:r w:rsidR="00C773C0" w:rsidRPr="0069230C">
        <w:rPr>
          <w:rFonts w:ascii="Times New Roman" w:eastAsia="Times-Bold" w:hAnsi="Times New Roman" w:cs="Times New Roman"/>
          <w:bCs/>
          <w:sz w:val="24"/>
          <w:szCs w:val="24"/>
        </w:rPr>
        <w:t>Unidad de Cuidados I</w:t>
      </w:r>
      <w:r w:rsidR="002000BD" w:rsidRPr="0069230C">
        <w:rPr>
          <w:rFonts w:ascii="Times New Roman" w:eastAsia="Times-Bold" w:hAnsi="Times New Roman" w:cs="Times New Roman"/>
          <w:bCs/>
          <w:sz w:val="24"/>
          <w:szCs w:val="24"/>
        </w:rPr>
        <w:t>ntensivos (</w:t>
      </w:r>
      <w:r w:rsidR="004F6CB7" w:rsidRPr="0069230C">
        <w:rPr>
          <w:rFonts w:ascii="Times New Roman" w:eastAsia="Times-Bold" w:hAnsi="Times New Roman" w:cs="Times New Roman"/>
          <w:bCs/>
          <w:sz w:val="24"/>
          <w:szCs w:val="24"/>
        </w:rPr>
        <w:t>UCI</w:t>
      </w:r>
      <w:r w:rsidR="002000BD" w:rsidRPr="0069230C">
        <w:rPr>
          <w:rFonts w:ascii="Times New Roman" w:eastAsia="Times-Bold" w:hAnsi="Times New Roman" w:cs="Times New Roman"/>
          <w:bCs/>
          <w:sz w:val="24"/>
          <w:szCs w:val="24"/>
        </w:rPr>
        <w:t>)</w:t>
      </w:r>
      <w:r w:rsidR="00310088" w:rsidRPr="0069230C">
        <w:rPr>
          <w:rFonts w:ascii="Times New Roman" w:eastAsia="Times-Bold" w:hAnsi="Times New Roman" w:cs="Times New Roman"/>
          <w:bCs/>
          <w:sz w:val="24"/>
          <w:szCs w:val="24"/>
        </w:rPr>
        <w:t>.</w:t>
      </w:r>
      <w:r w:rsidR="00350156" w:rsidRPr="0069230C">
        <w:rPr>
          <w:rFonts w:ascii="Times New Roman" w:eastAsia="Times-Bold" w:hAnsi="Times New Roman" w:cs="Times New Roman"/>
          <w:bCs/>
          <w:sz w:val="24"/>
          <w:szCs w:val="24"/>
          <w:vertAlign w:val="superscript"/>
        </w:rPr>
        <w:t>2</w:t>
      </w:r>
      <w:r w:rsidR="004777D8" w:rsidRPr="0069230C">
        <w:rPr>
          <w:rFonts w:ascii="Times New Roman" w:eastAsia="Times-Bold" w:hAnsi="Times New Roman" w:cs="Times New Roman"/>
          <w:bCs/>
          <w:sz w:val="24"/>
          <w:szCs w:val="24"/>
          <w:vertAlign w:val="superscript"/>
        </w:rPr>
        <w:t>,3</w:t>
      </w:r>
    </w:p>
    <w:p w:rsidR="00DB1ACF" w:rsidRPr="0069230C" w:rsidRDefault="00B67706" w:rsidP="0069230C">
      <w:pPr>
        <w:autoSpaceDE w:val="0"/>
        <w:autoSpaceDN w:val="0"/>
        <w:adjustRightInd w:val="0"/>
        <w:spacing w:after="0" w:line="360" w:lineRule="auto"/>
        <w:jc w:val="both"/>
        <w:rPr>
          <w:rFonts w:ascii="Times New Roman" w:hAnsi="Times New Roman" w:cs="Times New Roman"/>
          <w:sz w:val="24"/>
          <w:szCs w:val="24"/>
          <w:vertAlign w:val="superscript"/>
        </w:rPr>
      </w:pPr>
      <w:r w:rsidRPr="0069230C">
        <w:rPr>
          <w:rFonts w:ascii="Times New Roman" w:hAnsi="Times New Roman" w:cs="Times New Roman"/>
          <w:sz w:val="24"/>
          <w:szCs w:val="24"/>
        </w:rPr>
        <w:t>D</w:t>
      </w:r>
      <w:r w:rsidR="0011586E" w:rsidRPr="0069230C">
        <w:rPr>
          <w:rFonts w:ascii="Times New Roman" w:hAnsi="Times New Roman" w:cs="Times New Roman"/>
          <w:sz w:val="24"/>
          <w:szCs w:val="24"/>
        </w:rPr>
        <w:t>os terceras partes de todos los pacientes experimentan deterioro de su estado nutricional durante su estancia hospitalaria</w:t>
      </w:r>
      <w:r w:rsidR="00310088" w:rsidRPr="0069230C">
        <w:rPr>
          <w:rFonts w:ascii="Times New Roman" w:hAnsi="Times New Roman" w:cs="Times New Roman"/>
          <w:sz w:val="24"/>
          <w:szCs w:val="24"/>
        </w:rPr>
        <w:t>.</w:t>
      </w:r>
      <w:r w:rsidR="004777D8" w:rsidRPr="0069230C">
        <w:rPr>
          <w:rFonts w:ascii="Times New Roman" w:hAnsi="Times New Roman" w:cs="Times New Roman"/>
          <w:sz w:val="24"/>
          <w:szCs w:val="24"/>
          <w:vertAlign w:val="superscript"/>
        </w:rPr>
        <w:t>4,5</w:t>
      </w:r>
      <w:r w:rsidR="00D667F7" w:rsidRPr="0069230C">
        <w:rPr>
          <w:rFonts w:ascii="Times New Roman" w:hAnsi="Times New Roman" w:cs="Times New Roman"/>
          <w:sz w:val="24"/>
          <w:szCs w:val="24"/>
        </w:rPr>
        <w:t xml:space="preserve"> </w:t>
      </w:r>
      <w:r w:rsidR="00636A3D" w:rsidRPr="0069230C">
        <w:rPr>
          <w:rFonts w:ascii="Times New Roman" w:hAnsi="Times New Roman" w:cs="Times New Roman"/>
          <w:sz w:val="24"/>
          <w:szCs w:val="24"/>
        </w:rPr>
        <w:t>Estudios</w:t>
      </w:r>
      <w:r w:rsidR="0019666E" w:rsidRPr="0069230C">
        <w:rPr>
          <w:rFonts w:ascii="Times New Roman" w:hAnsi="Times New Roman" w:cs="Times New Roman"/>
          <w:sz w:val="24"/>
          <w:szCs w:val="24"/>
        </w:rPr>
        <w:t xml:space="preserve"> </w:t>
      </w:r>
      <w:r w:rsidR="00636A3D" w:rsidRPr="0069230C">
        <w:rPr>
          <w:rFonts w:ascii="Times New Roman" w:hAnsi="Times New Roman" w:cs="Times New Roman"/>
          <w:sz w:val="24"/>
          <w:szCs w:val="24"/>
        </w:rPr>
        <w:t>reportan</w:t>
      </w:r>
      <w:r w:rsidR="00950119" w:rsidRPr="0069230C">
        <w:rPr>
          <w:rFonts w:ascii="Times New Roman" w:hAnsi="Times New Roman" w:cs="Times New Roman"/>
          <w:sz w:val="24"/>
          <w:szCs w:val="24"/>
        </w:rPr>
        <w:t xml:space="preserve"> que la desnutrición en sujetos hospitalizados oscila entre 30 a 50</w:t>
      </w:r>
      <w:r w:rsidR="00310088" w:rsidRPr="0069230C">
        <w:rPr>
          <w:rFonts w:ascii="Times New Roman" w:hAnsi="Times New Roman" w:cs="Times New Roman"/>
          <w:sz w:val="24"/>
          <w:szCs w:val="24"/>
        </w:rPr>
        <w:t xml:space="preserve"> </w:t>
      </w:r>
      <w:r w:rsidR="00950119" w:rsidRPr="0069230C">
        <w:rPr>
          <w:rFonts w:ascii="Times New Roman" w:hAnsi="Times New Roman" w:cs="Times New Roman"/>
          <w:sz w:val="24"/>
          <w:szCs w:val="24"/>
        </w:rPr>
        <w:t>%</w:t>
      </w:r>
      <w:r w:rsidR="00310088" w:rsidRPr="0069230C">
        <w:rPr>
          <w:rFonts w:ascii="Times New Roman" w:hAnsi="Times New Roman" w:cs="Times New Roman"/>
          <w:sz w:val="24"/>
          <w:szCs w:val="24"/>
        </w:rPr>
        <w:t>.</w:t>
      </w:r>
      <w:r w:rsidR="004777D8" w:rsidRPr="0069230C">
        <w:rPr>
          <w:rFonts w:ascii="Times New Roman" w:hAnsi="Times New Roman" w:cs="Times New Roman"/>
          <w:sz w:val="24"/>
          <w:szCs w:val="24"/>
          <w:vertAlign w:val="superscript"/>
        </w:rPr>
        <w:t>6</w:t>
      </w:r>
      <w:r w:rsidR="0011586E" w:rsidRPr="0069230C">
        <w:rPr>
          <w:rFonts w:ascii="Times New Roman" w:hAnsi="Times New Roman" w:cs="Times New Roman"/>
          <w:sz w:val="24"/>
          <w:szCs w:val="24"/>
        </w:rPr>
        <w:t xml:space="preserve"> La enfermedad aguda exacerba el pobre estado nutricional del paciente al au</w:t>
      </w:r>
      <w:r w:rsidR="00CE3B6F" w:rsidRPr="0069230C">
        <w:rPr>
          <w:rFonts w:ascii="Times New Roman" w:hAnsi="Times New Roman" w:cs="Times New Roman"/>
          <w:sz w:val="24"/>
          <w:szCs w:val="24"/>
        </w:rPr>
        <w:t xml:space="preserve">mentar las demandas metabólicas </w:t>
      </w:r>
      <w:r w:rsidR="0011586E" w:rsidRPr="0069230C">
        <w:rPr>
          <w:rFonts w:ascii="Times New Roman" w:hAnsi="Times New Roman" w:cs="Times New Roman"/>
          <w:sz w:val="24"/>
          <w:szCs w:val="24"/>
        </w:rPr>
        <w:t>y dificultar la utilización de los sustratos nutricionales. Los pacientes en estado crítico frecuentemente reciben inadecuado soporte nutricional durante su estancia en la</w:t>
      </w:r>
      <w:r w:rsidR="002000BD" w:rsidRPr="0069230C">
        <w:rPr>
          <w:rFonts w:ascii="Times New Roman" w:hAnsi="Times New Roman" w:cs="Times New Roman"/>
          <w:sz w:val="24"/>
          <w:szCs w:val="24"/>
        </w:rPr>
        <w:t xml:space="preserve"> </w:t>
      </w:r>
      <w:r w:rsidR="0011586E" w:rsidRPr="0069230C">
        <w:rPr>
          <w:rFonts w:ascii="Times New Roman" w:hAnsi="Times New Roman" w:cs="Times New Roman"/>
          <w:sz w:val="24"/>
          <w:szCs w:val="24"/>
        </w:rPr>
        <w:t>UC</w:t>
      </w:r>
      <w:r w:rsidR="002000BD" w:rsidRPr="0069230C">
        <w:rPr>
          <w:rFonts w:ascii="Times New Roman" w:hAnsi="Times New Roman" w:cs="Times New Roman"/>
          <w:sz w:val="24"/>
          <w:szCs w:val="24"/>
        </w:rPr>
        <w:t>I</w:t>
      </w:r>
      <w:r w:rsidR="00430F31" w:rsidRPr="0069230C">
        <w:rPr>
          <w:rFonts w:ascii="Times New Roman" w:hAnsi="Times New Roman" w:cs="Times New Roman"/>
          <w:sz w:val="24"/>
          <w:szCs w:val="24"/>
        </w:rPr>
        <w:t xml:space="preserve">, debido a que </w:t>
      </w:r>
      <w:r w:rsidR="0011586E" w:rsidRPr="0069230C">
        <w:rPr>
          <w:rFonts w:ascii="Times New Roman" w:hAnsi="Times New Roman" w:cs="Times New Roman"/>
          <w:sz w:val="24"/>
          <w:szCs w:val="24"/>
        </w:rPr>
        <w:t>los méd</w:t>
      </w:r>
      <w:r w:rsidR="00D667F7" w:rsidRPr="0069230C">
        <w:rPr>
          <w:rFonts w:ascii="Times New Roman" w:hAnsi="Times New Roman" w:cs="Times New Roman"/>
          <w:sz w:val="24"/>
          <w:szCs w:val="24"/>
        </w:rPr>
        <w:t xml:space="preserve">icos subestiman sus necesidades </w:t>
      </w:r>
      <w:r w:rsidR="0011586E" w:rsidRPr="0069230C">
        <w:rPr>
          <w:rFonts w:ascii="Times New Roman" w:hAnsi="Times New Roman" w:cs="Times New Roman"/>
          <w:sz w:val="24"/>
          <w:szCs w:val="24"/>
        </w:rPr>
        <w:t>nutricionales y el inicio del apoyo nutricio a menudo se retrasa</w:t>
      </w:r>
      <w:r w:rsidR="004777D8" w:rsidRPr="0069230C">
        <w:rPr>
          <w:rFonts w:ascii="Times New Roman" w:hAnsi="Times New Roman" w:cs="Times New Roman"/>
          <w:sz w:val="24"/>
          <w:szCs w:val="24"/>
        </w:rPr>
        <w:t>.</w:t>
      </w:r>
      <w:r w:rsidR="004777D8" w:rsidRPr="0069230C">
        <w:rPr>
          <w:rFonts w:ascii="Times New Roman" w:hAnsi="Times New Roman" w:cs="Times New Roman"/>
          <w:sz w:val="24"/>
          <w:szCs w:val="24"/>
          <w:vertAlign w:val="superscript"/>
        </w:rPr>
        <w:t>7</w:t>
      </w:r>
      <w:r w:rsidR="00077B4E" w:rsidRPr="0069230C">
        <w:rPr>
          <w:rFonts w:ascii="Times New Roman" w:hAnsi="Times New Roman" w:cs="Times New Roman"/>
          <w:sz w:val="24"/>
          <w:szCs w:val="24"/>
          <w:vertAlign w:val="superscript"/>
        </w:rPr>
        <w:t xml:space="preserve"> </w:t>
      </w:r>
    </w:p>
    <w:p w:rsidR="00674806" w:rsidRPr="0069230C" w:rsidRDefault="00505A45" w:rsidP="0069230C">
      <w:pPr>
        <w:autoSpaceDE w:val="0"/>
        <w:autoSpaceDN w:val="0"/>
        <w:adjustRightInd w:val="0"/>
        <w:spacing w:after="0" w:line="360" w:lineRule="auto"/>
        <w:jc w:val="both"/>
        <w:rPr>
          <w:rFonts w:ascii="Times New Roman" w:hAnsi="Times New Roman" w:cs="Times New Roman"/>
          <w:sz w:val="24"/>
          <w:szCs w:val="24"/>
        </w:rPr>
      </w:pPr>
      <w:r w:rsidRPr="0069230C">
        <w:rPr>
          <w:rFonts w:ascii="Times New Roman" w:hAnsi="Times New Roman" w:cs="Times New Roman"/>
          <w:sz w:val="24"/>
          <w:szCs w:val="24"/>
        </w:rPr>
        <w:t>L</w:t>
      </w:r>
      <w:r w:rsidR="003B6090" w:rsidRPr="0069230C">
        <w:rPr>
          <w:rFonts w:ascii="Times New Roman" w:hAnsi="Times New Roman" w:cs="Times New Roman"/>
          <w:sz w:val="24"/>
          <w:szCs w:val="24"/>
        </w:rPr>
        <w:t>a desnutrición asociada a la ausencia de inges</w:t>
      </w:r>
      <w:r w:rsidR="00D667F7" w:rsidRPr="0069230C">
        <w:rPr>
          <w:rFonts w:ascii="Times New Roman" w:hAnsi="Times New Roman" w:cs="Times New Roman"/>
          <w:sz w:val="24"/>
          <w:szCs w:val="24"/>
        </w:rPr>
        <w:t>ta oral del enfermo</w:t>
      </w:r>
      <w:r w:rsidR="00636A3D" w:rsidRPr="0069230C">
        <w:rPr>
          <w:rFonts w:ascii="Times New Roman" w:hAnsi="Times New Roman" w:cs="Times New Roman"/>
          <w:sz w:val="24"/>
          <w:szCs w:val="24"/>
        </w:rPr>
        <w:t>,</w:t>
      </w:r>
      <w:r w:rsidR="00D667F7" w:rsidRPr="0069230C">
        <w:rPr>
          <w:rFonts w:ascii="Times New Roman" w:hAnsi="Times New Roman" w:cs="Times New Roman"/>
          <w:sz w:val="24"/>
          <w:szCs w:val="24"/>
        </w:rPr>
        <w:t xml:space="preserve"> da lugar a </w:t>
      </w:r>
      <w:r w:rsidR="003B6090" w:rsidRPr="0069230C">
        <w:rPr>
          <w:rFonts w:ascii="Times New Roman" w:hAnsi="Times New Roman" w:cs="Times New Roman"/>
          <w:sz w:val="24"/>
          <w:szCs w:val="24"/>
        </w:rPr>
        <w:t>alteraciones de</w:t>
      </w:r>
      <w:r w:rsidR="00D667F7" w:rsidRPr="0069230C">
        <w:rPr>
          <w:rFonts w:ascii="Times New Roman" w:hAnsi="Times New Roman" w:cs="Times New Roman"/>
          <w:sz w:val="24"/>
          <w:szCs w:val="24"/>
        </w:rPr>
        <w:t xml:space="preserve"> la estructura y función de la </w:t>
      </w:r>
      <w:r w:rsidR="00636A3D" w:rsidRPr="0069230C">
        <w:rPr>
          <w:rFonts w:ascii="Times New Roman" w:hAnsi="Times New Roman" w:cs="Times New Roman"/>
          <w:sz w:val="24"/>
          <w:szCs w:val="24"/>
        </w:rPr>
        <w:t>mucosa intestinal, a</w:t>
      </w:r>
      <w:r w:rsidR="003B6090" w:rsidRPr="0069230C">
        <w:rPr>
          <w:rFonts w:ascii="Times New Roman" w:hAnsi="Times New Roman" w:cs="Times New Roman"/>
          <w:sz w:val="24"/>
          <w:szCs w:val="24"/>
        </w:rPr>
        <w:t xml:space="preserve"> un incremento de la respuesta inflamatoria y a un aumento de la morbilidad infecciosa</w:t>
      </w:r>
      <w:r w:rsidR="004777D8" w:rsidRPr="0069230C">
        <w:rPr>
          <w:rFonts w:ascii="Times New Roman" w:hAnsi="Times New Roman" w:cs="Times New Roman"/>
          <w:sz w:val="24"/>
          <w:szCs w:val="24"/>
        </w:rPr>
        <w:t>.</w:t>
      </w:r>
      <w:r w:rsidR="004777D8" w:rsidRPr="0069230C">
        <w:rPr>
          <w:rFonts w:ascii="Times New Roman" w:hAnsi="Times New Roman" w:cs="Times New Roman"/>
          <w:sz w:val="24"/>
          <w:szCs w:val="24"/>
          <w:vertAlign w:val="superscript"/>
        </w:rPr>
        <w:t>8</w:t>
      </w:r>
    </w:p>
    <w:p w:rsidR="0000128B" w:rsidRPr="0069230C" w:rsidRDefault="009E361A" w:rsidP="0069230C">
      <w:pPr>
        <w:autoSpaceDE w:val="0"/>
        <w:autoSpaceDN w:val="0"/>
        <w:adjustRightInd w:val="0"/>
        <w:spacing w:after="0" w:line="360" w:lineRule="auto"/>
        <w:jc w:val="both"/>
        <w:rPr>
          <w:rFonts w:ascii="Times New Roman" w:hAnsi="Times New Roman" w:cs="Times New Roman"/>
          <w:sz w:val="24"/>
          <w:szCs w:val="24"/>
          <w:vertAlign w:val="superscript"/>
        </w:rPr>
      </w:pPr>
      <w:r w:rsidRPr="0069230C">
        <w:rPr>
          <w:rFonts w:ascii="Times New Roman" w:hAnsi="Times New Roman" w:cs="Times New Roman"/>
          <w:sz w:val="24"/>
          <w:szCs w:val="24"/>
        </w:rPr>
        <w:t>Actualmente</w:t>
      </w:r>
      <w:r w:rsidR="000F6D00" w:rsidRPr="0069230C">
        <w:rPr>
          <w:rFonts w:ascii="Times New Roman" w:hAnsi="Times New Roman" w:cs="Times New Roman"/>
          <w:sz w:val="24"/>
          <w:szCs w:val="24"/>
        </w:rPr>
        <w:t xml:space="preserve"> se </w:t>
      </w:r>
      <w:r w:rsidR="00B55BE6" w:rsidRPr="0069230C">
        <w:rPr>
          <w:rFonts w:ascii="Times New Roman" w:hAnsi="Times New Roman" w:cs="Times New Roman"/>
          <w:sz w:val="24"/>
          <w:szCs w:val="24"/>
        </w:rPr>
        <w:t xml:space="preserve">establece que </w:t>
      </w:r>
      <w:r w:rsidR="00CA4CAD" w:rsidRPr="0069230C">
        <w:rPr>
          <w:rFonts w:ascii="Times New Roman" w:hAnsi="Times New Roman" w:cs="Times New Roman"/>
          <w:sz w:val="24"/>
          <w:szCs w:val="24"/>
        </w:rPr>
        <w:t>el principal objetivo para</w:t>
      </w:r>
      <w:r w:rsidR="00B55BE6" w:rsidRPr="0069230C">
        <w:rPr>
          <w:rFonts w:ascii="Times New Roman" w:hAnsi="Times New Roman" w:cs="Times New Roman"/>
          <w:sz w:val="24"/>
          <w:szCs w:val="24"/>
        </w:rPr>
        <w:t xml:space="preserve"> la administración de alimentación enteral es preservar las funciones de barrera del intestino y restaurar la integridad intestinal, de esta manera la alimentación enteral disminuye la atrofia intestinal, lo cual se comprueba en estudios</w:t>
      </w:r>
      <w:r w:rsidR="005B5B5A" w:rsidRPr="0069230C">
        <w:rPr>
          <w:rFonts w:ascii="Times New Roman" w:hAnsi="Times New Roman" w:cs="Times New Roman"/>
          <w:sz w:val="24"/>
          <w:szCs w:val="24"/>
        </w:rPr>
        <w:t xml:space="preserve"> realizados en pacientes </w:t>
      </w:r>
      <w:proofErr w:type="spellStart"/>
      <w:r w:rsidR="005B5B5A" w:rsidRPr="0069230C">
        <w:rPr>
          <w:rFonts w:ascii="Times New Roman" w:hAnsi="Times New Roman" w:cs="Times New Roman"/>
          <w:sz w:val="24"/>
          <w:szCs w:val="24"/>
        </w:rPr>
        <w:t>politra</w:t>
      </w:r>
      <w:r w:rsidR="00B55BE6" w:rsidRPr="0069230C">
        <w:rPr>
          <w:rFonts w:ascii="Times New Roman" w:hAnsi="Times New Roman" w:cs="Times New Roman"/>
          <w:sz w:val="24"/>
          <w:szCs w:val="24"/>
        </w:rPr>
        <w:t>umatizados</w:t>
      </w:r>
      <w:proofErr w:type="spellEnd"/>
      <w:r w:rsidR="00B55BE6" w:rsidRPr="0069230C">
        <w:rPr>
          <w:rFonts w:ascii="Times New Roman" w:hAnsi="Times New Roman" w:cs="Times New Roman"/>
          <w:sz w:val="24"/>
          <w:szCs w:val="24"/>
        </w:rPr>
        <w:t>, en los cuales la administración temprana antes de las 24 ho</w:t>
      </w:r>
      <w:r w:rsidR="000F5E7D" w:rsidRPr="0069230C">
        <w:rPr>
          <w:rFonts w:ascii="Times New Roman" w:hAnsi="Times New Roman" w:cs="Times New Roman"/>
          <w:sz w:val="24"/>
          <w:szCs w:val="24"/>
        </w:rPr>
        <w:t>ras de su ingreso a la UCI ayudó</w:t>
      </w:r>
      <w:r w:rsidR="00B55BE6" w:rsidRPr="0069230C">
        <w:rPr>
          <w:rFonts w:ascii="Times New Roman" w:hAnsi="Times New Roman" w:cs="Times New Roman"/>
          <w:sz w:val="24"/>
          <w:szCs w:val="24"/>
        </w:rPr>
        <w:t xml:space="preserve"> a evitar o disminuir la permeabilidad intestinal</w:t>
      </w:r>
      <w:r w:rsidR="004777D8" w:rsidRPr="0069230C">
        <w:rPr>
          <w:rFonts w:ascii="Times New Roman" w:hAnsi="Times New Roman" w:cs="Times New Roman"/>
          <w:sz w:val="24"/>
          <w:szCs w:val="24"/>
        </w:rPr>
        <w:t>.</w:t>
      </w:r>
      <w:r w:rsidR="004777D8" w:rsidRPr="0069230C">
        <w:rPr>
          <w:rFonts w:ascii="Times New Roman" w:hAnsi="Times New Roman" w:cs="Times New Roman"/>
          <w:sz w:val="24"/>
          <w:szCs w:val="24"/>
          <w:vertAlign w:val="superscript"/>
        </w:rPr>
        <w:t>9</w:t>
      </w:r>
      <w:r w:rsidR="002000BD" w:rsidRPr="0069230C">
        <w:rPr>
          <w:rFonts w:ascii="Times New Roman" w:hAnsi="Times New Roman" w:cs="Times New Roman"/>
          <w:sz w:val="24"/>
          <w:szCs w:val="24"/>
          <w:vertAlign w:val="superscript"/>
        </w:rPr>
        <w:t xml:space="preserve"> </w:t>
      </w:r>
      <w:r w:rsidR="00077B4E" w:rsidRPr="0069230C">
        <w:rPr>
          <w:rFonts w:ascii="Times New Roman" w:hAnsi="Times New Roman" w:cs="Times New Roman"/>
          <w:sz w:val="24"/>
          <w:szCs w:val="24"/>
          <w:vertAlign w:val="superscript"/>
        </w:rPr>
        <w:t xml:space="preserve"> </w:t>
      </w:r>
    </w:p>
    <w:p w:rsidR="00C83335" w:rsidRPr="0069230C" w:rsidRDefault="000F6D00" w:rsidP="0069230C">
      <w:pPr>
        <w:autoSpaceDE w:val="0"/>
        <w:autoSpaceDN w:val="0"/>
        <w:adjustRightInd w:val="0"/>
        <w:spacing w:after="0" w:line="360" w:lineRule="auto"/>
        <w:jc w:val="both"/>
        <w:rPr>
          <w:rFonts w:ascii="Times New Roman" w:hAnsi="Times New Roman" w:cs="Times New Roman"/>
          <w:sz w:val="24"/>
          <w:szCs w:val="24"/>
          <w:vertAlign w:val="superscript"/>
        </w:rPr>
      </w:pPr>
      <w:r w:rsidRPr="0069230C">
        <w:rPr>
          <w:rFonts w:ascii="Times New Roman" w:hAnsi="Times New Roman" w:cs="Times New Roman"/>
          <w:sz w:val="24"/>
          <w:szCs w:val="24"/>
        </w:rPr>
        <w:t>Por otra parte</w:t>
      </w:r>
      <w:r w:rsidR="00CE3B6F" w:rsidRPr="0069230C">
        <w:rPr>
          <w:rFonts w:ascii="Times New Roman" w:hAnsi="Times New Roman" w:cs="Times New Roman"/>
          <w:sz w:val="24"/>
          <w:szCs w:val="24"/>
        </w:rPr>
        <w:t xml:space="preserve">, </w:t>
      </w:r>
      <w:r w:rsidR="00B67706" w:rsidRPr="0069230C">
        <w:rPr>
          <w:rFonts w:ascii="Times New Roman" w:hAnsi="Times New Roman" w:cs="Times New Roman"/>
          <w:sz w:val="24"/>
          <w:szCs w:val="24"/>
        </w:rPr>
        <w:t>el soporte nutricional especializado debe ser ajustado de form</w:t>
      </w:r>
      <w:r w:rsidR="00CE3B6F" w:rsidRPr="0069230C">
        <w:rPr>
          <w:rFonts w:ascii="Times New Roman" w:hAnsi="Times New Roman" w:cs="Times New Roman"/>
          <w:sz w:val="24"/>
          <w:szCs w:val="24"/>
        </w:rPr>
        <w:t>a individualizada, y debe ser considerado</w:t>
      </w:r>
      <w:r w:rsidR="004E31FD" w:rsidRPr="0069230C">
        <w:rPr>
          <w:rFonts w:ascii="Times New Roman" w:hAnsi="Times New Roman" w:cs="Times New Roman"/>
          <w:sz w:val="24"/>
          <w:szCs w:val="24"/>
        </w:rPr>
        <w:t xml:space="preserve"> en la prevención del daño cerebral secundario en el paciente con TCE</w:t>
      </w:r>
      <w:r w:rsidRPr="0069230C">
        <w:rPr>
          <w:rFonts w:ascii="Times New Roman" w:hAnsi="Times New Roman" w:cs="Times New Roman"/>
          <w:sz w:val="24"/>
          <w:szCs w:val="24"/>
        </w:rPr>
        <w:t xml:space="preserve"> </w:t>
      </w:r>
      <w:r w:rsidR="0039433B" w:rsidRPr="0069230C">
        <w:rPr>
          <w:rFonts w:ascii="Times New Roman" w:hAnsi="Times New Roman" w:cs="Times New Roman"/>
          <w:sz w:val="24"/>
          <w:szCs w:val="24"/>
        </w:rPr>
        <w:t>y este deberá iniciarse tan pronto se prevea que los requerimientos nutricionales no podrán ser cubiertos por vía oral en 5 a 10 días de ingreso a la UCI</w:t>
      </w:r>
      <w:r w:rsidR="004777D8" w:rsidRPr="0069230C">
        <w:rPr>
          <w:rFonts w:ascii="Times New Roman" w:hAnsi="Times New Roman" w:cs="Times New Roman"/>
          <w:sz w:val="24"/>
          <w:szCs w:val="24"/>
        </w:rPr>
        <w:t>.</w:t>
      </w:r>
      <w:r w:rsidR="004777D8" w:rsidRPr="0069230C">
        <w:rPr>
          <w:rFonts w:ascii="Times New Roman" w:hAnsi="Times New Roman" w:cs="Times New Roman"/>
          <w:sz w:val="24"/>
          <w:szCs w:val="24"/>
          <w:vertAlign w:val="superscript"/>
        </w:rPr>
        <w:t>10</w:t>
      </w:r>
    </w:p>
    <w:p w:rsidR="00EF4120" w:rsidRPr="0069230C" w:rsidRDefault="003C252C" w:rsidP="0069230C">
      <w:pPr>
        <w:autoSpaceDE w:val="0"/>
        <w:autoSpaceDN w:val="0"/>
        <w:adjustRightInd w:val="0"/>
        <w:spacing w:after="0" w:line="360" w:lineRule="auto"/>
        <w:jc w:val="both"/>
        <w:rPr>
          <w:rFonts w:ascii="Times New Roman" w:hAnsi="Times New Roman" w:cs="Times New Roman"/>
          <w:sz w:val="24"/>
          <w:szCs w:val="24"/>
        </w:rPr>
      </w:pPr>
      <w:r w:rsidRPr="0069230C">
        <w:rPr>
          <w:rFonts w:ascii="Times New Roman" w:hAnsi="Times New Roman" w:cs="Times New Roman"/>
          <w:sz w:val="24"/>
          <w:szCs w:val="24"/>
        </w:rPr>
        <w:t>La evaluación bioquímica se utiliza a fin de detectar deficiencias subclínicas, proporciona un medio objetivo para la evaluación del estado nutricional, independientemente de f</w:t>
      </w:r>
      <w:r w:rsidR="003D05D5" w:rsidRPr="0069230C">
        <w:rPr>
          <w:rFonts w:ascii="Times New Roman" w:hAnsi="Times New Roman" w:cs="Times New Roman"/>
          <w:sz w:val="24"/>
          <w:szCs w:val="24"/>
        </w:rPr>
        <w:t>actores subjetivos. Consiste</w:t>
      </w:r>
      <w:r w:rsidRPr="0069230C">
        <w:rPr>
          <w:rFonts w:ascii="Times New Roman" w:hAnsi="Times New Roman" w:cs="Times New Roman"/>
          <w:sz w:val="24"/>
          <w:szCs w:val="24"/>
        </w:rPr>
        <w:t xml:space="preserve"> en la determinación de las concentraciones plasmáticas de algunas proteínas de síntesis hepática que se relacionan con el estado del compartimento visceral, es así como la concentración sérica de albumina refleja la síntesis, degradación, p</w:t>
      </w:r>
      <w:r w:rsidR="006D4C9D" w:rsidRPr="0069230C">
        <w:rPr>
          <w:rFonts w:ascii="Times New Roman" w:hAnsi="Times New Roman" w:cs="Times New Roman"/>
          <w:sz w:val="24"/>
          <w:szCs w:val="24"/>
        </w:rPr>
        <w:t>é</w:t>
      </w:r>
      <w:r w:rsidRPr="0069230C">
        <w:rPr>
          <w:rFonts w:ascii="Times New Roman" w:hAnsi="Times New Roman" w:cs="Times New Roman"/>
          <w:sz w:val="24"/>
          <w:szCs w:val="24"/>
        </w:rPr>
        <w:t xml:space="preserve">rdidas e intercambio entre el espacio </w:t>
      </w:r>
      <w:proofErr w:type="spellStart"/>
      <w:r w:rsidRPr="0069230C">
        <w:rPr>
          <w:rFonts w:ascii="Times New Roman" w:hAnsi="Times New Roman" w:cs="Times New Roman"/>
          <w:sz w:val="24"/>
          <w:szCs w:val="24"/>
        </w:rPr>
        <w:t>intravascular</w:t>
      </w:r>
      <w:proofErr w:type="spellEnd"/>
      <w:r w:rsidRPr="0069230C">
        <w:rPr>
          <w:rFonts w:ascii="Times New Roman" w:hAnsi="Times New Roman" w:cs="Times New Roman"/>
          <w:sz w:val="24"/>
          <w:szCs w:val="24"/>
        </w:rPr>
        <w:t xml:space="preserve"> y extravascular. As</w:t>
      </w:r>
      <w:r w:rsidR="006D4C9D" w:rsidRPr="0069230C">
        <w:rPr>
          <w:rFonts w:ascii="Times New Roman" w:hAnsi="Times New Roman" w:cs="Times New Roman"/>
          <w:sz w:val="24"/>
          <w:szCs w:val="24"/>
        </w:rPr>
        <w:t>i</w:t>
      </w:r>
      <w:r w:rsidRPr="0069230C">
        <w:rPr>
          <w:rFonts w:ascii="Times New Roman" w:hAnsi="Times New Roman" w:cs="Times New Roman"/>
          <w:sz w:val="24"/>
          <w:szCs w:val="24"/>
        </w:rPr>
        <w:t>mismo, la alb</w:t>
      </w:r>
      <w:r w:rsidR="006D4C9D" w:rsidRPr="0069230C">
        <w:rPr>
          <w:rFonts w:ascii="Times New Roman" w:hAnsi="Times New Roman" w:cs="Times New Roman"/>
          <w:sz w:val="24"/>
          <w:szCs w:val="24"/>
        </w:rPr>
        <w:t>ú</w:t>
      </w:r>
      <w:r w:rsidRPr="0069230C">
        <w:rPr>
          <w:rFonts w:ascii="Times New Roman" w:hAnsi="Times New Roman" w:cs="Times New Roman"/>
          <w:sz w:val="24"/>
          <w:szCs w:val="24"/>
        </w:rPr>
        <w:t xml:space="preserve">mina sérica se ve afectada en situaciones </w:t>
      </w:r>
      <w:r w:rsidRPr="0069230C">
        <w:rPr>
          <w:rFonts w:ascii="Times New Roman" w:hAnsi="Times New Roman" w:cs="Times New Roman"/>
          <w:sz w:val="24"/>
          <w:szCs w:val="24"/>
        </w:rPr>
        <w:lastRenderedPageBreak/>
        <w:t>de estrés o enfermedad aguda. Sin embargo, en el paciente en estado crítico se ha encontrado que una concentración menor de 3.5 g/dl se relaciona con un incremento de la morbilidad y mortalidad</w:t>
      </w:r>
      <w:r w:rsidR="004777D8" w:rsidRPr="0069230C">
        <w:rPr>
          <w:rFonts w:ascii="Times New Roman" w:hAnsi="Times New Roman" w:cs="Times New Roman"/>
          <w:sz w:val="24"/>
          <w:szCs w:val="24"/>
        </w:rPr>
        <w:t>.</w:t>
      </w:r>
      <w:r w:rsidR="00283624" w:rsidRPr="0069230C">
        <w:rPr>
          <w:rFonts w:ascii="Times New Roman" w:hAnsi="Times New Roman" w:cs="Times New Roman"/>
          <w:sz w:val="24"/>
          <w:szCs w:val="24"/>
          <w:vertAlign w:val="superscript"/>
        </w:rPr>
        <w:t>1</w:t>
      </w:r>
      <w:r w:rsidR="004777D8" w:rsidRPr="0069230C">
        <w:rPr>
          <w:rFonts w:ascii="Times New Roman" w:hAnsi="Times New Roman" w:cs="Times New Roman"/>
          <w:sz w:val="24"/>
          <w:szCs w:val="24"/>
          <w:vertAlign w:val="superscript"/>
        </w:rPr>
        <w:t>1</w:t>
      </w:r>
    </w:p>
    <w:p w:rsidR="00E43E31" w:rsidRPr="0069230C" w:rsidRDefault="003C252C" w:rsidP="0069230C">
      <w:pPr>
        <w:spacing w:after="0" w:line="360" w:lineRule="auto"/>
        <w:jc w:val="both"/>
        <w:rPr>
          <w:rFonts w:ascii="Times New Roman" w:hAnsi="Times New Roman" w:cs="Times New Roman"/>
          <w:sz w:val="24"/>
          <w:szCs w:val="24"/>
        </w:rPr>
      </w:pPr>
      <w:r w:rsidRPr="0069230C">
        <w:rPr>
          <w:rFonts w:ascii="Times New Roman" w:hAnsi="Times New Roman" w:cs="Times New Roman"/>
          <w:sz w:val="24"/>
          <w:szCs w:val="24"/>
        </w:rPr>
        <w:t xml:space="preserve">En la clínica diaria se valora </w:t>
      </w:r>
      <w:r w:rsidR="00E95376" w:rsidRPr="0069230C">
        <w:rPr>
          <w:rFonts w:ascii="Times New Roman" w:hAnsi="Times New Roman" w:cs="Times New Roman"/>
          <w:sz w:val="24"/>
          <w:szCs w:val="24"/>
        </w:rPr>
        <w:t xml:space="preserve">generalmente </w:t>
      </w:r>
      <w:r w:rsidRPr="0069230C">
        <w:rPr>
          <w:rFonts w:ascii="Times New Roman" w:hAnsi="Times New Roman" w:cs="Times New Roman"/>
          <w:sz w:val="24"/>
          <w:szCs w:val="24"/>
        </w:rPr>
        <w:t>el e</w:t>
      </w:r>
      <w:r w:rsidR="003D05D5" w:rsidRPr="0069230C">
        <w:rPr>
          <w:rFonts w:ascii="Times New Roman" w:hAnsi="Times New Roman" w:cs="Times New Roman"/>
          <w:sz w:val="24"/>
          <w:szCs w:val="24"/>
        </w:rPr>
        <w:t xml:space="preserve">stado inmunitario con el número </w:t>
      </w:r>
      <w:r w:rsidRPr="0069230C">
        <w:rPr>
          <w:rFonts w:ascii="Times New Roman" w:hAnsi="Times New Roman" w:cs="Times New Roman"/>
          <w:sz w:val="24"/>
          <w:szCs w:val="24"/>
        </w:rPr>
        <w:t>de linfocitos totales</w:t>
      </w:r>
      <w:r w:rsidR="006D4C9D" w:rsidRPr="0069230C">
        <w:rPr>
          <w:rFonts w:ascii="Times New Roman" w:hAnsi="Times New Roman" w:cs="Times New Roman"/>
          <w:sz w:val="24"/>
          <w:szCs w:val="24"/>
        </w:rPr>
        <w:t>,</w:t>
      </w:r>
      <w:r w:rsidRPr="0069230C">
        <w:rPr>
          <w:rFonts w:ascii="Times New Roman" w:hAnsi="Times New Roman" w:cs="Times New Roman"/>
          <w:sz w:val="24"/>
          <w:szCs w:val="24"/>
        </w:rPr>
        <w:t xml:space="preserve"> </w:t>
      </w:r>
      <w:r w:rsidR="00E95376" w:rsidRPr="0069230C">
        <w:rPr>
          <w:rFonts w:ascii="Times New Roman" w:hAnsi="Times New Roman" w:cs="Times New Roman"/>
          <w:sz w:val="24"/>
          <w:szCs w:val="24"/>
        </w:rPr>
        <w:t>tomándose como referencia los siguientes parámetros</w:t>
      </w:r>
      <w:r w:rsidR="006D4C9D" w:rsidRPr="0069230C">
        <w:rPr>
          <w:rFonts w:ascii="Times New Roman" w:hAnsi="Times New Roman" w:cs="Times New Roman"/>
          <w:sz w:val="24"/>
          <w:szCs w:val="24"/>
        </w:rPr>
        <w:t>:</w:t>
      </w:r>
      <w:r w:rsidR="00E95376" w:rsidRPr="0069230C">
        <w:rPr>
          <w:rFonts w:ascii="Times New Roman" w:hAnsi="Times New Roman" w:cs="Times New Roman"/>
          <w:sz w:val="24"/>
          <w:szCs w:val="24"/>
        </w:rPr>
        <w:t xml:space="preserve"> malnutrición leve: 1200-2000 </w:t>
      </w:r>
      <w:proofErr w:type="spellStart"/>
      <w:r w:rsidR="00E95376" w:rsidRPr="0069230C">
        <w:rPr>
          <w:rFonts w:ascii="Times New Roman" w:hAnsi="Times New Roman" w:cs="Times New Roman"/>
          <w:sz w:val="24"/>
          <w:szCs w:val="24"/>
        </w:rPr>
        <w:t>linf</w:t>
      </w:r>
      <w:proofErr w:type="spellEnd"/>
      <w:r w:rsidR="00E95376" w:rsidRPr="0069230C">
        <w:rPr>
          <w:rFonts w:ascii="Times New Roman" w:hAnsi="Times New Roman" w:cs="Times New Roman"/>
          <w:sz w:val="24"/>
          <w:szCs w:val="24"/>
        </w:rPr>
        <w:t>/mm</w:t>
      </w:r>
      <w:r w:rsidR="00E95376" w:rsidRPr="0069230C">
        <w:rPr>
          <w:rFonts w:ascii="Times New Roman" w:hAnsi="Times New Roman" w:cs="Times New Roman"/>
          <w:sz w:val="24"/>
          <w:szCs w:val="24"/>
          <w:vertAlign w:val="superscript"/>
        </w:rPr>
        <w:t>3</w:t>
      </w:r>
      <w:r w:rsidR="00E95376" w:rsidRPr="0069230C">
        <w:rPr>
          <w:rFonts w:ascii="Times New Roman" w:hAnsi="Times New Roman" w:cs="Times New Roman"/>
          <w:sz w:val="24"/>
          <w:szCs w:val="24"/>
        </w:rPr>
        <w:t xml:space="preserve">; malnutrición moderada: 800-1200 </w:t>
      </w:r>
      <w:proofErr w:type="spellStart"/>
      <w:r w:rsidR="00E95376" w:rsidRPr="0069230C">
        <w:rPr>
          <w:rFonts w:ascii="Times New Roman" w:hAnsi="Times New Roman" w:cs="Times New Roman"/>
          <w:sz w:val="24"/>
          <w:szCs w:val="24"/>
        </w:rPr>
        <w:t>linf</w:t>
      </w:r>
      <w:proofErr w:type="spellEnd"/>
      <w:r w:rsidR="00E95376" w:rsidRPr="0069230C">
        <w:rPr>
          <w:rFonts w:ascii="Times New Roman" w:hAnsi="Times New Roman" w:cs="Times New Roman"/>
          <w:sz w:val="24"/>
          <w:szCs w:val="24"/>
        </w:rPr>
        <w:t>/mm</w:t>
      </w:r>
      <w:r w:rsidR="00E95376" w:rsidRPr="0069230C">
        <w:rPr>
          <w:rFonts w:ascii="Times New Roman" w:hAnsi="Times New Roman" w:cs="Times New Roman"/>
          <w:sz w:val="24"/>
          <w:szCs w:val="24"/>
          <w:vertAlign w:val="superscript"/>
        </w:rPr>
        <w:t>3</w:t>
      </w:r>
      <w:r w:rsidR="00E95376" w:rsidRPr="0069230C">
        <w:rPr>
          <w:rFonts w:ascii="Times New Roman" w:hAnsi="Times New Roman" w:cs="Times New Roman"/>
          <w:sz w:val="24"/>
          <w:szCs w:val="24"/>
        </w:rPr>
        <w:t xml:space="preserve">; y malnutrición grave: &lt; 800 </w:t>
      </w:r>
      <w:proofErr w:type="spellStart"/>
      <w:r w:rsidR="00E95376" w:rsidRPr="0069230C">
        <w:rPr>
          <w:rFonts w:ascii="Times New Roman" w:hAnsi="Times New Roman" w:cs="Times New Roman"/>
          <w:sz w:val="24"/>
          <w:szCs w:val="24"/>
        </w:rPr>
        <w:t>linf</w:t>
      </w:r>
      <w:proofErr w:type="spellEnd"/>
      <w:r w:rsidR="00E95376" w:rsidRPr="0069230C">
        <w:rPr>
          <w:rFonts w:ascii="Times New Roman" w:hAnsi="Times New Roman" w:cs="Times New Roman"/>
          <w:sz w:val="24"/>
          <w:szCs w:val="24"/>
        </w:rPr>
        <w:t>/mm</w:t>
      </w:r>
      <w:r w:rsidR="002923CE" w:rsidRPr="0069230C">
        <w:rPr>
          <w:rFonts w:ascii="Times New Roman" w:hAnsi="Times New Roman" w:cs="Times New Roman"/>
          <w:sz w:val="24"/>
          <w:szCs w:val="24"/>
          <w:vertAlign w:val="superscript"/>
        </w:rPr>
        <w:t>3</w:t>
      </w:r>
      <w:r w:rsidR="002923CE" w:rsidRPr="0069230C">
        <w:rPr>
          <w:rFonts w:ascii="Times New Roman" w:hAnsi="Times New Roman" w:cs="Times New Roman"/>
          <w:sz w:val="24"/>
          <w:szCs w:val="24"/>
        </w:rPr>
        <w:t>.</w:t>
      </w:r>
      <w:r w:rsidR="002923CE" w:rsidRPr="0069230C">
        <w:rPr>
          <w:rFonts w:ascii="Times New Roman" w:hAnsi="Times New Roman" w:cs="Times New Roman"/>
          <w:sz w:val="24"/>
          <w:szCs w:val="24"/>
          <w:vertAlign w:val="superscript"/>
        </w:rPr>
        <w:t>1</w:t>
      </w:r>
      <w:r w:rsidR="004777D8" w:rsidRPr="0069230C">
        <w:rPr>
          <w:rFonts w:ascii="Times New Roman" w:hAnsi="Times New Roman" w:cs="Times New Roman"/>
          <w:sz w:val="24"/>
          <w:szCs w:val="24"/>
          <w:vertAlign w:val="superscript"/>
        </w:rPr>
        <w:t>1</w:t>
      </w:r>
    </w:p>
    <w:p w:rsidR="00EB26FD" w:rsidRPr="0069230C" w:rsidRDefault="00EF4120" w:rsidP="0069230C">
      <w:pPr>
        <w:spacing w:after="0" w:line="360" w:lineRule="auto"/>
        <w:jc w:val="both"/>
        <w:rPr>
          <w:rFonts w:ascii="Times New Roman" w:hAnsi="Times New Roman" w:cs="Times New Roman"/>
          <w:b/>
          <w:sz w:val="24"/>
          <w:szCs w:val="24"/>
        </w:rPr>
      </w:pPr>
      <w:r w:rsidRPr="0069230C">
        <w:rPr>
          <w:rFonts w:ascii="Times New Roman" w:hAnsi="Times New Roman" w:cs="Times New Roman"/>
          <w:sz w:val="24"/>
          <w:szCs w:val="24"/>
        </w:rPr>
        <w:t>E</w:t>
      </w:r>
      <w:r w:rsidR="00503D9B" w:rsidRPr="0069230C">
        <w:rPr>
          <w:rFonts w:ascii="Times New Roman" w:hAnsi="Times New Roman" w:cs="Times New Roman"/>
          <w:sz w:val="24"/>
          <w:szCs w:val="24"/>
        </w:rPr>
        <w:t>l</w:t>
      </w:r>
      <w:r w:rsidR="00B97365" w:rsidRPr="0069230C">
        <w:rPr>
          <w:rFonts w:ascii="Times New Roman" w:hAnsi="Times New Roman" w:cs="Times New Roman"/>
          <w:sz w:val="24"/>
          <w:szCs w:val="24"/>
        </w:rPr>
        <w:t xml:space="preserve"> objetivo del presente estudio fue</w:t>
      </w:r>
      <w:r w:rsidR="007A7489" w:rsidRPr="0069230C">
        <w:rPr>
          <w:rFonts w:ascii="Times New Roman" w:hAnsi="Times New Roman" w:cs="Times New Roman"/>
          <w:b/>
          <w:sz w:val="24"/>
          <w:szCs w:val="24"/>
        </w:rPr>
        <w:t xml:space="preserve"> </w:t>
      </w:r>
      <w:r w:rsidR="007A7489" w:rsidRPr="0069230C">
        <w:rPr>
          <w:rFonts w:ascii="Times New Roman" w:hAnsi="Times New Roman" w:cs="Times New Roman"/>
          <w:sz w:val="24"/>
          <w:szCs w:val="24"/>
        </w:rPr>
        <w:t xml:space="preserve">determinar la relación entre el inicio temprano de la nutrición enteral y su impacto sobre la </w:t>
      </w:r>
      <w:proofErr w:type="spellStart"/>
      <w:r w:rsidR="007A7489" w:rsidRPr="0069230C">
        <w:rPr>
          <w:rFonts w:ascii="Times New Roman" w:hAnsi="Times New Roman" w:cs="Times New Roman"/>
          <w:sz w:val="24"/>
          <w:szCs w:val="24"/>
        </w:rPr>
        <w:t>la</w:t>
      </w:r>
      <w:proofErr w:type="spellEnd"/>
      <w:r w:rsidR="007A7489" w:rsidRPr="0069230C">
        <w:rPr>
          <w:rFonts w:ascii="Times New Roman" w:hAnsi="Times New Roman" w:cs="Times New Roman"/>
          <w:sz w:val="24"/>
          <w:szCs w:val="24"/>
        </w:rPr>
        <w:t xml:space="preserve"> </w:t>
      </w:r>
      <w:proofErr w:type="spellStart"/>
      <w:r w:rsidR="007A7489" w:rsidRPr="0069230C">
        <w:rPr>
          <w:rFonts w:ascii="Times New Roman" w:hAnsi="Times New Roman" w:cs="Times New Roman"/>
          <w:sz w:val="24"/>
          <w:szCs w:val="24"/>
        </w:rPr>
        <w:t>morbi</w:t>
      </w:r>
      <w:proofErr w:type="spellEnd"/>
      <w:r w:rsidR="007A7489" w:rsidRPr="0069230C">
        <w:rPr>
          <w:rFonts w:ascii="Times New Roman" w:hAnsi="Times New Roman" w:cs="Times New Roman"/>
          <w:sz w:val="24"/>
          <w:szCs w:val="24"/>
        </w:rPr>
        <w:t>-mortalidad y días de hospitalización en el pa</w:t>
      </w:r>
      <w:r w:rsidR="00CE3B6F" w:rsidRPr="0069230C">
        <w:rPr>
          <w:rFonts w:ascii="Times New Roman" w:hAnsi="Times New Roman" w:cs="Times New Roman"/>
          <w:sz w:val="24"/>
          <w:szCs w:val="24"/>
        </w:rPr>
        <w:t>ciente con TCE que ingres</w:t>
      </w:r>
      <w:r w:rsidR="006D4C9D" w:rsidRPr="0069230C">
        <w:rPr>
          <w:rFonts w:ascii="Times New Roman" w:hAnsi="Times New Roman" w:cs="Times New Roman"/>
          <w:sz w:val="24"/>
          <w:szCs w:val="24"/>
        </w:rPr>
        <w:t>ó</w:t>
      </w:r>
      <w:r w:rsidR="007A7489" w:rsidRPr="0069230C">
        <w:rPr>
          <w:rFonts w:ascii="Times New Roman" w:hAnsi="Times New Roman" w:cs="Times New Roman"/>
          <w:sz w:val="24"/>
          <w:szCs w:val="24"/>
        </w:rPr>
        <w:t xml:space="preserve"> en la Unidad de Cuidados Intensivos de un Hospital de </w:t>
      </w:r>
      <w:r w:rsidR="00CE3B6F" w:rsidRPr="0069230C">
        <w:rPr>
          <w:rFonts w:ascii="Times New Roman" w:hAnsi="Times New Roman" w:cs="Times New Roman"/>
          <w:sz w:val="24"/>
          <w:szCs w:val="24"/>
        </w:rPr>
        <w:t>segundo</w:t>
      </w:r>
      <w:r w:rsidR="007A7489" w:rsidRPr="0069230C">
        <w:rPr>
          <w:rFonts w:ascii="Times New Roman" w:hAnsi="Times New Roman" w:cs="Times New Roman"/>
          <w:sz w:val="24"/>
          <w:szCs w:val="24"/>
        </w:rPr>
        <w:t xml:space="preserve"> nivel en México</w:t>
      </w:r>
      <w:r w:rsidR="006D4C9D" w:rsidRPr="0069230C">
        <w:rPr>
          <w:rFonts w:ascii="Times New Roman" w:hAnsi="Times New Roman" w:cs="Times New Roman"/>
          <w:sz w:val="24"/>
          <w:szCs w:val="24"/>
        </w:rPr>
        <w:t>.</w:t>
      </w:r>
    </w:p>
    <w:p w:rsidR="006D4C9D" w:rsidRPr="0069230C" w:rsidRDefault="006D4C9D" w:rsidP="0069230C">
      <w:pPr>
        <w:spacing w:after="0" w:line="360" w:lineRule="auto"/>
        <w:jc w:val="both"/>
        <w:rPr>
          <w:rFonts w:ascii="Times New Roman" w:hAnsi="Times New Roman" w:cs="Times New Roman"/>
          <w:b/>
          <w:sz w:val="24"/>
          <w:szCs w:val="24"/>
        </w:rPr>
      </w:pPr>
    </w:p>
    <w:p w:rsidR="001D101E" w:rsidRPr="0069230C" w:rsidRDefault="00122ABC" w:rsidP="0069230C">
      <w:pPr>
        <w:spacing w:after="0" w:line="360" w:lineRule="auto"/>
        <w:jc w:val="both"/>
        <w:rPr>
          <w:rFonts w:ascii="Times New Roman" w:hAnsi="Times New Roman" w:cs="Times New Roman"/>
          <w:b/>
          <w:sz w:val="24"/>
          <w:szCs w:val="24"/>
        </w:rPr>
      </w:pPr>
      <w:r w:rsidRPr="0069230C">
        <w:rPr>
          <w:rFonts w:ascii="Times New Roman" w:hAnsi="Times New Roman" w:cs="Times New Roman"/>
          <w:b/>
          <w:sz w:val="24"/>
          <w:szCs w:val="24"/>
        </w:rPr>
        <w:t>Métodos</w:t>
      </w:r>
    </w:p>
    <w:p w:rsidR="006D4C9D" w:rsidRPr="0069230C" w:rsidRDefault="006D4C9D" w:rsidP="0069230C">
      <w:pPr>
        <w:spacing w:after="0" w:line="360" w:lineRule="auto"/>
        <w:jc w:val="both"/>
        <w:rPr>
          <w:rFonts w:ascii="Times New Roman" w:hAnsi="Times New Roman" w:cs="Times New Roman"/>
          <w:b/>
          <w:sz w:val="24"/>
          <w:szCs w:val="24"/>
        </w:rPr>
      </w:pPr>
    </w:p>
    <w:p w:rsidR="001A228D" w:rsidRPr="0069230C" w:rsidRDefault="001A228D" w:rsidP="0069230C">
      <w:pPr>
        <w:spacing w:after="0" w:line="360" w:lineRule="auto"/>
        <w:jc w:val="both"/>
        <w:rPr>
          <w:rFonts w:ascii="Times New Roman" w:hAnsi="Times New Roman" w:cs="Times New Roman"/>
          <w:i/>
          <w:sz w:val="24"/>
          <w:szCs w:val="24"/>
        </w:rPr>
      </w:pPr>
      <w:r w:rsidRPr="0069230C">
        <w:rPr>
          <w:rFonts w:ascii="Times New Roman" w:hAnsi="Times New Roman" w:cs="Times New Roman"/>
          <w:i/>
          <w:sz w:val="24"/>
          <w:szCs w:val="24"/>
        </w:rPr>
        <w:t>Diseño del estudio</w:t>
      </w:r>
    </w:p>
    <w:p w:rsidR="006D4C9D" w:rsidRPr="0069230C" w:rsidRDefault="006D4C9D" w:rsidP="0069230C">
      <w:pPr>
        <w:spacing w:after="0" w:line="360" w:lineRule="auto"/>
        <w:jc w:val="both"/>
        <w:rPr>
          <w:rFonts w:ascii="Times New Roman" w:hAnsi="Times New Roman" w:cs="Times New Roman"/>
          <w:sz w:val="24"/>
          <w:szCs w:val="24"/>
        </w:rPr>
      </w:pPr>
    </w:p>
    <w:p w:rsidR="00203B3D" w:rsidRPr="0069230C" w:rsidRDefault="001A228D" w:rsidP="0069230C">
      <w:pPr>
        <w:spacing w:after="0" w:line="360" w:lineRule="auto"/>
        <w:jc w:val="both"/>
        <w:rPr>
          <w:rFonts w:ascii="Times New Roman" w:hAnsi="Times New Roman" w:cs="Times New Roman"/>
          <w:sz w:val="24"/>
          <w:szCs w:val="24"/>
        </w:rPr>
      </w:pPr>
      <w:r w:rsidRPr="0069230C">
        <w:rPr>
          <w:rFonts w:ascii="Times New Roman" w:hAnsi="Times New Roman" w:cs="Times New Roman"/>
          <w:sz w:val="24"/>
          <w:szCs w:val="24"/>
        </w:rPr>
        <w:t>E</w:t>
      </w:r>
      <w:r w:rsidR="001D101E" w:rsidRPr="0069230C">
        <w:rPr>
          <w:rFonts w:ascii="Times New Roman" w:hAnsi="Times New Roman" w:cs="Times New Roman"/>
          <w:sz w:val="24"/>
          <w:szCs w:val="24"/>
        </w:rPr>
        <w:t xml:space="preserve">studio </w:t>
      </w:r>
      <w:r w:rsidR="00D846E3" w:rsidRPr="0069230C">
        <w:rPr>
          <w:rFonts w:ascii="Times New Roman" w:hAnsi="Times New Roman" w:cs="Times New Roman"/>
          <w:sz w:val="24"/>
          <w:szCs w:val="24"/>
        </w:rPr>
        <w:t>descriptivo,</w:t>
      </w:r>
      <w:r w:rsidR="00891CD3" w:rsidRPr="0069230C">
        <w:rPr>
          <w:rFonts w:ascii="Times New Roman" w:hAnsi="Times New Roman" w:cs="Times New Roman"/>
          <w:sz w:val="24"/>
          <w:szCs w:val="24"/>
        </w:rPr>
        <w:t xml:space="preserve"> </w:t>
      </w:r>
      <w:r w:rsidR="00D846E3" w:rsidRPr="0069230C">
        <w:rPr>
          <w:rFonts w:ascii="Times New Roman" w:hAnsi="Times New Roman" w:cs="Times New Roman"/>
          <w:sz w:val="24"/>
          <w:szCs w:val="24"/>
        </w:rPr>
        <w:t>retrospectivo y de correlación,</w:t>
      </w:r>
      <w:r w:rsidRPr="0069230C">
        <w:rPr>
          <w:rFonts w:ascii="Times New Roman" w:hAnsi="Times New Roman" w:cs="Times New Roman"/>
          <w:sz w:val="24"/>
          <w:szCs w:val="24"/>
        </w:rPr>
        <w:t xml:space="preserve"> </w:t>
      </w:r>
      <w:r w:rsidR="008D56E6" w:rsidRPr="0069230C">
        <w:rPr>
          <w:rFonts w:ascii="Times New Roman" w:hAnsi="Times New Roman" w:cs="Times New Roman"/>
          <w:sz w:val="24"/>
          <w:szCs w:val="24"/>
        </w:rPr>
        <w:t>basado en la información secundaria o</w:t>
      </w:r>
      <w:r w:rsidR="00283923" w:rsidRPr="0069230C">
        <w:rPr>
          <w:rFonts w:ascii="Times New Roman" w:hAnsi="Times New Roman" w:cs="Times New Roman"/>
          <w:sz w:val="24"/>
          <w:szCs w:val="24"/>
        </w:rPr>
        <w:t>btenida del expediente clínico</w:t>
      </w:r>
      <w:r w:rsidR="002430A0" w:rsidRPr="0069230C">
        <w:rPr>
          <w:rFonts w:ascii="Times New Roman" w:hAnsi="Times New Roman" w:cs="Times New Roman"/>
          <w:sz w:val="24"/>
          <w:szCs w:val="24"/>
        </w:rPr>
        <w:t xml:space="preserve"> </w:t>
      </w:r>
      <w:r w:rsidR="00283923" w:rsidRPr="0069230C">
        <w:rPr>
          <w:rFonts w:ascii="Times New Roman" w:hAnsi="Times New Roman" w:cs="Times New Roman"/>
          <w:sz w:val="24"/>
          <w:szCs w:val="24"/>
        </w:rPr>
        <w:t>de</w:t>
      </w:r>
      <w:r w:rsidR="00B945DA" w:rsidRPr="0069230C">
        <w:rPr>
          <w:rFonts w:ascii="Times New Roman" w:hAnsi="Times New Roman" w:cs="Times New Roman"/>
          <w:sz w:val="24"/>
          <w:szCs w:val="24"/>
        </w:rPr>
        <w:t xml:space="preserve"> todos los pacientes </w:t>
      </w:r>
      <w:r w:rsidR="00693D4F" w:rsidRPr="0069230C">
        <w:rPr>
          <w:rFonts w:ascii="Times New Roman" w:hAnsi="Times New Roman" w:cs="Times New Roman"/>
          <w:sz w:val="24"/>
          <w:szCs w:val="24"/>
        </w:rPr>
        <w:t xml:space="preserve">que </w:t>
      </w:r>
      <w:r w:rsidR="00A26ADA" w:rsidRPr="0069230C">
        <w:rPr>
          <w:rFonts w:ascii="Times New Roman" w:hAnsi="Times New Roman" w:cs="Times New Roman"/>
          <w:sz w:val="24"/>
          <w:szCs w:val="24"/>
        </w:rPr>
        <w:t>ingresaron</w:t>
      </w:r>
      <w:r w:rsidR="001D101E" w:rsidRPr="0069230C">
        <w:rPr>
          <w:rFonts w:ascii="Times New Roman" w:hAnsi="Times New Roman" w:cs="Times New Roman"/>
          <w:sz w:val="24"/>
          <w:szCs w:val="24"/>
        </w:rPr>
        <w:t xml:space="preserve"> a </w:t>
      </w:r>
      <w:r w:rsidR="00203B3D" w:rsidRPr="0069230C">
        <w:rPr>
          <w:rFonts w:ascii="Times New Roman" w:hAnsi="Times New Roman" w:cs="Times New Roman"/>
          <w:sz w:val="24"/>
          <w:szCs w:val="24"/>
        </w:rPr>
        <w:t>la U</w:t>
      </w:r>
      <w:r w:rsidR="00122ABC" w:rsidRPr="0069230C">
        <w:rPr>
          <w:rFonts w:ascii="Times New Roman" w:hAnsi="Times New Roman" w:cs="Times New Roman"/>
          <w:sz w:val="24"/>
          <w:szCs w:val="24"/>
        </w:rPr>
        <w:t>nidad de Cuidados Intensivos de un</w:t>
      </w:r>
      <w:r w:rsidR="00203B3D" w:rsidRPr="0069230C">
        <w:rPr>
          <w:rFonts w:ascii="Times New Roman" w:hAnsi="Times New Roman" w:cs="Times New Roman"/>
          <w:sz w:val="24"/>
          <w:szCs w:val="24"/>
        </w:rPr>
        <w:t xml:space="preserve"> Hospital </w:t>
      </w:r>
      <w:r w:rsidR="00D22C7C" w:rsidRPr="0069230C">
        <w:rPr>
          <w:rFonts w:ascii="Times New Roman" w:hAnsi="Times New Roman" w:cs="Times New Roman"/>
          <w:sz w:val="24"/>
          <w:szCs w:val="24"/>
        </w:rPr>
        <w:t>de</w:t>
      </w:r>
      <w:r w:rsidR="0032675D" w:rsidRPr="0069230C">
        <w:rPr>
          <w:rFonts w:ascii="Times New Roman" w:hAnsi="Times New Roman" w:cs="Times New Roman"/>
          <w:sz w:val="24"/>
          <w:szCs w:val="24"/>
        </w:rPr>
        <w:t xml:space="preserve"> segundo</w:t>
      </w:r>
      <w:r w:rsidR="00122ABC" w:rsidRPr="0069230C">
        <w:rPr>
          <w:rFonts w:ascii="Times New Roman" w:hAnsi="Times New Roman" w:cs="Times New Roman"/>
          <w:sz w:val="24"/>
          <w:szCs w:val="24"/>
        </w:rPr>
        <w:t xml:space="preserve"> nivel </w:t>
      </w:r>
      <w:r w:rsidR="005410F2" w:rsidRPr="0069230C">
        <w:rPr>
          <w:rFonts w:ascii="Times New Roman" w:hAnsi="Times New Roman" w:cs="Times New Roman"/>
          <w:sz w:val="24"/>
          <w:szCs w:val="24"/>
        </w:rPr>
        <w:t>en</w:t>
      </w:r>
      <w:r w:rsidR="00122ABC" w:rsidRPr="0069230C">
        <w:rPr>
          <w:rFonts w:ascii="Times New Roman" w:hAnsi="Times New Roman" w:cs="Times New Roman"/>
          <w:sz w:val="24"/>
          <w:szCs w:val="24"/>
        </w:rPr>
        <w:t xml:space="preserve"> México</w:t>
      </w:r>
      <w:r w:rsidR="00203B3D" w:rsidRPr="0069230C">
        <w:rPr>
          <w:rFonts w:ascii="Times New Roman" w:hAnsi="Times New Roman" w:cs="Times New Roman"/>
          <w:sz w:val="24"/>
          <w:szCs w:val="24"/>
        </w:rPr>
        <w:t xml:space="preserve">, </w:t>
      </w:r>
      <w:r w:rsidR="001D101E" w:rsidRPr="0069230C">
        <w:rPr>
          <w:rFonts w:ascii="Times New Roman" w:hAnsi="Times New Roman" w:cs="Times New Roman"/>
          <w:sz w:val="24"/>
          <w:szCs w:val="24"/>
        </w:rPr>
        <w:t xml:space="preserve">durante el periodo </w:t>
      </w:r>
      <w:r w:rsidR="00881163" w:rsidRPr="0069230C">
        <w:rPr>
          <w:rFonts w:ascii="Times New Roman" w:hAnsi="Times New Roman" w:cs="Times New Roman"/>
          <w:sz w:val="24"/>
          <w:szCs w:val="24"/>
        </w:rPr>
        <w:t xml:space="preserve">comprendido del </w:t>
      </w:r>
      <w:r w:rsidR="006D4C9D" w:rsidRPr="0069230C">
        <w:rPr>
          <w:rFonts w:ascii="Times New Roman" w:hAnsi="Times New Roman" w:cs="Times New Roman"/>
          <w:sz w:val="24"/>
          <w:szCs w:val="24"/>
        </w:rPr>
        <w:t>1°</w:t>
      </w:r>
      <w:r w:rsidR="00881163" w:rsidRPr="0069230C">
        <w:rPr>
          <w:rFonts w:ascii="Times New Roman" w:hAnsi="Times New Roman" w:cs="Times New Roman"/>
          <w:sz w:val="24"/>
          <w:szCs w:val="24"/>
        </w:rPr>
        <w:t xml:space="preserve"> </w:t>
      </w:r>
      <w:r w:rsidR="001D101E" w:rsidRPr="0069230C">
        <w:rPr>
          <w:rFonts w:ascii="Times New Roman" w:hAnsi="Times New Roman" w:cs="Times New Roman"/>
          <w:sz w:val="24"/>
          <w:szCs w:val="24"/>
        </w:rPr>
        <w:t xml:space="preserve">de </w:t>
      </w:r>
      <w:r w:rsidR="00203B3D" w:rsidRPr="0069230C">
        <w:rPr>
          <w:rFonts w:ascii="Times New Roman" w:hAnsi="Times New Roman" w:cs="Times New Roman"/>
          <w:sz w:val="24"/>
          <w:szCs w:val="24"/>
        </w:rPr>
        <w:t>enero a</w:t>
      </w:r>
      <w:r w:rsidR="00881163" w:rsidRPr="0069230C">
        <w:rPr>
          <w:rFonts w:ascii="Times New Roman" w:hAnsi="Times New Roman" w:cs="Times New Roman"/>
          <w:sz w:val="24"/>
          <w:szCs w:val="24"/>
        </w:rPr>
        <w:t>l 31 de</w:t>
      </w:r>
      <w:r w:rsidR="00203B3D" w:rsidRPr="0069230C">
        <w:rPr>
          <w:rFonts w:ascii="Times New Roman" w:hAnsi="Times New Roman" w:cs="Times New Roman"/>
          <w:sz w:val="24"/>
          <w:szCs w:val="24"/>
        </w:rPr>
        <w:t xml:space="preserve"> diciembre</w:t>
      </w:r>
      <w:r w:rsidR="00505A45" w:rsidRPr="0069230C">
        <w:rPr>
          <w:rFonts w:ascii="Times New Roman" w:hAnsi="Times New Roman" w:cs="Times New Roman"/>
          <w:sz w:val="24"/>
          <w:szCs w:val="24"/>
        </w:rPr>
        <w:t xml:space="preserve"> de 2012 con diagnóstico de TCE</w:t>
      </w:r>
      <w:r w:rsidR="00203B3D" w:rsidRPr="0069230C">
        <w:rPr>
          <w:rFonts w:ascii="Times New Roman" w:hAnsi="Times New Roman" w:cs="Times New Roman"/>
          <w:sz w:val="24"/>
          <w:szCs w:val="24"/>
        </w:rPr>
        <w:t>.</w:t>
      </w:r>
    </w:p>
    <w:p w:rsidR="006D4C9D" w:rsidRPr="0069230C" w:rsidRDefault="006D4C9D" w:rsidP="0069230C">
      <w:pPr>
        <w:spacing w:after="0" w:line="360" w:lineRule="auto"/>
        <w:jc w:val="both"/>
        <w:rPr>
          <w:rFonts w:ascii="Times New Roman" w:hAnsi="Times New Roman" w:cs="Times New Roman"/>
          <w:sz w:val="24"/>
          <w:szCs w:val="24"/>
        </w:rPr>
      </w:pPr>
    </w:p>
    <w:p w:rsidR="00503D9B" w:rsidRPr="0069230C" w:rsidRDefault="001A228D" w:rsidP="0069230C">
      <w:pPr>
        <w:spacing w:after="0" w:line="360" w:lineRule="auto"/>
        <w:jc w:val="both"/>
        <w:rPr>
          <w:rFonts w:ascii="Times New Roman" w:hAnsi="Times New Roman" w:cs="Times New Roman"/>
          <w:i/>
          <w:sz w:val="24"/>
          <w:szCs w:val="24"/>
        </w:rPr>
      </w:pPr>
      <w:r w:rsidRPr="0069230C">
        <w:rPr>
          <w:rFonts w:ascii="Times New Roman" w:hAnsi="Times New Roman" w:cs="Times New Roman"/>
          <w:i/>
          <w:sz w:val="24"/>
          <w:szCs w:val="24"/>
        </w:rPr>
        <w:t xml:space="preserve">Criterios de inclusión y </w:t>
      </w:r>
      <w:r w:rsidR="00693D4F" w:rsidRPr="0069230C">
        <w:rPr>
          <w:rFonts w:ascii="Times New Roman" w:hAnsi="Times New Roman" w:cs="Times New Roman"/>
          <w:i/>
          <w:sz w:val="24"/>
          <w:szCs w:val="24"/>
        </w:rPr>
        <w:t>exclusión</w:t>
      </w:r>
    </w:p>
    <w:p w:rsidR="006D4C9D" w:rsidRPr="0069230C" w:rsidRDefault="006D4C9D" w:rsidP="0069230C">
      <w:pPr>
        <w:spacing w:after="0" w:line="360" w:lineRule="auto"/>
        <w:jc w:val="both"/>
        <w:rPr>
          <w:rFonts w:ascii="Times New Roman" w:hAnsi="Times New Roman" w:cs="Times New Roman"/>
          <w:sz w:val="24"/>
          <w:szCs w:val="24"/>
        </w:rPr>
      </w:pPr>
    </w:p>
    <w:p w:rsidR="00503D9B" w:rsidRPr="0069230C" w:rsidRDefault="00503D9B" w:rsidP="0069230C">
      <w:pPr>
        <w:spacing w:after="0" w:line="360" w:lineRule="auto"/>
        <w:jc w:val="both"/>
        <w:rPr>
          <w:rFonts w:ascii="Times New Roman" w:hAnsi="Times New Roman" w:cs="Times New Roman"/>
          <w:sz w:val="24"/>
          <w:szCs w:val="24"/>
        </w:rPr>
      </w:pPr>
      <w:r w:rsidRPr="0069230C">
        <w:rPr>
          <w:rFonts w:ascii="Times New Roman" w:hAnsi="Times New Roman" w:cs="Times New Roman"/>
          <w:sz w:val="24"/>
          <w:szCs w:val="24"/>
        </w:rPr>
        <w:t>Pacientes con trauma</w:t>
      </w:r>
      <w:r w:rsidR="002551C8" w:rsidRPr="0069230C">
        <w:rPr>
          <w:rFonts w:ascii="Times New Roman" w:hAnsi="Times New Roman" w:cs="Times New Roman"/>
          <w:sz w:val="24"/>
          <w:szCs w:val="24"/>
        </w:rPr>
        <w:t xml:space="preserve">tismo </w:t>
      </w:r>
      <w:r w:rsidRPr="0069230C">
        <w:rPr>
          <w:rFonts w:ascii="Times New Roman" w:hAnsi="Times New Roman" w:cs="Times New Roman"/>
          <w:sz w:val="24"/>
          <w:szCs w:val="24"/>
        </w:rPr>
        <w:t xml:space="preserve">cráneo encefálico, sexo indistinto, mayores de 18 años de edad, Glasgow </w:t>
      </w:r>
      <w:r w:rsidR="00A26ADA" w:rsidRPr="0069230C">
        <w:rPr>
          <w:rFonts w:ascii="Times New Roman" w:hAnsi="Times New Roman" w:cs="Times New Roman"/>
          <w:sz w:val="24"/>
          <w:szCs w:val="24"/>
          <w:u w:val="single"/>
        </w:rPr>
        <w:t>&gt;</w:t>
      </w:r>
      <w:r w:rsidRPr="0069230C">
        <w:rPr>
          <w:rFonts w:ascii="Times New Roman" w:hAnsi="Times New Roman" w:cs="Times New Roman"/>
          <w:sz w:val="24"/>
          <w:szCs w:val="24"/>
        </w:rPr>
        <w:t xml:space="preserve"> 8, ingresados a la UCI del Hospital General de Mexicali durante el año 2012. Se excluyeron aquellos pacientes que </w:t>
      </w:r>
      <w:r w:rsidR="002551C8" w:rsidRPr="0069230C">
        <w:rPr>
          <w:rFonts w:ascii="Times New Roman" w:hAnsi="Times New Roman" w:cs="Times New Roman"/>
          <w:sz w:val="24"/>
          <w:szCs w:val="24"/>
        </w:rPr>
        <w:t>no cumplieron</w:t>
      </w:r>
      <w:r w:rsidRPr="0069230C">
        <w:rPr>
          <w:rFonts w:ascii="Times New Roman" w:hAnsi="Times New Roman" w:cs="Times New Roman"/>
          <w:sz w:val="24"/>
          <w:szCs w:val="24"/>
        </w:rPr>
        <w:t xml:space="preserve"> con los criterios de inclusión</w:t>
      </w:r>
      <w:r w:rsidR="002551C8" w:rsidRPr="0069230C">
        <w:rPr>
          <w:rFonts w:ascii="Times New Roman" w:hAnsi="Times New Roman" w:cs="Times New Roman"/>
          <w:sz w:val="24"/>
          <w:szCs w:val="24"/>
        </w:rPr>
        <w:t>; p</w:t>
      </w:r>
      <w:r w:rsidR="00A26ADA" w:rsidRPr="0069230C">
        <w:rPr>
          <w:rFonts w:ascii="Times New Roman" w:hAnsi="Times New Roman" w:cs="Times New Roman"/>
          <w:sz w:val="24"/>
          <w:szCs w:val="24"/>
        </w:rPr>
        <w:t xml:space="preserve">acientes </w:t>
      </w:r>
      <w:r w:rsidRPr="0069230C">
        <w:rPr>
          <w:rFonts w:ascii="Times New Roman" w:hAnsi="Times New Roman" w:cs="Times New Roman"/>
          <w:sz w:val="24"/>
          <w:szCs w:val="24"/>
        </w:rPr>
        <w:t>quemados</w:t>
      </w:r>
      <w:r w:rsidR="002551C8" w:rsidRPr="0069230C">
        <w:rPr>
          <w:rFonts w:ascii="Times New Roman" w:hAnsi="Times New Roman" w:cs="Times New Roman"/>
          <w:sz w:val="24"/>
          <w:szCs w:val="24"/>
        </w:rPr>
        <w:t xml:space="preserve">; </w:t>
      </w:r>
      <w:r w:rsidR="00A26ADA" w:rsidRPr="0069230C">
        <w:rPr>
          <w:rFonts w:ascii="Times New Roman" w:hAnsi="Times New Roman" w:cs="Times New Roman"/>
          <w:sz w:val="24"/>
          <w:szCs w:val="24"/>
        </w:rPr>
        <w:t xml:space="preserve">pacientes que </w:t>
      </w:r>
      <w:r w:rsidR="00CE3B6F" w:rsidRPr="0069230C">
        <w:rPr>
          <w:rFonts w:ascii="Times New Roman" w:hAnsi="Times New Roman" w:cs="Times New Roman"/>
          <w:sz w:val="24"/>
          <w:szCs w:val="24"/>
        </w:rPr>
        <w:t>presentaron</w:t>
      </w:r>
      <w:r w:rsidR="00A26ADA" w:rsidRPr="0069230C">
        <w:rPr>
          <w:rFonts w:ascii="Times New Roman" w:hAnsi="Times New Roman" w:cs="Times New Roman"/>
          <w:sz w:val="24"/>
          <w:szCs w:val="24"/>
        </w:rPr>
        <w:t>:</w:t>
      </w:r>
      <w:r w:rsidRPr="0069230C">
        <w:rPr>
          <w:rFonts w:ascii="Times New Roman" w:hAnsi="Times New Roman" w:cs="Times New Roman"/>
          <w:sz w:val="24"/>
          <w:szCs w:val="24"/>
        </w:rPr>
        <w:t xml:space="preserve"> inestabilidad hemodinámica grave</w:t>
      </w:r>
      <w:r w:rsidR="00A26ADA" w:rsidRPr="0069230C">
        <w:rPr>
          <w:rFonts w:ascii="Times New Roman" w:hAnsi="Times New Roman" w:cs="Times New Roman"/>
          <w:sz w:val="24"/>
          <w:szCs w:val="24"/>
        </w:rPr>
        <w:t xml:space="preserve">; </w:t>
      </w:r>
      <w:r w:rsidRPr="0069230C">
        <w:rPr>
          <w:rFonts w:ascii="Times New Roman" w:hAnsi="Times New Roman" w:cs="Times New Roman"/>
          <w:sz w:val="24"/>
          <w:szCs w:val="24"/>
        </w:rPr>
        <w:t>obstrucción intestina</w:t>
      </w:r>
      <w:r w:rsidR="00A26ADA" w:rsidRPr="0069230C">
        <w:rPr>
          <w:rFonts w:ascii="Times New Roman" w:hAnsi="Times New Roman" w:cs="Times New Roman"/>
          <w:sz w:val="24"/>
          <w:szCs w:val="24"/>
        </w:rPr>
        <w:t>l mecánica o funcional completa;</w:t>
      </w:r>
      <w:r w:rsidRPr="0069230C">
        <w:rPr>
          <w:rFonts w:ascii="Times New Roman" w:hAnsi="Times New Roman" w:cs="Times New Roman"/>
          <w:sz w:val="24"/>
          <w:szCs w:val="24"/>
        </w:rPr>
        <w:t xml:space="preserve"> perforación gastrointestinal lib</w:t>
      </w:r>
      <w:r w:rsidR="00A26ADA" w:rsidRPr="0069230C">
        <w:rPr>
          <w:rFonts w:ascii="Times New Roman" w:hAnsi="Times New Roman" w:cs="Times New Roman"/>
          <w:sz w:val="24"/>
          <w:szCs w:val="24"/>
        </w:rPr>
        <w:t>re, shock e isquemia intestinal; hemorragia digestiva aguda;</w:t>
      </w:r>
      <w:r w:rsidRPr="0069230C">
        <w:rPr>
          <w:rFonts w:ascii="Times New Roman" w:hAnsi="Times New Roman" w:cs="Times New Roman"/>
          <w:sz w:val="24"/>
          <w:szCs w:val="24"/>
        </w:rPr>
        <w:t xml:space="preserve"> diarr</w:t>
      </w:r>
      <w:r w:rsidR="00A26ADA" w:rsidRPr="0069230C">
        <w:rPr>
          <w:rFonts w:ascii="Times New Roman" w:hAnsi="Times New Roman" w:cs="Times New Roman"/>
          <w:sz w:val="24"/>
          <w:szCs w:val="24"/>
        </w:rPr>
        <w:t>ea severa/vómitos intratables;</w:t>
      </w:r>
      <w:r w:rsidRPr="0069230C">
        <w:rPr>
          <w:rFonts w:ascii="Times New Roman" w:hAnsi="Times New Roman" w:cs="Times New Roman"/>
          <w:sz w:val="24"/>
          <w:szCs w:val="24"/>
        </w:rPr>
        <w:t xml:space="preserve"> mal absorc</w:t>
      </w:r>
      <w:r w:rsidR="00A26ADA" w:rsidRPr="0069230C">
        <w:rPr>
          <w:rFonts w:ascii="Times New Roman" w:hAnsi="Times New Roman" w:cs="Times New Roman"/>
          <w:sz w:val="24"/>
          <w:szCs w:val="24"/>
        </w:rPr>
        <w:t>ión severa; peritonitis difusa;</w:t>
      </w:r>
      <w:r w:rsidRPr="0069230C">
        <w:rPr>
          <w:rFonts w:ascii="Times New Roman" w:hAnsi="Times New Roman" w:cs="Times New Roman"/>
          <w:sz w:val="24"/>
          <w:szCs w:val="24"/>
        </w:rPr>
        <w:t xml:space="preserve"> fistulas entéricas de gasto alto</w:t>
      </w:r>
      <w:r w:rsidR="002551C8" w:rsidRPr="0069230C">
        <w:rPr>
          <w:rFonts w:ascii="Times New Roman" w:hAnsi="Times New Roman" w:cs="Times New Roman"/>
          <w:sz w:val="24"/>
          <w:szCs w:val="24"/>
        </w:rPr>
        <w:t xml:space="preserve">; </w:t>
      </w:r>
      <w:r w:rsidRPr="0069230C">
        <w:rPr>
          <w:rFonts w:ascii="Times New Roman" w:hAnsi="Times New Roman" w:cs="Times New Roman"/>
          <w:sz w:val="24"/>
          <w:szCs w:val="24"/>
        </w:rPr>
        <w:t xml:space="preserve">expectativa de vida inferior a 24 horas (Glasgow </w:t>
      </w:r>
      <w:r w:rsidRPr="0069230C">
        <w:rPr>
          <w:rFonts w:ascii="Times New Roman" w:hAnsi="Times New Roman" w:cs="Times New Roman"/>
          <w:sz w:val="24"/>
          <w:szCs w:val="24"/>
          <w:u w:val="single"/>
        </w:rPr>
        <w:t>&lt;</w:t>
      </w:r>
      <w:r w:rsidRPr="0069230C">
        <w:rPr>
          <w:rFonts w:ascii="Times New Roman" w:hAnsi="Times New Roman" w:cs="Times New Roman"/>
          <w:sz w:val="24"/>
          <w:szCs w:val="24"/>
        </w:rPr>
        <w:t xml:space="preserve"> 5)</w:t>
      </w:r>
      <w:r w:rsidR="002551C8" w:rsidRPr="0069230C">
        <w:rPr>
          <w:rFonts w:ascii="Times New Roman" w:hAnsi="Times New Roman" w:cs="Times New Roman"/>
          <w:sz w:val="24"/>
          <w:szCs w:val="24"/>
        </w:rPr>
        <w:t xml:space="preserve">; </w:t>
      </w:r>
      <w:r w:rsidRPr="0069230C">
        <w:rPr>
          <w:rFonts w:ascii="Times New Roman" w:hAnsi="Times New Roman" w:cs="Times New Roman"/>
          <w:sz w:val="24"/>
          <w:szCs w:val="24"/>
        </w:rPr>
        <w:t>desnutrición grave con los siguientes parámetros: IMC &lt;16Kg/m</w:t>
      </w:r>
      <w:r w:rsidRPr="0069230C">
        <w:rPr>
          <w:rFonts w:ascii="Times New Roman" w:hAnsi="Times New Roman" w:cs="Times New Roman"/>
          <w:sz w:val="24"/>
          <w:szCs w:val="24"/>
          <w:vertAlign w:val="superscript"/>
        </w:rPr>
        <w:t>2</w:t>
      </w:r>
      <w:r w:rsidRPr="0069230C">
        <w:rPr>
          <w:rFonts w:ascii="Times New Roman" w:hAnsi="Times New Roman" w:cs="Times New Roman"/>
          <w:sz w:val="24"/>
          <w:szCs w:val="24"/>
        </w:rPr>
        <w:t xml:space="preserve">; albúmina &lt;2g/dl; &lt;800 </w:t>
      </w:r>
      <w:r w:rsidRPr="0069230C">
        <w:rPr>
          <w:rFonts w:ascii="Times New Roman" w:hAnsi="Times New Roman" w:cs="Times New Roman"/>
          <w:sz w:val="24"/>
          <w:szCs w:val="24"/>
        </w:rPr>
        <w:lastRenderedPageBreak/>
        <w:t>linfocitos/mm</w:t>
      </w:r>
      <w:r w:rsidRPr="0069230C">
        <w:rPr>
          <w:rFonts w:ascii="Times New Roman" w:hAnsi="Times New Roman" w:cs="Times New Roman"/>
          <w:sz w:val="24"/>
          <w:szCs w:val="24"/>
          <w:vertAlign w:val="superscript"/>
        </w:rPr>
        <w:t>3</w:t>
      </w:r>
      <w:r w:rsidR="00A26ADA" w:rsidRPr="0069230C">
        <w:rPr>
          <w:rFonts w:ascii="Times New Roman" w:hAnsi="Times New Roman" w:cs="Times New Roman"/>
          <w:sz w:val="24"/>
          <w:szCs w:val="24"/>
        </w:rPr>
        <w:t xml:space="preserve">; </w:t>
      </w:r>
      <w:r w:rsidRPr="0069230C">
        <w:rPr>
          <w:rFonts w:ascii="Times New Roman" w:hAnsi="Times New Roman" w:cs="Times New Roman"/>
          <w:sz w:val="24"/>
          <w:szCs w:val="24"/>
        </w:rPr>
        <w:t>obesidad mórbida (IMC &gt;40)</w:t>
      </w:r>
      <w:r w:rsidR="002551C8" w:rsidRPr="0069230C">
        <w:rPr>
          <w:rFonts w:ascii="Times New Roman" w:hAnsi="Times New Roman" w:cs="Times New Roman"/>
          <w:sz w:val="24"/>
          <w:szCs w:val="24"/>
        </w:rPr>
        <w:t>; e</w:t>
      </w:r>
      <w:r w:rsidRPr="0069230C">
        <w:rPr>
          <w:rFonts w:ascii="Times New Roman" w:hAnsi="Times New Roman" w:cs="Times New Roman"/>
          <w:sz w:val="24"/>
          <w:szCs w:val="24"/>
        </w:rPr>
        <w:t>mbarazo</w:t>
      </w:r>
      <w:r w:rsidR="002551C8" w:rsidRPr="0069230C">
        <w:rPr>
          <w:rFonts w:ascii="Times New Roman" w:hAnsi="Times New Roman" w:cs="Times New Roman"/>
          <w:sz w:val="24"/>
          <w:szCs w:val="24"/>
        </w:rPr>
        <w:t xml:space="preserve">; </w:t>
      </w:r>
      <w:r w:rsidRPr="0069230C">
        <w:rPr>
          <w:rFonts w:ascii="Times New Roman" w:hAnsi="Times New Roman" w:cs="Times New Roman"/>
          <w:sz w:val="24"/>
          <w:szCs w:val="24"/>
        </w:rPr>
        <w:t>EPOC</w:t>
      </w:r>
      <w:r w:rsidR="002551C8" w:rsidRPr="0069230C">
        <w:rPr>
          <w:rFonts w:ascii="Times New Roman" w:hAnsi="Times New Roman" w:cs="Times New Roman"/>
          <w:sz w:val="24"/>
          <w:szCs w:val="24"/>
        </w:rPr>
        <w:t xml:space="preserve">; </w:t>
      </w:r>
      <w:r w:rsidRPr="0069230C">
        <w:rPr>
          <w:rFonts w:ascii="Times New Roman" w:hAnsi="Times New Roman" w:cs="Times New Roman"/>
          <w:sz w:val="24"/>
          <w:szCs w:val="24"/>
        </w:rPr>
        <w:t>SIDA</w:t>
      </w:r>
      <w:r w:rsidR="002551C8" w:rsidRPr="0069230C">
        <w:rPr>
          <w:rFonts w:ascii="Times New Roman" w:hAnsi="Times New Roman" w:cs="Times New Roman"/>
          <w:sz w:val="24"/>
          <w:szCs w:val="24"/>
        </w:rPr>
        <w:t xml:space="preserve"> y p</w:t>
      </w:r>
      <w:r w:rsidRPr="0069230C">
        <w:rPr>
          <w:rFonts w:ascii="Times New Roman" w:hAnsi="Times New Roman" w:cs="Times New Roman"/>
          <w:sz w:val="24"/>
          <w:szCs w:val="24"/>
        </w:rPr>
        <w:t>acientes incluidos en otros estudios de investigación.</w:t>
      </w:r>
    </w:p>
    <w:p w:rsidR="00FC454A" w:rsidRPr="0069230C" w:rsidRDefault="00FC454A" w:rsidP="0069230C">
      <w:pPr>
        <w:spacing w:after="0" w:line="360" w:lineRule="auto"/>
        <w:jc w:val="both"/>
        <w:rPr>
          <w:rFonts w:ascii="Times New Roman" w:hAnsi="Times New Roman" w:cs="Times New Roman"/>
          <w:sz w:val="24"/>
          <w:szCs w:val="24"/>
        </w:rPr>
      </w:pPr>
    </w:p>
    <w:p w:rsidR="00693D4F" w:rsidRPr="0069230C" w:rsidRDefault="00693D4F" w:rsidP="0069230C">
      <w:pPr>
        <w:spacing w:after="0" w:line="360" w:lineRule="auto"/>
        <w:jc w:val="both"/>
        <w:rPr>
          <w:rFonts w:ascii="Times New Roman" w:hAnsi="Times New Roman" w:cs="Times New Roman"/>
          <w:i/>
          <w:sz w:val="24"/>
          <w:szCs w:val="24"/>
        </w:rPr>
      </w:pPr>
      <w:r w:rsidRPr="0069230C">
        <w:rPr>
          <w:rFonts w:ascii="Times New Roman" w:hAnsi="Times New Roman" w:cs="Times New Roman"/>
          <w:i/>
          <w:sz w:val="24"/>
          <w:szCs w:val="24"/>
        </w:rPr>
        <w:t>Procedimientos</w:t>
      </w:r>
    </w:p>
    <w:p w:rsidR="00FC454A" w:rsidRPr="0069230C" w:rsidRDefault="00FC454A" w:rsidP="0069230C">
      <w:pPr>
        <w:spacing w:after="0" w:line="360" w:lineRule="auto"/>
        <w:jc w:val="both"/>
        <w:rPr>
          <w:rFonts w:ascii="Times New Roman" w:hAnsi="Times New Roman" w:cs="Times New Roman"/>
          <w:sz w:val="24"/>
          <w:szCs w:val="24"/>
        </w:rPr>
      </w:pPr>
    </w:p>
    <w:p w:rsidR="002551C8" w:rsidRPr="0069230C" w:rsidRDefault="00693D4F" w:rsidP="0069230C">
      <w:pPr>
        <w:autoSpaceDE w:val="0"/>
        <w:autoSpaceDN w:val="0"/>
        <w:adjustRightInd w:val="0"/>
        <w:spacing w:after="0" w:line="360" w:lineRule="auto"/>
        <w:jc w:val="both"/>
        <w:rPr>
          <w:rFonts w:ascii="Times New Roman" w:hAnsi="Times New Roman" w:cs="Times New Roman"/>
          <w:sz w:val="24"/>
          <w:szCs w:val="24"/>
        </w:rPr>
      </w:pPr>
      <w:r w:rsidRPr="0069230C">
        <w:rPr>
          <w:rFonts w:ascii="Times New Roman" w:hAnsi="Times New Roman" w:cs="Times New Roman"/>
          <w:sz w:val="24"/>
          <w:szCs w:val="24"/>
        </w:rPr>
        <w:t xml:space="preserve">Partiendo de la historia clínica médica y de enfermería, </w:t>
      </w:r>
      <w:r w:rsidR="00B875D2" w:rsidRPr="0069230C">
        <w:rPr>
          <w:rFonts w:ascii="Times New Roman" w:hAnsi="Times New Roman" w:cs="Times New Roman"/>
          <w:sz w:val="24"/>
          <w:szCs w:val="24"/>
        </w:rPr>
        <w:t>se recolectó información con las siguientes variables de estudio:</w:t>
      </w:r>
      <w:r w:rsidRPr="0069230C">
        <w:rPr>
          <w:rFonts w:ascii="Times New Roman" w:hAnsi="Times New Roman" w:cs="Times New Roman"/>
          <w:sz w:val="24"/>
          <w:szCs w:val="24"/>
        </w:rPr>
        <w:t xml:space="preserve"> edad, sexo,</w:t>
      </w:r>
      <w:r w:rsidR="00A52CA5" w:rsidRPr="0069230C">
        <w:rPr>
          <w:rFonts w:ascii="Times New Roman" w:hAnsi="Times New Roman" w:cs="Times New Roman"/>
          <w:sz w:val="24"/>
          <w:szCs w:val="24"/>
        </w:rPr>
        <w:t xml:space="preserve"> </w:t>
      </w:r>
      <w:r w:rsidR="00A26ADA" w:rsidRPr="0069230C">
        <w:rPr>
          <w:rFonts w:ascii="Times New Roman" w:hAnsi="Times New Roman" w:cs="Times New Roman"/>
          <w:sz w:val="24"/>
          <w:szCs w:val="24"/>
        </w:rPr>
        <w:t>Escala de Coma de Glasgow (</w:t>
      </w:r>
      <w:r w:rsidR="00B76CBC" w:rsidRPr="0069230C">
        <w:rPr>
          <w:rFonts w:ascii="Times New Roman" w:hAnsi="Times New Roman" w:cs="Times New Roman"/>
          <w:sz w:val="24"/>
          <w:szCs w:val="24"/>
        </w:rPr>
        <w:t>ECG</w:t>
      </w:r>
      <w:r w:rsidR="00A26ADA" w:rsidRPr="0069230C">
        <w:rPr>
          <w:rFonts w:ascii="Times New Roman" w:hAnsi="Times New Roman" w:cs="Times New Roman"/>
          <w:sz w:val="24"/>
          <w:szCs w:val="24"/>
        </w:rPr>
        <w:t>)</w:t>
      </w:r>
      <w:r w:rsidR="004A2D56" w:rsidRPr="0069230C">
        <w:rPr>
          <w:rFonts w:ascii="Times New Roman" w:hAnsi="Times New Roman" w:cs="Times New Roman"/>
          <w:sz w:val="24"/>
          <w:szCs w:val="24"/>
        </w:rPr>
        <w:t xml:space="preserve"> (leve </w:t>
      </w:r>
      <w:r w:rsidR="004A2D56" w:rsidRPr="0069230C">
        <w:rPr>
          <w:rFonts w:ascii="Times New Roman" w:hAnsi="Times New Roman" w:cs="Times New Roman"/>
          <w:sz w:val="24"/>
          <w:szCs w:val="24"/>
          <w:u w:val="single"/>
        </w:rPr>
        <w:t>&gt;</w:t>
      </w:r>
      <w:r w:rsidR="004A2D56" w:rsidRPr="0069230C">
        <w:rPr>
          <w:rFonts w:ascii="Times New Roman" w:hAnsi="Times New Roman" w:cs="Times New Roman"/>
          <w:sz w:val="24"/>
          <w:szCs w:val="24"/>
        </w:rPr>
        <w:t xml:space="preserve"> 14, moderado 9 – 13, severo </w:t>
      </w:r>
      <w:r w:rsidR="004A2D56" w:rsidRPr="0069230C">
        <w:rPr>
          <w:rFonts w:ascii="Times New Roman" w:hAnsi="Times New Roman" w:cs="Times New Roman"/>
          <w:sz w:val="24"/>
          <w:szCs w:val="24"/>
          <w:u w:val="single"/>
        </w:rPr>
        <w:t>&lt;</w:t>
      </w:r>
      <w:r w:rsidR="004A2D56" w:rsidRPr="0069230C">
        <w:rPr>
          <w:rFonts w:ascii="Times New Roman" w:hAnsi="Times New Roman" w:cs="Times New Roman"/>
          <w:sz w:val="24"/>
          <w:szCs w:val="24"/>
        </w:rPr>
        <w:t xml:space="preserve"> 8);</w:t>
      </w:r>
      <w:r w:rsidR="00B76CBC" w:rsidRPr="0069230C">
        <w:rPr>
          <w:rFonts w:ascii="Times New Roman" w:hAnsi="Times New Roman" w:cs="Times New Roman"/>
          <w:sz w:val="24"/>
          <w:szCs w:val="24"/>
        </w:rPr>
        <w:t xml:space="preserve"> inicio de dieta</w:t>
      </w:r>
      <w:r w:rsidR="004A2D56" w:rsidRPr="0069230C">
        <w:rPr>
          <w:rFonts w:ascii="Times New Roman" w:hAnsi="Times New Roman" w:cs="Times New Roman"/>
          <w:sz w:val="24"/>
          <w:szCs w:val="24"/>
        </w:rPr>
        <w:t xml:space="preserve"> (en horas a partir de su ingreso a la UCI)</w:t>
      </w:r>
      <w:r w:rsidR="00B76CBC" w:rsidRPr="0069230C">
        <w:rPr>
          <w:rFonts w:ascii="Times New Roman" w:hAnsi="Times New Roman" w:cs="Times New Roman"/>
          <w:sz w:val="24"/>
          <w:szCs w:val="24"/>
        </w:rPr>
        <w:t>, tipo de dieta</w:t>
      </w:r>
      <w:r w:rsidR="004A2D56" w:rsidRPr="0069230C">
        <w:rPr>
          <w:rFonts w:ascii="Times New Roman" w:hAnsi="Times New Roman" w:cs="Times New Roman"/>
          <w:sz w:val="24"/>
          <w:szCs w:val="24"/>
        </w:rPr>
        <w:t xml:space="preserve"> (licuada, polimérica, normal)</w:t>
      </w:r>
      <w:r w:rsidR="00FC454A" w:rsidRPr="0069230C">
        <w:rPr>
          <w:rFonts w:ascii="Times New Roman" w:hAnsi="Times New Roman" w:cs="Times New Roman"/>
          <w:sz w:val="24"/>
          <w:szCs w:val="24"/>
        </w:rPr>
        <w:t>,</w:t>
      </w:r>
      <w:r w:rsidR="00B76CBC" w:rsidRPr="0069230C">
        <w:rPr>
          <w:rFonts w:ascii="Times New Roman" w:hAnsi="Times New Roman" w:cs="Times New Roman"/>
          <w:sz w:val="24"/>
          <w:szCs w:val="24"/>
        </w:rPr>
        <w:t xml:space="preserve"> vía de administración</w:t>
      </w:r>
      <w:r w:rsidR="004A2D56" w:rsidRPr="0069230C">
        <w:rPr>
          <w:rFonts w:ascii="Times New Roman" w:hAnsi="Times New Roman" w:cs="Times New Roman"/>
          <w:sz w:val="24"/>
          <w:szCs w:val="24"/>
        </w:rPr>
        <w:t xml:space="preserve"> (enteral</w:t>
      </w:r>
      <w:r w:rsidR="00B76CBC" w:rsidRPr="0069230C">
        <w:rPr>
          <w:rFonts w:ascii="Times New Roman" w:hAnsi="Times New Roman" w:cs="Times New Roman"/>
          <w:sz w:val="24"/>
          <w:szCs w:val="24"/>
        </w:rPr>
        <w:t>,</w:t>
      </w:r>
      <w:r w:rsidR="004A2D56" w:rsidRPr="0069230C">
        <w:rPr>
          <w:rFonts w:ascii="Times New Roman" w:hAnsi="Times New Roman" w:cs="Times New Roman"/>
          <w:sz w:val="24"/>
          <w:szCs w:val="24"/>
        </w:rPr>
        <w:t xml:space="preserve"> parenteral</w:t>
      </w:r>
      <w:r w:rsidR="00A26ADA" w:rsidRPr="0069230C">
        <w:rPr>
          <w:rFonts w:ascii="Times New Roman" w:hAnsi="Times New Roman" w:cs="Times New Roman"/>
          <w:sz w:val="24"/>
          <w:szCs w:val="24"/>
        </w:rPr>
        <w:t xml:space="preserve">), aporte calórico administrado </w:t>
      </w:r>
      <w:r w:rsidR="004A2D56" w:rsidRPr="0069230C">
        <w:rPr>
          <w:rFonts w:ascii="Times New Roman" w:hAnsi="Times New Roman" w:cs="Times New Roman"/>
          <w:sz w:val="24"/>
          <w:szCs w:val="24"/>
        </w:rPr>
        <w:t>(el que se refería), complicaciones (</w:t>
      </w:r>
      <w:r w:rsidR="0046397B" w:rsidRPr="0069230C">
        <w:rPr>
          <w:rFonts w:ascii="Times New Roman" w:hAnsi="Times New Roman" w:cs="Times New Roman"/>
          <w:sz w:val="24"/>
          <w:szCs w:val="24"/>
        </w:rPr>
        <w:t xml:space="preserve">neumonía, </w:t>
      </w:r>
      <w:proofErr w:type="spellStart"/>
      <w:r w:rsidR="0046397B" w:rsidRPr="0069230C">
        <w:rPr>
          <w:rFonts w:ascii="Times New Roman" w:hAnsi="Times New Roman" w:cs="Times New Roman"/>
          <w:sz w:val="24"/>
          <w:szCs w:val="24"/>
        </w:rPr>
        <w:t>s</w:t>
      </w:r>
      <w:r w:rsidR="00FE00E4" w:rsidRPr="0069230C">
        <w:rPr>
          <w:rFonts w:ascii="Times New Roman" w:hAnsi="Times New Roman" w:cs="Times New Roman"/>
          <w:sz w:val="24"/>
          <w:szCs w:val="24"/>
        </w:rPr>
        <w:t>é</w:t>
      </w:r>
      <w:r w:rsidR="0046397B" w:rsidRPr="0069230C">
        <w:rPr>
          <w:rFonts w:ascii="Times New Roman" w:hAnsi="Times New Roman" w:cs="Times New Roman"/>
          <w:sz w:val="24"/>
          <w:szCs w:val="24"/>
        </w:rPr>
        <w:t>psis</w:t>
      </w:r>
      <w:proofErr w:type="spellEnd"/>
      <w:r w:rsidR="0046397B" w:rsidRPr="0069230C">
        <w:rPr>
          <w:rFonts w:ascii="Times New Roman" w:hAnsi="Times New Roman" w:cs="Times New Roman"/>
          <w:sz w:val="24"/>
          <w:szCs w:val="24"/>
        </w:rPr>
        <w:t>, infección de vías urinarias, falla renal); administración de antibióticos al ingreso (s</w:t>
      </w:r>
      <w:r w:rsidR="00FC454A" w:rsidRPr="0069230C">
        <w:rPr>
          <w:rFonts w:ascii="Times New Roman" w:hAnsi="Times New Roman" w:cs="Times New Roman"/>
          <w:sz w:val="24"/>
          <w:szCs w:val="24"/>
        </w:rPr>
        <w:t>í</w:t>
      </w:r>
      <w:r w:rsidR="0046397B" w:rsidRPr="0069230C">
        <w:rPr>
          <w:rFonts w:ascii="Times New Roman" w:hAnsi="Times New Roman" w:cs="Times New Roman"/>
          <w:sz w:val="24"/>
          <w:szCs w:val="24"/>
        </w:rPr>
        <w:t xml:space="preserve">, no); días de </w:t>
      </w:r>
      <w:r w:rsidR="00FE00E4" w:rsidRPr="0069230C">
        <w:rPr>
          <w:rFonts w:ascii="Times New Roman" w:hAnsi="Times New Roman" w:cs="Times New Roman"/>
          <w:sz w:val="24"/>
          <w:szCs w:val="24"/>
        </w:rPr>
        <w:t>ventilación mecánica</w:t>
      </w:r>
      <w:r w:rsidR="0046397B" w:rsidRPr="0069230C">
        <w:rPr>
          <w:rFonts w:ascii="Times New Roman" w:hAnsi="Times New Roman" w:cs="Times New Roman"/>
          <w:sz w:val="24"/>
          <w:szCs w:val="24"/>
        </w:rPr>
        <w:t xml:space="preserve">, </w:t>
      </w:r>
      <w:r w:rsidR="00FE00E4" w:rsidRPr="0069230C">
        <w:rPr>
          <w:rFonts w:ascii="Times New Roman" w:hAnsi="Times New Roman" w:cs="Times New Roman"/>
          <w:sz w:val="24"/>
          <w:szCs w:val="24"/>
        </w:rPr>
        <w:t>días de estancia en UCI, marcadores nutricionales</w:t>
      </w:r>
      <w:r w:rsidR="0046397B" w:rsidRPr="0069230C">
        <w:rPr>
          <w:rFonts w:ascii="Times New Roman" w:hAnsi="Times New Roman" w:cs="Times New Roman"/>
          <w:sz w:val="24"/>
          <w:szCs w:val="24"/>
        </w:rPr>
        <w:t xml:space="preserve"> </w:t>
      </w:r>
      <w:r w:rsidR="00C0141C" w:rsidRPr="0069230C">
        <w:rPr>
          <w:rFonts w:ascii="Times New Roman" w:hAnsi="Times New Roman" w:cs="Times New Roman"/>
          <w:sz w:val="24"/>
          <w:szCs w:val="24"/>
        </w:rPr>
        <w:t>al ingreso y al egreso</w:t>
      </w:r>
      <w:r w:rsidR="00BE5CFA" w:rsidRPr="0069230C">
        <w:rPr>
          <w:rFonts w:ascii="Times New Roman" w:hAnsi="Times New Roman" w:cs="Times New Roman"/>
          <w:sz w:val="24"/>
          <w:szCs w:val="24"/>
        </w:rPr>
        <w:t xml:space="preserve"> </w:t>
      </w:r>
      <w:r w:rsidR="0046397B" w:rsidRPr="0069230C">
        <w:rPr>
          <w:rFonts w:ascii="Times New Roman" w:hAnsi="Times New Roman" w:cs="Times New Roman"/>
          <w:sz w:val="24"/>
          <w:szCs w:val="24"/>
        </w:rPr>
        <w:t>como</w:t>
      </w:r>
      <w:r w:rsidR="00FE00E4" w:rsidRPr="0069230C">
        <w:rPr>
          <w:rFonts w:ascii="Times New Roman" w:hAnsi="Times New Roman" w:cs="Times New Roman"/>
          <w:sz w:val="24"/>
          <w:szCs w:val="24"/>
        </w:rPr>
        <w:t>:</w:t>
      </w:r>
      <w:r w:rsidR="0046397B" w:rsidRPr="0069230C">
        <w:rPr>
          <w:rFonts w:ascii="Times New Roman" w:hAnsi="Times New Roman" w:cs="Times New Roman"/>
          <w:sz w:val="24"/>
          <w:szCs w:val="24"/>
        </w:rPr>
        <w:t xml:space="preserve"> leucocitos</w:t>
      </w:r>
      <w:r w:rsidR="009E0B6E" w:rsidRPr="0069230C">
        <w:rPr>
          <w:rFonts w:ascii="Times New Roman" w:hAnsi="Times New Roman" w:cs="Times New Roman"/>
          <w:sz w:val="24"/>
          <w:szCs w:val="24"/>
        </w:rPr>
        <w:t xml:space="preserve"> (normalidad:</w:t>
      </w:r>
      <w:r w:rsidR="009E0B6E" w:rsidRPr="0069230C">
        <w:rPr>
          <w:rFonts w:ascii="Times New Roman" w:hAnsi="Times New Roman" w:cs="Times New Roman"/>
          <w:color w:val="000000"/>
          <w:sz w:val="24"/>
          <w:szCs w:val="24"/>
        </w:rPr>
        <w:t xml:space="preserve"> </w:t>
      </w:r>
      <w:r w:rsidR="009E3E03" w:rsidRPr="0069230C">
        <w:rPr>
          <w:rFonts w:ascii="Times New Roman" w:hAnsi="Times New Roman" w:cs="Times New Roman"/>
          <w:sz w:val="24"/>
          <w:szCs w:val="24"/>
        </w:rPr>
        <w:t>4.000-11.000/µl</w:t>
      </w:r>
      <w:r w:rsidR="009E0B6E" w:rsidRPr="0069230C">
        <w:rPr>
          <w:rFonts w:ascii="Times New Roman" w:hAnsi="Times New Roman" w:cs="Times New Roman"/>
          <w:sz w:val="24"/>
          <w:szCs w:val="24"/>
        </w:rPr>
        <w:t>)</w:t>
      </w:r>
      <w:r w:rsidR="0046397B" w:rsidRPr="0069230C">
        <w:rPr>
          <w:rFonts w:ascii="Times New Roman" w:hAnsi="Times New Roman" w:cs="Times New Roman"/>
          <w:sz w:val="24"/>
          <w:szCs w:val="24"/>
        </w:rPr>
        <w:t xml:space="preserve"> , linfocitos (normalidad:&gt;2000 </w:t>
      </w:r>
      <w:proofErr w:type="spellStart"/>
      <w:r w:rsidR="0046397B" w:rsidRPr="0069230C">
        <w:rPr>
          <w:rFonts w:ascii="Times New Roman" w:hAnsi="Times New Roman" w:cs="Times New Roman"/>
          <w:sz w:val="24"/>
          <w:szCs w:val="24"/>
        </w:rPr>
        <w:t>linf</w:t>
      </w:r>
      <w:proofErr w:type="spellEnd"/>
      <w:r w:rsidR="0046397B" w:rsidRPr="0069230C">
        <w:rPr>
          <w:rFonts w:ascii="Times New Roman" w:hAnsi="Times New Roman" w:cs="Times New Roman"/>
          <w:sz w:val="24"/>
          <w:szCs w:val="24"/>
        </w:rPr>
        <w:t>/mm</w:t>
      </w:r>
      <w:r w:rsidR="0046397B" w:rsidRPr="0069230C">
        <w:rPr>
          <w:rFonts w:ascii="Times New Roman" w:hAnsi="Times New Roman" w:cs="Times New Roman"/>
          <w:sz w:val="24"/>
          <w:szCs w:val="24"/>
          <w:vertAlign w:val="superscript"/>
        </w:rPr>
        <w:t>3</w:t>
      </w:r>
      <w:r w:rsidR="0046397B" w:rsidRPr="0069230C">
        <w:rPr>
          <w:rFonts w:ascii="Times New Roman" w:hAnsi="Times New Roman" w:cs="Times New Roman"/>
          <w:sz w:val="24"/>
          <w:szCs w:val="24"/>
        </w:rPr>
        <w:t>), alb</w:t>
      </w:r>
      <w:r w:rsidR="00FC454A" w:rsidRPr="0069230C">
        <w:rPr>
          <w:rFonts w:ascii="Times New Roman" w:hAnsi="Times New Roman" w:cs="Times New Roman"/>
          <w:sz w:val="24"/>
          <w:szCs w:val="24"/>
        </w:rPr>
        <w:t>ú</w:t>
      </w:r>
      <w:r w:rsidR="0046397B" w:rsidRPr="0069230C">
        <w:rPr>
          <w:rFonts w:ascii="Times New Roman" w:hAnsi="Times New Roman" w:cs="Times New Roman"/>
          <w:sz w:val="24"/>
          <w:szCs w:val="24"/>
        </w:rPr>
        <w:t>mina (normalidad:3.5-4.5 g/dl ) y proteínas totales (n</w:t>
      </w:r>
      <w:r w:rsidR="0046397B" w:rsidRPr="0069230C">
        <w:rPr>
          <w:rFonts w:ascii="Times New Roman" w:hAnsi="Times New Roman" w:cs="Times New Roman"/>
          <w:sz w:val="24"/>
          <w:szCs w:val="24"/>
          <w:shd w:val="clear" w:color="auto" w:fill="FFFFFF"/>
        </w:rPr>
        <w:t xml:space="preserve">ormal: 6.0 a 8.3 </w:t>
      </w:r>
      <w:proofErr w:type="spellStart"/>
      <w:r w:rsidR="0046397B" w:rsidRPr="0069230C">
        <w:rPr>
          <w:rFonts w:ascii="Times New Roman" w:hAnsi="Times New Roman" w:cs="Times New Roman"/>
          <w:sz w:val="24"/>
          <w:szCs w:val="24"/>
          <w:shd w:val="clear" w:color="auto" w:fill="FFFFFF"/>
        </w:rPr>
        <w:t>gm</w:t>
      </w:r>
      <w:proofErr w:type="spellEnd"/>
      <w:r w:rsidR="0046397B" w:rsidRPr="0069230C">
        <w:rPr>
          <w:rFonts w:ascii="Times New Roman" w:hAnsi="Times New Roman" w:cs="Times New Roman"/>
          <w:sz w:val="24"/>
          <w:szCs w:val="24"/>
          <w:shd w:val="clear" w:color="auto" w:fill="FFFFFF"/>
        </w:rPr>
        <w:t>/</w:t>
      </w:r>
      <w:proofErr w:type="spellStart"/>
      <w:r w:rsidR="0046397B" w:rsidRPr="0069230C">
        <w:rPr>
          <w:rFonts w:ascii="Times New Roman" w:hAnsi="Times New Roman" w:cs="Times New Roman"/>
          <w:sz w:val="24"/>
          <w:szCs w:val="24"/>
          <w:shd w:val="clear" w:color="auto" w:fill="FFFFFF"/>
        </w:rPr>
        <w:t>dL</w:t>
      </w:r>
      <w:proofErr w:type="spellEnd"/>
      <w:r w:rsidR="00A26ADA" w:rsidRPr="0069230C">
        <w:rPr>
          <w:rFonts w:ascii="Times New Roman" w:hAnsi="Times New Roman" w:cs="Times New Roman"/>
          <w:sz w:val="24"/>
          <w:szCs w:val="24"/>
        </w:rPr>
        <w:t>)</w:t>
      </w:r>
      <w:r w:rsidR="0046397B" w:rsidRPr="0069230C">
        <w:rPr>
          <w:rFonts w:ascii="Times New Roman" w:hAnsi="Times New Roman" w:cs="Times New Roman"/>
          <w:sz w:val="24"/>
          <w:szCs w:val="24"/>
        </w:rPr>
        <w:t>, complicaciones infecciosas, motivo de egreso</w:t>
      </w:r>
      <w:r w:rsidR="009E0B6E" w:rsidRPr="0069230C">
        <w:rPr>
          <w:rFonts w:ascii="Times New Roman" w:hAnsi="Times New Roman" w:cs="Times New Roman"/>
          <w:sz w:val="24"/>
          <w:szCs w:val="24"/>
        </w:rPr>
        <w:t xml:space="preserve"> (alta de UCI, traslado, alta voluntaria, fallecimiento)</w:t>
      </w:r>
      <w:r w:rsidR="0046397B" w:rsidRPr="0069230C">
        <w:rPr>
          <w:rFonts w:ascii="Times New Roman" w:hAnsi="Times New Roman" w:cs="Times New Roman"/>
          <w:sz w:val="24"/>
          <w:szCs w:val="24"/>
        </w:rPr>
        <w:t xml:space="preserve"> y fecha de fallecimiento</w:t>
      </w:r>
      <w:r w:rsidR="00A95D24" w:rsidRPr="0069230C">
        <w:rPr>
          <w:rFonts w:ascii="Times New Roman" w:hAnsi="Times New Roman" w:cs="Times New Roman"/>
          <w:sz w:val="24"/>
          <w:szCs w:val="24"/>
        </w:rPr>
        <w:t>.</w:t>
      </w:r>
      <w:r w:rsidR="0046397B" w:rsidRPr="0069230C">
        <w:rPr>
          <w:rFonts w:ascii="Times New Roman" w:hAnsi="Times New Roman" w:cs="Times New Roman"/>
          <w:sz w:val="24"/>
          <w:szCs w:val="24"/>
        </w:rPr>
        <w:t xml:space="preserve"> </w:t>
      </w:r>
    </w:p>
    <w:p w:rsidR="00A95D24" w:rsidRPr="0069230C" w:rsidRDefault="00A95D24" w:rsidP="0069230C">
      <w:pPr>
        <w:autoSpaceDE w:val="0"/>
        <w:autoSpaceDN w:val="0"/>
        <w:adjustRightInd w:val="0"/>
        <w:spacing w:after="0" w:line="360" w:lineRule="auto"/>
        <w:jc w:val="both"/>
        <w:rPr>
          <w:rFonts w:ascii="Times New Roman" w:hAnsi="Times New Roman" w:cs="Times New Roman"/>
          <w:sz w:val="24"/>
          <w:szCs w:val="24"/>
        </w:rPr>
      </w:pPr>
      <w:r w:rsidRPr="0069230C">
        <w:rPr>
          <w:rFonts w:ascii="Times New Roman" w:hAnsi="Times New Roman" w:cs="Times New Roman"/>
          <w:sz w:val="24"/>
          <w:szCs w:val="24"/>
        </w:rPr>
        <w:t>Se llev</w:t>
      </w:r>
      <w:r w:rsidR="00FC454A" w:rsidRPr="0069230C">
        <w:rPr>
          <w:rFonts w:ascii="Times New Roman" w:hAnsi="Times New Roman" w:cs="Times New Roman"/>
          <w:sz w:val="24"/>
          <w:szCs w:val="24"/>
        </w:rPr>
        <w:t xml:space="preserve">aron </w:t>
      </w:r>
      <w:r w:rsidRPr="0069230C">
        <w:rPr>
          <w:rFonts w:ascii="Times New Roman" w:hAnsi="Times New Roman" w:cs="Times New Roman"/>
          <w:sz w:val="24"/>
          <w:szCs w:val="24"/>
        </w:rPr>
        <w:t>a cabo los trámites administrativos pertinentes</w:t>
      </w:r>
      <w:r w:rsidR="00FC454A" w:rsidRPr="0069230C">
        <w:rPr>
          <w:rFonts w:ascii="Times New Roman" w:hAnsi="Times New Roman" w:cs="Times New Roman"/>
          <w:sz w:val="24"/>
          <w:szCs w:val="24"/>
        </w:rPr>
        <w:t xml:space="preserve"> en el</w:t>
      </w:r>
      <w:r w:rsidRPr="0069230C">
        <w:rPr>
          <w:rFonts w:ascii="Times New Roman" w:hAnsi="Times New Roman" w:cs="Times New Roman"/>
          <w:sz w:val="24"/>
          <w:szCs w:val="24"/>
        </w:rPr>
        <w:t xml:space="preserve"> </w:t>
      </w:r>
      <w:r w:rsidR="00A26ADA" w:rsidRPr="0069230C">
        <w:rPr>
          <w:rFonts w:ascii="Times New Roman" w:hAnsi="Times New Roman" w:cs="Times New Roman"/>
          <w:sz w:val="24"/>
          <w:szCs w:val="24"/>
        </w:rPr>
        <w:t xml:space="preserve">Hospital General de Mexicali, </w:t>
      </w:r>
      <w:r w:rsidRPr="0069230C">
        <w:rPr>
          <w:rFonts w:ascii="Times New Roman" w:hAnsi="Times New Roman" w:cs="Times New Roman"/>
          <w:sz w:val="24"/>
          <w:szCs w:val="24"/>
        </w:rPr>
        <w:t>solicitando aut</w:t>
      </w:r>
      <w:r w:rsidR="00A26ADA" w:rsidRPr="0069230C">
        <w:rPr>
          <w:rFonts w:ascii="Times New Roman" w:hAnsi="Times New Roman" w:cs="Times New Roman"/>
          <w:sz w:val="24"/>
          <w:szCs w:val="24"/>
        </w:rPr>
        <w:t>orización al Comité de Ética de la UABC.</w:t>
      </w:r>
      <w:r w:rsidRPr="0069230C">
        <w:rPr>
          <w:rFonts w:ascii="Times New Roman" w:hAnsi="Times New Roman" w:cs="Times New Roman"/>
          <w:sz w:val="24"/>
          <w:szCs w:val="24"/>
        </w:rPr>
        <w:t xml:space="preserve"> </w:t>
      </w:r>
    </w:p>
    <w:p w:rsidR="00FC454A" w:rsidRPr="0069230C" w:rsidRDefault="00FC454A" w:rsidP="0069230C">
      <w:pPr>
        <w:autoSpaceDE w:val="0"/>
        <w:autoSpaceDN w:val="0"/>
        <w:adjustRightInd w:val="0"/>
        <w:spacing w:after="0" w:line="360" w:lineRule="auto"/>
        <w:jc w:val="both"/>
        <w:rPr>
          <w:rFonts w:ascii="Times New Roman" w:hAnsi="Times New Roman" w:cs="Times New Roman"/>
          <w:sz w:val="24"/>
          <w:szCs w:val="24"/>
        </w:rPr>
      </w:pPr>
    </w:p>
    <w:p w:rsidR="00693D4F" w:rsidRPr="0069230C" w:rsidRDefault="00C0141C" w:rsidP="0069230C">
      <w:pPr>
        <w:autoSpaceDE w:val="0"/>
        <w:autoSpaceDN w:val="0"/>
        <w:adjustRightInd w:val="0"/>
        <w:spacing w:after="0" w:line="360" w:lineRule="auto"/>
        <w:jc w:val="both"/>
        <w:rPr>
          <w:rFonts w:ascii="Times New Roman" w:hAnsi="Times New Roman" w:cs="Times New Roman"/>
          <w:i/>
          <w:sz w:val="24"/>
          <w:szCs w:val="24"/>
        </w:rPr>
      </w:pPr>
      <w:r w:rsidRPr="0069230C">
        <w:rPr>
          <w:rFonts w:ascii="Times New Roman" w:hAnsi="Times New Roman" w:cs="Times New Roman"/>
          <w:i/>
          <w:sz w:val="24"/>
          <w:szCs w:val="24"/>
        </w:rPr>
        <w:t>Análisis estadístico</w:t>
      </w:r>
    </w:p>
    <w:p w:rsidR="00FC454A" w:rsidRPr="0069230C" w:rsidRDefault="00FC454A" w:rsidP="0069230C">
      <w:pPr>
        <w:autoSpaceDE w:val="0"/>
        <w:autoSpaceDN w:val="0"/>
        <w:adjustRightInd w:val="0"/>
        <w:spacing w:after="0" w:line="360" w:lineRule="auto"/>
        <w:jc w:val="both"/>
        <w:rPr>
          <w:rFonts w:ascii="Times New Roman" w:hAnsi="Times New Roman" w:cs="Times New Roman"/>
          <w:sz w:val="24"/>
          <w:szCs w:val="24"/>
        </w:rPr>
      </w:pPr>
    </w:p>
    <w:p w:rsidR="004406F2" w:rsidRPr="0069230C" w:rsidRDefault="00DF0DDF" w:rsidP="0069230C">
      <w:pPr>
        <w:autoSpaceDE w:val="0"/>
        <w:autoSpaceDN w:val="0"/>
        <w:adjustRightInd w:val="0"/>
        <w:spacing w:after="0" w:line="360" w:lineRule="auto"/>
        <w:jc w:val="both"/>
        <w:rPr>
          <w:rFonts w:ascii="Times New Roman" w:hAnsi="Times New Roman" w:cs="Times New Roman"/>
          <w:sz w:val="24"/>
          <w:szCs w:val="24"/>
          <w:shd w:val="clear" w:color="auto" w:fill="FFFFFF"/>
        </w:rPr>
      </w:pPr>
      <w:r w:rsidRPr="0069230C">
        <w:rPr>
          <w:rFonts w:ascii="Times New Roman" w:hAnsi="Times New Roman" w:cs="Times New Roman"/>
          <w:sz w:val="24"/>
          <w:szCs w:val="24"/>
        </w:rPr>
        <w:t>Para el análisis estadístico</w:t>
      </w:r>
      <w:r w:rsidR="0035760B" w:rsidRPr="0069230C">
        <w:rPr>
          <w:rFonts w:ascii="Times New Roman" w:hAnsi="Times New Roman" w:cs="Times New Roman"/>
          <w:sz w:val="24"/>
          <w:szCs w:val="24"/>
        </w:rPr>
        <w:t>,</w:t>
      </w:r>
      <w:r w:rsidRPr="0069230C">
        <w:rPr>
          <w:rFonts w:ascii="Times New Roman" w:hAnsi="Times New Roman" w:cs="Times New Roman"/>
          <w:sz w:val="24"/>
          <w:szCs w:val="24"/>
        </w:rPr>
        <w:t xml:space="preserve"> </w:t>
      </w:r>
      <w:r w:rsidR="00261714" w:rsidRPr="0069230C">
        <w:rPr>
          <w:rFonts w:ascii="Times New Roman" w:hAnsi="Times New Roman" w:cs="Times New Roman"/>
          <w:sz w:val="24"/>
          <w:szCs w:val="24"/>
        </w:rPr>
        <w:t xml:space="preserve">se utilizó </w:t>
      </w:r>
      <w:r w:rsidRPr="0069230C">
        <w:rPr>
          <w:rFonts w:ascii="Times New Roman" w:hAnsi="Times New Roman" w:cs="Times New Roman"/>
          <w:sz w:val="24"/>
          <w:szCs w:val="24"/>
        </w:rPr>
        <w:t xml:space="preserve">el paquete </w:t>
      </w:r>
      <w:r w:rsidR="004406F2" w:rsidRPr="0069230C">
        <w:rPr>
          <w:rFonts w:ascii="Times New Roman" w:hAnsi="Times New Roman" w:cs="Times New Roman"/>
          <w:sz w:val="24"/>
          <w:szCs w:val="24"/>
        </w:rPr>
        <w:t xml:space="preserve">estadístico </w:t>
      </w:r>
      <w:r w:rsidR="002430A0" w:rsidRPr="0069230C">
        <w:rPr>
          <w:rFonts w:ascii="Times New Roman" w:hAnsi="Times New Roman" w:cs="Times New Roman"/>
          <w:sz w:val="24"/>
          <w:szCs w:val="24"/>
        </w:rPr>
        <w:t>SPSS para Windows versión 20</w:t>
      </w:r>
      <w:r w:rsidRPr="0069230C">
        <w:rPr>
          <w:rFonts w:ascii="Times New Roman" w:hAnsi="Times New Roman" w:cs="Times New Roman"/>
          <w:sz w:val="24"/>
          <w:szCs w:val="24"/>
        </w:rPr>
        <w:t xml:space="preserve">.0 a través del cual se obtuvieron estadísticas descriptivas como frecuencias y porcentajes. </w:t>
      </w:r>
      <w:r w:rsidR="005E0489" w:rsidRPr="0069230C">
        <w:rPr>
          <w:rFonts w:ascii="Times New Roman" w:hAnsi="Times New Roman" w:cs="Times New Roman"/>
          <w:sz w:val="24"/>
          <w:szCs w:val="24"/>
        </w:rPr>
        <w:t xml:space="preserve">Prueba </w:t>
      </w:r>
      <w:r w:rsidR="00EF0682" w:rsidRPr="0069230C">
        <w:rPr>
          <w:rFonts w:ascii="Times New Roman" w:hAnsi="Times New Roman" w:cs="Times New Roman"/>
          <w:sz w:val="24"/>
          <w:szCs w:val="24"/>
        </w:rPr>
        <w:t>T para una muestra relacionada para el an</w:t>
      </w:r>
      <w:r w:rsidR="00C0141C" w:rsidRPr="0069230C">
        <w:rPr>
          <w:rFonts w:ascii="Times New Roman" w:hAnsi="Times New Roman" w:cs="Times New Roman"/>
          <w:sz w:val="24"/>
          <w:szCs w:val="24"/>
        </w:rPr>
        <w:t>álisis de alb</w:t>
      </w:r>
      <w:r w:rsidR="00FC454A" w:rsidRPr="0069230C">
        <w:rPr>
          <w:rFonts w:ascii="Times New Roman" w:hAnsi="Times New Roman" w:cs="Times New Roman"/>
          <w:sz w:val="24"/>
          <w:szCs w:val="24"/>
        </w:rPr>
        <w:t>ú</w:t>
      </w:r>
      <w:r w:rsidR="00C0141C" w:rsidRPr="0069230C">
        <w:rPr>
          <w:rFonts w:ascii="Times New Roman" w:hAnsi="Times New Roman" w:cs="Times New Roman"/>
          <w:sz w:val="24"/>
          <w:szCs w:val="24"/>
        </w:rPr>
        <w:t>mina y linfocitos;</w:t>
      </w:r>
      <w:r w:rsidR="00EF0682" w:rsidRPr="0069230C">
        <w:rPr>
          <w:rFonts w:ascii="Times New Roman" w:hAnsi="Times New Roman" w:cs="Times New Roman"/>
          <w:sz w:val="24"/>
          <w:szCs w:val="24"/>
        </w:rPr>
        <w:t xml:space="preserve"> c</w:t>
      </w:r>
      <w:r w:rsidR="00F154D9" w:rsidRPr="0069230C">
        <w:rPr>
          <w:rFonts w:ascii="Times New Roman" w:hAnsi="Times New Roman" w:cs="Times New Roman"/>
          <w:sz w:val="24"/>
          <w:szCs w:val="24"/>
        </w:rPr>
        <w:t xml:space="preserve">orrelación </w:t>
      </w:r>
      <w:r w:rsidRPr="0069230C">
        <w:rPr>
          <w:rFonts w:ascii="Times New Roman" w:hAnsi="Times New Roman" w:cs="Times New Roman"/>
          <w:sz w:val="24"/>
          <w:szCs w:val="24"/>
        </w:rPr>
        <w:t xml:space="preserve">Pearson </w:t>
      </w:r>
      <w:r w:rsidR="00F154D9" w:rsidRPr="0069230C">
        <w:rPr>
          <w:rFonts w:ascii="Times New Roman" w:hAnsi="Times New Roman" w:cs="Times New Roman"/>
          <w:sz w:val="24"/>
          <w:szCs w:val="24"/>
        </w:rPr>
        <w:t>(</w:t>
      </w:r>
      <w:r w:rsidRPr="0069230C">
        <w:rPr>
          <w:rFonts w:ascii="Times New Roman" w:hAnsi="Times New Roman" w:cs="Times New Roman"/>
          <w:sz w:val="24"/>
          <w:szCs w:val="24"/>
        </w:rPr>
        <w:t xml:space="preserve">p&lt;0.05) para la relación entre las variables </w:t>
      </w:r>
      <w:r w:rsidR="00261714" w:rsidRPr="0069230C">
        <w:rPr>
          <w:rFonts w:ascii="Times New Roman" w:hAnsi="Times New Roman" w:cs="Times New Roman"/>
          <w:sz w:val="24"/>
          <w:szCs w:val="24"/>
        </w:rPr>
        <w:t>escala de Glasg</w:t>
      </w:r>
      <w:r w:rsidR="00C0141C" w:rsidRPr="0069230C">
        <w:rPr>
          <w:rFonts w:ascii="Times New Roman" w:hAnsi="Times New Roman" w:cs="Times New Roman"/>
          <w:sz w:val="24"/>
          <w:szCs w:val="24"/>
        </w:rPr>
        <w:t>ow, mortalidad, dieta, leucocitos, linfocitos, alb</w:t>
      </w:r>
      <w:r w:rsidR="00FC454A" w:rsidRPr="0069230C">
        <w:rPr>
          <w:rFonts w:ascii="Times New Roman" w:hAnsi="Times New Roman" w:cs="Times New Roman"/>
          <w:sz w:val="24"/>
          <w:szCs w:val="24"/>
        </w:rPr>
        <w:t>ú</w:t>
      </w:r>
      <w:r w:rsidR="00C0141C" w:rsidRPr="0069230C">
        <w:rPr>
          <w:rFonts w:ascii="Times New Roman" w:hAnsi="Times New Roman" w:cs="Times New Roman"/>
          <w:sz w:val="24"/>
          <w:szCs w:val="24"/>
        </w:rPr>
        <w:t>mina</w:t>
      </w:r>
      <w:r w:rsidR="00261714" w:rsidRPr="0069230C">
        <w:rPr>
          <w:rFonts w:ascii="Times New Roman" w:hAnsi="Times New Roman" w:cs="Times New Roman"/>
          <w:sz w:val="24"/>
          <w:szCs w:val="24"/>
        </w:rPr>
        <w:t xml:space="preserve"> complicaciones,</w:t>
      </w:r>
      <w:r w:rsidR="00C0141C" w:rsidRPr="0069230C">
        <w:rPr>
          <w:rFonts w:ascii="Times New Roman" w:hAnsi="Times New Roman" w:cs="Times New Roman"/>
          <w:sz w:val="24"/>
          <w:szCs w:val="24"/>
        </w:rPr>
        <w:t xml:space="preserve"> días de </w:t>
      </w:r>
      <w:r w:rsidR="00D7724D" w:rsidRPr="0069230C">
        <w:rPr>
          <w:rFonts w:ascii="Times New Roman" w:hAnsi="Times New Roman" w:cs="Times New Roman"/>
          <w:sz w:val="24"/>
          <w:szCs w:val="24"/>
        </w:rPr>
        <w:t>ventilación</w:t>
      </w:r>
      <w:r w:rsidR="00C0141C" w:rsidRPr="0069230C">
        <w:rPr>
          <w:rFonts w:ascii="Times New Roman" w:hAnsi="Times New Roman" w:cs="Times New Roman"/>
          <w:sz w:val="24"/>
          <w:szCs w:val="24"/>
        </w:rPr>
        <w:t xml:space="preserve"> mecánica,</w:t>
      </w:r>
      <w:r w:rsidR="00261714" w:rsidRPr="0069230C">
        <w:rPr>
          <w:rFonts w:ascii="Times New Roman" w:hAnsi="Times New Roman" w:cs="Times New Roman"/>
          <w:sz w:val="24"/>
          <w:szCs w:val="24"/>
        </w:rPr>
        <w:t xml:space="preserve"> días de estancia hospitalaria</w:t>
      </w:r>
      <w:r w:rsidR="00C0141C" w:rsidRPr="0069230C">
        <w:rPr>
          <w:rFonts w:ascii="Times New Roman" w:hAnsi="Times New Roman" w:cs="Times New Roman"/>
          <w:sz w:val="24"/>
          <w:szCs w:val="24"/>
        </w:rPr>
        <w:t xml:space="preserve"> y mortalidad</w:t>
      </w:r>
      <w:r w:rsidRPr="0069230C">
        <w:rPr>
          <w:rFonts w:ascii="Times New Roman" w:hAnsi="Times New Roman" w:cs="Times New Roman"/>
          <w:sz w:val="24"/>
          <w:szCs w:val="24"/>
        </w:rPr>
        <w:t xml:space="preserve">. </w:t>
      </w:r>
      <w:r w:rsidRPr="0069230C">
        <w:rPr>
          <w:rFonts w:ascii="Times New Roman" w:eastAsia="GungsuhChe" w:hAnsi="Times New Roman" w:cs="Times New Roman"/>
          <w:bCs/>
          <w:sz w:val="24"/>
          <w:szCs w:val="24"/>
        </w:rPr>
        <w:t xml:space="preserve">Se </w:t>
      </w:r>
      <w:r w:rsidR="00CA4CAD" w:rsidRPr="0069230C">
        <w:rPr>
          <w:rFonts w:ascii="Times New Roman" w:eastAsia="GungsuhChe" w:hAnsi="Times New Roman" w:cs="Times New Roman"/>
          <w:bCs/>
          <w:sz w:val="24"/>
          <w:szCs w:val="24"/>
        </w:rPr>
        <w:t>consideró</w:t>
      </w:r>
      <w:r w:rsidRPr="0069230C">
        <w:rPr>
          <w:rFonts w:ascii="Times New Roman" w:eastAsia="GungsuhChe" w:hAnsi="Times New Roman" w:cs="Times New Roman"/>
          <w:bCs/>
          <w:sz w:val="24"/>
          <w:szCs w:val="24"/>
        </w:rPr>
        <w:t xml:space="preserve"> </w:t>
      </w:r>
      <w:r w:rsidR="00C0141C" w:rsidRPr="0069230C">
        <w:rPr>
          <w:rFonts w:ascii="Times New Roman" w:eastAsia="GungsuhChe" w:hAnsi="Times New Roman" w:cs="Times New Roman"/>
          <w:bCs/>
          <w:sz w:val="24"/>
          <w:szCs w:val="24"/>
        </w:rPr>
        <w:t>un nivel de significancia del 95</w:t>
      </w:r>
      <w:r w:rsidR="00FC454A" w:rsidRPr="0069230C">
        <w:rPr>
          <w:rFonts w:ascii="Times New Roman" w:eastAsia="GungsuhChe" w:hAnsi="Times New Roman" w:cs="Times New Roman"/>
          <w:bCs/>
          <w:sz w:val="24"/>
          <w:szCs w:val="24"/>
        </w:rPr>
        <w:t xml:space="preserve"> </w:t>
      </w:r>
      <w:r w:rsidR="00C0141C" w:rsidRPr="0069230C">
        <w:rPr>
          <w:rFonts w:ascii="Times New Roman" w:eastAsia="GungsuhChe" w:hAnsi="Times New Roman" w:cs="Times New Roman"/>
          <w:bCs/>
          <w:sz w:val="24"/>
          <w:szCs w:val="24"/>
        </w:rPr>
        <w:t>%</w:t>
      </w:r>
      <w:r w:rsidRPr="0069230C">
        <w:rPr>
          <w:rFonts w:ascii="Times New Roman" w:eastAsia="GungsuhChe" w:hAnsi="Times New Roman" w:cs="Times New Roman"/>
          <w:bCs/>
          <w:sz w:val="24"/>
          <w:szCs w:val="24"/>
        </w:rPr>
        <w:t xml:space="preserve"> </w:t>
      </w:r>
      <w:r w:rsidR="00C0141C" w:rsidRPr="0069230C">
        <w:rPr>
          <w:rFonts w:ascii="Times New Roman" w:eastAsia="GungsuhChe" w:hAnsi="Times New Roman" w:cs="Times New Roman"/>
          <w:bCs/>
          <w:sz w:val="24"/>
          <w:szCs w:val="24"/>
        </w:rPr>
        <w:t>(</w:t>
      </w:r>
      <w:r w:rsidRPr="0069230C">
        <w:rPr>
          <w:rFonts w:ascii="Times New Roman" w:eastAsia="GungsuhChe" w:hAnsi="Times New Roman" w:cs="Times New Roman"/>
          <w:bCs/>
          <w:sz w:val="24"/>
          <w:szCs w:val="24"/>
        </w:rPr>
        <w:t>p&lt;0.05</w:t>
      </w:r>
      <w:r w:rsidR="00C0141C" w:rsidRPr="0069230C">
        <w:rPr>
          <w:rFonts w:ascii="Times New Roman" w:eastAsia="GungsuhChe" w:hAnsi="Times New Roman" w:cs="Times New Roman"/>
          <w:bCs/>
          <w:sz w:val="24"/>
          <w:szCs w:val="24"/>
        </w:rPr>
        <w:t>)</w:t>
      </w:r>
      <w:r w:rsidRPr="0069230C">
        <w:rPr>
          <w:rFonts w:ascii="Times New Roman" w:hAnsi="Times New Roman" w:cs="Times New Roman"/>
          <w:bCs/>
          <w:sz w:val="24"/>
          <w:szCs w:val="24"/>
        </w:rPr>
        <w:t>.</w:t>
      </w:r>
    </w:p>
    <w:p w:rsidR="00D70C85" w:rsidRPr="0069230C" w:rsidRDefault="00D70C85" w:rsidP="0069230C">
      <w:pPr>
        <w:autoSpaceDE w:val="0"/>
        <w:autoSpaceDN w:val="0"/>
        <w:adjustRightInd w:val="0"/>
        <w:spacing w:after="0" w:line="360" w:lineRule="auto"/>
        <w:jc w:val="both"/>
        <w:rPr>
          <w:rFonts w:ascii="Times New Roman" w:hAnsi="Times New Roman" w:cs="Times New Roman"/>
          <w:b/>
          <w:sz w:val="24"/>
          <w:szCs w:val="24"/>
        </w:rPr>
      </w:pPr>
    </w:p>
    <w:p w:rsidR="00E57401" w:rsidRDefault="00E57401" w:rsidP="0069230C">
      <w:pPr>
        <w:autoSpaceDE w:val="0"/>
        <w:autoSpaceDN w:val="0"/>
        <w:adjustRightInd w:val="0"/>
        <w:spacing w:after="0" w:line="360" w:lineRule="auto"/>
        <w:jc w:val="both"/>
        <w:rPr>
          <w:rFonts w:ascii="Times New Roman" w:hAnsi="Times New Roman" w:cs="Times New Roman"/>
          <w:b/>
          <w:sz w:val="24"/>
          <w:szCs w:val="24"/>
        </w:rPr>
      </w:pPr>
    </w:p>
    <w:p w:rsidR="00786373" w:rsidRDefault="00786373" w:rsidP="0069230C">
      <w:pPr>
        <w:autoSpaceDE w:val="0"/>
        <w:autoSpaceDN w:val="0"/>
        <w:adjustRightInd w:val="0"/>
        <w:spacing w:after="0" w:line="360" w:lineRule="auto"/>
        <w:jc w:val="both"/>
        <w:rPr>
          <w:rFonts w:ascii="Times New Roman" w:hAnsi="Times New Roman" w:cs="Times New Roman"/>
          <w:b/>
          <w:sz w:val="24"/>
          <w:szCs w:val="24"/>
        </w:rPr>
      </w:pPr>
    </w:p>
    <w:p w:rsidR="00786373" w:rsidRPr="0069230C" w:rsidRDefault="00786373" w:rsidP="0069230C">
      <w:pPr>
        <w:autoSpaceDE w:val="0"/>
        <w:autoSpaceDN w:val="0"/>
        <w:adjustRightInd w:val="0"/>
        <w:spacing w:after="0" w:line="360" w:lineRule="auto"/>
        <w:jc w:val="both"/>
        <w:rPr>
          <w:rFonts w:ascii="Times New Roman" w:hAnsi="Times New Roman" w:cs="Times New Roman"/>
          <w:b/>
          <w:sz w:val="24"/>
          <w:szCs w:val="24"/>
        </w:rPr>
      </w:pPr>
    </w:p>
    <w:p w:rsidR="00DF0DDF" w:rsidRPr="0069230C" w:rsidRDefault="005410F2" w:rsidP="0069230C">
      <w:pPr>
        <w:autoSpaceDE w:val="0"/>
        <w:autoSpaceDN w:val="0"/>
        <w:adjustRightInd w:val="0"/>
        <w:spacing w:after="0" w:line="360" w:lineRule="auto"/>
        <w:jc w:val="both"/>
        <w:rPr>
          <w:rFonts w:ascii="Times New Roman" w:hAnsi="Times New Roman" w:cs="Times New Roman"/>
          <w:b/>
          <w:sz w:val="24"/>
          <w:szCs w:val="24"/>
        </w:rPr>
      </w:pPr>
      <w:r w:rsidRPr="0069230C">
        <w:rPr>
          <w:rFonts w:ascii="Times New Roman" w:hAnsi="Times New Roman" w:cs="Times New Roman"/>
          <w:b/>
          <w:sz w:val="24"/>
          <w:szCs w:val="24"/>
        </w:rPr>
        <w:lastRenderedPageBreak/>
        <w:t>Resultados</w:t>
      </w:r>
    </w:p>
    <w:p w:rsidR="00FC454A" w:rsidRPr="0069230C" w:rsidRDefault="00FC454A" w:rsidP="0069230C">
      <w:pPr>
        <w:autoSpaceDE w:val="0"/>
        <w:autoSpaceDN w:val="0"/>
        <w:adjustRightInd w:val="0"/>
        <w:spacing w:after="0" w:line="360" w:lineRule="auto"/>
        <w:jc w:val="both"/>
        <w:rPr>
          <w:rFonts w:ascii="Times New Roman" w:hAnsi="Times New Roman" w:cs="Times New Roman"/>
          <w:b/>
          <w:sz w:val="24"/>
          <w:szCs w:val="24"/>
        </w:rPr>
      </w:pPr>
    </w:p>
    <w:p w:rsidR="00EA1B60" w:rsidRPr="0069230C" w:rsidRDefault="008639F4" w:rsidP="0069230C">
      <w:pPr>
        <w:autoSpaceDE w:val="0"/>
        <w:autoSpaceDN w:val="0"/>
        <w:adjustRightInd w:val="0"/>
        <w:spacing w:after="0" w:line="360" w:lineRule="auto"/>
        <w:jc w:val="both"/>
        <w:rPr>
          <w:rFonts w:ascii="Times New Roman" w:hAnsi="Times New Roman" w:cs="Times New Roman"/>
          <w:sz w:val="24"/>
          <w:szCs w:val="24"/>
        </w:rPr>
      </w:pPr>
      <w:r w:rsidRPr="0069230C">
        <w:rPr>
          <w:rFonts w:ascii="Times New Roman" w:hAnsi="Times New Roman" w:cs="Times New Roman"/>
          <w:sz w:val="24"/>
          <w:szCs w:val="24"/>
        </w:rPr>
        <w:t>De 33 pacientes con TCE</w:t>
      </w:r>
      <w:r w:rsidR="00B945DA" w:rsidRPr="0069230C">
        <w:rPr>
          <w:rFonts w:ascii="Times New Roman" w:hAnsi="Times New Roman" w:cs="Times New Roman"/>
          <w:sz w:val="24"/>
          <w:szCs w:val="24"/>
        </w:rPr>
        <w:t xml:space="preserve"> ingresados a la UCI en el periodo de un año, solo 30 </w:t>
      </w:r>
      <w:r w:rsidR="00CD2882" w:rsidRPr="0069230C">
        <w:rPr>
          <w:rFonts w:ascii="Times New Roman" w:hAnsi="Times New Roman" w:cs="Times New Roman"/>
          <w:sz w:val="24"/>
          <w:szCs w:val="24"/>
        </w:rPr>
        <w:t>se incluyeron en el estudio por</w:t>
      </w:r>
      <w:r w:rsidR="00C24A36" w:rsidRPr="0069230C">
        <w:rPr>
          <w:rFonts w:ascii="Times New Roman" w:hAnsi="Times New Roman" w:cs="Times New Roman"/>
          <w:sz w:val="24"/>
          <w:szCs w:val="24"/>
        </w:rPr>
        <w:t xml:space="preserve"> c</w:t>
      </w:r>
      <w:r w:rsidR="00A26ADA" w:rsidRPr="0069230C">
        <w:rPr>
          <w:rFonts w:ascii="Times New Roman" w:hAnsi="Times New Roman" w:cs="Times New Roman"/>
          <w:sz w:val="24"/>
          <w:szCs w:val="24"/>
        </w:rPr>
        <w:t>umplir</w:t>
      </w:r>
      <w:r w:rsidR="00C24A36" w:rsidRPr="0069230C">
        <w:rPr>
          <w:rFonts w:ascii="Times New Roman" w:hAnsi="Times New Roman" w:cs="Times New Roman"/>
          <w:sz w:val="24"/>
          <w:szCs w:val="24"/>
        </w:rPr>
        <w:t xml:space="preserve"> con </w:t>
      </w:r>
      <w:r w:rsidR="002551C8" w:rsidRPr="0069230C">
        <w:rPr>
          <w:rFonts w:ascii="Times New Roman" w:hAnsi="Times New Roman" w:cs="Times New Roman"/>
          <w:sz w:val="24"/>
          <w:szCs w:val="24"/>
        </w:rPr>
        <w:t>los criterios de inclusión</w:t>
      </w:r>
      <w:r w:rsidR="00C24A36" w:rsidRPr="0069230C">
        <w:rPr>
          <w:rFonts w:ascii="Times New Roman" w:hAnsi="Times New Roman" w:cs="Times New Roman"/>
          <w:sz w:val="24"/>
          <w:szCs w:val="24"/>
        </w:rPr>
        <w:t>;</w:t>
      </w:r>
      <w:r w:rsidR="001E02A8" w:rsidRPr="0069230C">
        <w:rPr>
          <w:rFonts w:ascii="Times New Roman" w:hAnsi="Times New Roman" w:cs="Times New Roman"/>
          <w:sz w:val="24"/>
          <w:szCs w:val="24"/>
        </w:rPr>
        <w:t xml:space="preserve"> </w:t>
      </w:r>
      <w:r w:rsidR="00F63D1E" w:rsidRPr="0069230C">
        <w:rPr>
          <w:rFonts w:ascii="Times New Roman" w:hAnsi="Times New Roman" w:cs="Times New Roman"/>
          <w:sz w:val="24"/>
          <w:szCs w:val="24"/>
        </w:rPr>
        <w:t>90</w:t>
      </w:r>
      <w:r w:rsidR="000F26F1" w:rsidRPr="0069230C">
        <w:rPr>
          <w:rFonts w:ascii="Times New Roman" w:hAnsi="Times New Roman" w:cs="Times New Roman"/>
          <w:sz w:val="24"/>
          <w:szCs w:val="24"/>
        </w:rPr>
        <w:t xml:space="preserve"> </w:t>
      </w:r>
      <w:r w:rsidR="00F63D1E" w:rsidRPr="0069230C">
        <w:rPr>
          <w:rFonts w:ascii="Times New Roman" w:hAnsi="Times New Roman" w:cs="Times New Roman"/>
          <w:sz w:val="24"/>
          <w:szCs w:val="24"/>
        </w:rPr>
        <w:t xml:space="preserve">% (27) </w:t>
      </w:r>
      <w:r w:rsidR="00CD2882" w:rsidRPr="0069230C">
        <w:rPr>
          <w:rFonts w:ascii="Times New Roman" w:hAnsi="Times New Roman" w:cs="Times New Roman"/>
          <w:sz w:val="24"/>
          <w:szCs w:val="24"/>
        </w:rPr>
        <w:t xml:space="preserve">fueron </w:t>
      </w:r>
      <w:r w:rsidR="001E02A8" w:rsidRPr="0069230C">
        <w:rPr>
          <w:rFonts w:ascii="Times New Roman" w:hAnsi="Times New Roman" w:cs="Times New Roman"/>
          <w:sz w:val="24"/>
          <w:szCs w:val="24"/>
        </w:rPr>
        <w:t xml:space="preserve">hombres y </w:t>
      </w:r>
      <w:r w:rsidR="00F63D1E" w:rsidRPr="0069230C">
        <w:rPr>
          <w:rFonts w:ascii="Times New Roman" w:hAnsi="Times New Roman" w:cs="Times New Roman"/>
          <w:sz w:val="24"/>
          <w:szCs w:val="24"/>
        </w:rPr>
        <w:t>10</w:t>
      </w:r>
      <w:r w:rsidR="000F26F1" w:rsidRPr="0069230C">
        <w:rPr>
          <w:rFonts w:ascii="Times New Roman" w:hAnsi="Times New Roman" w:cs="Times New Roman"/>
          <w:sz w:val="24"/>
          <w:szCs w:val="24"/>
        </w:rPr>
        <w:t xml:space="preserve"> </w:t>
      </w:r>
      <w:r w:rsidR="00F63D1E" w:rsidRPr="0069230C">
        <w:rPr>
          <w:rFonts w:ascii="Times New Roman" w:hAnsi="Times New Roman" w:cs="Times New Roman"/>
          <w:sz w:val="24"/>
          <w:szCs w:val="24"/>
        </w:rPr>
        <w:t>% (3</w:t>
      </w:r>
      <w:r w:rsidR="0035760B" w:rsidRPr="0069230C">
        <w:rPr>
          <w:rFonts w:ascii="Times New Roman" w:hAnsi="Times New Roman" w:cs="Times New Roman"/>
          <w:sz w:val="24"/>
          <w:szCs w:val="24"/>
        </w:rPr>
        <w:t>) mujeres, con un promedio</w:t>
      </w:r>
      <w:r w:rsidR="001E02A8" w:rsidRPr="0069230C">
        <w:rPr>
          <w:rFonts w:ascii="Times New Roman" w:hAnsi="Times New Roman" w:cs="Times New Roman"/>
          <w:sz w:val="24"/>
          <w:szCs w:val="24"/>
        </w:rPr>
        <w:t xml:space="preserve"> de edad de</w:t>
      </w:r>
      <w:r w:rsidR="006823DB" w:rsidRPr="0069230C">
        <w:rPr>
          <w:rFonts w:ascii="Times New Roman" w:hAnsi="Times New Roman" w:cs="Times New Roman"/>
          <w:sz w:val="24"/>
          <w:szCs w:val="24"/>
        </w:rPr>
        <w:t xml:space="preserve"> </w:t>
      </w:r>
      <w:r w:rsidR="001E75A4" w:rsidRPr="0069230C">
        <w:rPr>
          <w:rFonts w:ascii="Times New Roman" w:hAnsi="Times New Roman" w:cs="Times New Roman"/>
          <w:sz w:val="24"/>
          <w:szCs w:val="24"/>
        </w:rPr>
        <w:t>33 años en el hombre y 18 años en la mujer</w:t>
      </w:r>
      <w:r w:rsidR="006D730C" w:rsidRPr="0069230C">
        <w:rPr>
          <w:rFonts w:ascii="Times New Roman" w:hAnsi="Times New Roman" w:cs="Times New Roman"/>
          <w:sz w:val="24"/>
          <w:szCs w:val="24"/>
        </w:rPr>
        <w:t>.</w:t>
      </w:r>
      <w:r w:rsidR="00F154D9" w:rsidRPr="0069230C">
        <w:rPr>
          <w:rFonts w:ascii="Times New Roman" w:hAnsi="Times New Roman" w:cs="Times New Roman"/>
          <w:sz w:val="24"/>
          <w:szCs w:val="24"/>
        </w:rPr>
        <w:t xml:space="preserve"> </w:t>
      </w:r>
    </w:p>
    <w:p w:rsidR="00EA1B60" w:rsidRPr="0069230C" w:rsidRDefault="000C5257" w:rsidP="0069230C">
      <w:pPr>
        <w:autoSpaceDE w:val="0"/>
        <w:autoSpaceDN w:val="0"/>
        <w:adjustRightInd w:val="0"/>
        <w:spacing w:after="0" w:line="360" w:lineRule="auto"/>
        <w:jc w:val="both"/>
        <w:rPr>
          <w:rFonts w:ascii="Times New Roman" w:hAnsi="Times New Roman" w:cs="Times New Roman"/>
          <w:sz w:val="24"/>
          <w:szCs w:val="24"/>
        </w:rPr>
      </w:pPr>
      <w:r w:rsidRPr="0069230C">
        <w:rPr>
          <w:rFonts w:ascii="Times New Roman" w:hAnsi="Times New Roman" w:cs="Times New Roman"/>
          <w:sz w:val="24"/>
          <w:szCs w:val="24"/>
        </w:rPr>
        <w:t>Con</w:t>
      </w:r>
      <w:r w:rsidR="00A07217" w:rsidRPr="0069230C">
        <w:rPr>
          <w:rFonts w:ascii="Times New Roman" w:hAnsi="Times New Roman" w:cs="Times New Roman"/>
          <w:sz w:val="24"/>
          <w:szCs w:val="24"/>
        </w:rPr>
        <w:t xml:space="preserve"> relación a la graved</w:t>
      </w:r>
      <w:r w:rsidR="00A26ADA" w:rsidRPr="0069230C">
        <w:rPr>
          <w:rFonts w:ascii="Times New Roman" w:hAnsi="Times New Roman" w:cs="Times New Roman"/>
          <w:sz w:val="24"/>
          <w:szCs w:val="24"/>
        </w:rPr>
        <w:t>ad, tomando como referencia la ECG</w:t>
      </w:r>
      <w:r w:rsidR="000E4D0E" w:rsidRPr="0069230C">
        <w:rPr>
          <w:rFonts w:ascii="Times New Roman" w:hAnsi="Times New Roman" w:cs="Times New Roman"/>
          <w:sz w:val="24"/>
          <w:szCs w:val="24"/>
        </w:rPr>
        <w:t xml:space="preserve"> se encontró que 40</w:t>
      </w:r>
      <w:r w:rsidR="000F26F1" w:rsidRPr="0069230C">
        <w:rPr>
          <w:rFonts w:ascii="Times New Roman" w:hAnsi="Times New Roman" w:cs="Times New Roman"/>
          <w:sz w:val="24"/>
          <w:szCs w:val="24"/>
        </w:rPr>
        <w:t xml:space="preserve"> </w:t>
      </w:r>
      <w:r w:rsidR="000E4D0E" w:rsidRPr="0069230C">
        <w:rPr>
          <w:rFonts w:ascii="Times New Roman" w:hAnsi="Times New Roman" w:cs="Times New Roman"/>
          <w:sz w:val="24"/>
          <w:szCs w:val="24"/>
        </w:rPr>
        <w:t>% presentó</w:t>
      </w:r>
      <w:r w:rsidR="00A07217" w:rsidRPr="0069230C">
        <w:rPr>
          <w:rFonts w:ascii="Times New Roman" w:hAnsi="Times New Roman" w:cs="Times New Roman"/>
          <w:sz w:val="24"/>
          <w:szCs w:val="24"/>
        </w:rPr>
        <w:t xml:space="preserve"> TCE </w:t>
      </w:r>
      <w:r w:rsidR="00AC13F2" w:rsidRPr="0069230C">
        <w:rPr>
          <w:rFonts w:ascii="Times New Roman" w:hAnsi="Times New Roman" w:cs="Times New Roman"/>
          <w:sz w:val="24"/>
          <w:szCs w:val="24"/>
        </w:rPr>
        <w:t>leve</w:t>
      </w:r>
      <w:r w:rsidR="00A07217" w:rsidRPr="0069230C">
        <w:rPr>
          <w:rFonts w:ascii="Times New Roman" w:hAnsi="Times New Roman" w:cs="Times New Roman"/>
          <w:sz w:val="24"/>
          <w:szCs w:val="24"/>
        </w:rPr>
        <w:t>, 36.6</w:t>
      </w:r>
      <w:r w:rsidR="000F26F1" w:rsidRPr="0069230C">
        <w:rPr>
          <w:rFonts w:ascii="Times New Roman" w:hAnsi="Times New Roman" w:cs="Times New Roman"/>
          <w:sz w:val="24"/>
          <w:szCs w:val="24"/>
        </w:rPr>
        <w:t xml:space="preserve"> </w:t>
      </w:r>
      <w:r w:rsidR="00A07217" w:rsidRPr="0069230C">
        <w:rPr>
          <w:rFonts w:ascii="Times New Roman" w:hAnsi="Times New Roman" w:cs="Times New Roman"/>
          <w:sz w:val="24"/>
          <w:szCs w:val="24"/>
        </w:rPr>
        <w:t>% moderado y el 23.3</w:t>
      </w:r>
      <w:r w:rsidR="000F26F1" w:rsidRPr="0069230C">
        <w:rPr>
          <w:rFonts w:ascii="Times New Roman" w:hAnsi="Times New Roman" w:cs="Times New Roman"/>
          <w:sz w:val="24"/>
          <w:szCs w:val="24"/>
        </w:rPr>
        <w:t xml:space="preserve"> </w:t>
      </w:r>
      <w:r w:rsidR="00A07217" w:rsidRPr="0069230C">
        <w:rPr>
          <w:rFonts w:ascii="Times New Roman" w:hAnsi="Times New Roman" w:cs="Times New Roman"/>
          <w:sz w:val="24"/>
          <w:szCs w:val="24"/>
        </w:rPr>
        <w:t xml:space="preserve">% </w:t>
      </w:r>
      <w:r w:rsidR="00AC13F2" w:rsidRPr="0069230C">
        <w:rPr>
          <w:rFonts w:ascii="Times New Roman" w:hAnsi="Times New Roman" w:cs="Times New Roman"/>
          <w:sz w:val="24"/>
          <w:szCs w:val="24"/>
        </w:rPr>
        <w:t>severo</w:t>
      </w:r>
      <w:r w:rsidR="00EF550D" w:rsidRPr="0069230C">
        <w:rPr>
          <w:rFonts w:ascii="Times New Roman" w:hAnsi="Times New Roman" w:cs="Times New Roman"/>
          <w:sz w:val="24"/>
          <w:szCs w:val="24"/>
        </w:rPr>
        <w:t xml:space="preserve"> </w:t>
      </w:r>
      <w:r w:rsidR="00F63D1E" w:rsidRPr="0069230C">
        <w:rPr>
          <w:rFonts w:ascii="Times New Roman" w:hAnsi="Times New Roman" w:cs="Times New Roman"/>
          <w:sz w:val="24"/>
          <w:szCs w:val="24"/>
        </w:rPr>
        <w:t>(</w:t>
      </w:r>
      <w:r w:rsidR="000F26F1" w:rsidRPr="0069230C">
        <w:rPr>
          <w:rFonts w:ascii="Times New Roman" w:hAnsi="Times New Roman" w:cs="Times New Roman"/>
          <w:sz w:val="24"/>
          <w:szCs w:val="24"/>
        </w:rPr>
        <w:t>t</w:t>
      </w:r>
      <w:r w:rsidR="00986B81" w:rsidRPr="0069230C">
        <w:rPr>
          <w:rFonts w:ascii="Times New Roman" w:hAnsi="Times New Roman" w:cs="Times New Roman"/>
          <w:sz w:val="24"/>
          <w:szCs w:val="24"/>
        </w:rPr>
        <w:t>abla 1</w:t>
      </w:r>
      <w:r w:rsidR="00F63D1E" w:rsidRPr="0069230C">
        <w:rPr>
          <w:rFonts w:ascii="Times New Roman" w:hAnsi="Times New Roman" w:cs="Times New Roman"/>
          <w:sz w:val="24"/>
          <w:szCs w:val="24"/>
        </w:rPr>
        <w:t>)</w:t>
      </w:r>
      <w:r w:rsidR="00EF550D" w:rsidRPr="0069230C">
        <w:rPr>
          <w:rFonts w:ascii="Times New Roman" w:hAnsi="Times New Roman" w:cs="Times New Roman"/>
          <w:sz w:val="24"/>
          <w:szCs w:val="24"/>
        </w:rPr>
        <w:t>.</w:t>
      </w:r>
      <w:r w:rsidRPr="0069230C">
        <w:rPr>
          <w:rFonts w:ascii="Times New Roman" w:hAnsi="Times New Roman" w:cs="Times New Roman"/>
          <w:sz w:val="24"/>
          <w:szCs w:val="24"/>
        </w:rPr>
        <w:t xml:space="preserve"> </w:t>
      </w:r>
    </w:p>
    <w:p w:rsidR="00E57401" w:rsidRPr="0069230C" w:rsidRDefault="00E57401" w:rsidP="0069230C">
      <w:pPr>
        <w:autoSpaceDE w:val="0"/>
        <w:autoSpaceDN w:val="0"/>
        <w:adjustRightInd w:val="0"/>
        <w:spacing w:after="0" w:line="360" w:lineRule="auto"/>
        <w:jc w:val="both"/>
        <w:rPr>
          <w:rFonts w:ascii="Times New Roman" w:hAnsi="Times New Roman" w:cs="Times New Roman"/>
          <w:sz w:val="24"/>
          <w:szCs w:val="24"/>
        </w:rPr>
      </w:pPr>
    </w:p>
    <w:p w:rsidR="00EA1B60" w:rsidRPr="0069230C" w:rsidRDefault="00986B81" w:rsidP="0069230C">
      <w:pPr>
        <w:autoSpaceDE w:val="0"/>
        <w:autoSpaceDN w:val="0"/>
        <w:adjustRightInd w:val="0"/>
        <w:spacing w:after="0" w:line="360" w:lineRule="auto"/>
        <w:jc w:val="both"/>
        <w:rPr>
          <w:rFonts w:ascii="Times New Roman" w:hAnsi="Times New Roman" w:cs="Times New Roman"/>
          <w:sz w:val="24"/>
          <w:szCs w:val="24"/>
        </w:rPr>
      </w:pPr>
      <w:r w:rsidRPr="0069230C">
        <w:rPr>
          <w:rFonts w:ascii="Times New Roman" w:hAnsi="Times New Roman" w:cs="Times New Roman"/>
          <w:sz w:val="24"/>
          <w:szCs w:val="24"/>
        </w:rPr>
        <w:t>Tabla 1</w:t>
      </w:r>
      <w:r w:rsidR="00A26ADA" w:rsidRPr="0069230C">
        <w:rPr>
          <w:rFonts w:ascii="Times New Roman" w:hAnsi="Times New Roman" w:cs="Times New Roman"/>
          <w:sz w:val="24"/>
          <w:szCs w:val="24"/>
        </w:rPr>
        <w:t>. Gravedad del TCE según ECG</w:t>
      </w:r>
      <w:r w:rsidR="00EA1B60" w:rsidRPr="0069230C">
        <w:rPr>
          <w:rFonts w:ascii="Times New Roman" w:hAnsi="Times New Roman" w:cs="Times New Roman"/>
          <w:sz w:val="24"/>
          <w:szCs w:val="24"/>
        </w:rPr>
        <w:t>, en los pacientes con TCE en la UCI del Hospital General de Mexicali.</w:t>
      </w:r>
    </w:p>
    <w:p w:rsidR="00EA1B60" w:rsidRPr="00EF550D" w:rsidRDefault="00EA1B60" w:rsidP="0069230C">
      <w:pPr>
        <w:spacing w:after="0" w:line="360" w:lineRule="auto"/>
        <w:jc w:val="both"/>
        <w:rPr>
          <w:rFonts w:ascii="Arial" w:hAnsi="Arial" w:cs="Arial"/>
          <w:sz w:val="20"/>
          <w:szCs w:val="20"/>
        </w:rPr>
      </w:pPr>
      <w:r w:rsidRPr="0069230C">
        <w:rPr>
          <w:rFonts w:ascii="Times New Roman" w:hAnsi="Times New Roman" w:cs="Times New Roman"/>
          <w:sz w:val="24"/>
          <w:szCs w:val="24"/>
        </w:rPr>
        <w:t>n=30</w:t>
      </w:r>
    </w:p>
    <w:tbl>
      <w:tblPr>
        <w:tblStyle w:val="Tablaconcuadrcula"/>
        <w:tblW w:w="0" w:type="auto"/>
        <w:tblInd w:w="91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2496"/>
        <w:gridCol w:w="2184"/>
      </w:tblGrid>
      <w:tr w:rsidR="00EA1B60" w:rsidRPr="00EF550D" w:rsidTr="00EA1B60">
        <w:tc>
          <w:tcPr>
            <w:tcW w:w="2970" w:type="dxa"/>
            <w:tcBorders>
              <w:top w:val="single" w:sz="4" w:space="0" w:color="auto"/>
              <w:bottom w:val="single" w:sz="4" w:space="0" w:color="auto"/>
            </w:tcBorders>
          </w:tcPr>
          <w:p w:rsidR="00EA1B60" w:rsidRPr="00EF550D" w:rsidRDefault="00EA1B60" w:rsidP="00666D07">
            <w:pPr>
              <w:spacing w:line="276" w:lineRule="auto"/>
              <w:jc w:val="both"/>
              <w:rPr>
                <w:rFonts w:ascii="Arial" w:hAnsi="Arial" w:cs="Arial"/>
                <w:sz w:val="20"/>
                <w:szCs w:val="20"/>
              </w:rPr>
            </w:pPr>
            <w:r w:rsidRPr="00EF550D">
              <w:rPr>
                <w:rFonts w:ascii="Arial" w:hAnsi="Arial" w:cs="Arial"/>
                <w:sz w:val="20"/>
                <w:szCs w:val="20"/>
              </w:rPr>
              <w:t>Gravedad</w:t>
            </w:r>
          </w:p>
        </w:tc>
        <w:tc>
          <w:tcPr>
            <w:tcW w:w="2496" w:type="dxa"/>
            <w:tcBorders>
              <w:top w:val="single" w:sz="4" w:space="0" w:color="auto"/>
              <w:bottom w:val="single" w:sz="4" w:space="0" w:color="auto"/>
            </w:tcBorders>
          </w:tcPr>
          <w:p w:rsidR="00EA1B60" w:rsidRPr="00EF550D" w:rsidRDefault="00EA1B60" w:rsidP="00666D07">
            <w:pPr>
              <w:spacing w:line="276" w:lineRule="auto"/>
              <w:jc w:val="both"/>
              <w:rPr>
                <w:rFonts w:ascii="Arial" w:hAnsi="Arial" w:cs="Arial"/>
                <w:sz w:val="20"/>
                <w:szCs w:val="20"/>
              </w:rPr>
            </w:pPr>
            <w:r w:rsidRPr="00EF550D">
              <w:rPr>
                <w:rFonts w:ascii="Arial" w:hAnsi="Arial" w:cs="Arial"/>
                <w:sz w:val="20"/>
                <w:szCs w:val="20"/>
              </w:rPr>
              <w:t>No.</w:t>
            </w:r>
          </w:p>
        </w:tc>
        <w:tc>
          <w:tcPr>
            <w:tcW w:w="2184" w:type="dxa"/>
            <w:tcBorders>
              <w:top w:val="single" w:sz="4" w:space="0" w:color="auto"/>
              <w:bottom w:val="single" w:sz="4" w:space="0" w:color="auto"/>
            </w:tcBorders>
          </w:tcPr>
          <w:p w:rsidR="00EA1B60" w:rsidRPr="00EF550D" w:rsidRDefault="00EA1B60" w:rsidP="00666D07">
            <w:pPr>
              <w:spacing w:line="276" w:lineRule="auto"/>
              <w:jc w:val="both"/>
              <w:rPr>
                <w:rFonts w:ascii="Arial" w:hAnsi="Arial" w:cs="Arial"/>
                <w:sz w:val="20"/>
                <w:szCs w:val="20"/>
              </w:rPr>
            </w:pPr>
            <w:r w:rsidRPr="00EF550D">
              <w:rPr>
                <w:rFonts w:ascii="Arial" w:hAnsi="Arial" w:cs="Arial"/>
                <w:sz w:val="20"/>
                <w:szCs w:val="20"/>
              </w:rPr>
              <w:t>%</w:t>
            </w:r>
          </w:p>
        </w:tc>
      </w:tr>
      <w:tr w:rsidR="00EA1B60" w:rsidRPr="00EF550D" w:rsidTr="00EA1B60">
        <w:tc>
          <w:tcPr>
            <w:tcW w:w="2970" w:type="dxa"/>
            <w:tcBorders>
              <w:top w:val="single" w:sz="4" w:space="0" w:color="auto"/>
            </w:tcBorders>
          </w:tcPr>
          <w:p w:rsidR="00EA1B60" w:rsidRPr="00EF550D" w:rsidRDefault="00EA1B60" w:rsidP="00666D07">
            <w:pPr>
              <w:spacing w:line="276" w:lineRule="auto"/>
              <w:jc w:val="both"/>
              <w:rPr>
                <w:rFonts w:ascii="Arial" w:hAnsi="Arial" w:cs="Arial"/>
                <w:sz w:val="20"/>
                <w:szCs w:val="20"/>
              </w:rPr>
            </w:pPr>
            <w:r w:rsidRPr="00EF550D">
              <w:rPr>
                <w:rFonts w:ascii="Arial" w:hAnsi="Arial" w:cs="Arial"/>
                <w:sz w:val="20"/>
                <w:szCs w:val="20"/>
              </w:rPr>
              <w:t xml:space="preserve">Leve </w:t>
            </w:r>
            <w:r w:rsidRPr="00EF550D">
              <w:rPr>
                <w:rFonts w:ascii="Arial" w:hAnsi="Arial" w:cs="Arial"/>
                <w:sz w:val="20"/>
                <w:szCs w:val="20"/>
                <w:u w:val="single"/>
              </w:rPr>
              <w:t>&gt;</w:t>
            </w:r>
            <w:r w:rsidRPr="00EF550D">
              <w:rPr>
                <w:rFonts w:ascii="Arial" w:hAnsi="Arial" w:cs="Arial"/>
                <w:sz w:val="20"/>
                <w:szCs w:val="20"/>
              </w:rPr>
              <w:t xml:space="preserve"> 14</w:t>
            </w:r>
          </w:p>
        </w:tc>
        <w:tc>
          <w:tcPr>
            <w:tcW w:w="2496" w:type="dxa"/>
            <w:tcBorders>
              <w:top w:val="single" w:sz="4" w:space="0" w:color="auto"/>
            </w:tcBorders>
          </w:tcPr>
          <w:p w:rsidR="00EA1B60" w:rsidRPr="00EF550D" w:rsidRDefault="00EA1B60" w:rsidP="00666D07">
            <w:pPr>
              <w:spacing w:line="276" w:lineRule="auto"/>
              <w:jc w:val="both"/>
              <w:rPr>
                <w:rFonts w:ascii="Arial" w:hAnsi="Arial" w:cs="Arial"/>
                <w:sz w:val="20"/>
                <w:szCs w:val="20"/>
              </w:rPr>
            </w:pPr>
            <w:r w:rsidRPr="00EF550D">
              <w:rPr>
                <w:rFonts w:ascii="Arial" w:hAnsi="Arial" w:cs="Arial"/>
                <w:sz w:val="20"/>
                <w:szCs w:val="20"/>
              </w:rPr>
              <w:t>12</w:t>
            </w:r>
          </w:p>
        </w:tc>
        <w:tc>
          <w:tcPr>
            <w:tcW w:w="2184" w:type="dxa"/>
            <w:tcBorders>
              <w:top w:val="single" w:sz="4" w:space="0" w:color="auto"/>
            </w:tcBorders>
          </w:tcPr>
          <w:p w:rsidR="00EA1B60" w:rsidRPr="00EF550D" w:rsidRDefault="00EA1B60" w:rsidP="00666D07">
            <w:pPr>
              <w:spacing w:line="276" w:lineRule="auto"/>
              <w:jc w:val="both"/>
              <w:rPr>
                <w:rFonts w:ascii="Arial" w:hAnsi="Arial" w:cs="Arial"/>
                <w:sz w:val="20"/>
                <w:szCs w:val="20"/>
              </w:rPr>
            </w:pPr>
            <w:r w:rsidRPr="00EF550D">
              <w:rPr>
                <w:rFonts w:ascii="Arial" w:hAnsi="Arial" w:cs="Arial"/>
                <w:sz w:val="20"/>
                <w:szCs w:val="20"/>
              </w:rPr>
              <w:t>40.0</w:t>
            </w:r>
          </w:p>
        </w:tc>
      </w:tr>
      <w:tr w:rsidR="00EA1B60" w:rsidRPr="00EF550D" w:rsidTr="00EA1B60">
        <w:tc>
          <w:tcPr>
            <w:tcW w:w="2970" w:type="dxa"/>
          </w:tcPr>
          <w:p w:rsidR="00EA1B60" w:rsidRPr="00EF550D" w:rsidRDefault="00EA1B60" w:rsidP="00666D07">
            <w:pPr>
              <w:spacing w:line="276" w:lineRule="auto"/>
              <w:jc w:val="both"/>
              <w:rPr>
                <w:rFonts w:ascii="Arial" w:hAnsi="Arial" w:cs="Arial"/>
                <w:sz w:val="20"/>
                <w:szCs w:val="20"/>
              </w:rPr>
            </w:pPr>
            <w:r w:rsidRPr="00EF550D">
              <w:rPr>
                <w:rFonts w:ascii="Arial" w:hAnsi="Arial" w:cs="Arial"/>
                <w:sz w:val="20"/>
                <w:szCs w:val="20"/>
              </w:rPr>
              <w:t>Moderado 9 - 13</w:t>
            </w:r>
          </w:p>
        </w:tc>
        <w:tc>
          <w:tcPr>
            <w:tcW w:w="2496" w:type="dxa"/>
          </w:tcPr>
          <w:p w:rsidR="00EA1B60" w:rsidRPr="00EF550D" w:rsidRDefault="00EA1B60" w:rsidP="00666D07">
            <w:pPr>
              <w:spacing w:line="276" w:lineRule="auto"/>
              <w:jc w:val="both"/>
              <w:rPr>
                <w:rFonts w:ascii="Arial" w:hAnsi="Arial" w:cs="Arial"/>
                <w:sz w:val="20"/>
                <w:szCs w:val="20"/>
              </w:rPr>
            </w:pPr>
            <w:r w:rsidRPr="00EF550D">
              <w:rPr>
                <w:rFonts w:ascii="Arial" w:hAnsi="Arial" w:cs="Arial"/>
                <w:sz w:val="20"/>
                <w:szCs w:val="20"/>
              </w:rPr>
              <w:t>11</w:t>
            </w:r>
          </w:p>
        </w:tc>
        <w:tc>
          <w:tcPr>
            <w:tcW w:w="2184" w:type="dxa"/>
          </w:tcPr>
          <w:p w:rsidR="00EA1B60" w:rsidRPr="00EF550D" w:rsidRDefault="00EA1B60" w:rsidP="00666D07">
            <w:pPr>
              <w:spacing w:line="276" w:lineRule="auto"/>
              <w:jc w:val="both"/>
              <w:rPr>
                <w:rFonts w:ascii="Arial" w:hAnsi="Arial" w:cs="Arial"/>
                <w:sz w:val="20"/>
                <w:szCs w:val="20"/>
              </w:rPr>
            </w:pPr>
            <w:r w:rsidRPr="00EF550D">
              <w:rPr>
                <w:rFonts w:ascii="Arial" w:hAnsi="Arial" w:cs="Arial"/>
                <w:sz w:val="20"/>
                <w:szCs w:val="20"/>
              </w:rPr>
              <w:t>36.6</w:t>
            </w:r>
          </w:p>
        </w:tc>
      </w:tr>
      <w:tr w:rsidR="00EA1B60" w:rsidRPr="00EF550D" w:rsidTr="00EA1B60">
        <w:tc>
          <w:tcPr>
            <w:tcW w:w="2970" w:type="dxa"/>
          </w:tcPr>
          <w:p w:rsidR="00EA1B60" w:rsidRPr="00EF550D" w:rsidRDefault="00EA1B60" w:rsidP="00666D07">
            <w:pPr>
              <w:spacing w:line="276" w:lineRule="auto"/>
              <w:jc w:val="both"/>
              <w:rPr>
                <w:rFonts w:ascii="Arial" w:hAnsi="Arial" w:cs="Arial"/>
                <w:sz w:val="20"/>
                <w:szCs w:val="20"/>
              </w:rPr>
            </w:pPr>
            <w:r>
              <w:rPr>
                <w:rFonts w:ascii="Arial" w:hAnsi="Arial" w:cs="Arial"/>
                <w:sz w:val="20"/>
                <w:szCs w:val="20"/>
              </w:rPr>
              <w:t>Severo</w:t>
            </w:r>
            <w:r w:rsidRPr="00EF550D">
              <w:rPr>
                <w:rFonts w:ascii="Arial" w:hAnsi="Arial" w:cs="Arial"/>
                <w:sz w:val="20"/>
                <w:szCs w:val="20"/>
              </w:rPr>
              <w:t xml:space="preserve"> </w:t>
            </w:r>
            <w:r w:rsidRPr="00EF550D">
              <w:rPr>
                <w:rFonts w:ascii="Arial" w:hAnsi="Arial" w:cs="Arial"/>
                <w:sz w:val="20"/>
                <w:szCs w:val="20"/>
                <w:u w:val="single"/>
              </w:rPr>
              <w:t>&lt;</w:t>
            </w:r>
            <w:r w:rsidRPr="00EF550D">
              <w:rPr>
                <w:rFonts w:ascii="Arial" w:hAnsi="Arial" w:cs="Arial"/>
                <w:sz w:val="20"/>
                <w:szCs w:val="20"/>
              </w:rPr>
              <w:t xml:space="preserve"> 8</w:t>
            </w:r>
          </w:p>
        </w:tc>
        <w:tc>
          <w:tcPr>
            <w:tcW w:w="2496" w:type="dxa"/>
          </w:tcPr>
          <w:p w:rsidR="00EA1B60" w:rsidRPr="00EF550D" w:rsidRDefault="00EA1B60" w:rsidP="00666D07">
            <w:pPr>
              <w:spacing w:line="276" w:lineRule="auto"/>
              <w:jc w:val="both"/>
              <w:rPr>
                <w:rFonts w:ascii="Arial" w:hAnsi="Arial" w:cs="Arial"/>
                <w:sz w:val="20"/>
                <w:szCs w:val="20"/>
              </w:rPr>
            </w:pPr>
            <w:r w:rsidRPr="00EF550D">
              <w:rPr>
                <w:rFonts w:ascii="Arial" w:hAnsi="Arial" w:cs="Arial"/>
                <w:sz w:val="20"/>
                <w:szCs w:val="20"/>
              </w:rPr>
              <w:t xml:space="preserve">  7</w:t>
            </w:r>
          </w:p>
        </w:tc>
        <w:tc>
          <w:tcPr>
            <w:tcW w:w="2184" w:type="dxa"/>
          </w:tcPr>
          <w:p w:rsidR="00EA1B60" w:rsidRPr="00EF550D" w:rsidRDefault="00EA1B60" w:rsidP="00666D07">
            <w:pPr>
              <w:spacing w:line="276" w:lineRule="auto"/>
              <w:jc w:val="both"/>
              <w:rPr>
                <w:rFonts w:ascii="Arial" w:hAnsi="Arial" w:cs="Arial"/>
                <w:sz w:val="20"/>
                <w:szCs w:val="20"/>
              </w:rPr>
            </w:pPr>
            <w:r w:rsidRPr="00EF550D">
              <w:rPr>
                <w:rFonts w:ascii="Arial" w:hAnsi="Arial" w:cs="Arial"/>
                <w:sz w:val="20"/>
                <w:szCs w:val="20"/>
              </w:rPr>
              <w:t>23.3</w:t>
            </w:r>
          </w:p>
        </w:tc>
      </w:tr>
      <w:tr w:rsidR="00EA1B60" w:rsidRPr="00EF550D" w:rsidTr="00EA1B60">
        <w:trPr>
          <w:trHeight w:val="207"/>
        </w:trPr>
        <w:tc>
          <w:tcPr>
            <w:tcW w:w="2970" w:type="dxa"/>
          </w:tcPr>
          <w:p w:rsidR="00EA1B60" w:rsidRPr="00EF550D" w:rsidRDefault="00EA1B60" w:rsidP="00666D07">
            <w:pPr>
              <w:spacing w:line="276" w:lineRule="auto"/>
              <w:jc w:val="both"/>
              <w:rPr>
                <w:rFonts w:ascii="Arial" w:hAnsi="Arial" w:cs="Arial"/>
                <w:sz w:val="20"/>
                <w:szCs w:val="20"/>
              </w:rPr>
            </w:pPr>
            <w:r>
              <w:rPr>
                <w:rFonts w:ascii="Arial" w:hAnsi="Arial" w:cs="Arial"/>
                <w:sz w:val="20"/>
                <w:szCs w:val="20"/>
              </w:rPr>
              <w:t>Total</w:t>
            </w:r>
          </w:p>
        </w:tc>
        <w:tc>
          <w:tcPr>
            <w:tcW w:w="2496" w:type="dxa"/>
          </w:tcPr>
          <w:p w:rsidR="00EA1B60" w:rsidRPr="00EF550D" w:rsidRDefault="00EA1B60" w:rsidP="00666D07">
            <w:pPr>
              <w:spacing w:line="276" w:lineRule="auto"/>
              <w:jc w:val="both"/>
              <w:rPr>
                <w:rFonts w:ascii="Arial" w:hAnsi="Arial" w:cs="Arial"/>
                <w:sz w:val="20"/>
                <w:szCs w:val="20"/>
              </w:rPr>
            </w:pPr>
            <w:r w:rsidRPr="00EF550D">
              <w:rPr>
                <w:rFonts w:ascii="Arial" w:hAnsi="Arial" w:cs="Arial"/>
                <w:sz w:val="20"/>
                <w:szCs w:val="20"/>
              </w:rPr>
              <w:t>30</w:t>
            </w:r>
          </w:p>
        </w:tc>
        <w:tc>
          <w:tcPr>
            <w:tcW w:w="2184" w:type="dxa"/>
          </w:tcPr>
          <w:p w:rsidR="00EA1B60" w:rsidRPr="00EF550D" w:rsidRDefault="00EA1B60" w:rsidP="00666D07">
            <w:pPr>
              <w:spacing w:line="276" w:lineRule="auto"/>
              <w:jc w:val="both"/>
              <w:rPr>
                <w:rFonts w:ascii="Arial" w:hAnsi="Arial" w:cs="Arial"/>
                <w:sz w:val="20"/>
                <w:szCs w:val="20"/>
              </w:rPr>
            </w:pPr>
            <w:r w:rsidRPr="00EF550D">
              <w:rPr>
                <w:rFonts w:ascii="Arial" w:hAnsi="Arial" w:cs="Arial"/>
                <w:sz w:val="20"/>
                <w:szCs w:val="20"/>
              </w:rPr>
              <w:t>100</w:t>
            </w:r>
          </w:p>
        </w:tc>
      </w:tr>
    </w:tbl>
    <w:p w:rsidR="00EA1B60" w:rsidRPr="00576994" w:rsidRDefault="00EA1B60" w:rsidP="00666D07">
      <w:pPr>
        <w:spacing w:after="0"/>
        <w:jc w:val="both"/>
        <w:rPr>
          <w:rFonts w:ascii="Arial" w:hAnsi="Arial" w:cs="Arial"/>
          <w:sz w:val="16"/>
          <w:szCs w:val="16"/>
        </w:rPr>
      </w:pPr>
      <w:r>
        <w:rPr>
          <w:rFonts w:ascii="Arial" w:hAnsi="Arial" w:cs="Arial"/>
          <w:sz w:val="16"/>
          <w:szCs w:val="16"/>
        </w:rPr>
        <w:tab/>
        <w:t xml:space="preserve">   </w:t>
      </w:r>
      <w:r w:rsidRPr="00576994">
        <w:rPr>
          <w:rFonts w:ascii="Arial" w:hAnsi="Arial" w:cs="Arial"/>
          <w:sz w:val="16"/>
          <w:szCs w:val="16"/>
        </w:rPr>
        <w:t xml:space="preserve">Fuente: </w:t>
      </w:r>
      <w:r>
        <w:rPr>
          <w:rFonts w:ascii="Arial" w:hAnsi="Arial" w:cs="Arial"/>
          <w:sz w:val="16"/>
          <w:szCs w:val="16"/>
        </w:rPr>
        <w:t>Expedientes,</w:t>
      </w:r>
      <w:r w:rsidRPr="00576994">
        <w:rPr>
          <w:rFonts w:ascii="Arial" w:hAnsi="Arial" w:cs="Arial"/>
          <w:sz w:val="16"/>
          <w:szCs w:val="16"/>
        </w:rPr>
        <w:t xml:space="preserve"> Hospital General de Mexicali.</w:t>
      </w:r>
    </w:p>
    <w:p w:rsidR="00D70C85" w:rsidRDefault="00D70C85" w:rsidP="00666D07">
      <w:pPr>
        <w:autoSpaceDE w:val="0"/>
        <w:autoSpaceDN w:val="0"/>
        <w:adjustRightInd w:val="0"/>
        <w:spacing w:after="0" w:line="240" w:lineRule="auto"/>
        <w:jc w:val="both"/>
        <w:rPr>
          <w:rFonts w:ascii="Arial" w:hAnsi="Arial" w:cs="Arial"/>
          <w:sz w:val="24"/>
          <w:szCs w:val="24"/>
        </w:rPr>
      </w:pPr>
    </w:p>
    <w:p w:rsidR="00E57401" w:rsidRDefault="00E57401" w:rsidP="00666D07">
      <w:pPr>
        <w:spacing w:after="0" w:line="240" w:lineRule="auto"/>
        <w:jc w:val="both"/>
        <w:rPr>
          <w:rFonts w:ascii="Arial" w:hAnsi="Arial" w:cs="Arial"/>
          <w:sz w:val="24"/>
          <w:szCs w:val="24"/>
        </w:rPr>
      </w:pPr>
    </w:p>
    <w:p w:rsidR="00BB7DD5" w:rsidRPr="0069230C" w:rsidRDefault="008D56E6" w:rsidP="00666D07">
      <w:pPr>
        <w:spacing w:after="0" w:line="240" w:lineRule="auto"/>
        <w:jc w:val="both"/>
        <w:rPr>
          <w:rFonts w:ascii="Times New Roman" w:hAnsi="Times New Roman" w:cs="Times New Roman"/>
          <w:sz w:val="24"/>
          <w:szCs w:val="24"/>
        </w:rPr>
      </w:pPr>
      <w:r w:rsidRPr="0069230C">
        <w:rPr>
          <w:rFonts w:ascii="Times New Roman" w:hAnsi="Times New Roman" w:cs="Times New Roman"/>
          <w:sz w:val="24"/>
          <w:szCs w:val="24"/>
        </w:rPr>
        <w:t>Se administró</w:t>
      </w:r>
      <w:r w:rsidR="00971E15" w:rsidRPr="0069230C">
        <w:rPr>
          <w:rFonts w:ascii="Times New Roman" w:hAnsi="Times New Roman" w:cs="Times New Roman"/>
          <w:sz w:val="24"/>
          <w:szCs w:val="24"/>
        </w:rPr>
        <w:t xml:space="preserve"> </w:t>
      </w:r>
      <w:r w:rsidRPr="0069230C">
        <w:rPr>
          <w:rFonts w:ascii="Times New Roman" w:hAnsi="Times New Roman" w:cs="Times New Roman"/>
          <w:sz w:val="24"/>
          <w:szCs w:val="24"/>
        </w:rPr>
        <w:t>dieta enteral</w:t>
      </w:r>
      <w:r w:rsidR="00B431C8" w:rsidRPr="0069230C">
        <w:rPr>
          <w:rFonts w:ascii="Times New Roman" w:hAnsi="Times New Roman" w:cs="Times New Roman"/>
          <w:sz w:val="24"/>
          <w:szCs w:val="24"/>
        </w:rPr>
        <w:t xml:space="preserve"> </w:t>
      </w:r>
      <w:r w:rsidR="00E014A9" w:rsidRPr="0069230C">
        <w:rPr>
          <w:rFonts w:ascii="Times New Roman" w:hAnsi="Times New Roman" w:cs="Times New Roman"/>
          <w:sz w:val="24"/>
          <w:szCs w:val="24"/>
        </w:rPr>
        <w:t>a</w:t>
      </w:r>
      <w:r w:rsidR="00784296" w:rsidRPr="0069230C">
        <w:rPr>
          <w:rFonts w:ascii="Times New Roman" w:hAnsi="Times New Roman" w:cs="Times New Roman"/>
          <w:sz w:val="24"/>
          <w:szCs w:val="24"/>
        </w:rPr>
        <w:t>l</w:t>
      </w:r>
      <w:r w:rsidR="00E014A9" w:rsidRPr="0069230C">
        <w:rPr>
          <w:rFonts w:ascii="Times New Roman" w:hAnsi="Times New Roman" w:cs="Times New Roman"/>
          <w:sz w:val="24"/>
          <w:szCs w:val="24"/>
        </w:rPr>
        <w:t xml:space="preserve"> </w:t>
      </w:r>
      <w:r w:rsidR="00784296" w:rsidRPr="0069230C">
        <w:rPr>
          <w:rFonts w:ascii="Times New Roman" w:hAnsi="Times New Roman" w:cs="Times New Roman"/>
          <w:sz w:val="24"/>
          <w:szCs w:val="24"/>
        </w:rPr>
        <w:t>86.6</w:t>
      </w:r>
      <w:r w:rsidR="000F26F1" w:rsidRPr="0069230C">
        <w:rPr>
          <w:rFonts w:ascii="Times New Roman" w:hAnsi="Times New Roman" w:cs="Times New Roman"/>
          <w:sz w:val="24"/>
          <w:szCs w:val="24"/>
        </w:rPr>
        <w:t xml:space="preserve"> </w:t>
      </w:r>
      <w:r w:rsidR="00784296" w:rsidRPr="0069230C">
        <w:rPr>
          <w:rFonts w:ascii="Times New Roman" w:hAnsi="Times New Roman" w:cs="Times New Roman"/>
          <w:sz w:val="24"/>
          <w:szCs w:val="24"/>
        </w:rPr>
        <w:t xml:space="preserve">% (26 </w:t>
      </w:r>
      <w:r w:rsidR="00E014A9" w:rsidRPr="0069230C">
        <w:rPr>
          <w:rFonts w:ascii="Times New Roman" w:hAnsi="Times New Roman" w:cs="Times New Roman"/>
          <w:sz w:val="24"/>
          <w:szCs w:val="24"/>
        </w:rPr>
        <w:t>pacientes</w:t>
      </w:r>
      <w:r w:rsidR="00784296" w:rsidRPr="0069230C">
        <w:rPr>
          <w:rFonts w:ascii="Times New Roman" w:hAnsi="Times New Roman" w:cs="Times New Roman"/>
          <w:sz w:val="24"/>
          <w:szCs w:val="24"/>
        </w:rPr>
        <w:t>)</w:t>
      </w:r>
      <w:r w:rsidR="00B431C8" w:rsidRPr="0069230C">
        <w:rPr>
          <w:rFonts w:ascii="Times New Roman" w:hAnsi="Times New Roman" w:cs="Times New Roman"/>
          <w:sz w:val="24"/>
          <w:szCs w:val="24"/>
        </w:rPr>
        <w:t>;</w:t>
      </w:r>
      <w:r w:rsidR="00E014A9" w:rsidRPr="0069230C">
        <w:rPr>
          <w:rFonts w:ascii="Times New Roman" w:hAnsi="Times New Roman" w:cs="Times New Roman"/>
          <w:sz w:val="24"/>
          <w:szCs w:val="24"/>
        </w:rPr>
        <w:t xml:space="preserve"> </w:t>
      </w:r>
      <w:r w:rsidR="00FE4778" w:rsidRPr="0069230C">
        <w:rPr>
          <w:rFonts w:ascii="Times New Roman" w:hAnsi="Times New Roman" w:cs="Times New Roman"/>
          <w:sz w:val="24"/>
          <w:szCs w:val="24"/>
        </w:rPr>
        <w:t xml:space="preserve">a </w:t>
      </w:r>
      <w:r w:rsidR="00986B81" w:rsidRPr="0069230C">
        <w:rPr>
          <w:rFonts w:ascii="Times New Roman" w:hAnsi="Times New Roman" w:cs="Times New Roman"/>
          <w:sz w:val="24"/>
          <w:szCs w:val="24"/>
        </w:rPr>
        <w:t>1</w:t>
      </w:r>
      <w:r w:rsidR="008C6405" w:rsidRPr="0069230C">
        <w:rPr>
          <w:rFonts w:ascii="Times New Roman" w:hAnsi="Times New Roman" w:cs="Times New Roman"/>
          <w:sz w:val="24"/>
          <w:szCs w:val="24"/>
        </w:rPr>
        <w:t>0.0</w:t>
      </w:r>
      <w:r w:rsidR="000F26F1" w:rsidRPr="0069230C">
        <w:rPr>
          <w:rFonts w:ascii="Times New Roman" w:hAnsi="Times New Roman" w:cs="Times New Roman"/>
          <w:sz w:val="24"/>
          <w:szCs w:val="24"/>
        </w:rPr>
        <w:t xml:space="preserve"> </w:t>
      </w:r>
      <w:r w:rsidR="00986B81" w:rsidRPr="0069230C">
        <w:rPr>
          <w:rFonts w:ascii="Times New Roman" w:hAnsi="Times New Roman" w:cs="Times New Roman"/>
          <w:sz w:val="24"/>
          <w:szCs w:val="24"/>
        </w:rPr>
        <w:t>% (</w:t>
      </w:r>
      <w:r w:rsidR="008C6405" w:rsidRPr="0069230C">
        <w:rPr>
          <w:rFonts w:ascii="Times New Roman" w:hAnsi="Times New Roman" w:cs="Times New Roman"/>
          <w:sz w:val="24"/>
          <w:szCs w:val="24"/>
        </w:rPr>
        <w:t>3</w:t>
      </w:r>
      <w:r w:rsidR="00986B81" w:rsidRPr="0069230C">
        <w:rPr>
          <w:rFonts w:ascii="Times New Roman" w:hAnsi="Times New Roman" w:cs="Times New Roman"/>
          <w:sz w:val="24"/>
          <w:szCs w:val="24"/>
        </w:rPr>
        <w:t>) dieta vía oral</w:t>
      </w:r>
      <w:r w:rsidR="008C6405" w:rsidRPr="0069230C">
        <w:rPr>
          <w:rFonts w:ascii="Times New Roman" w:hAnsi="Times New Roman" w:cs="Times New Roman"/>
          <w:sz w:val="24"/>
          <w:szCs w:val="24"/>
        </w:rPr>
        <w:t xml:space="preserve"> y 2.3</w:t>
      </w:r>
      <w:r w:rsidR="000F26F1" w:rsidRPr="0069230C">
        <w:rPr>
          <w:rFonts w:ascii="Times New Roman" w:hAnsi="Times New Roman" w:cs="Times New Roman"/>
          <w:sz w:val="24"/>
          <w:szCs w:val="24"/>
        </w:rPr>
        <w:t xml:space="preserve"> </w:t>
      </w:r>
      <w:r w:rsidR="008C6405" w:rsidRPr="0069230C">
        <w:rPr>
          <w:rFonts w:ascii="Times New Roman" w:hAnsi="Times New Roman" w:cs="Times New Roman"/>
          <w:sz w:val="24"/>
          <w:szCs w:val="24"/>
        </w:rPr>
        <w:t>% (1) no se le administró dieta por fallecimiento</w:t>
      </w:r>
      <w:r w:rsidR="00FE4778" w:rsidRPr="0069230C">
        <w:rPr>
          <w:rFonts w:ascii="Times New Roman" w:hAnsi="Times New Roman" w:cs="Times New Roman"/>
          <w:sz w:val="24"/>
          <w:szCs w:val="24"/>
        </w:rPr>
        <w:t xml:space="preserve">; </w:t>
      </w:r>
      <w:r w:rsidR="00BB7DD5" w:rsidRPr="0069230C">
        <w:rPr>
          <w:rFonts w:ascii="Times New Roman" w:hAnsi="Times New Roman" w:cs="Times New Roman"/>
          <w:sz w:val="24"/>
          <w:szCs w:val="24"/>
        </w:rPr>
        <w:t>al 42.3</w:t>
      </w:r>
      <w:r w:rsidR="000F26F1" w:rsidRPr="0069230C">
        <w:rPr>
          <w:rFonts w:ascii="Times New Roman" w:hAnsi="Times New Roman" w:cs="Times New Roman"/>
          <w:sz w:val="24"/>
          <w:szCs w:val="24"/>
        </w:rPr>
        <w:t xml:space="preserve"> </w:t>
      </w:r>
      <w:r w:rsidR="00BB7DD5" w:rsidRPr="0069230C">
        <w:rPr>
          <w:rFonts w:ascii="Times New Roman" w:hAnsi="Times New Roman" w:cs="Times New Roman"/>
          <w:sz w:val="24"/>
          <w:szCs w:val="24"/>
        </w:rPr>
        <w:t>% se le administr</w:t>
      </w:r>
      <w:r w:rsidR="000F26F1" w:rsidRPr="0069230C">
        <w:rPr>
          <w:rFonts w:ascii="Times New Roman" w:hAnsi="Times New Roman" w:cs="Times New Roman"/>
          <w:sz w:val="24"/>
          <w:szCs w:val="24"/>
        </w:rPr>
        <w:t>ó</w:t>
      </w:r>
      <w:r w:rsidR="00BB7DD5" w:rsidRPr="0069230C">
        <w:rPr>
          <w:rFonts w:ascii="Times New Roman" w:hAnsi="Times New Roman" w:cs="Times New Roman"/>
          <w:sz w:val="24"/>
          <w:szCs w:val="24"/>
        </w:rPr>
        <w:t xml:space="preserve"> dieta enteral dentro de las primeras 48 horas de su ingreso a la UCI (</w:t>
      </w:r>
      <w:r w:rsidR="000F26F1" w:rsidRPr="0069230C">
        <w:rPr>
          <w:rFonts w:ascii="Times New Roman" w:hAnsi="Times New Roman" w:cs="Times New Roman"/>
          <w:sz w:val="24"/>
          <w:szCs w:val="24"/>
        </w:rPr>
        <w:t>t</w:t>
      </w:r>
      <w:r w:rsidR="00BB7DD5" w:rsidRPr="0069230C">
        <w:rPr>
          <w:rFonts w:ascii="Times New Roman" w:hAnsi="Times New Roman" w:cs="Times New Roman"/>
          <w:sz w:val="24"/>
          <w:szCs w:val="24"/>
        </w:rPr>
        <w:t xml:space="preserve">abla 2). </w:t>
      </w:r>
    </w:p>
    <w:p w:rsidR="00375800" w:rsidRPr="0069230C" w:rsidRDefault="00375800" w:rsidP="00666D07">
      <w:pPr>
        <w:autoSpaceDE w:val="0"/>
        <w:autoSpaceDN w:val="0"/>
        <w:adjustRightInd w:val="0"/>
        <w:spacing w:after="0"/>
        <w:jc w:val="both"/>
        <w:rPr>
          <w:rFonts w:ascii="Times New Roman" w:hAnsi="Times New Roman" w:cs="Times New Roman"/>
          <w:sz w:val="24"/>
          <w:szCs w:val="24"/>
        </w:rPr>
      </w:pPr>
    </w:p>
    <w:p w:rsidR="00EA1B60" w:rsidRPr="0069230C" w:rsidRDefault="00986B81" w:rsidP="00666D07">
      <w:pPr>
        <w:autoSpaceDE w:val="0"/>
        <w:autoSpaceDN w:val="0"/>
        <w:adjustRightInd w:val="0"/>
        <w:spacing w:after="0"/>
        <w:jc w:val="both"/>
        <w:rPr>
          <w:rFonts w:ascii="Times New Roman" w:hAnsi="Times New Roman" w:cs="Times New Roman"/>
          <w:sz w:val="24"/>
          <w:szCs w:val="24"/>
        </w:rPr>
      </w:pPr>
      <w:r w:rsidRPr="0069230C">
        <w:rPr>
          <w:rFonts w:ascii="Times New Roman" w:hAnsi="Times New Roman" w:cs="Times New Roman"/>
          <w:sz w:val="24"/>
          <w:szCs w:val="24"/>
        </w:rPr>
        <w:t>Tabla 2</w:t>
      </w:r>
      <w:r w:rsidR="00EA1B60" w:rsidRPr="0069230C">
        <w:rPr>
          <w:rFonts w:ascii="Times New Roman" w:hAnsi="Times New Roman" w:cs="Times New Roman"/>
          <w:sz w:val="24"/>
          <w:szCs w:val="24"/>
        </w:rPr>
        <w:t>. Dis</w:t>
      </w:r>
      <w:r w:rsidR="006653D6" w:rsidRPr="0069230C">
        <w:rPr>
          <w:rFonts w:ascii="Times New Roman" w:hAnsi="Times New Roman" w:cs="Times New Roman"/>
          <w:sz w:val="24"/>
          <w:szCs w:val="24"/>
        </w:rPr>
        <w:t xml:space="preserve">tribución de casos según tiempo </w:t>
      </w:r>
      <w:r w:rsidR="00EA1B60" w:rsidRPr="0069230C">
        <w:rPr>
          <w:rFonts w:ascii="Times New Roman" w:hAnsi="Times New Roman" w:cs="Times New Roman"/>
          <w:sz w:val="24"/>
          <w:szCs w:val="24"/>
        </w:rPr>
        <w:t>de inicio de dieta enteral, en los pacientes con TCE en la UCI del Hospital General de Mexicali.</w:t>
      </w:r>
    </w:p>
    <w:p w:rsidR="00EA1B60" w:rsidRDefault="00EA1B60" w:rsidP="00666D07">
      <w:pPr>
        <w:spacing w:after="0"/>
        <w:jc w:val="both"/>
        <w:rPr>
          <w:rFonts w:ascii="Times New Roman" w:hAnsi="Times New Roman" w:cs="Times New Roman"/>
          <w:sz w:val="24"/>
          <w:szCs w:val="24"/>
        </w:rPr>
      </w:pPr>
      <w:r w:rsidRPr="0069230C">
        <w:rPr>
          <w:rFonts w:ascii="Times New Roman" w:hAnsi="Times New Roman" w:cs="Times New Roman"/>
          <w:sz w:val="24"/>
          <w:szCs w:val="24"/>
        </w:rPr>
        <w:t>n=26</w:t>
      </w:r>
    </w:p>
    <w:p w:rsidR="006C5CA0" w:rsidRDefault="006C5CA0" w:rsidP="00666D07">
      <w:pPr>
        <w:spacing w:after="0"/>
        <w:jc w:val="both"/>
        <w:rPr>
          <w:rFonts w:ascii="Times New Roman" w:hAnsi="Times New Roman" w:cs="Times New Roman"/>
          <w:sz w:val="24"/>
          <w:szCs w:val="24"/>
        </w:rPr>
      </w:pPr>
    </w:p>
    <w:p w:rsidR="006C5CA0" w:rsidRPr="0069230C" w:rsidRDefault="006C5CA0" w:rsidP="00666D07">
      <w:pPr>
        <w:spacing w:after="0"/>
        <w:jc w:val="both"/>
        <w:rPr>
          <w:rFonts w:ascii="Times New Roman" w:hAnsi="Times New Roman" w:cs="Times New Roman"/>
          <w:sz w:val="24"/>
          <w:szCs w:val="24"/>
        </w:rPr>
      </w:pPr>
    </w:p>
    <w:tbl>
      <w:tblPr>
        <w:tblStyle w:val="Tablaconcuadrcula"/>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2430"/>
        <w:gridCol w:w="2160"/>
      </w:tblGrid>
      <w:tr w:rsidR="00EA1B60" w:rsidRPr="00047165" w:rsidTr="00EA1B60">
        <w:trPr>
          <w:jc w:val="center"/>
        </w:trPr>
        <w:tc>
          <w:tcPr>
            <w:tcW w:w="3060" w:type="dxa"/>
            <w:tcBorders>
              <w:top w:val="single" w:sz="4" w:space="0" w:color="auto"/>
              <w:bottom w:val="single" w:sz="4" w:space="0" w:color="auto"/>
            </w:tcBorders>
          </w:tcPr>
          <w:p w:rsidR="00EA1B60" w:rsidRPr="00047165" w:rsidRDefault="00EA1B60" w:rsidP="00666D07">
            <w:pPr>
              <w:spacing w:line="276" w:lineRule="auto"/>
              <w:jc w:val="both"/>
              <w:rPr>
                <w:rFonts w:ascii="Arial" w:hAnsi="Arial" w:cs="Arial"/>
                <w:sz w:val="20"/>
                <w:szCs w:val="20"/>
              </w:rPr>
            </w:pPr>
            <w:r>
              <w:rPr>
                <w:rFonts w:ascii="Arial" w:hAnsi="Arial" w:cs="Arial"/>
                <w:sz w:val="20"/>
                <w:szCs w:val="20"/>
              </w:rPr>
              <w:t>Inicio de dieta en horas</w:t>
            </w:r>
          </w:p>
        </w:tc>
        <w:tc>
          <w:tcPr>
            <w:tcW w:w="2430" w:type="dxa"/>
            <w:tcBorders>
              <w:top w:val="single" w:sz="4" w:space="0" w:color="auto"/>
              <w:bottom w:val="single" w:sz="4" w:space="0" w:color="auto"/>
            </w:tcBorders>
          </w:tcPr>
          <w:p w:rsidR="00EA1B60" w:rsidRPr="00047165" w:rsidRDefault="00EA1B60" w:rsidP="00666D07">
            <w:pPr>
              <w:spacing w:line="276" w:lineRule="auto"/>
              <w:jc w:val="both"/>
              <w:rPr>
                <w:rFonts w:ascii="Arial" w:hAnsi="Arial" w:cs="Arial"/>
                <w:sz w:val="20"/>
                <w:szCs w:val="20"/>
              </w:rPr>
            </w:pPr>
            <w:r w:rsidRPr="00047165">
              <w:rPr>
                <w:rFonts w:ascii="Arial" w:hAnsi="Arial" w:cs="Arial"/>
                <w:sz w:val="20"/>
                <w:szCs w:val="20"/>
              </w:rPr>
              <w:t>No.</w:t>
            </w:r>
          </w:p>
        </w:tc>
        <w:tc>
          <w:tcPr>
            <w:tcW w:w="2160" w:type="dxa"/>
            <w:tcBorders>
              <w:top w:val="single" w:sz="4" w:space="0" w:color="auto"/>
              <w:bottom w:val="single" w:sz="4" w:space="0" w:color="auto"/>
            </w:tcBorders>
          </w:tcPr>
          <w:p w:rsidR="00EA1B60" w:rsidRPr="00047165" w:rsidRDefault="00EA1B60" w:rsidP="00666D07">
            <w:pPr>
              <w:spacing w:line="276" w:lineRule="auto"/>
              <w:jc w:val="both"/>
              <w:rPr>
                <w:rFonts w:ascii="Arial" w:hAnsi="Arial" w:cs="Arial"/>
                <w:sz w:val="20"/>
                <w:szCs w:val="20"/>
              </w:rPr>
            </w:pPr>
            <w:r w:rsidRPr="00047165">
              <w:rPr>
                <w:rFonts w:ascii="Arial" w:hAnsi="Arial" w:cs="Arial"/>
                <w:sz w:val="20"/>
                <w:szCs w:val="20"/>
              </w:rPr>
              <w:t>%</w:t>
            </w:r>
          </w:p>
        </w:tc>
      </w:tr>
      <w:tr w:rsidR="00EA1B60" w:rsidRPr="00047165" w:rsidTr="00EA1B60">
        <w:trPr>
          <w:jc w:val="center"/>
        </w:trPr>
        <w:tc>
          <w:tcPr>
            <w:tcW w:w="3060" w:type="dxa"/>
            <w:tcBorders>
              <w:top w:val="single" w:sz="4" w:space="0" w:color="auto"/>
            </w:tcBorders>
          </w:tcPr>
          <w:p w:rsidR="00EA1B60" w:rsidRPr="00047165" w:rsidRDefault="00EA1B60" w:rsidP="00666D07">
            <w:pPr>
              <w:spacing w:line="276" w:lineRule="auto"/>
              <w:jc w:val="both"/>
              <w:rPr>
                <w:rFonts w:ascii="Arial" w:hAnsi="Arial" w:cs="Arial"/>
                <w:sz w:val="20"/>
                <w:szCs w:val="20"/>
              </w:rPr>
            </w:pPr>
            <w:r>
              <w:rPr>
                <w:rFonts w:ascii="Arial" w:hAnsi="Arial" w:cs="Arial"/>
                <w:sz w:val="20"/>
                <w:szCs w:val="20"/>
              </w:rPr>
              <w:t>24</w:t>
            </w:r>
          </w:p>
        </w:tc>
        <w:tc>
          <w:tcPr>
            <w:tcW w:w="2430" w:type="dxa"/>
            <w:tcBorders>
              <w:top w:val="single" w:sz="4" w:space="0" w:color="auto"/>
            </w:tcBorders>
          </w:tcPr>
          <w:p w:rsidR="00EA1B60" w:rsidRPr="00047165" w:rsidRDefault="00EA1B60" w:rsidP="00666D07">
            <w:pPr>
              <w:spacing w:line="276" w:lineRule="auto"/>
              <w:jc w:val="both"/>
              <w:rPr>
                <w:rFonts w:ascii="Arial" w:hAnsi="Arial" w:cs="Arial"/>
                <w:sz w:val="20"/>
                <w:szCs w:val="20"/>
              </w:rPr>
            </w:pPr>
            <w:r>
              <w:rPr>
                <w:rFonts w:ascii="Arial" w:hAnsi="Arial" w:cs="Arial"/>
                <w:sz w:val="20"/>
                <w:szCs w:val="20"/>
              </w:rPr>
              <w:t>6</w:t>
            </w:r>
          </w:p>
        </w:tc>
        <w:tc>
          <w:tcPr>
            <w:tcW w:w="2160" w:type="dxa"/>
            <w:tcBorders>
              <w:top w:val="single" w:sz="4" w:space="0" w:color="auto"/>
            </w:tcBorders>
          </w:tcPr>
          <w:p w:rsidR="00EA1B60" w:rsidRPr="00047165" w:rsidRDefault="00EA1B60" w:rsidP="00666D07">
            <w:pPr>
              <w:spacing w:line="276" w:lineRule="auto"/>
              <w:jc w:val="both"/>
              <w:rPr>
                <w:rFonts w:ascii="Arial" w:hAnsi="Arial" w:cs="Arial"/>
                <w:sz w:val="20"/>
                <w:szCs w:val="20"/>
              </w:rPr>
            </w:pPr>
            <w:r>
              <w:rPr>
                <w:rFonts w:ascii="Arial" w:hAnsi="Arial" w:cs="Arial"/>
                <w:sz w:val="20"/>
                <w:szCs w:val="20"/>
              </w:rPr>
              <w:t>23.0</w:t>
            </w:r>
            <w:r w:rsidR="00BB7DD5">
              <w:rPr>
                <w:rFonts w:ascii="Arial" w:hAnsi="Arial" w:cs="Arial"/>
                <w:sz w:val="20"/>
                <w:szCs w:val="20"/>
              </w:rPr>
              <w:t>7</w:t>
            </w:r>
          </w:p>
        </w:tc>
      </w:tr>
      <w:tr w:rsidR="00EA1B60" w:rsidRPr="00047165" w:rsidTr="00EA1B60">
        <w:trPr>
          <w:jc w:val="center"/>
        </w:trPr>
        <w:tc>
          <w:tcPr>
            <w:tcW w:w="3060" w:type="dxa"/>
          </w:tcPr>
          <w:p w:rsidR="00EA1B60" w:rsidRPr="00047165" w:rsidRDefault="00EA1B60" w:rsidP="00666D07">
            <w:pPr>
              <w:spacing w:line="276" w:lineRule="auto"/>
              <w:jc w:val="both"/>
              <w:rPr>
                <w:rFonts w:ascii="Arial" w:hAnsi="Arial" w:cs="Arial"/>
                <w:sz w:val="20"/>
                <w:szCs w:val="20"/>
              </w:rPr>
            </w:pPr>
            <w:r>
              <w:rPr>
                <w:rFonts w:ascii="Arial" w:hAnsi="Arial" w:cs="Arial"/>
                <w:sz w:val="20"/>
                <w:szCs w:val="20"/>
              </w:rPr>
              <w:t>48</w:t>
            </w:r>
          </w:p>
        </w:tc>
        <w:tc>
          <w:tcPr>
            <w:tcW w:w="2430" w:type="dxa"/>
          </w:tcPr>
          <w:p w:rsidR="00EA1B60" w:rsidRPr="00047165" w:rsidRDefault="00EA1B60" w:rsidP="00666D07">
            <w:pPr>
              <w:spacing w:line="276" w:lineRule="auto"/>
              <w:jc w:val="both"/>
              <w:rPr>
                <w:rFonts w:ascii="Arial" w:hAnsi="Arial" w:cs="Arial"/>
                <w:sz w:val="20"/>
                <w:szCs w:val="20"/>
              </w:rPr>
            </w:pPr>
            <w:r>
              <w:rPr>
                <w:rFonts w:ascii="Arial" w:hAnsi="Arial" w:cs="Arial"/>
                <w:sz w:val="20"/>
                <w:szCs w:val="20"/>
              </w:rPr>
              <w:t>5</w:t>
            </w:r>
          </w:p>
        </w:tc>
        <w:tc>
          <w:tcPr>
            <w:tcW w:w="2160" w:type="dxa"/>
          </w:tcPr>
          <w:p w:rsidR="00EA1B60" w:rsidRPr="00047165" w:rsidRDefault="00EA1B60" w:rsidP="00666D07">
            <w:pPr>
              <w:spacing w:line="276" w:lineRule="auto"/>
              <w:jc w:val="both"/>
              <w:rPr>
                <w:rFonts w:ascii="Arial" w:hAnsi="Arial" w:cs="Arial"/>
                <w:sz w:val="20"/>
                <w:szCs w:val="20"/>
              </w:rPr>
            </w:pPr>
            <w:r>
              <w:rPr>
                <w:rFonts w:ascii="Arial" w:hAnsi="Arial" w:cs="Arial"/>
                <w:sz w:val="20"/>
                <w:szCs w:val="20"/>
              </w:rPr>
              <w:t>19.2</w:t>
            </w:r>
            <w:r w:rsidR="00BB7DD5">
              <w:rPr>
                <w:rFonts w:ascii="Arial" w:hAnsi="Arial" w:cs="Arial"/>
                <w:sz w:val="20"/>
                <w:szCs w:val="20"/>
              </w:rPr>
              <w:t>3</w:t>
            </w:r>
          </w:p>
        </w:tc>
      </w:tr>
      <w:tr w:rsidR="00EA1B60" w:rsidRPr="00047165" w:rsidTr="00EA1B60">
        <w:trPr>
          <w:jc w:val="center"/>
        </w:trPr>
        <w:tc>
          <w:tcPr>
            <w:tcW w:w="3060" w:type="dxa"/>
          </w:tcPr>
          <w:p w:rsidR="00EA1B60" w:rsidRPr="00047165" w:rsidRDefault="00EA1B60" w:rsidP="00666D07">
            <w:pPr>
              <w:spacing w:line="276" w:lineRule="auto"/>
              <w:jc w:val="both"/>
              <w:rPr>
                <w:rFonts w:ascii="Arial" w:hAnsi="Arial" w:cs="Arial"/>
                <w:sz w:val="20"/>
                <w:szCs w:val="20"/>
              </w:rPr>
            </w:pPr>
            <w:r>
              <w:rPr>
                <w:rFonts w:ascii="Arial" w:hAnsi="Arial" w:cs="Arial"/>
                <w:sz w:val="20"/>
                <w:szCs w:val="20"/>
              </w:rPr>
              <w:t>72</w:t>
            </w:r>
          </w:p>
        </w:tc>
        <w:tc>
          <w:tcPr>
            <w:tcW w:w="2430" w:type="dxa"/>
          </w:tcPr>
          <w:p w:rsidR="00EA1B60" w:rsidRPr="00047165" w:rsidRDefault="00EA1B60" w:rsidP="00666D07">
            <w:pPr>
              <w:spacing w:line="276" w:lineRule="auto"/>
              <w:jc w:val="both"/>
              <w:rPr>
                <w:rFonts w:ascii="Arial" w:hAnsi="Arial" w:cs="Arial"/>
                <w:sz w:val="20"/>
                <w:szCs w:val="20"/>
              </w:rPr>
            </w:pPr>
            <w:r>
              <w:rPr>
                <w:rFonts w:ascii="Arial" w:hAnsi="Arial" w:cs="Arial"/>
                <w:sz w:val="20"/>
                <w:szCs w:val="20"/>
              </w:rPr>
              <w:t>7</w:t>
            </w:r>
          </w:p>
        </w:tc>
        <w:tc>
          <w:tcPr>
            <w:tcW w:w="2160" w:type="dxa"/>
          </w:tcPr>
          <w:p w:rsidR="00EA1B60" w:rsidRPr="00047165" w:rsidRDefault="00EA1B60" w:rsidP="00666D07">
            <w:pPr>
              <w:spacing w:line="276" w:lineRule="auto"/>
              <w:jc w:val="both"/>
              <w:rPr>
                <w:rFonts w:ascii="Arial" w:hAnsi="Arial" w:cs="Arial"/>
                <w:sz w:val="20"/>
                <w:szCs w:val="20"/>
              </w:rPr>
            </w:pPr>
            <w:r>
              <w:rPr>
                <w:rFonts w:ascii="Arial" w:hAnsi="Arial" w:cs="Arial"/>
                <w:sz w:val="20"/>
                <w:szCs w:val="20"/>
              </w:rPr>
              <w:t>26.9</w:t>
            </w:r>
            <w:r w:rsidR="00BB7DD5">
              <w:rPr>
                <w:rFonts w:ascii="Arial" w:hAnsi="Arial" w:cs="Arial"/>
                <w:sz w:val="20"/>
                <w:szCs w:val="20"/>
              </w:rPr>
              <w:t>2</w:t>
            </w:r>
          </w:p>
        </w:tc>
      </w:tr>
      <w:tr w:rsidR="00EA1B60" w:rsidRPr="00047165" w:rsidTr="00EA1B60">
        <w:trPr>
          <w:jc w:val="center"/>
        </w:trPr>
        <w:tc>
          <w:tcPr>
            <w:tcW w:w="3060" w:type="dxa"/>
          </w:tcPr>
          <w:p w:rsidR="00EA1B60" w:rsidRDefault="00EA1B60" w:rsidP="00666D07">
            <w:pPr>
              <w:spacing w:line="276" w:lineRule="auto"/>
              <w:jc w:val="both"/>
              <w:rPr>
                <w:rFonts w:ascii="Arial" w:hAnsi="Arial" w:cs="Arial"/>
                <w:sz w:val="20"/>
                <w:szCs w:val="20"/>
              </w:rPr>
            </w:pPr>
            <w:r>
              <w:rPr>
                <w:rFonts w:ascii="Arial" w:hAnsi="Arial" w:cs="Arial"/>
                <w:sz w:val="20"/>
                <w:szCs w:val="20"/>
              </w:rPr>
              <w:t>76</w:t>
            </w:r>
          </w:p>
        </w:tc>
        <w:tc>
          <w:tcPr>
            <w:tcW w:w="2430" w:type="dxa"/>
          </w:tcPr>
          <w:p w:rsidR="00EA1B60" w:rsidRDefault="00EA1B60" w:rsidP="00666D07">
            <w:pPr>
              <w:spacing w:line="276" w:lineRule="auto"/>
              <w:jc w:val="both"/>
              <w:rPr>
                <w:rFonts w:ascii="Arial" w:hAnsi="Arial" w:cs="Arial"/>
                <w:sz w:val="20"/>
                <w:szCs w:val="20"/>
              </w:rPr>
            </w:pPr>
            <w:r>
              <w:rPr>
                <w:rFonts w:ascii="Arial" w:hAnsi="Arial" w:cs="Arial"/>
                <w:sz w:val="20"/>
                <w:szCs w:val="20"/>
              </w:rPr>
              <w:t>2</w:t>
            </w:r>
          </w:p>
        </w:tc>
        <w:tc>
          <w:tcPr>
            <w:tcW w:w="2160" w:type="dxa"/>
          </w:tcPr>
          <w:p w:rsidR="00EA1B60" w:rsidRPr="00047165" w:rsidRDefault="00EA1B60" w:rsidP="00666D07">
            <w:pPr>
              <w:spacing w:line="276" w:lineRule="auto"/>
              <w:jc w:val="both"/>
              <w:rPr>
                <w:rFonts w:ascii="Arial" w:hAnsi="Arial" w:cs="Arial"/>
                <w:sz w:val="20"/>
                <w:szCs w:val="20"/>
              </w:rPr>
            </w:pPr>
            <w:r>
              <w:rPr>
                <w:rFonts w:ascii="Arial" w:hAnsi="Arial" w:cs="Arial"/>
                <w:sz w:val="20"/>
                <w:szCs w:val="20"/>
              </w:rPr>
              <w:t>7.6</w:t>
            </w:r>
            <w:r w:rsidR="006653D6">
              <w:rPr>
                <w:rFonts w:ascii="Arial" w:hAnsi="Arial" w:cs="Arial"/>
                <w:sz w:val="20"/>
                <w:szCs w:val="20"/>
              </w:rPr>
              <w:t>9</w:t>
            </w:r>
          </w:p>
        </w:tc>
      </w:tr>
      <w:tr w:rsidR="00EA1B60" w:rsidRPr="00047165" w:rsidTr="00EA1B60">
        <w:trPr>
          <w:jc w:val="center"/>
        </w:trPr>
        <w:tc>
          <w:tcPr>
            <w:tcW w:w="3060" w:type="dxa"/>
          </w:tcPr>
          <w:p w:rsidR="00EA1B60" w:rsidRPr="00047165" w:rsidRDefault="00EA1B60" w:rsidP="00666D07">
            <w:pPr>
              <w:spacing w:line="276" w:lineRule="auto"/>
              <w:jc w:val="both"/>
              <w:rPr>
                <w:rFonts w:ascii="Arial" w:hAnsi="Arial" w:cs="Arial"/>
                <w:sz w:val="20"/>
                <w:szCs w:val="20"/>
              </w:rPr>
            </w:pPr>
            <w:r>
              <w:rPr>
                <w:rFonts w:ascii="Arial" w:hAnsi="Arial" w:cs="Arial"/>
                <w:sz w:val="20"/>
                <w:szCs w:val="20"/>
              </w:rPr>
              <w:t>96</w:t>
            </w:r>
          </w:p>
        </w:tc>
        <w:tc>
          <w:tcPr>
            <w:tcW w:w="2430" w:type="dxa"/>
          </w:tcPr>
          <w:p w:rsidR="00EA1B60" w:rsidRPr="00047165" w:rsidRDefault="00EA1B60" w:rsidP="00666D07">
            <w:pPr>
              <w:spacing w:line="276" w:lineRule="auto"/>
              <w:jc w:val="both"/>
              <w:rPr>
                <w:rFonts w:ascii="Arial" w:hAnsi="Arial" w:cs="Arial"/>
                <w:sz w:val="20"/>
                <w:szCs w:val="20"/>
              </w:rPr>
            </w:pPr>
            <w:r>
              <w:rPr>
                <w:rFonts w:ascii="Arial" w:hAnsi="Arial" w:cs="Arial"/>
                <w:sz w:val="20"/>
                <w:szCs w:val="20"/>
              </w:rPr>
              <w:t>3</w:t>
            </w:r>
          </w:p>
        </w:tc>
        <w:tc>
          <w:tcPr>
            <w:tcW w:w="2160" w:type="dxa"/>
          </w:tcPr>
          <w:p w:rsidR="00EA1B60" w:rsidRPr="00047165" w:rsidRDefault="00EA1B60" w:rsidP="00666D07">
            <w:pPr>
              <w:spacing w:line="276" w:lineRule="auto"/>
              <w:jc w:val="both"/>
              <w:rPr>
                <w:rFonts w:ascii="Arial" w:hAnsi="Arial" w:cs="Arial"/>
                <w:sz w:val="20"/>
                <w:szCs w:val="20"/>
              </w:rPr>
            </w:pPr>
            <w:r>
              <w:rPr>
                <w:rFonts w:ascii="Arial" w:hAnsi="Arial" w:cs="Arial"/>
                <w:sz w:val="20"/>
                <w:szCs w:val="20"/>
              </w:rPr>
              <w:t>11.5</w:t>
            </w:r>
            <w:r w:rsidR="006653D6">
              <w:rPr>
                <w:rFonts w:ascii="Arial" w:hAnsi="Arial" w:cs="Arial"/>
                <w:sz w:val="20"/>
                <w:szCs w:val="20"/>
              </w:rPr>
              <w:t>3</w:t>
            </w:r>
          </w:p>
        </w:tc>
      </w:tr>
      <w:tr w:rsidR="00EA1B60" w:rsidRPr="00047165" w:rsidTr="00EA1B60">
        <w:trPr>
          <w:jc w:val="center"/>
        </w:trPr>
        <w:tc>
          <w:tcPr>
            <w:tcW w:w="3060" w:type="dxa"/>
          </w:tcPr>
          <w:p w:rsidR="00EA1B60" w:rsidRPr="00047165" w:rsidRDefault="00EA1B60" w:rsidP="00666D07">
            <w:pPr>
              <w:spacing w:line="276" w:lineRule="auto"/>
              <w:jc w:val="both"/>
              <w:rPr>
                <w:rFonts w:ascii="Arial" w:hAnsi="Arial" w:cs="Arial"/>
                <w:sz w:val="20"/>
                <w:szCs w:val="20"/>
              </w:rPr>
            </w:pPr>
            <w:r>
              <w:rPr>
                <w:rFonts w:ascii="Arial" w:hAnsi="Arial" w:cs="Arial"/>
                <w:sz w:val="20"/>
                <w:szCs w:val="20"/>
              </w:rPr>
              <w:t>120</w:t>
            </w:r>
          </w:p>
        </w:tc>
        <w:tc>
          <w:tcPr>
            <w:tcW w:w="2430" w:type="dxa"/>
          </w:tcPr>
          <w:p w:rsidR="00EA1B60" w:rsidRPr="00047165" w:rsidRDefault="00EA1B60" w:rsidP="00666D07">
            <w:pPr>
              <w:spacing w:line="276" w:lineRule="auto"/>
              <w:jc w:val="both"/>
              <w:rPr>
                <w:rFonts w:ascii="Arial" w:hAnsi="Arial" w:cs="Arial"/>
                <w:sz w:val="20"/>
                <w:szCs w:val="20"/>
              </w:rPr>
            </w:pPr>
            <w:r>
              <w:rPr>
                <w:rFonts w:ascii="Arial" w:hAnsi="Arial" w:cs="Arial"/>
                <w:sz w:val="20"/>
                <w:szCs w:val="20"/>
              </w:rPr>
              <w:t>2</w:t>
            </w:r>
          </w:p>
        </w:tc>
        <w:tc>
          <w:tcPr>
            <w:tcW w:w="2160" w:type="dxa"/>
          </w:tcPr>
          <w:p w:rsidR="00EA1B60" w:rsidRPr="00047165" w:rsidRDefault="00EA1B60" w:rsidP="00666D07">
            <w:pPr>
              <w:spacing w:line="276" w:lineRule="auto"/>
              <w:jc w:val="both"/>
              <w:rPr>
                <w:rFonts w:ascii="Arial" w:hAnsi="Arial" w:cs="Arial"/>
                <w:sz w:val="20"/>
                <w:szCs w:val="20"/>
              </w:rPr>
            </w:pPr>
            <w:r>
              <w:rPr>
                <w:rFonts w:ascii="Arial" w:hAnsi="Arial" w:cs="Arial"/>
                <w:sz w:val="20"/>
                <w:szCs w:val="20"/>
              </w:rPr>
              <w:t>7.6</w:t>
            </w:r>
            <w:r w:rsidR="006653D6">
              <w:rPr>
                <w:rFonts w:ascii="Arial" w:hAnsi="Arial" w:cs="Arial"/>
                <w:sz w:val="20"/>
                <w:szCs w:val="20"/>
              </w:rPr>
              <w:t>9</w:t>
            </w:r>
          </w:p>
        </w:tc>
      </w:tr>
      <w:tr w:rsidR="00EA1B60" w:rsidRPr="00047165" w:rsidTr="00EA1B60">
        <w:trPr>
          <w:jc w:val="center"/>
        </w:trPr>
        <w:tc>
          <w:tcPr>
            <w:tcW w:w="3060" w:type="dxa"/>
          </w:tcPr>
          <w:p w:rsidR="00EA1B60" w:rsidRPr="00047165" w:rsidRDefault="00EA1B60" w:rsidP="00666D07">
            <w:pPr>
              <w:spacing w:line="276" w:lineRule="auto"/>
              <w:jc w:val="both"/>
              <w:rPr>
                <w:rFonts w:ascii="Arial" w:hAnsi="Arial" w:cs="Arial"/>
                <w:sz w:val="20"/>
                <w:szCs w:val="20"/>
              </w:rPr>
            </w:pPr>
            <w:r>
              <w:rPr>
                <w:rFonts w:ascii="Arial" w:hAnsi="Arial" w:cs="Arial"/>
                <w:sz w:val="20"/>
                <w:szCs w:val="20"/>
              </w:rPr>
              <w:t>168</w:t>
            </w:r>
          </w:p>
        </w:tc>
        <w:tc>
          <w:tcPr>
            <w:tcW w:w="2430" w:type="dxa"/>
          </w:tcPr>
          <w:p w:rsidR="00EA1B60" w:rsidRPr="00047165" w:rsidRDefault="00EA1B60" w:rsidP="00666D07">
            <w:pPr>
              <w:spacing w:line="276" w:lineRule="auto"/>
              <w:jc w:val="both"/>
              <w:rPr>
                <w:rFonts w:ascii="Arial" w:hAnsi="Arial" w:cs="Arial"/>
                <w:sz w:val="20"/>
                <w:szCs w:val="20"/>
              </w:rPr>
            </w:pPr>
            <w:r>
              <w:rPr>
                <w:rFonts w:ascii="Arial" w:hAnsi="Arial" w:cs="Arial"/>
                <w:sz w:val="20"/>
                <w:szCs w:val="20"/>
              </w:rPr>
              <w:t>1</w:t>
            </w:r>
          </w:p>
        </w:tc>
        <w:tc>
          <w:tcPr>
            <w:tcW w:w="2160" w:type="dxa"/>
          </w:tcPr>
          <w:p w:rsidR="00EA1B60" w:rsidRPr="00047165" w:rsidRDefault="00EA1B60" w:rsidP="00666D07">
            <w:pPr>
              <w:spacing w:line="276" w:lineRule="auto"/>
              <w:jc w:val="both"/>
              <w:rPr>
                <w:rFonts w:ascii="Arial" w:hAnsi="Arial" w:cs="Arial"/>
                <w:sz w:val="20"/>
                <w:szCs w:val="20"/>
              </w:rPr>
            </w:pPr>
            <w:r>
              <w:rPr>
                <w:rFonts w:ascii="Arial" w:hAnsi="Arial" w:cs="Arial"/>
                <w:sz w:val="20"/>
                <w:szCs w:val="20"/>
              </w:rPr>
              <w:t>3.8</w:t>
            </w:r>
            <w:r w:rsidR="006653D6">
              <w:rPr>
                <w:rFonts w:ascii="Arial" w:hAnsi="Arial" w:cs="Arial"/>
                <w:sz w:val="20"/>
                <w:szCs w:val="20"/>
              </w:rPr>
              <w:t>4</w:t>
            </w:r>
          </w:p>
        </w:tc>
      </w:tr>
      <w:tr w:rsidR="00EA1B60" w:rsidRPr="00047165" w:rsidTr="00EA1B60">
        <w:trPr>
          <w:jc w:val="center"/>
        </w:trPr>
        <w:tc>
          <w:tcPr>
            <w:tcW w:w="3060" w:type="dxa"/>
          </w:tcPr>
          <w:p w:rsidR="00EA1B60" w:rsidRDefault="00EA1B60" w:rsidP="00666D07">
            <w:pPr>
              <w:spacing w:line="276" w:lineRule="auto"/>
              <w:jc w:val="both"/>
              <w:rPr>
                <w:rFonts w:ascii="Arial" w:hAnsi="Arial" w:cs="Arial"/>
                <w:sz w:val="20"/>
                <w:szCs w:val="20"/>
              </w:rPr>
            </w:pPr>
            <w:r>
              <w:rPr>
                <w:rFonts w:ascii="Arial" w:hAnsi="Arial" w:cs="Arial"/>
                <w:sz w:val="20"/>
                <w:szCs w:val="20"/>
              </w:rPr>
              <w:t>Total</w:t>
            </w:r>
          </w:p>
        </w:tc>
        <w:tc>
          <w:tcPr>
            <w:tcW w:w="2430" w:type="dxa"/>
          </w:tcPr>
          <w:p w:rsidR="00EA1B60" w:rsidRDefault="00EA1B60" w:rsidP="00666D07">
            <w:pPr>
              <w:spacing w:line="276" w:lineRule="auto"/>
              <w:jc w:val="both"/>
              <w:rPr>
                <w:rFonts w:ascii="Arial" w:hAnsi="Arial" w:cs="Arial"/>
                <w:sz w:val="20"/>
                <w:szCs w:val="20"/>
              </w:rPr>
            </w:pPr>
            <w:r>
              <w:rPr>
                <w:rFonts w:ascii="Arial" w:hAnsi="Arial" w:cs="Arial"/>
                <w:sz w:val="20"/>
                <w:szCs w:val="20"/>
              </w:rPr>
              <w:t>26</w:t>
            </w:r>
          </w:p>
        </w:tc>
        <w:tc>
          <w:tcPr>
            <w:tcW w:w="2160" w:type="dxa"/>
          </w:tcPr>
          <w:p w:rsidR="00EA1B60" w:rsidRPr="00047165" w:rsidRDefault="00EA1B60" w:rsidP="00666D07">
            <w:pPr>
              <w:spacing w:line="276" w:lineRule="auto"/>
              <w:jc w:val="both"/>
              <w:rPr>
                <w:rFonts w:ascii="Arial" w:hAnsi="Arial" w:cs="Arial"/>
                <w:sz w:val="20"/>
                <w:szCs w:val="20"/>
              </w:rPr>
            </w:pPr>
            <w:r>
              <w:rPr>
                <w:rFonts w:ascii="Arial" w:hAnsi="Arial" w:cs="Arial"/>
                <w:sz w:val="20"/>
                <w:szCs w:val="20"/>
              </w:rPr>
              <w:t>100</w:t>
            </w:r>
          </w:p>
        </w:tc>
      </w:tr>
    </w:tbl>
    <w:p w:rsidR="00D70C85" w:rsidRPr="00986B81" w:rsidRDefault="00EA1B60" w:rsidP="00666D07">
      <w:pPr>
        <w:spacing w:after="0"/>
        <w:jc w:val="both"/>
        <w:rPr>
          <w:rFonts w:ascii="Arial" w:hAnsi="Arial" w:cs="Arial"/>
        </w:rPr>
      </w:pPr>
      <w:r>
        <w:rPr>
          <w:rFonts w:ascii="Arial" w:hAnsi="Arial" w:cs="Arial"/>
          <w:sz w:val="16"/>
          <w:szCs w:val="16"/>
        </w:rPr>
        <w:t xml:space="preserve">                   </w:t>
      </w:r>
      <w:r w:rsidRPr="00576994">
        <w:rPr>
          <w:rFonts w:ascii="Arial" w:hAnsi="Arial" w:cs="Arial"/>
          <w:sz w:val="16"/>
          <w:szCs w:val="16"/>
        </w:rPr>
        <w:t xml:space="preserve">Fuente: </w:t>
      </w:r>
      <w:r>
        <w:rPr>
          <w:rFonts w:ascii="Arial" w:hAnsi="Arial" w:cs="Arial"/>
          <w:sz w:val="16"/>
          <w:szCs w:val="16"/>
        </w:rPr>
        <w:t>Expedientes,</w:t>
      </w:r>
      <w:r w:rsidRPr="00576994">
        <w:rPr>
          <w:rFonts w:ascii="Arial" w:hAnsi="Arial" w:cs="Arial"/>
          <w:sz w:val="16"/>
          <w:szCs w:val="16"/>
        </w:rPr>
        <w:t xml:space="preserve"> Hospital General de Mexicali.</w:t>
      </w:r>
    </w:p>
    <w:p w:rsidR="00E57401" w:rsidRDefault="00E57401" w:rsidP="00666D07">
      <w:pPr>
        <w:spacing w:after="0" w:line="240" w:lineRule="auto"/>
        <w:jc w:val="both"/>
        <w:rPr>
          <w:rFonts w:ascii="Arial" w:hAnsi="Arial" w:cs="Arial"/>
          <w:sz w:val="24"/>
          <w:szCs w:val="24"/>
        </w:rPr>
      </w:pPr>
    </w:p>
    <w:p w:rsidR="00E57401" w:rsidRDefault="00E57401" w:rsidP="00666D07">
      <w:pPr>
        <w:spacing w:after="0" w:line="240" w:lineRule="auto"/>
        <w:jc w:val="both"/>
        <w:rPr>
          <w:rFonts w:ascii="Arial" w:hAnsi="Arial" w:cs="Arial"/>
          <w:sz w:val="24"/>
          <w:szCs w:val="24"/>
        </w:rPr>
      </w:pPr>
    </w:p>
    <w:p w:rsidR="00E014A9" w:rsidRPr="006C5CA0" w:rsidRDefault="00E014A9" w:rsidP="006C5CA0">
      <w:pPr>
        <w:spacing w:after="0" w:line="360" w:lineRule="auto"/>
        <w:jc w:val="both"/>
        <w:rPr>
          <w:rFonts w:ascii="Times New Roman" w:hAnsi="Times New Roman" w:cs="Times New Roman"/>
          <w:sz w:val="24"/>
          <w:szCs w:val="24"/>
        </w:rPr>
      </w:pPr>
      <w:r w:rsidRPr="006C5CA0">
        <w:rPr>
          <w:rFonts w:ascii="Times New Roman" w:hAnsi="Times New Roman" w:cs="Times New Roman"/>
          <w:sz w:val="24"/>
          <w:szCs w:val="24"/>
        </w:rPr>
        <w:lastRenderedPageBreak/>
        <w:t>Cabe mencionar que a</w:t>
      </w:r>
      <w:r w:rsidR="00784296" w:rsidRPr="006C5CA0">
        <w:rPr>
          <w:rFonts w:ascii="Times New Roman" w:hAnsi="Times New Roman" w:cs="Times New Roman"/>
          <w:sz w:val="24"/>
          <w:szCs w:val="24"/>
        </w:rPr>
        <w:t>l 84.6</w:t>
      </w:r>
      <w:r w:rsidR="000F26F1" w:rsidRPr="006C5CA0">
        <w:rPr>
          <w:rFonts w:ascii="Times New Roman" w:hAnsi="Times New Roman" w:cs="Times New Roman"/>
          <w:sz w:val="24"/>
          <w:szCs w:val="24"/>
        </w:rPr>
        <w:t xml:space="preserve"> </w:t>
      </w:r>
      <w:r w:rsidR="00784296" w:rsidRPr="006C5CA0">
        <w:rPr>
          <w:rFonts w:ascii="Times New Roman" w:hAnsi="Times New Roman" w:cs="Times New Roman"/>
          <w:sz w:val="24"/>
          <w:szCs w:val="24"/>
        </w:rPr>
        <w:t>% (</w:t>
      </w:r>
      <w:r w:rsidRPr="006C5CA0">
        <w:rPr>
          <w:rFonts w:ascii="Times New Roman" w:hAnsi="Times New Roman" w:cs="Times New Roman"/>
          <w:sz w:val="24"/>
          <w:szCs w:val="24"/>
        </w:rPr>
        <w:t>22</w:t>
      </w:r>
      <w:r w:rsidR="00784296" w:rsidRPr="006C5CA0">
        <w:rPr>
          <w:rFonts w:ascii="Times New Roman" w:hAnsi="Times New Roman" w:cs="Times New Roman"/>
          <w:sz w:val="24"/>
          <w:szCs w:val="24"/>
        </w:rPr>
        <w:t xml:space="preserve">) </w:t>
      </w:r>
      <w:r w:rsidRPr="006C5CA0">
        <w:rPr>
          <w:rFonts w:ascii="Times New Roman" w:hAnsi="Times New Roman" w:cs="Times New Roman"/>
          <w:sz w:val="24"/>
          <w:szCs w:val="24"/>
        </w:rPr>
        <w:t>se le administró dieta licuada</w:t>
      </w:r>
      <w:r w:rsidR="00DA1511" w:rsidRPr="006C5CA0">
        <w:rPr>
          <w:rFonts w:ascii="Times New Roman" w:hAnsi="Times New Roman" w:cs="Times New Roman"/>
          <w:sz w:val="24"/>
          <w:szCs w:val="24"/>
        </w:rPr>
        <w:t xml:space="preserve"> y colada</w:t>
      </w:r>
      <w:r w:rsidR="00B431C8" w:rsidRPr="006C5CA0">
        <w:rPr>
          <w:rFonts w:ascii="Times New Roman" w:hAnsi="Times New Roman" w:cs="Times New Roman"/>
          <w:sz w:val="24"/>
          <w:szCs w:val="24"/>
        </w:rPr>
        <w:t xml:space="preserve"> (artesanal)</w:t>
      </w:r>
      <w:r w:rsidR="00881163" w:rsidRPr="006C5CA0">
        <w:rPr>
          <w:rFonts w:ascii="Times New Roman" w:hAnsi="Times New Roman" w:cs="Times New Roman"/>
          <w:sz w:val="24"/>
          <w:szCs w:val="24"/>
        </w:rPr>
        <w:t xml:space="preserve"> por sonda </w:t>
      </w:r>
      <w:proofErr w:type="spellStart"/>
      <w:r w:rsidR="00881163" w:rsidRPr="006C5CA0">
        <w:rPr>
          <w:rFonts w:ascii="Times New Roman" w:hAnsi="Times New Roman" w:cs="Times New Roman"/>
          <w:sz w:val="24"/>
          <w:szCs w:val="24"/>
        </w:rPr>
        <w:t>orogástrica</w:t>
      </w:r>
      <w:proofErr w:type="spellEnd"/>
      <w:r w:rsidRPr="006C5CA0">
        <w:rPr>
          <w:rFonts w:ascii="Times New Roman" w:hAnsi="Times New Roman" w:cs="Times New Roman"/>
          <w:sz w:val="24"/>
          <w:szCs w:val="24"/>
        </w:rPr>
        <w:t>, solo a</w:t>
      </w:r>
      <w:r w:rsidR="00784296" w:rsidRPr="006C5CA0">
        <w:rPr>
          <w:rFonts w:ascii="Times New Roman" w:hAnsi="Times New Roman" w:cs="Times New Roman"/>
          <w:sz w:val="24"/>
          <w:szCs w:val="24"/>
        </w:rPr>
        <w:t>l 7.6</w:t>
      </w:r>
      <w:r w:rsidR="000F26F1" w:rsidRPr="006C5CA0">
        <w:rPr>
          <w:rFonts w:ascii="Times New Roman" w:hAnsi="Times New Roman" w:cs="Times New Roman"/>
          <w:sz w:val="24"/>
          <w:szCs w:val="24"/>
        </w:rPr>
        <w:t xml:space="preserve"> </w:t>
      </w:r>
      <w:r w:rsidR="00784296" w:rsidRPr="006C5CA0">
        <w:rPr>
          <w:rFonts w:ascii="Times New Roman" w:hAnsi="Times New Roman" w:cs="Times New Roman"/>
          <w:sz w:val="24"/>
          <w:szCs w:val="24"/>
        </w:rPr>
        <w:t>% (</w:t>
      </w:r>
      <w:r w:rsidRPr="006C5CA0">
        <w:rPr>
          <w:rFonts w:ascii="Times New Roman" w:hAnsi="Times New Roman" w:cs="Times New Roman"/>
          <w:sz w:val="24"/>
          <w:szCs w:val="24"/>
        </w:rPr>
        <w:t>2</w:t>
      </w:r>
      <w:r w:rsidR="00784296" w:rsidRPr="006C5CA0">
        <w:rPr>
          <w:rFonts w:ascii="Times New Roman" w:hAnsi="Times New Roman" w:cs="Times New Roman"/>
          <w:sz w:val="24"/>
          <w:szCs w:val="24"/>
        </w:rPr>
        <w:t xml:space="preserve">) </w:t>
      </w:r>
      <w:r w:rsidR="00286FC9" w:rsidRPr="006C5CA0">
        <w:rPr>
          <w:rFonts w:ascii="Times New Roman" w:hAnsi="Times New Roman" w:cs="Times New Roman"/>
          <w:sz w:val="24"/>
          <w:szCs w:val="24"/>
        </w:rPr>
        <w:t>dieta polimérica, a</w:t>
      </w:r>
      <w:r w:rsidR="00986B81" w:rsidRPr="006C5CA0">
        <w:rPr>
          <w:rFonts w:ascii="Times New Roman" w:hAnsi="Times New Roman" w:cs="Times New Roman"/>
          <w:sz w:val="24"/>
          <w:szCs w:val="24"/>
        </w:rPr>
        <w:t>l 13.4</w:t>
      </w:r>
      <w:r w:rsidR="000F26F1" w:rsidRPr="006C5CA0">
        <w:rPr>
          <w:rFonts w:ascii="Times New Roman" w:hAnsi="Times New Roman" w:cs="Times New Roman"/>
          <w:sz w:val="24"/>
          <w:szCs w:val="24"/>
        </w:rPr>
        <w:t xml:space="preserve"> </w:t>
      </w:r>
      <w:r w:rsidR="00986B81" w:rsidRPr="006C5CA0">
        <w:rPr>
          <w:rFonts w:ascii="Times New Roman" w:hAnsi="Times New Roman" w:cs="Times New Roman"/>
          <w:sz w:val="24"/>
          <w:szCs w:val="24"/>
        </w:rPr>
        <w:t xml:space="preserve">% restante, </w:t>
      </w:r>
      <w:r w:rsidR="00470445" w:rsidRPr="006C5CA0">
        <w:rPr>
          <w:rFonts w:ascii="Times New Roman" w:hAnsi="Times New Roman" w:cs="Times New Roman"/>
          <w:sz w:val="24"/>
          <w:szCs w:val="24"/>
        </w:rPr>
        <w:t xml:space="preserve">a uno </w:t>
      </w:r>
      <w:r w:rsidR="00986B81" w:rsidRPr="006C5CA0">
        <w:rPr>
          <w:rFonts w:ascii="Times New Roman" w:hAnsi="Times New Roman" w:cs="Times New Roman"/>
          <w:sz w:val="24"/>
          <w:szCs w:val="24"/>
        </w:rPr>
        <w:t xml:space="preserve">dieta líquida y </w:t>
      </w:r>
      <w:r w:rsidR="00470445" w:rsidRPr="006C5CA0">
        <w:rPr>
          <w:rFonts w:ascii="Times New Roman" w:hAnsi="Times New Roman" w:cs="Times New Roman"/>
          <w:sz w:val="24"/>
          <w:szCs w:val="24"/>
        </w:rPr>
        <w:t xml:space="preserve">a otro </w:t>
      </w:r>
      <w:r w:rsidRPr="006C5CA0">
        <w:rPr>
          <w:rFonts w:ascii="Times New Roman" w:hAnsi="Times New Roman" w:cs="Times New Roman"/>
          <w:sz w:val="24"/>
          <w:szCs w:val="24"/>
        </w:rPr>
        <w:t>dieta normal.</w:t>
      </w:r>
      <w:r w:rsidR="00DA1511" w:rsidRPr="006C5CA0">
        <w:rPr>
          <w:rFonts w:ascii="Times New Roman" w:hAnsi="Times New Roman" w:cs="Times New Roman"/>
          <w:sz w:val="24"/>
          <w:szCs w:val="24"/>
        </w:rPr>
        <w:t xml:space="preserve"> </w:t>
      </w:r>
      <w:r w:rsidR="00ED4098" w:rsidRPr="006C5CA0">
        <w:rPr>
          <w:rFonts w:ascii="Times New Roman" w:hAnsi="Times New Roman" w:cs="Times New Roman"/>
          <w:sz w:val="24"/>
          <w:szCs w:val="24"/>
        </w:rPr>
        <w:t>Es importante mencionar que</w:t>
      </w:r>
      <w:r w:rsidR="00F21231" w:rsidRPr="006C5CA0">
        <w:rPr>
          <w:rFonts w:ascii="Times New Roman" w:hAnsi="Times New Roman" w:cs="Times New Roman"/>
          <w:sz w:val="24"/>
          <w:szCs w:val="24"/>
        </w:rPr>
        <w:t xml:space="preserve"> </w:t>
      </w:r>
      <w:r w:rsidR="004C023B" w:rsidRPr="006C5CA0">
        <w:rPr>
          <w:rFonts w:ascii="Times New Roman" w:hAnsi="Times New Roman" w:cs="Times New Roman"/>
          <w:sz w:val="24"/>
          <w:szCs w:val="24"/>
        </w:rPr>
        <w:t>el aporte calórico fue estimado en 25 Kcal/Kg/día en la</w:t>
      </w:r>
      <w:r w:rsidR="002430A0" w:rsidRPr="006C5CA0">
        <w:rPr>
          <w:rFonts w:ascii="Times New Roman" w:hAnsi="Times New Roman" w:cs="Times New Roman"/>
          <w:sz w:val="24"/>
          <w:szCs w:val="24"/>
        </w:rPr>
        <w:t xml:space="preserve"> mayoría de los pacientes y</w:t>
      </w:r>
      <w:r w:rsidR="004C023B" w:rsidRPr="006C5CA0">
        <w:rPr>
          <w:rFonts w:ascii="Times New Roman" w:hAnsi="Times New Roman" w:cs="Times New Roman"/>
          <w:sz w:val="24"/>
          <w:szCs w:val="24"/>
        </w:rPr>
        <w:t xml:space="preserve"> </w:t>
      </w:r>
      <w:r w:rsidR="0035760B" w:rsidRPr="006C5CA0">
        <w:rPr>
          <w:rFonts w:ascii="Times New Roman" w:hAnsi="Times New Roman" w:cs="Times New Roman"/>
          <w:sz w:val="24"/>
          <w:szCs w:val="24"/>
        </w:rPr>
        <w:t>no</w:t>
      </w:r>
      <w:r w:rsidR="00DA1511" w:rsidRPr="006C5CA0">
        <w:rPr>
          <w:rFonts w:ascii="Times New Roman" w:hAnsi="Times New Roman" w:cs="Times New Roman"/>
          <w:sz w:val="24"/>
          <w:szCs w:val="24"/>
        </w:rPr>
        <w:t xml:space="preserve"> </w:t>
      </w:r>
      <w:r w:rsidR="004C023B" w:rsidRPr="006C5CA0">
        <w:rPr>
          <w:rFonts w:ascii="Times New Roman" w:hAnsi="Times New Roman" w:cs="Times New Roman"/>
          <w:sz w:val="24"/>
          <w:szCs w:val="24"/>
        </w:rPr>
        <w:t xml:space="preserve">se encontró </w:t>
      </w:r>
      <w:r w:rsidR="00DA1511" w:rsidRPr="006C5CA0">
        <w:rPr>
          <w:rFonts w:ascii="Times New Roman" w:hAnsi="Times New Roman" w:cs="Times New Roman"/>
          <w:sz w:val="24"/>
          <w:szCs w:val="24"/>
        </w:rPr>
        <w:t>valoración nutricion</w:t>
      </w:r>
      <w:r w:rsidR="00F21231" w:rsidRPr="006C5CA0">
        <w:rPr>
          <w:rFonts w:ascii="Times New Roman" w:hAnsi="Times New Roman" w:cs="Times New Roman"/>
          <w:sz w:val="24"/>
          <w:szCs w:val="24"/>
        </w:rPr>
        <w:t xml:space="preserve">al por el servicio de nutrición. </w:t>
      </w:r>
    </w:p>
    <w:p w:rsidR="000C5257" w:rsidRPr="006C5CA0" w:rsidRDefault="00E604FB" w:rsidP="006C5CA0">
      <w:pPr>
        <w:spacing w:after="0" w:line="360" w:lineRule="auto"/>
        <w:jc w:val="both"/>
        <w:rPr>
          <w:rFonts w:ascii="Times New Roman" w:hAnsi="Times New Roman" w:cs="Times New Roman"/>
          <w:sz w:val="24"/>
          <w:szCs w:val="24"/>
        </w:rPr>
      </w:pPr>
      <w:r w:rsidRPr="006C5CA0">
        <w:rPr>
          <w:rFonts w:ascii="Times New Roman" w:hAnsi="Times New Roman" w:cs="Times New Roman"/>
          <w:sz w:val="24"/>
          <w:szCs w:val="24"/>
        </w:rPr>
        <w:t>De los</w:t>
      </w:r>
      <w:r w:rsidR="009D481B" w:rsidRPr="006C5CA0">
        <w:rPr>
          <w:rFonts w:ascii="Times New Roman" w:hAnsi="Times New Roman" w:cs="Times New Roman"/>
          <w:sz w:val="24"/>
          <w:szCs w:val="24"/>
        </w:rPr>
        <w:t xml:space="preserve"> </w:t>
      </w:r>
      <w:r w:rsidR="0060676E" w:rsidRPr="006C5CA0">
        <w:rPr>
          <w:rFonts w:ascii="Times New Roman" w:hAnsi="Times New Roman" w:cs="Times New Roman"/>
          <w:sz w:val="24"/>
          <w:szCs w:val="24"/>
        </w:rPr>
        <w:t>30 pacientes</w:t>
      </w:r>
      <w:r w:rsidRPr="006C5CA0">
        <w:rPr>
          <w:rFonts w:ascii="Times New Roman" w:hAnsi="Times New Roman" w:cs="Times New Roman"/>
          <w:sz w:val="24"/>
          <w:szCs w:val="24"/>
        </w:rPr>
        <w:t xml:space="preserve"> estudiados</w:t>
      </w:r>
      <w:r w:rsidR="0060676E" w:rsidRPr="006C5CA0">
        <w:rPr>
          <w:rFonts w:ascii="Times New Roman" w:hAnsi="Times New Roman" w:cs="Times New Roman"/>
          <w:sz w:val="24"/>
          <w:szCs w:val="24"/>
        </w:rPr>
        <w:t>,</w:t>
      </w:r>
      <w:r w:rsidR="00784296" w:rsidRPr="006C5CA0">
        <w:rPr>
          <w:rFonts w:ascii="Times New Roman" w:hAnsi="Times New Roman" w:cs="Times New Roman"/>
          <w:sz w:val="24"/>
          <w:szCs w:val="24"/>
        </w:rPr>
        <w:t xml:space="preserve"> 80.0</w:t>
      </w:r>
      <w:r w:rsidR="000F26F1" w:rsidRPr="006C5CA0">
        <w:rPr>
          <w:rFonts w:ascii="Times New Roman" w:hAnsi="Times New Roman" w:cs="Times New Roman"/>
          <w:sz w:val="24"/>
          <w:szCs w:val="24"/>
        </w:rPr>
        <w:t xml:space="preserve"> </w:t>
      </w:r>
      <w:r w:rsidR="00784296" w:rsidRPr="006C5CA0">
        <w:rPr>
          <w:rFonts w:ascii="Times New Roman" w:hAnsi="Times New Roman" w:cs="Times New Roman"/>
          <w:sz w:val="24"/>
          <w:szCs w:val="24"/>
        </w:rPr>
        <w:t>% (</w:t>
      </w:r>
      <w:r w:rsidR="00D62719" w:rsidRPr="006C5CA0">
        <w:rPr>
          <w:rFonts w:ascii="Times New Roman" w:hAnsi="Times New Roman" w:cs="Times New Roman"/>
          <w:sz w:val="24"/>
          <w:szCs w:val="24"/>
        </w:rPr>
        <w:t>24</w:t>
      </w:r>
      <w:r w:rsidR="00784296" w:rsidRPr="006C5CA0">
        <w:rPr>
          <w:rFonts w:ascii="Times New Roman" w:hAnsi="Times New Roman" w:cs="Times New Roman"/>
          <w:sz w:val="24"/>
          <w:szCs w:val="24"/>
        </w:rPr>
        <w:t xml:space="preserve">) </w:t>
      </w:r>
      <w:r w:rsidR="00D62719" w:rsidRPr="006C5CA0">
        <w:rPr>
          <w:rFonts w:ascii="Times New Roman" w:hAnsi="Times New Roman" w:cs="Times New Roman"/>
          <w:sz w:val="24"/>
          <w:szCs w:val="24"/>
        </w:rPr>
        <w:t>present</w:t>
      </w:r>
      <w:r w:rsidR="00ED4098" w:rsidRPr="006C5CA0">
        <w:rPr>
          <w:rFonts w:ascii="Times New Roman" w:hAnsi="Times New Roman" w:cs="Times New Roman"/>
          <w:sz w:val="24"/>
          <w:szCs w:val="24"/>
        </w:rPr>
        <w:t>aron</w:t>
      </w:r>
      <w:r w:rsidR="00D62719" w:rsidRPr="006C5CA0">
        <w:rPr>
          <w:rFonts w:ascii="Times New Roman" w:hAnsi="Times New Roman" w:cs="Times New Roman"/>
          <w:sz w:val="24"/>
          <w:szCs w:val="24"/>
        </w:rPr>
        <w:t xml:space="preserve"> comp</w:t>
      </w:r>
      <w:r w:rsidR="0060676E" w:rsidRPr="006C5CA0">
        <w:rPr>
          <w:rFonts w:ascii="Times New Roman" w:hAnsi="Times New Roman" w:cs="Times New Roman"/>
          <w:sz w:val="24"/>
          <w:szCs w:val="24"/>
        </w:rPr>
        <w:t>licaciones, siendo la principal</w:t>
      </w:r>
      <w:r w:rsidR="00D62719" w:rsidRPr="006C5CA0">
        <w:rPr>
          <w:rFonts w:ascii="Times New Roman" w:hAnsi="Times New Roman" w:cs="Times New Roman"/>
          <w:sz w:val="24"/>
          <w:szCs w:val="24"/>
        </w:rPr>
        <w:t xml:space="preserve"> neumonía </w:t>
      </w:r>
      <w:r w:rsidR="0060676E" w:rsidRPr="006C5CA0">
        <w:rPr>
          <w:rFonts w:ascii="Times New Roman" w:hAnsi="Times New Roman" w:cs="Times New Roman"/>
          <w:sz w:val="24"/>
          <w:szCs w:val="24"/>
        </w:rPr>
        <w:t>en</w:t>
      </w:r>
      <w:r w:rsidR="00784296" w:rsidRPr="006C5CA0">
        <w:rPr>
          <w:rFonts w:ascii="Times New Roman" w:hAnsi="Times New Roman" w:cs="Times New Roman"/>
          <w:sz w:val="24"/>
          <w:szCs w:val="24"/>
        </w:rPr>
        <w:t xml:space="preserve"> 91.6</w:t>
      </w:r>
      <w:r w:rsidR="000F26F1" w:rsidRPr="006C5CA0">
        <w:rPr>
          <w:rFonts w:ascii="Times New Roman" w:hAnsi="Times New Roman" w:cs="Times New Roman"/>
          <w:sz w:val="24"/>
          <w:szCs w:val="24"/>
        </w:rPr>
        <w:t xml:space="preserve"> </w:t>
      </w:r>
      <w:r w:rsidR="00784296" w:rsidRPr="006C5CA0">
        <w:rPr>
          <w:rFonts w:ascii="Times New Roman" w:hAnsi="Times New Roman" w:cs="Times New Roman"/>
          <w:sz w:val="24"/>
          <w:szCs w:val="24"/>
        </w:rPr>
        <w:t>% (</w:t>
      </w:r>
      <w:r w:rsidR="00D62719" w:rsidRPr="006C5CA0">
        <w:rPr>
          <w:rFonts w:ascii="Times New Roman" w:hAnsi="Times New Roman" w:cs="Times New Roman"/>
          <w:sz w:val="24"/>
          <w:szCs w:val="24"/>
        </w:rPr>
        <w:t>22</w:t>
      </w:r>
      <w:r w:rsidR="0035760B" w:rsidRPr="006C5CA0">
        <w:rPr>
          <w:rFonts w:ascii="Times New Roman" w:hAnsi="Times New Roman" w:cs="Times New Roman"/>
          <w:sz w:val="24"/>
          <w:szCs w:val="24"/>
        </w:rPr>
        <w:t>)</w:t>
      </w:r>
      <w:r w:rsidR="00D62719" w:rsidRPr="006C5CA0">
        <w:rPr>
          <w:rFonts w:ascii="Times New Roman" w:hAnsi="Times New Roman" w:cs="Times New Roman"/>
          <w:sz w:val="24"/>
          <w:szCs w:val="24"/>
        </w:rPr>
        <w:t xml:space="preserve"> </w:t>
      </w:r>
      <w:r w:rsidR="006F19E7" w:rsidRPr="006C5CA0">
        <w:rPr>
          <w:rFonts w:ascii="Times New Roman" w:hAnsi="Times New Roman" w:cs="Times New Roman"/>
          <w:sz w:val="24"/>
          <w:szCs w:val="24"/>
        </w:rPr>
        <w:t xml:space="preserve">y </w:t>
      </w:r>
      <w:r w:rsidR="0060676E" w:rsidRPr="006C5CA0">
        <w:rPr>
          <w:rFonts w:ascii="Times New Roman" w:hAnsi="Times New Roman" w:cs="Times New Roman"/>
          <w:sz w:val="24"/>
          <w:szCs w:val="24"/>
        </w:rPr>
        <w:t>falla renal en</w:t>
      </w:r>
      <w:r w:rsidR="00784296" w:rsidRPr="006C5CA0">
        <w:rPr>
          <w:rFonts w:ascii="Times New Roman" w:hAnsi="Times New Roman" w:cs="Times New Roman"/>
          <w:sz w:val="24"/>
          <w:szCs w:val="24"/>
        </w:rPr>
        <w:t xml:space="preserve"> </w:t>
      </w:r>
      <w:r w:rsidR="00B738BD" w:rsidRPr="006C5CA0">
        <w:rPr>
          <w:rFonts w:ascii="Times New Roman" w:hAnsi="Times New Roman" w:cs="Times New Roman"/>
          <w:sz w:val="24"/>
          <w:szCs w:val="24"/>
        </w:rPr>
        <w:t>8.</w:t>
      </w:r>
      <w:r w:rsidR="00784296" w:rsidRPr="006C5CA0">
        <w:rPr>
          <w:rFonts w:ascii="Times New Roman" w:hAnsi="Times New Roman" w:cs="Times New Roman"/>
          <w:sz w:val="24"/>
          <w:szCs w:val="24"/>
        </w:rPr>
        <w:t>3</w:t>
      </w:r>
      <w:r w:rsidR="000F26F1" w:rsidRPr="006C5CA0">
        <w:rPr>
          <w:rFonts w:ascii="Times New Roman" w:hAnsi="Times New Roman" w:cs="Times New Roman"/>
          <w:sz w:val="24"/>
          <w:szCs w:val="24"/>
        </w:rPr>
        <w:t xml:space="preserve"> </w:t>
      </w:r>
      <w:r w:rsidR="00784296" w:rsidRPr="006C5CA0">
        <w:rPr>
          <w:rFonts w:ascii="Times New Roman" w:hAnsi="Times New Roman" w:cs="Times New Roman"/>
          <w:sz w:val="24"/>
          <w:szCs w:val="24"/>
        </w:rPr>
        <w:t>% (</w:t>
      </w:r>
      <w:r w:rsidR="00D62719" w:rsidRPr="006C5CA0">
        <w:rPr>
          <w:rFonts w:ascii="Times New Roman" w:hAnsi="Times New Roman" w:cs="Times New Roman"/>
          <w:sz w:val="24"/>
          <w:szCs w:val="24"/>
        </w:rPr>
        <w:t>2</w:t>
      </w:r>
      <w:r w:rsidR="00784296" w:rsidRPr="006C5CA0">
        <w:rPr>
          <w:rFonts w:ascii="Times New Roman" w:hAnsi="Times New Roman" w:cs="Times New Roman"/>
          <w:sz w:val="24"/>
          <w:szCs w:val="24"/>
        </w:rPr>
        <w:t xml:space="preserve">) de los </w:t>
      </w:r>
      <w:r w:rsidR="0060676E" w:rsidRPr="006C5CA0">
        <w:rPr>
          <w:rFonts w:ascii="Times New Roman" w:hAnsi="Times New Roman" w:cs="Times New Roman"/>
          <w:sz w:val="24"/>
          <w:szCs w:val="24"/>
        </w:rPr>
        <w:t xml:space="preserve">pacientes. </w:t>
      </w:r>
      <w:r w:rsidR="00C60198" w:rsidRPr="006C5CA0">
        <w:rPr>
          <w:rFonts w:ascii="Times New Roman" w:hAnsi="Times New Roman" w:cs="Times New Roman"/>
          <w:sz w:val="24"/>
          <w:szCs w:val="24"/>
        </w:rPr>
        <w:t xml:space="preserve">El principal signo fue </w:t>
      </w:r>
      <w:r w:rsidR="00D62719" w:rsidRPr="006C5CA0">
        <w:rPr>
          <w:rFonts w:ascii="Times New Roman" w:hAnsi="Times New Roman" w:cs="Times New Roman"/>
          <w:sz w:val="24"/>
          <w:szCs w:val="24"/>
        </w:rPr>
        <w:t>fiebre</w:t>
      </w:r>
      <w:r w:rsidR="00D04694" w:rsidRPr="006C5CA0">
        <w:rPr>
          <w:rFonts w:ascii="Times New Roman" w:hAnsi="Times New Roman" w:cs="Times New Roman"/>
          <w:sz w:val="24"/>
          <w:szCs w:val="24"/>
        </w:rPr>
        <w:t>, el</w:t>
      </w:r>
      <w:r w:rsidR="00971E15" w:rsidRPr="006C5CA0">
        <w:rPr>
          <w:rFonts w:ascii="Times New Roman" w:hAnsi="Times New Roman" w:cs="Times New Roman"/>
          <w:sz w:val="24"/>
          <w:szCs w:val="24"/>
        </w:rPr>
        <w:t xml:space="preserve"> cual se </w:t>
      </w:r>
      <w:r w:rsidR="00B431C8" w:rsidRPr="006C5CA0">
        <w:rPr>
          <w:rFonts w:ascii="Times New Roman" w:hAnsi="Times New Roman" w:cs="Times New Roman"/>
          <w:sz w:val="24"/>
          <w:szCs w:val="24"/>
        </w:rPr>
        <w:t>registró</w:t>
      </w:r>
      <w:r w:rsidR="00D62719" w:rsidRPr="006C5CA0">
        <w:rPr>
          <w:rFonts w:ascii="Times New Roman" w:hAnsi="Times New Roman" w:cs="Times New Roman"/>
          <w:sz w:val="24"/>
          <w:szCs w:val="24"/>
        </w:rPr>
        <w:t xml:space="preserve"> en </w:t>
      </w:r>
      <w:r w:rsidR="00784296" w:rsidRPr="006C5CA0">
        <w:rPr>
          <w:rFonts w:ascii="Times New Roman" w:hAnsi="Times New Roman" w:cs="Times New Roman"/>
          <w:sz w:val="24"/>
          <w:szCs w:val="24"/>
        </w:rPr>
        <w:t>37.5</w:t>
      </w:r>
      <w:r w:rsidR="000F26F1" w:rsidRPr="006C5CA0">
        <w:rPr>
          <w:rFonts w:ascii="Times New Roman" w:hAnsi="Times New Roman" w:cs="Times New Roman"/>
          <w:sz w:val="24"/>
          <w:szCs w:val="24"/>
        </w:rPr>
        <w:t xml:space="preserve"> </w:t>
      </w:r>
      <w:r w:rsidR="00784296" w:rsidRPr="006C5CA0">
        <w:rPr>
          <w:rFonts w:ascii="Times New Roman" w:hAnsi="Times New Roman" w:cs="Times New Roman"/>
          <w:sz w:val="24"/>
          <w:szCs w:val="24"/>
        </w:rPr>
        <w:t>% (</w:t>
      </w:r>
      <w:r w:rsidR="00D62719" w:rsidRPr="006C5CA0">
        <w:rPr>
          <w:rFonts w:ascii="Times New Roman" w:hAnsi="Times New Roman" w:cs="Times New Roman"/>
          <w:sz w:val="24"/>
          <w:szCs w:val="24"/>
        </w:rPr>
        <w:t>9</w:t>
      </w:r>
      <w:r w:rsidR="00784296" w:rsidRPr="006C5CA0">
        <w:rPr>
          <w:rFonts w:ascii="Times New Roman" w:hAnsi="Times New Roman" w:cs="Times New Roman"/>
          <w:sz w:val="24"/>
          <w:szCs w:val="24"/>
        </w:rPr>
        <w:t xml:space="preserve">) de los </w:t>
      </w:r>
      <w:r w:rsidR="00D62719" w:rsidRPr="006C5CA0">
        <w:rPr>
          <w:rFonts w:ascii="Times New Roman" w:hAnsi="Times New Roman" w:cs="Times New Roman"/>
          <w:sz w:val="24"/>
          <w:szCs w:val="24"/>
        </w:rPr>
        <w:t>pacientes dentro de las prim</w:t>
      </w:r>
      <w:r w:rsidR="00D04694" w:rsidRPr="006C5CA0">
        <w:rPr>
          <w:rFonts w:ascii="Times New Roman" w:hAnsi="Times New Roman" w:cs="Times New Roman"/>
          <w:sz w:val="24"/>
          <w:szCs w:val="24"/>
        </w:rPr>
        <w:t>eras 48 horas;</w:t>
      </w:r>
      <w:r w:rsidR="00D62719" w:rsidRPr="006C5CA0">
        <w:rPr>
          <w:rFonts w:ascii="Times New Roman" w:hAnsi="Times New Roman" w:cs="Times New Roman"/>
          <w:sz w:val="24"/>
          <w:szCs w:val="24"/>
        </w:rPr>
        <w:t xml:space="preserve"> en </w:t>
      </w:r>
      <w:r w:rsidR="00784296" w:rsidRPr="006C5CA0">
        <w:rPr>
          <w:rFonts w:ascii="Times New Roman" w:hAnsi="Times New Roman" w:cs="Times New Roman"/>
          <w:sz w:val="24"/>
          <w:szCs w:val="24"/>
        </w:rPr>
        <w:t>41.6</w:t>
      </w:r>
      <w:r w:rsidR="000F26F1" w:rsidRPr="006C5CA0">
        <w:rPr>
          <w:rFonts w:ascii="Times New Roman" w:hAnsi="Times New Roman" w:cs="Times New Roman"/>
          <w:sz w:val="24"/>
          <w:szCs w:val="24"/>
        </w:rPr>
        <w:t xml:space="preserve"> </w:t>
      </w:r>
      <w:r w:rsidR="00784296" w:rsidRPr="006C5CA0">
        <w:rPr>
          <w:rFonts w:ascii="Times New Roman" w:hAnsi="Times New Roman" w:cs="Times New Roman"/>
          <w:sz w:val="24"/>
          <w:szCs w:val="24"/>
        </w:rPr>
        <w:t>% (</w:t>
      </w:r>
      <w:r w:rsidR="00D62719" w:rsidRPr="006C5CA0">
        <w:rPr>
          <w:rFonts w:ascii="Times New Roman" w:hAnsi="Times New Roman" w:cs="Times New Roman"/>
          <w:sz w:val="24"/>
          <w:szCs w:val="24"/>
        </w:rPr>
        <w:t>10</w:t>
      </w:r>
      <w:r w:rsidR="00784296" w:rsidRPr="006C5CA0">
        <w:rPr>
          <w:rFonts w:ascii="Times New Roman" w:hAnsi="Times New Roman" w:cs="Times New Roman"/>
          <w:sz w:val="24"/>
          <w:szCs w:val="24"/>
        </w:rPr>
        <w:t xml:space="preserve">) </w:t>
      </w:r>
      <w:r w:rsidR="00D62719" w:rsidRPr="006C5CA0">
        <w:rPr>
          <w:rFonts w:ascii="Times New Roman" w:hAnsi="Times New Roman" w:cs="Times New Roman"/>
          <w:sz w:val="24"/>
          <w:szCs w:val="24"/>
        </w:rPr>
        <w:t xml:space="preserve">en las 72 a 96 horas y después de las 96 horas en </w:t>
      </w:r>
      <w:r w:rsidR="00784296" w:rsidRPr="006C5CA0">
        <w:rPr>
          <w:rFonts w:ascii="Times New Roman" w:hAnsi="Times New Roman" w:cs="Times New Roman"/>
          <w:sz w:val="24"/>
          <w:szCs w:val="24"/>
        </w:rPr>
        <w:t>20.8</w:t>
      </w:r>
      <w:r w:rsidR="000F26F1" w:rsidRPr="006C5CA0">
        <w:rPr>
          <w:rFonts w:ascii="Times New Roman" w:hAnsi="Times New Roman" w:cs="Times New Roman"/>
          <w:sz w:val="24"/>
          <w:szCs w:val="24"/>
        </w:rPr>
        <w:t xml:space="preserve"> </w:t>
      </w:r>
      <w:r w:rsidR="00784296" w:rsidRPr="006C5CA0">
        <w:rPr>
          <w:rFonts w:ascii="Times New Roman" w:hAnsi="Times New Roman" w:cs="Times New Roman"/>
          <w:sz w:val="24"/>
          <w:szCs w:val="24"/>
        </w:rPr>
        <w:t>% (</w:t>
      </w:r>
      <w:r w:rsidR="00D62719" w:rsidRPr="006C5CA0">
        <w:rPr>
          <w:rFonts w:ascii="Times New Roman" w:hAnsi="Times New Roman" w:cs="Times New Roman"/>
          <w:sz w:val="24"/>
          <w:szCs w:val="24"/>
        </w:rPr>
        <w:t>5</w:t>
      </w:r>
      <w:r w:rsidR="00784296" w:rsidRPr="006C5CA0">
        <w:rPr>
          <w:rFonts w:ascii="Times New Roman" w:hAnsi="Times New Roman" w:cs="Times New Roman"/>
          <w:sz w:val="24"/>
          <w:szCs w:val="24"/>
        </w:rPr>
        <w:t xml:space="preserve">) </w:t>
      </w:r>
      <w:r w:rsidR="00D04694" w:rsidRPr="006C5CA0">
        <w:rPr>
          <w:rFonts w:ascii="Times New Roman" w:hAnsi="Times New Roman" w:cs="Times New Roman"/>
          <w:sz w:val="24"/>
          <w:szCs w:val="24"/>
        </w:rPr>
        <w:t xml:space="preserve">de los </w:t>
      </w:r>
      <w:r w:rsidR="00D62719" w:rsidRPr="006C5CA0">
        <w:rPr>
          <w:rFonts w:ascii="Times New Roman" w:hAnsi="Times New Roman" w:cs="Times New Roman"/>
          <w:sz w:val="24"/>
          <w:szCs w:val="24"/>
        </w:rPr>
        <w:t>pacientes.</w:t>
      </w:r>
    </w:p>
    <w:p w:rsidR="00986B81" w:rsidRPr="006C5CA0" w:rsidRDefault="00D62719" w:rsidP="006C5CA0">
      <w:pPr>
        <w:spacing w:after="0" w:line="360" w:lineRule="auto"/>
        <w:jc w:val="both"/>
        <w:rPr>
          <w:rFonts w:ascii="Times New Roman" w:hAnsi="Times New Roman" w:cs="Times New Roman"/>
          <w:sz w:val="24"/>
          <w:szCs w:val="24"/>
        </w:rPr>
      </w:pPr>
      <w:r w:rsidRPr="006C5CA0">
        <w:rPr>
          <w:rFonts w:ascii="Times New Roman" w:hAnsi="Times New Roman" w:cs="Times New Roman"/>
          <w:sz w:val="24"/>
          <w:szCs w:val="24"/>
        </w:rPr>
        <w:t>A</w:t>
      </w:r>
      <w:r w:rsidR="00784296" w:rsidRPr="006C5CA0">
        <w:rPr>
          <w:rFonts w:ascii="Times New Roman" w:hAnsi="Times New Roman" w:cs="Times New Roman"/>
          <w:sz w:val="24"/>
          <w:szCs w:val="24"/>
        </w:rPr>
        <w:t>l</w:t>
      </w:r>
      <w:r w:rsidRPr="006C5CA0">
        <w:rPr>
          <w:rFonts w:ascii="Times New Roman" w:hAnsi="Times New Roman" w:cs="Times New Roman"/>
          <w:sz w:val="24"/>
          <w:szCs w:val="24"/>
        </w:rPr>
        <w:t xml:space="preserve"> </w:t>
      </w:r>
      <w:r w:rsidR="00784296" w:rsidRPr="006C5CA0">
        <w:rPr>
          <w:rFonts w:ascii="Times New Roman" w:hAnsi="Times New Roman" w:cs="Times New Roman"/>
          <w:sz w:val="24"/>
          <w:szCs w:val="24"/>
        </w:rPr>
        <w:t>96.7</w:t>
      </w:r>
      <w:r w:rsidR="000F26F1" w:rsidRPr="006C5CA0">
        <w:rPr>
          <w:rFonts w:ascii="Times New Roman" w:hAnsi="Times New Roman" w:cs="Times New Roman"/>
          <w:sz w:val="24"/>
          <w:szCs w:val="24"/>
        </w:rPr>
        <w:t xml:space="preserve"> </w:t>
      </w:r>
      <w:r w:rsidR="00784296" w:rsidRPr="006C5CA0">
        <w:rPr>
          <w:rFonts w:ascii="Times New Roman" w:hAnsi="Times New Roman" w:cs="Times New Roman"/>
          <w:sz w:val="24"/>
          <w:szCs w:val="24"/>
        </w:rPr>
        <w:t>% (</w:t>
      </w:r>
      <w:r w:rsidRPr="006C5CA0">
        <w:rPr>
          <w:rFonts w:ascii="Times New Roman" w:hAnsi="Times New Roman" w:cs="Times New Roman"/>
          <w:sz w:val="24"/>
          <w:szCs w:val="24"/>
        </w:rPr>
        <w:t>29</w:t>
      </w:r>
      <w:r w:rsidR="00784296" w:rsidRPr="006C5CA0">
        <w:rPr>
          <w:rFonts w:ascii="Times New Roman" w:hAnsi="Times New Roman" w:cs="Times New Roman"/>
          <w:sz w:val="24"/>
          <w:szCs w:val="24"/>
        </w:rPr>
        <w:t xml:space="preserve">) </w:t>
      </w:r>
      <w:r w:rsidRPr="006C5CA0">
        <w:rPr>
          <w:rFonts w:ascii="Times New Roman" w:hAnsi="Times New Roman" w:cs="Times New Roman"/>
          <w:sz w:val="24"/>
          <w:szCs w:val="24"/>
        </w:rPr>
        <w:t>de los pacientes se les administr</w:t>
      </w:r>
      <w:r w:rsidR="00971E15" w:rsidRPr="006C5CA0">
        <w:rPr>
          <w:rFonts w:ascii="Times New Roman" w:hAnsi="Times New Roman" w:cs="Times New Roman"/>
          <w:sz w:val="24"/>
          <w:szCs w:val="24"/>
        </w:rPr>
        <w:t>ó</w:t>
      </w:r>
      <w:r w:rsidRPr="006C5CA0">
        <w:rPr>
          <w:rFonts w:ascii="Times New Roman" w:hAnsi="Times New Roman" w:cs="Times New Roman"/>
          <w:sz w:val="24"/>
          <w:szCs w:val="24"/>
        </w:rPr>
        <w:t xml:space="preserve"> antibiótico desde su ingreso a </w:t>
      </w:r>
      <w:r w:rsidR="00B431C8" w:rsidRPr="006C5CA0">
        <w:rPr>
          <w:rFonts w:ascii="Times New Roman" w:hAnsi="Times New Roman" w:cs="Times New Roman"/>
          <w:sz w:val="24"/>
          <w:szCs w:val="24"/>
        </w:rPr>
        <w:t>la UCI</w:t>
      </w:r>
      <w:r w:rsidR="00B26429" w:rsidRPr="006C5CA0">
        <w:rPr>
          <w:rFonts w:ascii="Times New Roman" w:hAnsi="Times New Roman" w:cs="Times New Roman"/>
          <w:sz w:val="24"/>
          <w:szCs w:val="24"/>
        </w:rPr>
        <w:t>, a</w:t>
      </w:r>
      <w:r w:rsidR="00D04694" w:rsidRPr="006C5CA0">
        <w:rPr>
          <w:rFonts w:ascii="Times New Roman" w:hAnsi="Times New Roman" w:cs="Times New Roman"/>
          <w:sz w:val="24"/>
          <w:szCs w:val="24"/>
        </w:rPr>
        <w:t>sí como también</w:t>
      </w:r>
      <w:r w:rsidR="0060676E" w:rsidRPr="006C5CA0">
        <w:rPr>
          <w:rFonts w:ascii="Times New Roman" w:hAnsi="Times New Roman" w:cs="Times New Roman"/>
          <w:sz w:val="24"/>
          <w:szCs w:val="24"/>
        </w:rPr>
        <w:t xml:space="preserve"> se les aplic</w:t>
      </w:r>
      <w:r w:rsidR="00971E15" w:rsidRPr="006C5CA0">
        <w:rPr>
          <w:rFonts w:ascii="Times New Roman" w:hAnsi="Times New Roman" w:cs="Times New Roman"/>
          <w:sz w:val="24"/>
          <w:szCs w:val="24"/>
        </w:rPr>
        <w:t>ó</w:t>
      </w:r>
      <w:r w:rsidR="0060676E" w:rsidRPr="006C5CA0">
        <w:rPr>
          <w:rFonts w:ascii="Times New Roman" w:hAnsi="Times New Roman" w:cs="Times New Roman"/>
          <w:sz w:val="24"/>
          <w:szCs w:val="24"/>
        </w:rPr>
        <w:t xml:space="preserve"> cánula </w:t>
      </w:r>
      <w:proofErr w:type="spellStart"/>
      <w:r w:rsidR="0060676E" w:rsidRPr="006C5CA0">
        <w:rPr>
          <w:rFonts w:ascii="Times New Roman" w:hAnsi="Times New Roman" w:cs="Times New Roman"/>
          <w:sz w:val="24"/>
          <w:szCs w:val="24"/>
        </w:rPr>
        <w:t>endotraqueal</w:t>
      </w:r>
      <w:proofErr w:type="spellEnd"/>
      <w:r w:rsidR="0060676E" w:rsidRPr="006C5CA0">
        <w:rPr>
          <w:rFonts w:ascii="Times New Roman" w:hAnsi="Times New Roman" w:cs="Times New Roman"/>
          <w:sz w:val="24"/>
          <w:szCs w:val="24"/>
        </w:rPr>
        <w:t xml:space="preserve"> para </w:t>
      </w:r>
      <w:r w:rsidR="00881163" w:rsidRPr="006C5CA0">
        <w:rPr>
          <w:rFonts w:ascii="Times New Roman" w:hAnsi="Times New Roman" w:cs="Times New Roman"/>
          <w:sz w:val="24"/>
          <w:szCs w:val="24"/>
        </w:rPr>
        <w:t xml:space="preserve">ventilación </w:t>
      </w:r>
      <w:r w:rsidR="0060676E" w:rsidRPr="006C5CA0">
        <w:rPr>
          <w:rFonts w:ascii="Times New Roman" w:hAnsi="Times New Roman" w:cs="Times New Roman"/>
          <w:sz w:val="24"/>
          <w:szCs w:val="24"/>
        </w:rPr>
        <w:t>mecán</w:t>
      </w:r>
      <w:r w:rsidR="00102EAC" w:rsidRPr="006C5CA0">
        <w:rPr>
          <w:rFonts w:ascii="Times New Roman" w:hAnsi="Times New Roman" w:cs="Times New Roman"/>
          <w:sz w:val="24"/>
          <w:szCs w:val="24"/>
        </w:rPr>
        <w:t>ica asistida con un promedio de</w:t>
      </w:r>
      <w:r w:rsidR="0060676E" w:rsidRPr="006C5CA0">
        <w:rPr>
          <w:rFonts w:ascii="Times New Roman" w:hAnsi="Times New Roman" w:cs="Times New Roman"/>
          <w:sz w:val="24"/>
          <w:szCs w:val="24"/>
        </w:rPr>
        <w:t xml:space="preserve"> </w:t>
      </w:r>
      <w:r w:rsidR="00102EAC" w:rsidRPr="006C5CA0">
        <w:rPr>
          <w:rFonts w:ascii="Times New Roman" w:hAnsi="Times New Roman" w:cs="Times New Roman"/>
          <w:sz w:val="24"/>
          <w:szCs w:val="24"/>
        </w:rPr>
        <w:t xml:space="preserve">6 </w:t>
      </w:r>
      <w:r w:rsidR="0060676E" w:rsidRPr="006C5CA0">
        <w:rPr>
          <w:rFonts w:ascii="Times New Roman" w:hAnsi="Times New Roman" w:cs="Times New Roman"/>
          <w:sz w:val="24"/>
          <w:szCs w:val="24"/>
        </w:rPr>
        <w:t>días</w:t>
      </w:r>
      <w:r w:rsidR="009C6B26" w:rsidRPr="006C5CA0">
        <w:rPr>
          <w:rFonts w:ascii="Times New Roman" w:hAnsi="Times New Roman" w:cs="Times New Roman"/>
          <w:sz w:val="24"/>
          <w:szCs w:val="24"/>
        </w:rPr>
        <w:t xml:space="preserve">, resultando estadísticamente significativo los días de intubación </w:t>
      </w:r>
      <w:proofErr w:type="spellStart"/>
      <w:r w:rsidR="009C6B26" w:rsidRPr="006C5CA0">
        <w:rPr>
          <w:rFonts w:ascii="Times New Roman" w:hAnsi="Times New Roman" w:cs="Times New Roman"/>
          <w:sz w:val="24"/>
          <w:szCs w:val="24"/>
        </w:rPr>
        <w:t>endotraqueal</w:t>
      </w:r>
      <w:proofErr w:type="spellEnd"/>
      <w:r w:rsidR="009C6B26" w:rsidRPr="006C5CA0">
        <w:rPr>
          <w:rFonts w:ascii="Times New Roman" w:hAnsi="Times New Roman" w:cs="Times New Roman"/>
          <w:sz w:val="24"/>
          <w:szCs w:val="24"/>
        </w:rPr>
        <w:t xml:space="preserve"> y la hora de inicio de la dieta (p&lt; 0.022)</w:t>
      </w:r>
      <w:r w:rsidR="009F3E92" w:rsidRPr="006C5CA0">
        <w:rPr>
          <w:rFonts w:ascii="Times New Roman" w:hAnsi="Times New Roman" w:cs="Times New Roman"/>
          <w:sz w:val="24"/>
          <w:szCs w:val="24"/>
        </w:rPr>
        <w:t xml:space="preserve">; </w:t>
      </w:r>
      <w:r w:rsidR="00986B81" w:rsidRPr="006C5CA0">
        <w:rPr>
          <w:rFonts w:ascii="Times New Roman" w:hAnsi="Times New Roman" w:cs="Times New Roman"/>
          <w:sz w:val="24"/>
          <w:szCs w:val="24"/>
        </w:rPr>
        <w:t>(</w:t>
      </w:r>
      <w:r w:rsidR="000F26F1" w:rsidRPr="006C5CA0">
        <w:rPr>
          <w:rFonts w:ascii="Times New Roman" w:hAnsi="Times New Roman" w:cs="Times New Roman"/>
          <w:sz w:val="24"/>
          <w:szCs w:val="24"/>
        </w:rPr>
        <w:t>g</w:t>
      </w:r>
      <w:r w:rsidR="009F3E92" w:rsidRPr="006C5CA0">
        <w:rPr>
          <w:rFonts w:ascii="Times New Roman" w:hAnsi="Times New Roman" w:cs="Times New Roman"/>
          <w:sz w:val="24"/>
          <w:szCs w:val="24"/>
        </w:rPr>
        <w:t>ráfica 1</w:t>
      </w:r>
      <w:r w:rsidR="00986B81" w:rsidRPr="006C5CA0">
        <w:rPr>
          <w:rFonts w:ascii="Times New Roman" w:hAnsi="Times New Roman" w:cs="Times New Roman"/>
          <w:sz w:val="24"/>
          <w:szCs w:val="24"/>
        </w:rPr>
        <w:t>)</w:t>
      </w:r>
      <w:r w:rsidR="009F3E92" w:rsidRPr="006C5CA0">
        <w:rPr>
          <w:rFonts w:ascii="Times New Roman" w:hAnsi="Times New Roman" w:cs="Times New Roman"/>
          <w:sz w:val="24"/>
          <w:szCs w:val="24"/>
        </w:rPr>
        <w:t>.</w:t>
      </w:r>
      <w:r w:rsidR="007A36D8" w:rsidRPr="006C5CA0">
        <w:rPr>
          <w:rFonts w:ascii="Times New Roman" w:hAnsi="Times New Roman" w:cs="Times New Roman"/>
          <w:sz w:val="24"/>
          <w:szCs w:val="24"/>
        </w:rPr>
        <w:t xml:space="preserve"> </w:t>
      </w:r>
    </w:p>
    <w:p w:rsidR="00986B81" w:rsidRPr="006C5CA0" w:rsidRDefault="00986B81" w:rsidP="006C5CA0">
      <w:pPr>
        <w:autoSpaceDE w:val="0"/>
        <w:autoSpaceDN w:val="0"/>
        <w:adjustRightInd w:val="0"/>
        <w:spacing w:after="0" w:line="360" w:lineRule="auto"/>
        <w:jc w:val="both"/>
        <w:rPr>
          <w:rFonts w:ascii="Times New Roman" w:hAnsi="Times New Roman" w:cs="Times New Roman"/>
          <w:sz w:val="24"/>
          <w:szCs w:val="24"/>
        </w:rPr>
      </w:pPr>
    </w:p>
    <w:p w:rsidR="00986B81" w:rsidRPr="006C5CA0" w:rsidRDefault="00986B81" w:rsidP="006C5CA0">
      <w:pPr>
        <w:autoSpaceDE w:val="0"/>
        <w:autoSpaceDN w:val="0"/>
        <w:adjustRightInd w:val="0"/>
        <w:spacing w:after="0" w:line="360" w:lineRule="auto"/>
        <w:jc w:val="both"/>
        <w:rPr>
          <w:rFonts w:ascii="Times New Roman" w:hAnsi="Times New Roman" w:cs="Times New Roman"/>
          <w:sz w:val="24"/>
          <w:szCs w:val="24"/>
        </w:rPr>
      </w:pPr>
      <w:r w:rsidRPr="006C5CA0">
        <w:rPr>
          <w:rFonts w:ascii="Times New Roman" w:hAnsi="Times New Roman" w:cs="Times New Roman"/>
          <w:sz w:val="24"/>
          <w:szCs w:val="24"/>
        </w:rPr>
        <w:t xml:space="preserve">Gráfica 1. Hora de inicio de la dieta y días de intubación </w:t>
      </w:r>
      <w:proofErr w:type="spellStart"/>
      <w:r w:rsidRPr="006C5CA0">
        <w:rPr>
          <w:rFonts w:ascii="Times New Roman" w:hAnsi="Times New Roman" w:cs="Times New Roman"/>
          <w:sz w:val="24"/>
          <w:szCs w:val="24"/>
        </w:rPr>
        <w:t>endotraqueal</w:t>
      </w:r>
      <w:proofErr w:type="spellEnd"/>
      <w:r w:rsidRPr="006C5CA0">
        <w:rPr>
          <w:rFonts w:ascii="Times New Roman" w:hAnsi="Times New Roman" w:cs="Times New Roman"/>
          <w:sz w:val="24"/>
          <w:szCs w:val="24"/>
        </w:rPr>
        <w:t>, en los pacientes con TCE en la UCI del Hospital General de Mexicali.</w:t>
      </w:r>
    </w:p>
    <w:p w:rsidR="00986B81" w:rsidRPr="006C5CA0" w:rsidRDefault="00986B81" w:rsidP="006C5CA0">
      <w:pPr>
        <w:autoSpaceDE w:val="0"/>
        <w:autoSpaceDN w:val="0"/>
        <w:adjustRightInd w:val="0"/>
        <w:spacing w:after="0" w:line="360" w:lineRule="auto"/>
        <w:jc w:val="both"/>
        <w:rPr>
          <w:rFonts w:ascii="Times New Roman" w:hAnsi="Times New Roman" w:cs="Times New Roman"/>
          <w:sz w:val="24"/>
          <w:szCs w:val="24"/>
        </w:rPr>
      </w:pPr>
      <w:r w:rsidRPr="006C5CA0">
        <w:rPr>
          <w:rFonts w:ascii="Times New Roman" w:hAnsi="Times New Roman" w:cs="Times New Roman"/>
          <w:sz w:val="24"/>
          <w:szCs w:val="24"/>
        </w:rPr>
        <w:t>n=26</w:t>
      </w:r>
    </w:p>
    <w:p w:rsidR="00986B81" w:rsidRDefault="00986B81" w:rsidP="00666D07">
      <w:pPr>
        <w:autoSpaceDE w:val="0"/>
        <w:autoSpaceDN w:val="0"/>
        <w:adjustRightInd w:val="0"/>
        <w:spacing w:after="0" w:line="240" w:lineRule="auto"/>
        <w:jc w:val="both"/>
        <w:rPr>
          <w:rFonts w:ascii="Arial" w:hAnsi="Arial" w:cs="Arial"/>
          <w:color w:val="000000"/>
          <w:kern w:val="24"/>
          <w:sz w:val="18"/>
          <w:szCs w:val="18"/>
        </w:rPr>
      </w:pPr>
      <w:r>
        <w:rPr>
          <w:noProof/>
        </w:rPr>
        <w:drawing>
          <wp:inline distT="0" distB="0" distL="0" distR="0" wp14:anchorId="007FC30E" wp14:editId="406AA9A2">
            <wp:extent cx="4572000" cy="2743200"/>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86B81" w:rsidRPr="00664884" w:rsidRDefault="00986B81" w:rsidP="00666D07">
      <w:pPr>
        <w:autoSpaceDE w:val="0"/>
        <w:autoSpaceDN w:val="0"/>
        <w:adjustRightInd w:val="0"/>
        <w:spacing w:after="0" w:line="240" w:lineRule="auto"/>
        <w:jc w:val="both"/>
        <w:rPr>
          <w:rFonts w:ascii="Arial" w:hAnsi="Arial" w:cs="Arial"/>
          <w:color w:val="000000"/>
          <w:kern w:val="24"/>
          <w:sz w:val="18"/>
          <w:szCs w:val="18"/>
        </w:rPr>
      </w:pPr>
      <w:r>
        <w:rPr>
          <w:rFonts w:ascii="Arial" w:eastAsiaTheme="minorHAnsi" w:hAnsi="Arial" w:cs="Arial"/>
          <w:sz w:val="18"/>
          <w:szCs w:val="18"/>
          <w:lang w:eastAsia="en-US"/>
        </w:rPr>
        <w:t>Días</w:t>
      </w:r>
      <w:r w:rsidRPr="00664884">
        <w:rPr>
          <w:rFonts w:ascii="Arial" w:eastAsiaTheme="minorHAnsi" w:hAnsi="Arial" w:cs="Arial"/>
          <w:sz w:val="18"/>
          <w:szCs w:val="18"/>
          <w:lang w:eastAsia="en-US"/>
        </w:rPr>
        <w:t xml:space="preserve"> de intubación </w:t>
      </w:r>
      <w:proofErr w:type="spellStart"/>
      <w:r w:rsidRPr="00664884">
        <w:rPr>
          <w:rFonts w:ascii="Arial" w:eastAsiaTheme="minorHAnsi" w:hAnsi="Arial" w:cs="Arial"/>
          <w:sz w:val="18"/>
          <w:szCs w:val="18"/>
          <w:lang w:eastAsia="en-US"/>
        </w:rPr>
        <w:t>endotraqueal</w:t>
      </w:r>
      <w:proofErr w:type="spellEnd"/>
    </w:p>
    <w:p w:rsidR="00986B81" w:rsidRDefault="00986B81" w:rsidP="00666D07">
      <w:pPr>
        <w:spacing w:after="0" w:line="240" w:lineRule="auto"/>
        <w:jc w:val="both"/>
        <w:rPr>
          <w:rFonts w:ascii="Arial" w:hAnsi="Arial" w:cs="Arial"/>
          <w:sz w:val="24"/>
          <w:szCs w:val="24"/>
        </w:rPr>
      </w:pPr>
    </w:p>
    <w:p w:rsidR="00986B81" w:rsidRDefault="00986B81" w:rsidP="00666D07">
      <w:pPr>
        <w:spacing w:after="0" w:line="240" w:lineRule="auto"/>
        <w:jc w:val="both"/>
        <w:rPr>
          <w:rFonts w:ascii="Arial" w:hAnsi="Arial" w:cs="Arial"/>
          <w:sz w:val="24"/>
          <w:szCs w:val="24"/>
        </w:rPr>
      </w:pPr>
    </w:p>
    <w:p w:rsidR="00986B81" w:rsidRPr="006C5CA0" w:rsidRDefault="000F26F1" w:rsidP="006C5CA0">
      <w:pPr>
        <w:spacing w:after="0" w:line="360" w:lineRule="auto"/>
        <w:jc w:val="both"/>
        <w:rPr>
          <w:rFonts w:ascii="Times New Roman" w:hAnsi="Times New Roman" w:cs="Times New Roman"/>
          <w:sz w:val="24"/>
          <w:szCs w:val="24"/>
        </w:rPr>
      </w:pPr>
      <w:r w:rsidRPr="006C5CA0">
        <w:rPr>
          <w:rFonts w:ascii="Times New Roman" w:hAnsi="Times New Roman" w:cs="Times New Roman"/>
          <w:sz w:val="24"/>
          <w:szCs w:val="24"/>
        </w:rPr>
        <w:t>En</w:t>
      </w:r>
      <w:r w:rsidR="0060676E" w:rsidRPr="006C5CA0">
        <w:rPr>
          <w:rFonts w:ascii="Times New Roman" w:hAnsi="Times New Roman" w:cs="Times New Roman"/>
          <w:sz w:val="24"/>
          <w:szCs w:val="24"/>
        </w:rPr>
        <w:t xml:space="preserve"> relación a los días de estancia en la </w:t>
      </w:r>
      <w:r w:rsidR="00B26429" w:rsidRPr="006C5CA0">
        <w:rPr>
          <w:rFonts w:ascii="Times New Roman" w:hAnsi="Times New Roman" w:cs="Times New Roman"/>
          <w:sz w:val="24"/>
          <w:szCs w:val="24"/>
        </w:rPr>
        <w:t>UCI</w:t>
      </w:r>
      <w:r w:rsidRPr="006C5CA0">
        <w:rPr>
          <w:rFonts w:ascii="Times New Roman" w:hAnsi="Times New Roman" w:cs="Times New Roman"/>
          <w:sz w:val="24"/>
          <w:szCs w:val="24"/>
        </w:rPr>
        <w:t>,</w:t>
      </w:r>
      <w:r w:rsidR="00B26429" w:rsidRPr="006C5CA0">
        <w:rPr>
          <w:rFonts w:ascii="Times New Roman" w:hAnsi="Times New Roman" w:cs="Times New Roman"/>
          <w:sz w:val="24"/>
          <w:szCs w:val="24"/>
        </w:rPr>
        <w:t xml:space="preserve"> </w:t>
      </w:r>
      <w:r w:rsidR="0060676E" w:rsidRPr="006C5CA0">
        <w:rPr>
          <w:rFonts w:ascii="Times New Roman" w:hAnsi="Times New Roman" w:cs="Times New Roman"/>
          <w:sz w:val="24"/>
          <w:szCs w:val="24"/>
        </w:rPr>
        <w:t xml:space="preserve">el promedio fue de 7.5 días, con un mínimo de un día </w:t>
      </w:r>
      <w:r w:rsidR="00B50C8E" w:rsidRPr="006C5CA0">
        <w:rPr>
          <w:rFonts w:ascii="Times New Roman" w:hAnsi="Times New Roman" w:cs="Times New Roman"/>
          <w:sz w:val="24"/>
          <w:szCs w:val="24"/>
        </w:rPr>
        <w:t xml:space="preserve">(defunción) </w:t>
      </w:r>
      <w:r w:rsidR="00470445" w:rsidRPr="006C5CA0">
        <w:rPr>
          <w:rFonts w:ascii="Times New Roman" w:hAnsi="Times New Roman" w:cs="Times New Roman"/>
          <w:sz w:val="24"/>
          <w:szCs w:val="24"/>
        </w:rPr>
        <w:t xml:space="preserve">y un máximo de </w:t>
      </w:r>
      <w:r w:rsidR="0060676E" w:rsidRPr="006C5CA0">
        <w:rPr>
          <w:rFonts w:ascii="Times New Roman" w:hAnsi="Times New Roman" w:cs="Times New Roman"/>
          <w:sz w:val="24"/>
          <w:szCs w:val="24"/>
        </w:rPr>
        <w:t>1</w:t>
      </w:r>
      <w:r w:rsidR="00470445" w:rsidRPr="006C5CA0">
        <w:rPr>
          <w:rFonts w:ascii="Times New Roman" w:hAnsi="Times New Roman" w:cs="Times New Roman"/>
          <w:sz w:val="24"/>
          <w:szCs w:val="24"/>
        </w:rPr>
        <w:t>5</w:t>
      </w:r>
      <w:r w:rsidR="0060676E" w:rsidRPr="006C5CA0">
        <w:rPr>
          <w:rFonts w:ascii="Times New Roman" w:hAnsi="Times New Roman" w:cs="Times New Roman"/>
          <w:sz w:val="24"/>
          <w:szCs w:val="24"/>
        </w:rPr>
        <w:t xml:space="preserve"> días.</w:t>
      </w:r>
      <w:r w:rsidR="007A36D8" w:rsidRPr="006C5CA0">
        <w:rPr>
          <w:rFonts w:ascii="Times New Roman" w:hAnsi="Times New Roman" w:cs="Times New Roman"/>
          <w:sz w:val="24"/>
          <w:szCs w:val="24"/>
        </w:rPr>
        <w:t xml:space="preserve"> </w:t>
      </w:r>
      <w:r w:rsidR="00E85092" w:rsidRPr="006C5CA0">
        <w:rPr>
          <w:rFonts w:ascii="Times New Roman" w:hAnsi="Times New Roman" w:cs="Times New Roman"/>
          <w:sz w:val="24"/>
          <w:szCs w:val="24"/>
        </w:rPr>
        <w:t>Se encontró una relación estadísticamente significativa entre la hora de inicio de la dieta y los días de estancia hospitalaria (p&lt;.044)</w:t>
      </w:r>
      <w:r w:rsidR="009F3E92" w:rsidRPr="006C5CA0">
        <w:rPr>
          <w:rFonts w:ascii="Times New Roman" w:hAnsi="Times New Roman" w:cs="Times New Roman"/>
          <w:sz w:val="24"/>
          <w:szCs w:val="24"/>
        </w:rPr>
        <w:t xml:space="preserve">; </w:t>
      </w:r>
      <w:r w:rsidR="00986B81" w:rsidRPr="006C5CA0">
        <w:rPr>
          <w:rFonts w:ascii="Times New Roman" w:hAnsi="Times New Roman" w:cs="Times New Roman"/>
          <w:sz w:val="24"/>
          <w:szCs w:val="24"/>
        </w:rPr>
        <w:t>(</w:t>
      </w:r>
      <w:r w:rsidRPr="006C5CA0">
        <w:rPr>
          <w:rFonts w:ascii="Times New Roman" w:hAnsi="Times New Roman" w:cs="Times New Roman"/>
          <w:sz w:val="24"/>
          <w:szCs w:val="24"/>
        </w:rPr>
        <w:t>g</w:t>
      </w:r>
      <w:r w:rsidR="009F3E92" w:rsidRPr="006C5CA0">
        <w:rPr>
          <w:rFonts w:ascii="Times New Roman" w:hAnsi="Times New Roman" w:cs="Times New Roman"/>
          <w:sz w:val="24"/>
          <w:szCs w:val="24"/>
        </w:rPr>
        <w:t>ráfica 2</w:t>
      </w:r>
      <w:r w:rsidR="00986B81" w:rsidRPr="006C5CA0">
        <w:rPr>
          <w:rFonts w:ascii="Times New Roman" w:hAnsi="Times New Roman" w:cs="Times New Roman"/>
          <w:sz w:val="24"/>
          <w:szCs w:val="24"/>
        </w:rPr>
        <w:t>)</w:t>
      </w:r>
      <w:r w:rsidR="00E85092" w:rsidRPr="006C5CA0">
        <w:rPr>
          <w:rFonts w:ascii="Times New Roman" w:hAnsi="Times New Roman" w:cs="Times New Roman"/>
          <w:sz w:val="24"/>
          <w:szCs w:val="24"/>
        </w:rPr>
        <w:t xml:space="preserve">. </w:t>
      </w:r>
    </w:p>
    <w:p w:rsidR="00986B81" w:rsidRDefault="00986B81" w:rsidP="00666D07">
      <w:pPr>
        <w:spacing w:after="0" w:line="240" w:lineRule="auto"/>
        <w:jc w:val="both"/>
        <w:rPr>
          <w:rFonts w:ascii="Arial" w:hAnsi="Arial" w:cs="Arial"/>
          <w:sz w:val="24"/>
          <w:szCs w:val="24"/>
        </w:rPr>
      </w:pPr>
    </w:p>
    <w:p w:rsidR="00986B81" w:rsidRPr="006C5CA0" w:rsidRDefault="00986B81" w:rsidP="006C5CA0">
      <w:pPr>
        <w:autoSpaceDE w:val="0"/>
        <w:autoSpaceDN w:val="0"/>
        <w:adjustRightInd w:val="0"/>
        <w:spacing w:after="0" w:line="360" w:lineRule="auto"/>
        <w:jc w:val="both"/>
        <w:rPr>
          <w:rFonts w:ascii="Times New Roman" w:hAnsi="Times New Roman" w:cs="Times New Roman"/>
          <w:sz w:val="24"/>
          <w:szCs w:val="24"/>
        </w:rPr>
      </w:pPr>
      <w:r w:rsidRPr="006C5CA0">
        <w:rPr>
          <w:rFonts w:ascii="Times New Roman" w:hAnsi="Times New Roman" w:cs="Times New Roman"/>
          <w:sz w:val="24"/>
          <w:szCs w:val="24"/>
        </w:rPr>
        <w:t>Gráfica 2. Hora de inicio de la dieta y días de estancia hospitalaria, en los pacientes con TCE en la UCI del Hospital General de Mexicali.</w:t>
      </w:r>
    </w:p>
    <w:p w:rsidR="00986B81" w:rsidRPr="006C5CA0" w:rsidRDefault="00986B81" w:rsidP="006C5CA0">
      <w:pPr>
        <w:autoSpaceDE w:val="0"/>
        <w:autoSpaceDN w:val="0"/>
        <w:adjustRightInd w:val="0"/>
        <w:spacing w:after="0" w:line="360" w:lineRule="auto"/>
        <w:jc w:val="both"/>
        <w:rPr>
          <w:rFonts w:ascii="Times New Roman" w:hAnsi="Times New Roman" w:cs="Times New Roman"/>
          <w:sz w:val="24"/>
          <w:szCs w:val="24"/>
        </w:rPr>
      </w:pPr>
      <w:r w:rsidRPr="006C5CA0">
        <w:rPr>
          <w:rFonts w:ascii="Times New Roman" w:hAnsi="Times New Roman" w:cs="Times New Roman"/>
          <w:sz w:val="24"/>
          <w:szCs w:val="24"/>
        </w:rPr>
        <w:t>n=26</w:t>
      </w:r>
    </w:p>
    <w:p w:rsidR="00986B81" w:rsidRDefault="00986B81" w:rsidP="006C5CA0">
      <w:pPr>
        <w:autoSpaceDE w:val="0"/>
        <w:autoSpaceDN w:val="0"/>
        <w:adjustRightInd w:val="0"/>
        <w:spacing w:after="0" w:line="240" w:lineRule="auto"/>
        <w:jc w:val="center"/>
        <w:rPr>
          <w:rFonts w:ascii="Arial" w:eastAsiaTheme="minorHAnsi" w:hAnsi="Arial" w:cs="Arial"/>
          <w:sz w:val="18"/>
          <w:szCs w:val="18"/>
          <w:lang w:eastAsia="en-US"/>
        </w:rPr>
      </w:pPr>
      <w:r>
        <w:rPr>
          <w:noProof/>
        </w:rPr>
        <w:drawing>
          <wp:inline distT="0" distB="0" distL="0" distR="0" wp14:anchorId="56FA7282" wp14:editId="6107D58B">
            <wp:extent cx="4572000" cy="2743200"/>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86B81" w:rsidRPr="003B09AF" w:rsidRDefault="00986B81" w:rsidP="006C5CA0">
      <w:pPr>
        <w:autoSpaceDE w:val="0"/>
        <w:autoSpaceDN w:val="0"/>
        <w:adjustRightInd w:val="0"/>
        <w:spacing w:after="0" w:line="240" w:lineRule="auto"/>
        <w:jc w:val="center"/>
        <w:rPr>
          <w:rFonts w:ascii="Arial" w:eastAsiaTheme="minorHAnsi" w:hAnsi="Arial" w:cs="Arial"/>
          <w:sz w:val="24"/>
          <w:szCs w:val="24"/>
          <w:lang w:eastAsia="en-US"/>
        </w:rPr>
      </w:pPr>
      <w:r>
        <w:rPr>
          <w:rFonts w:ascii="Arial" w:eastAsiaTheme="minorHAnsi" w:hAnsi="Arial" w:cs="Arial"/>
          <w:sz w:val="18"/>
          <w:szCs w:val="18"/>
          <w:lang w:eastAsia="en-US"/>
        </w:rPr>
        <w:t>Días de estancia hospitalaria</w:t>
      </w:r>
    </w:p>
    <w:p w:rsidR="00986B81" w:rsidRDefault="00986B81" w:rsidP="00666D07">
      <w:pPr>
        <w:spacing w:after="0" w:line="480" w:lineRule="auto"/>
        <w:jc w:val="both"/>
        <w:rPr>
          <w:rFonts w:ascii="Arial" w:hAnsi="Arial" w:cs="Arial"/>
          <w:b/>
          <w:sz w:val="24"/>
          <w:szCs w:val="24"/>
        </w:rPr>
      </w:pPr>
    </w:p>
    <w:p w:rsidR="00986B81" w:rsidRDefault="00986B81" w:rsidP="00666D07">
      <w:pPr>
        <w:spacing w:after="0" w:line="240" w:lineRule="auto"/>
        <w:jc w:val="both"/>
        <w:rPr>
          <w:rFonts w:ascii="Arial" w:hAnsi="Arial" w:cs="Arial"/>
          <w:sz w:val="24"/>
          <w:szCs w:val="24"/>
        </w:rPr>
      </w:pPr>
    </w:p>
    <w:p w:rsidR="0071426A" w:rsidRPr="006C5CA0" w:rsidRDefault="0060676E" w:rsidP="006C5CA0">
      <w:pPr>
        <w:autoSpaceDE w:val="0"/>
        <w:autoSpaceDN w:val="0"/>
        <w:adjustRightInd w:val="0"/>
        <w:spacing w:after="0" w:line="360" w:lineRule="auto"/>
        <w:jc w:val="both"/>
        <w:rPr>
          <w:rFonts w:ascii="Times New Roman" w:hAnsi="Times New Roman" w:cs="Times New Roman"/>
          <w:sz w:val="24"/>
          <w:szCs w:val="24"/>
        </w:rPr>
      </w:pPr>
      <w:r w:rsidRPr="006C5CA0">
        <w:rPr>
          <w:rFonts w:ascii="Times New Roman" w:hAnsi="Times New Roman" w:cs="Times New Roman"/>
          <w:sz w:val="24"/>
          <w:szCs w:val="24"/>
        </w:rPr>
        <w:t xml:space="preserve">En cuanto </w:t>
      </w:r>
      <w:r w:rsidR="00832A5D" w:rsidRPr="006C5CA0">
        <w:rPr>
          <w:rFonts w:ascii="Times New Roman" w:hAnsi="Times New Roman" w:cs="Times New Roman"/>
          <w:sz w:val="24"/>
          <w:szCs w:val="24"/>
        </w:rPr>
        <w:t xml:space="preserve">al motivo de egreso, </w:t>
      </w:r>
      <w:r w:rsidR="00784296" w:rsidRPr="006C5CA0">
        <w:rPr>
          <w:rFonts w:ascii="Times New Roman" w:hAnsi="Times New Roman" w:cs="Times New Roman"/>
          <w:sz w:val="24"/>
          <w:szCs w:val="24"/>
        </w:rPr>
        <w:t>70</w:t>
      </w:r>
      <w:r w:rsidR="000F26F1" w:rsidRPr="006C5CA0">
        <w:rPr>
          <w:rFonts w:ascii="Times New Roman" w:hAnsi="Times New Roman" w:cs="Times New Roman"/>
          <w:sz w:val="24"/>
          <w:szCs w:val="24"/>
        </w:rPr>
        <w:t xml:space="preserve"> </w:t>
      </w:r>
      <w:r w:rsidR="00784296" w:rsidRPr="006C5CA0">
        <w:rPr>
          <w:rFonts w:ascii="Times New Roman" w:hAnsi="Times New Roman" w:cs="Times New Roman"/>
          <w:sz w:val="24"/>
          <w:szCs w:val="24"/>
        </w:rPr>
        <w:t>% (</w:t>
      </w:r>
      <w:r w:rsidR="00832A5D" w:rsidRPr="006C5CA0">
        <w:rPr>
          <w:rFonts w:ascii="Times New Roman" w:hAnsi="Times New Roman" w:cs="Times New Roman"/>
          <w:sz w:val="24"/>
          <w:szCs w:val="24"/>
        </w:rPr>
        <w:t>21</w:t>
      </w:r>
      <w:r w:rsidR="00784296" w:rsidRPr="006C5CA0">
        <w:rPr>
          <w:rFonts w:ascii="Times New Roman" w:hAnsi="Times New Roman" w:cs="Times New Roman"/>
          <w:sz w:val="24"/>
          <w:szCs w:val="24"/>
        </w:rPr>
        <w:t xml:space="preserve">) </w:t>
      </w:r>
      <w:r w:rsidR="00832A5D" w:rsidRPr="006C5CA0">
        <w:rPr>
          <w:rFonts w:ascii="Times New Roman" w:hAnsi="Times New Roman" w:cs="Times New Roman"/>
          <w:sz w:val="24"/>
          <w:szCs w:val="24"/>
        </w:rPr>
        <w:t>fue por mejoría</w:t>
      </w:r>
      <w:r w:rsidR="00606151" w:rsidRPr="006C5CA0">
        <w:rPr>
          <w:rFonts w:ascii="Times New Roman" w:hAnsi="Times New Roman" w:cs="Times New Roman"/>
          <w:sz w:val="24"/>
          <w:szCs w:val="24"/>
        </w:rPr>
        <w:t xml:space="preserve">, </w:t>
      </w:r>
      <w:r w:rsidR="00784296" w:rsidRPr="006C5CA0">
        <w:rPr>
          <w:rFonts w:ascii="Times New Roman" w:hAnsi="Times New Roman" w:cs="Times New Roman"/>
          <w:sz w:val="24"/>
          <w:szCs w:val="24"/>
        </w:rPr>
        <w:t>20</w:t>
      </w:r>
      <w:r w:rsidR="000F26F1" w:rsidRPr="006C5CA0">
        <w:rPr>
          <w:rFonts w:ascii="Times New Roman" w:hAnsi="Times New Roman" w:cs="Times New Roman"/>
          <w:sz w:val="24"/>
          <w:szCs w:val="24"/>
        </w:rPr>
        <w:t xml:space="preserve"> </w:t>
      </w:r>
      <w:r w:rsidR="00784296" w:rsidRPr="006C5CA0">
        <w:rPr>
          <w:rFonts w:ascii="Times New Roman" w:hAnsi="Times New Roman" w:cs="Times New Roman"/>
          <w:sz w:val="24"/>
          <w:szCs w:val="24"/>
        </w:rPr>
        <w:t>% (</w:t>
      </w:r>
      <w:r w:rsidR="00606151" w:rsidRPr="006C5CA0">
        <w:rPr>
          <w:rFonts w:ascii="Times New Roman" w:hAnsi="Times New Roman" w:cs="Times New Roman"/>
          <w:sz w:val="24"/>
          <w:szCs w:val="24"/>
        </w:rPr>
        <w:t>6</w:t>
      </w:r>
      <w:r w:rsidR="00784296" w:rsidRPr="006C5CA0">
        <w:rPr>
          <w:rFonts w:ascii="Times New Roman" w:hAnsi="Times New Roman" w:cs="Times New Roman"/>
          <w:sz w:val="24"/>
          <w:szCs w:val="24"/>
        </w:rPr>
        <w:t xml:space="preserve">) </w:t>
      </w:r>
      <w:r w:rsidR="00832A5D" w:rsidRPr="006C5CA0">
        <w:rPr>
          <w:rFonts w:ascii="Times New Roman" w:hAnsi="Times New Roman" w:cs="Times New Roman"/>
          <w:sz w:val="24"/>
          <w:szCs w:val="24"/>
        </w:rPr>
        <w:t>por defunción,</w:t>
      </w:r>
      <w:r w:rsidR="00881163" w:rsidRPr="006C5CA0">
        <w:rPr>
          <w:rFonts w:ascii="Times New Roman" w:hAnsi="Times New Roman" w:cs="Times New Roman"/>
          <w:sz w:val="24"/>
          <w:szCs w:val="24"/>
        </w:rPr>
        <w:t xml:space="preserve"> </w:t>
      </w:r>
      <w:r w:rsidR="00784296" w:rsidRPr="006C5CA0">
        <w:rPr>
          <w:rFonts w:ascii="Times New Roman" w:hAnsi="Times New Roman" w:cs="Times New Roman"/>
          <w:sz w:val="24"/>
          <w:szCs w:val="24"/>
        </w:rPr>
        <w:t>10</w:t>
      </w:r>
      <w:r w:rsidR="000F26F1" w:rsidRPr="006C5CA0">
        <w:rPr>
          <w:rFonts w:ascii="Times New Roman" w:hAnsi="Times New Roman" w:cs="Times New Roman"/>
          <w:sz w:val="24"/>
          <w:szCs w:val="24"/>
        </w:rPr>
        <w:t xml:space="preserve"> </w:t>
      </w:r>
      <w:r w:rsidR="00784296" w:rsidRPr="006C5CA0">
        <w:rPr>
          <w:rFonts w:ascii="Times New Roman" w:hAnsi="Times New Roman" w:cs="Times New Roman"/>
          <w:sz w:val="24"/>
          <w:szCs w:val="24"/>
        </w:rPr>
        <w:t>% (</w:t>
      </w:r>
      <w:r w:rsidR="00881163" w:rsidRPr="006C5CA0">
        <w:rPr>
          <w:rFonts w:ascii="Times New Roman" w:hAnsi="Times New Roman" w:cs="Times New Roman"/>
          <w:sz w:val="24"/>
          <w:szCs w:val="24"/>
        </w:rPr>
        <w:t>3</w:t>
      </w:r>
      <w:r w:rsidR="00784296" w:rsidRPr="006C5CA0">
        <w:rPr>
          <w:rFonts w:ascii="Times New Roman" w:hAnsi="Times New Roman" w:cs="Times New Roman"/>
          <w:sz w:val="24"/>
          <w:szCs w:val="24"/>
        </w:rPr>
        <w:t xml:space="preserve">) </w:t>
      </w:r>
      <w:r w:rsidR="00881163" w:rsidRPr="006C5CA0">
        <w:rPr>
          <w:rFonts w:ascii="Times New Roman" w:hAnsi="Times New Roman" w:cs="Times New Roman"/>
          <w:sz w:val="24"/>
          <w:szCs w:val="24"/>
        </w:rPr>
        <w:t>traslado, de los cuales uno fue a su domicilio</w:t>
      </w:r>
      <w:r w:rsidR="009C6B26" w:rsidRPr="006C5CA0">
        <w:rPr>
          <w:rFonts w:ascii="Times New Roman" w:hAnsi="Times New Roman" w:cs="Times New Roman"/>
          <w:sz w:val="24"/>
          <w:szCs w:val="24"/>
        </w:rPr>
        <w:t>.</w:t>
      </w:r>
      <w:r w:rsidR="00E85092" w:rsidRPr="006C5CA0">
        <w:rPr>
          <w:rFonts w:ascii="Times New Roman" w:hAnsi="Times New Roman" w:cs="Times New Roman"/>
          <w:sz w:val="24"/>
          <w:szCs w:val="24"/>
        </w:rPr>
        <w:t xml:space="preserve"> </w:t>
      </w:r>
    </w:p>
    <w:p w:rsidR="000D1A66" w:rsidRPr="006C5CA0" w:rsidRDefault="00935FE5" w:rsidP="006C5CA0">
      <w:pPr>
        <w:autoSpaceDE w:val="0"/>
        <w:autoSpaceDN w:val="0"/>
        <w:adjustRightInd w:val="0"/>
        <w:spacing w:after="0" w:line="360" w:lineRule="auto"/>
        <w:jc w:val="both"/>
        <w:rPr>
          <w:rFonts w:ascii="Times New Roman" w:hAnsi="Times New Roman" w:cs="Times New Roman"/>
          <w:sz w:val="24"/>
          <w:szCs w:val="24"/>
        </w:rPr>
      </w:pPr>
      <w:r w:rsidRPr="006C5CA0">
        <w:rPr>
          <w:rFonts w:ascii="Times New Roman" w:hAnsi="Times New Roman" w:cs="Times New Roman"/>
          <w:sz w:val="24"/>
          <w:szCs w:val="24"/>
        </w:rPr>
        <w:t xml:space="preserve">Como marcadores </w:t>
      </w:r>
      <w:r w:rsidR="00B26429" w:rsidRPr="006C5CA0">
        <w:rPr>
          <w:rFonts w:ascii="Times New Roman" w:hAnsi="Times New Roman" w:cs="Times New Roman"/>
          <w:sz w:val="24"/>
          <w:szCs w:val="24"/>
        </w:rPr>
        <w:t xml:space="preserve">bioquímicos </w:t>
      </w:r>
      <w:r w:rsidRPr="006C5CA0">
        <w:rPr>
          <w:rFonts w:ascii="Times New Roman" w:hAnsi="Times New Roman" w:cs="Times New Roman"/>
          <w:sz w:val="24"/>
          <w:szCs w:val="24"/>
        </w:rPr>
        <w:t>de las condiciones nutricionales</w:t>
      </w:r>
      <w:r w:rsidR="00145478" w:rsidRPr="006C5CA0">
        <w:rPr>
          <w:rFonts w:ascii="Times New Roman" w:hAnsi="Times New Roman" w:cs="Times New Roman"/>
          <w:sz w:val="24"/>
          <w:szCs w:val="24"/>
        </w:rPr>
        <w:t>,</w:t>
      </w:r>
      <w:r w:rsidRPr="006C5CA0">
        <w:rPr>
          <w:rFonts w:ascii="Times New Roman" w:hAnsi="Times New Roman" w:cs="Times New Roman"/>
          <w:sz w:val="24"/>
          <w:szCs w:val="24"/>
        </w:rPr>
        <w:t xml:space="preserve"> se contempl</w:t>
      </w:r>
      <w:r w:rsidR="000F26F1" w:rsidRPr="006C5CA0">
        <w:rPr>
          <w:rFonts w:ascii="Times New Roman" w:hAnsi="Times New Roman" w:cs="Times New Roman"/>
          <w:sz w:val="24"/>
          <w:szCs w:val="24"/>
        </w:rPr>
        <w:t>aron</w:t>
      </w:r>
      <w:r w:rsidRPr="006C5CA0">
        <w:rPr>
          <w:rFonts w:ascii="Times New Roman" w:hAnsi="Times New Roman" w:cs="Times New Roman"/>
          <w:sz w:val="24"/>
          <w:szCs w:val="24"/>
        </w:rPr>
        <w:t xml:space="preserve"> </w:t>
      </w:r>
      <w:r w:rsidR="0071426A" w:rsidRPr="006C5CA0">
        <w:rPr>
          <w:rFonts w:ascii="Times New Roman" w:hAnsi="Times New Roman" w:cs="Times New Roman"/>
          <w:sz w:val="24"/>
          <w:szCs w:val="24"/>
        </w:rPr>
        <w:t>la</w:t>
      </w:r>
      <w:r w:rsidRPr="006C5CA0">
        <w:rPr>
          <w:rFonts w:ascii="Times New Roman" w:hAnsi="Times New Roman" w:cs="Times New Roman"/>
          <w:sz w:val="24"/>
          <w:szCs w:val="24"/>
        </w:rPr>
        <w:t>s</w:t>
      </w:r>
      <w:r w:rsidR="0071426A" w:rsidRPr="006C5CA0">
        <w:rPr>
          <w:rFonts w:ascii="Times New Roman" w:hAnsi="Times New Roman" w:cs="Times New Roman"/>
          <w:sz w:val="24"/>
          <w:szCs w:val="24"/>
        </w:rPr>
        <w:t xml:space="preserve"> determinaciones de leucocitos</w:t>
      </w:r>
      <w:r w:rsidR="00EF0682" w:rsidRPr="006C5CA0">
        <w:rPr>
          <w:rFonts w:ascii="Times New Roman" w:hAnsi="Times New Roman" w:cs="Times New Roman"/>
          <w:sz w:val="24"/>
          <w:szCs w:val="24"/>
        </w:rPr>
        <w:t>, linfocitos</w:t>
      </w:r>
      <w:r w:rsidR="00886427" w:rsidRPr="006C5CA0">
        <w:rPr>
          <w:rFonts w:ascii="Times New Roman" w:hAnsi="Times New Roman" w:cs="Times New Roman"/>
          <w:sz w:val="24"/>
          <w:szCs w:val="24"/>
        </w:rPr>
        <w:t xml:space="preserve">, </w:t>
      </w:r>
      <w:r w:rsidR="0071426A" w:rsidRPr="006C5CA0">
        <w:rPr>
          <w:rFonts w:ascii="Times New Roman" w:hAnsi="Times New Roman" w:cs="Times New Roman"/>
          <w:sz w:val="24"/>
          <w:szCs w:val="24"/>
        </w:rPr>
        <w:t>alb</w:t>
      </w:r>
      <w:r w:rsidR="000F26F1" w:rsidRPr="006C5CA0">
        <w:rPr>
          <w:rFonts w:ascii="Times New Roman" w:hAnsi="Times New Roman" w:cs="Times New Roman"/>
          <w:sz w:val="24"/>
          <w:szCs w:val="24"/>
        </w:rPr>
        <w:t>ú</w:t>
      </w:r>
      <w:r w:rsidR="0071426A" w:rsidRPr="006C5CA0">
        <w:rPr>
          <w:rFonts w:ascii="Times New Roman" w:hAnsi="Times New Roman" w:cs="Times New Roman"/>
          <w:sz w:val="24"/>
          <w:szCs w:val="24"/>
        </w:rPr>
        <w:t>mina</w:t>
      </w:r>
      <w:r w:rsidR="00886427" w:rsidRPr="006C5CA0">
        <w:rPr>
          <w:rFonts w:ascii="Times New Roman" w:hAnsi="Times New Roman" w:cs="Times New Roman"/>
          <w:sz w:val="24"/>
          <w:szCs w:val="24"/>
        </w:rPr>
        <w:t xml:space="preserve"> y proteínas totales</w:t>
      </w:r>
      <w:r w:rsidR="0071426A" w:rsidRPr="006C5CA0">
        <w:rPr>
          <w:rFonts w:ascii="Times New Roman" w:hAnsi="Times New Roman" w:cs="Times New Roman"/>
          <w:sz w:val="24"/>
          <w:szCs w:val="24"/>
        </w:rPr>
        <w:t>, se encontró una medi</w:t>
      </w:r>
      <w:r w:rsidR="00886427" w:rsidRPr="006C5CA0">
        <w:rPr>
          <w:rFonts w:ascii="Times New Roman" w:hAnsi="Times New Roman" w:cs="Times New Roman"/>
          <w:sz w:val="24"/>
          <w:szCs w:val="24"/>
        </w:rPr>
        <w:t>a de leucocitos al ingreso de 17</w:t>
      </w:r>
      <w:r w:rsidR="0071426A" w:rsidRPr="006C5CA0">
        <w:rPr>
          <w:rFonts w:ascii="Times New Roman" w:hAnsi="Times New Roman" w:cs="Times New Roman"/>
          <w:sz w:val="24"/>
          <w:szCs w:val="24"/>
        </w:rPr>
        <w:t>,139</w:t>
      </w:r>
      <w:r w:rsidR="00ED5854" w:rsidRPr="006C5CA0">
        <w:rPr>
          <w:rFonts w:ascii="Times New Roman" w:hAnsi="Times New Roman" w:cs="Times New Roman"/>
          <w:sz w:val="24"/>
          <w:szCs w:val="24"/>
        </w:rPr>
        <w:t xml:space="preserve"> </w:t>
      </w:r>
      <w:r w:rsidR="006566E7" w:rsidRPr="006C5CA0">
        <w:rPr>
          <w:rFonts w:ascii="Times New Roman" w:hAnsi="Times New Roman" w:cs="Times New Roman"/>
          <w:sz w:val="24"/>
          <w:szCs w:val="24"/>
        </w:rPr>
        <w:t>mm3 y al egreso de 15,</w:t>
      </w:r>
      <w:r w:rsidR="0071426A" w:rsidRPr="006C5CA0">
        <w:rPr>
          <w:rFonts w:ascii="Times New Roman" w:hAnsi="Times New Roman" w:cs="Times New Roman"/>
          <w:sz w:val="24"/>
          <w:szCs w:val="24"/>
        </w:rPr>
        <w:t>2</w:t>
      </w:r>
      <w:r w:rsidR="006566E7" w:rsidRPr="006C5CA0">
        <w:rPr>
          <w:rFonts w:ascii="Times New Roman" w:hAnsi="Times New Roman" w:cs="Times New Roman"/>
          <w:sz w:val="24"/>
          <w:szCs w:val="24"/>
        </w:rPr>
        <w:t>36 mm3</w:t>
      </w:r>
      <w:r w:rsidR="0071426A" w:rsidRPr="006C5CA0">
        <w:rPr>
          <w:rFonts w:ascii="Times New Roman" w:hAnsi="Times New Roman" w:cs="Times New Roman"/>
          <w:sz w:val="24"/>
          <w:szCs w:val="24"/>
        </w:rPr>
        <w:t xml:space="preserve"> (</w:t>
      </w:r>
      <w:r w:rsidR="0009033F" w:rsidRPr="006C5CA0">
        <w:rPr>
          <w:rFonts w:ascii="Times New Roman" w:hAnsi="Times New Roman" w:cs="Times New Roman"/>
          <w:sz w:val="24"/>
          <w:szCs w:val="24"/>
        </w:rPr>
        <w:t>p&lt;</w:t>
      </w:r>
      <w:r w:rsidR="00EA69E5" w:rsidRPr="006C5CA0">
        <w:rPr>
          <w:rFonts w:ascii="Times New Roman" w:hAnsi="Times New Roman" w:cs="Times New Roman"/>
          <w:sz w:val="24"/>
          <w:szCs w:val="24"/>
        </w:rPr>
        <w:t>0</w:t>
      </w:r>
      <w:r w:rsidR="0071426A" w:rsidRPr="006C5CA0">
        <w:rPr>
          <w:rFonts w:ascii="Times New Roman" w:hAnsi="Times New Roman" w:cs="Times New Roman"/>
          <w:sz w:val="24"/>
          <w:szCs w:val="24"/>
        </w:rPr>
        <w:t>.000</w:t>
      </w:r>
      <w:r w:rsidR="008167D7" w:rsidRPr="006C5CA0">
        <w:rPr>
          <w:rFonts w:ascii="Times New Roman" w:hAnsi="Times New Roman" w:cs="Times New Roman"/>
          <w:sz w:val="24"/>
          <w:szCs w:val="24"/>
        </w:rPr>
        <w:t>1</w:t>
      </w:r>
      <w:r w:rsidR="0071426A" w:rsidRPr="006C5CA0">
        <w:rPr>
          <w:rFonts w:ascii="Times New Roman" w:hAnsi="Times New Roman" w:cs="Times New Roman"/>
          <w:sz w:val="24"/>
          <w:szCs w:val="24"/>
        </w:rPr>
        <w:t>)</w:t>
      </w:r>
      <w:r w:rsidR="00ED5854" w:rsidRPr="006C5CA0">
        <w:rPr>
          <w:rFonts w:ascii="Times New Roman" w:hAnsi="Times New Roman" w:cs="Times New Roman"/>
          <w:sz w:val="24"/>
          <w:szCs w:val="24"/>
        </w:rPr>
        <w:t xml:space="preserve">, </w:t>
      </w:r>
      <w:r w:rsidR="006566E7" w:rsidRPr="006C5CA0">
        <w:rPr>
          <w:rFonts w:ascii="Times New Roman" w:hAnsi="Times New Roman" w:cs="Times New Roman"/>
          <w:sz w:val="24"/>
          <w:szCs w:val="24"/>
        </w:rPr>
        <w:t>linfocitos al ingreso 17.81</w:t>
      </w:r>
      <w:r w:rsidR="000F26F1" w:rsidRPr="006C5CA0">
        <w:rPr>
          <w:rFonts w:ascii="Times New Roman" w:hAnsi="Times New Roman" w:cs="Times New Roman"/>
          <w:sz w:val="24"/>
          <w:szCs w:val="24"/>
        </w:rPr>
        <w:t xml:space="preserve"> </w:t>
      </w:r>
      <w:r w:rsidR="000120BA" w:rsidRPr="006C5CA0">
        <w:rPr>
          <w:rFonts w:ascii="Times New Roman" w:hAnsi="Times New Roman" w:cs="Times New Roman"/>
          <w:sz w:val="24"/>
          <w:szCs w:val="24"/>
        </w:rPr>
        <w:t>%</w:t>
      </w:r>
      <w:r w:rsidR="00EF0682" w:rsidRPr="006C5CA0">
        <w:rPr>
          <w:rFonts w:ascii="Times New Roman" w:hAnsi="Times New Roman" w:cs="Times New Roman"/>
          <w:sz w:val="24"/>
          <w:szCs w:val="24"/>
        </w:rPr>
        <w:t>, y al egreso 17.34</w:t>
      </w:r>
      <w:r w:rsidR="006566E7" w:rsidRPr="006C5CA0">
        <w:rPr>
          <w:rFonts w:ascii="Times New Roman" w:hAnsi="Times New Roman" w:cs="Times New Roman"/>
          <w:sz w:val="24"/>
          <w:szCs w:val="24"/>
        </w:rPr>
        <w:t xml:space="preserve"> </w:t>
      </w:r>
      <w:r w:rsidR="000120BA" w:rsidRPr="006C5CA0">
        <w:rPr>
          <w:rFonts w:ascii="Times New Roman" w:hAnsi="Times New Roman" w:cs="Times New Roman"/>
          <w:sz w:val="24"/>
          <w:szCs w:val="24"/>
        </w:rPr>
        <w:t xml:space="preserve">% </w:t>
      </w:r>
      <w:r w:rsidR="00EF0682" w:rsidRPr="006C5CA0">
        <w:rPr>
          <w:rFonts w:ascii="Times New Roman" w:hAnsi="Times New Roman" w:cs="Times New Roman"/>
          <w:sz w:val="24"/>
          <w:szCs w:val="24"/>
        </w:rPr>
        <w:t>(p&lt;</w:t>
      </w:r>
      <w:r w:rsidR="00A66C04" w:rsidRPr="006C5CA0">
        <w:rPr>
          <w:rFonts w:ascii="Times New Roman" w:hAnsi="Times New Roman" w:cs="Times New Roman"/>
          <w:sz w:val="24"/>
          <w:szCs w:val="24"/>
        </w:rPr>
        <w:t>0</w:t>
      </w:r>
      <w:r w:rsidR="00EF0682" w:rsidRPr="006C5CA0">
        <w:rPr>
          <w:rFonts w:ascii="Times New Roman" w:hAnsi="Times New Roman" w:cs="Times New Roman"/>
          <w:sz w:val="24"/>
          <w:szCs w:val="24"/>
        </w:rPr>
        <w:t>.000</w:t>
      </w:r>
      <w:r w:rsidR="008167D7" w:rsidRPr="006C5CA0">
        <w:rPr>
          <w:rFonts w:ascii="Times New Roman" w:hAnsi="Times New Roman" w:cs="Times New Roman"/>
          <w:sz w:val="24"/>
          <w:szCs w:val="24"/>
        </w:rPr>
        <w:t>1</w:t>
      </w:r>
      <w:r w:rsidR="00EF0682" w:rsidRPr="006C5CA0">
        <w:rPr>
          <w:rFonts w:ascii="Times New Roman" w:hAnsi="Times New Roman" w:cs="Times New Roman"/>
          <w:sz w:val="24"/>
          <w:szCs w:val="24"/>
        </w:rPr>
        <w:t xml:space="preserve">), </w:t>
      </w:r>
      <w:r w:rsidR="00ED5854" w:rsidRPr="006C5CA0">
        <w:rPr>
          <w:rFonts w:ascii="Times New Roman" w:hAnsi="Times New Roman" w:cs="Times New Roman"/>
          <w:sz w:val="24"/>
          <w:szCs w:val="24"/>
        </w:rPr>
        <w:t>en relación a la alb</w:t>
      </w:r>
      <w:r w:rsidR="000F26F1" w:rsidRPr="006C5CA0">
        <w:rPr>
          <w:rFonts w:ascii="Times New Roman" w:hAnsi="Times New Roman" w:cs="Times New Roman"/>
          <w:sz w:val="24"/>
          <w:szCs w:val="24"/>
        </w:rPr>
        <w:t>ú</w:t>
      </w:r>
      <w:r w:rsidR="00ED5854" w:rsidRPr="006C5CA0">
        <w:rPr>
          <w:rFonts w:ascii="Times New Roman" w:hAnsi="Times New Roman" w:cs="Times New Roman"/>
          <w:sz w:val="24"/>
          <w:szCs w:val="24"/>
        </w:rPr>
        <w:t xml:space="preserve">mina, una media </w:t>
      </w:r>
      <w:r w:rsidR="006566E7" w:rsidRPr="006C5CA0">
        <w:rPr>
          <w:rFonts w:ascii="Times New Roman" w:hAnsi="Times New Roman" w:cs="Times New Roman"/>
          <w:sz w:val="24"/>
          <w:szCs w:val="24"/>
        </w:rPr>
        <w:t>al ingreso</w:t>
      </w:r>
      <w:r w:rsidR="0009033F" w:rsidRPr="006C5CA0">
        <w:rPr>
          <w:rFonts w:ascii="Times New Roman" w:hAnsi="Times New Roman" w:cs="Times New Roman"/>
          <w:sz w:val="24"/>
          <w:szCs w:val="24"/>
        </w:rPr>
        <w:t xml:space="preserve"> de 3.0</w:t>
      </w:r>
      <w:r w:rsidR="006566E7" w:rsidRPr="006C5CA0">
        <w:rPr>
          <w:rFonts w:ascii="Times New Roman" w:hAnsi="Times New Roman" w:cs="Times New Roman"/>
          <w:sz w:val="24"/>
          <w:szCs w:val="24"/>
        </w:rPr>
        <w:t xml:space="preserve"> g/dl</w:t>
      </w:r>
      <w:r w:rsidR="00ED5854" w:rsidRPr="006C5CA0">
        <w:rPr>
          <w:rFonts w:ascii="Times New Roman" w:hAnsi="Times New Roman" w:cs="Times New Roman"/>
          <w:sz w:val="24"/>
          <w:szCs w:val="24"/>
        </w:rPr>
        <w:t xml:space="preserve"> </w:t>
      </w:r>
      <w:r w:rsidR="0071426A" w:rsidRPr="006C5CA0">
        <w:rPr>
          <w:rFonts w:ascii="Times New Roman" w:hAnsi="Times New Roman" w:cs="Times New Roman"/>
          <w:sz w:val="24"/>
          <w:szCs w:val="24"/>
        </w:rPr>
        <w:t xml:space="preserve">y </w:t>
      </w:r>
      <w:r w:rsidR="00ED5854" w:rsidRPr="006C5CA0">
        <w:rPr>
          <w:rFonts w:ascii="Times New Roman" w:hAnsi="Times New Roman" w:cs="Times New Roman"/>
          <w:sz w:val="24"/>
          <w:szCs w:val="24"/>
        </w:rPr>
        <w:t xml:space="preserve">al </w:t>
      </w:r>
      <w:r w:rsidR="0071426A" w:rsidRPr="006C5CA0">
        <w:rPr>
          <w:rFonts w:ascii="Times New Roman" w:hAnsi="Times New Roman" w:cs="Times New Roman"/>
          <w:sz w:val="24"/>
          <w:szCs w:val="24"/>
        </w:rPr>
        <w:t>egreso</w:t>
      </w:r>
      <w:r w:rsidR="00EF0682" w:rsidRPr="006C5CA0">
        <w:rPr>
          <w:rFonts w:ascii="Times New Roman" w:hAnsi="Times New Roman" w:cs="Times New Roman"/>
          <w:sz w:val="24"/>
          <w:szCs w:val="24"/>
        </w:rPr>
        <w:t xml:space="preserve"> de 2.6</w:t>
      </w:r>
      <w:r w:rsidR="006566E7" w:rsidRPr="006C5CA0">
        <w:rPr>
          <w:rFonts w:ascii="Times New Roman" w:hAnsi="Times New Roman" w:cs="Times New Roman"/>
          <w:sz w:val="24"/>
          <w:szCs w:val="24"/>
        </w:rPr>
        <w:t xml:space="preserve"> g/dl</w:t>
      </w:r>
      <w:r w:rsidR="00EF0682" w:rsidRPr="006C5CA0">
        <w:rPr>
          <w:rFonts w:ascii="Times New Roman" w:hAnsi="Times New Roman" w:cs="Times New Roman"/>
          <w:sz w:val="24"/>
          <w:szCs w:val="24"/>
        </w:rPr>
        <w:t xml:space="preserve"> (p&lt;</w:t>
      </w:r>
      <w:r w:rsidR="00EA69E5" w:rsidRPr="006C5CA0">
        <w:rPr>
          <w:rFonts w:ascii="Times New Roman" w:hAnsi="Times New Roman" w:cs="Times New Roman"/>
          <w:sz w:val="24"/>
          <w:szCs w:val="24"/>
        </w:rPr>
        <w:t>0</w:t>
      </w:r>
      <w:r w:rsidR="00EF0682" w:rsidRPr="006C5CA0">
        <w:rPr>
          <w:rFonts w:ascii="Times New Roman" w:hAnsi="Times New Roman" w:cs="Times New Roman"/>
          <w:sz w:val="24"/>
          <w:szCs w:val="24"/>
        </w:rPr>
        <w:t>.000</w:t>
      </w:r>
      <w:r w:rsidR="008167D7" w:rsidRPr="006C5CA0">
        <w:rPr>
          <w:rFonts w:ascii="Times New Roman" w:hAnsi="Times New Roman" w:cs="Times New Roman"/>
          <w:sz w:val="24"/>
          <w:szCs w:val="24"/>
        </w:rPr>
        <w:t>1</w:t>
      </w:r>
      <w:r w:rsidR="00EF0682" w:rsidRPr="006C5CA0">
        <w:rPr>
          <w:rFonts w:ascii="Times New Roman" w:hAnsi="Times New Roman" w:cs="Times New Roman"/>
          <w:sz w:val="24"/>
          <w:szCs w:val="24"/>
        </w:rPr>
        <w:t xml:space="preserve">) y </w:t>
      </w:r>
      <w:r w:rsidR="00600EE6" w:rsidRPr="006C5CA0">
        <w:rPr>
          <w:rFonts w:ascii="Times New Roman" w:hAnsi="Times New Roman" w:cs="Times New Roman"/>
          <w:sz w:val="24"/>
          <w:szCs w:val="24"/>
        </w:rPr>
        <w:t>proteínas</w:t>
      </w:r>
      <w:r w:rsidR="00EF0682" w:rsidRPr="006C5CA0">
        <w:rPr>
          <w:rFonts w:ascii="Times New Roman" w:hAnsi="Times New Roman" w:cs="Times New Roman"/>
          <w:sz w:val="24"/>
          <w:szCs w:val="24"/>
        </w:rPr>
        <w:t xml:space="preserve"> totale</w:t>
      </w:r>
      <w:r w:rsidR="00AD3CED" w:rsidRPr="006C5CA0">
        <w:rPr>
          <w:rFonts w:ascii="Times New Roman" w:hAnsi="Times New Roman" w:cs="Times New Roman"/>
          <w:sz w:val="24"/>
          <w:szCs w:val="24"/>
        </w:rPr>
        <w:t>s, al ingreso una media de 5.580</w:t>
      </w:r>
      <w:r w:rsidR="00EF0682" w:rsidRPr="006C5CA0">
        <w:rPr>
          <w:rFonts w:ascii="Times New Roman" w:hAnsi="Times New Roman" w:cs="Times New Roman"/>
          <w:sz w:val="24"/>
          <w:szCs w:val="24"/>
        </w:rPr>
        <w:t xml:space="preserve"> </w:t>
      </w:r>
      <w:r w:rsidR="006566E7" w:rsidRPr="006C5CA0">
        <w:rPr>
          <w:rFonts w:ascii="Times New Roman" w:hAnsi="Times New Roman" w:cs="Times New Roman"/>
          <w:sz w:val="24"/>
          <w:szCs w:val="24"/>
        </w:rPr>
        <w:t xml:space="preserve">g/dl </w:t>
      </w:r>
      <w:r w:rsidR="00EF0682" w:rsidRPr="006C5CA0">
        <w:rPr>
          <w:rFonts w:ascii="Times New Roman" w:hAnsi="Times New Roman" w:cs="Times New Roman"/>
          <w:sz w:val="24"/>
          <w:szCs w:val="24"/>
        </w:rPr>
        <w:t>y al egre</w:t>
      </w:r>
      <w:r w:rsidR="00AD3CED" w:rsidRPr="006C5CA0">
        <w:rPr>
          <w:rFonts w:ascii="Times New Roman" w:hAnsi="Times New Roman" w:cs="Times New Roman"/>
          <w:sz w:val="24"/>
          <w:szCs w:val="24"/>
        </w:rPr>
        <w:t>so 5.413</w:t>
      </w:r>
      <w:r w:rsidR="00EF0682" w:rsidRPr="006C5CA0">
        <w:rPr>
          <w:rFonts w:ascii="Times New Roman" w:hAnsi="Times New Roman" w:cs="Times New Roman"/>
          <w:sz w:val="24"/>
          <w:szCs w:val="24"/>
        </w:rPr>
        <w:t xml:space="preserve"> </w:t>
      </w:r>
      <w:r w:rsidR="006566E7" w:rsidRPr="006C5CA0">
        <w:rPr>
          <w:rFonts w:ascii="Times New Roman" w:hAnsi="Times New Roman" w:cs="Times New Roman"/>
          <w:sz w:val="24"/>
          <w:szCs w:val="24"/>
        </w:rPr>
        <w:t xml:space="preserve">g/dl </w:t>
      </w:r>
      <w:r w:rsidR="00EF0682" w:rsidRPr="006C5CA0">
        <w:rPr>
          <w:rFonts w:ascii="Times New Roman" w:hAnsi="Times New Roman" w:cs="Times New Roman"/>
          <w:sz w:val="24"/>
          <w:szCs w:val="24"/>
        </w:rPr>
        <w:t>(p&lt;</w:t>
      </w:r>
      <w:r w:rsidR="00EA69E5" w:rsidRPr="006C5CA0">
        <w:rPr>
          <w:rFonts w:ascii="Times New Roman" w:hAnsi="Times New Roman" w:cs="Times New Roman"/>
          <w:sz w:val="24"/>
          <w:szCs w:val="24"/>
        </w:rPr>
        <w:t>0</w:t>
      </w:r>
      <w:r w:rsidR="00EF0682" w:rsidRPr="006C5CA0">
        <w:rPr>
          <w:rFonts w:ascii="Times New Roman" w:hAnsi="Times New Roman" w:cs="Times New Roman"/>
          <w:sz w:val="24"/>
          <w:szCs w:val="24"/>
        </w:rPr>
        <w:t>.000</w:t>
      </w:r>
      <w:r w:rsidR="008167D7" w:rsidRPr="006C5CA0">
        <w:rPr>
          <w:rFonts w:ascii="Times New Roman" w:hAnsi="Times New Roman" w:cs="Times New Roman"/>
          <w:sz w:val="24"/>
          <w:szCs w:val="24"/>
        </w:rPr>
        <w:t>1</w:t>
      </w:r>
      <w:r w:rsidR="00EF0682" w:rsidRPr="006C5CA0">
        <w:rPr>
          <w:rFonts w:ascii="Times New Roman" w:hAnsi="Times New Roman" w:cs="Times New Roman"/>
          <w:sz w:val="24"/>
          <w:szCs w:val="24"/>
        </w:rPr>
        <w:t>).</w:t>
      </w:r>
      <w:r w:rsidR="00C60198" w:rsidRPr="006C5CA0">
        <w:rPr>
          <w:rFonts w:ascii="Times New Roman" w:hAnsi="Times New Roman" w:cs="Times New Roman"/>
          <w:sz w:val="24"/>
          <w:szCs w:val="24"/>
        </w:rPr>
        <w:t xml:space="preserve"> </w:t>
      </w:r>
      <w:r w:rsidR="000D1A66" w:rsidRPr="006C5CA0">
        <w:rPr>
          <w:rFonts w:ascii="Times New Roman" w:hAnsi="Times New Roman" w:cs="Times New Roman"/>
          <w:sz w:val="24"/>
          <w:szCs w:val="24"/>
        </w:rPr>
        <w:t>Se encontró una relación significativa (p&lt;</w:t>
      </w:r>
      <w:r w:rsidR="00EA69E5" w:rsidRPr="006C5CA0">
        <w:rPr>
          <w:rFonts w:ascii="Times New Roman" w:hAnsi="Times New Roman" w:cs="Times New Roman"/>
          <w:sz w:val="24"/>
          <w:szCs w:val="24"/>
        </w:rPr>
        <w:t>0</w:t>
      </w:r>
      <w:r w:rsidR="00DA794A" w:rsidRPr="006C5CA0">
        <w:rPr>
          <w:rFonts w:ascii="Times New Roman" w:hAnsi="Times New Roman" w:cs="Times New Roman"/>
          <w:sz w:val="24"/>
          <w:szCs w:val="24"/>
        </w:rPr>
        <w:t xml:space="preserve">.05) entre el inicio temprano de la nutrición enteral </w:t>
      </w:r>
      <w:r w:rsidR="000D1A66" w:rsidRPr="006C5CA0">
        <w:rPr>
          <w:rFonts w:ascii="Times New Roman" w:hAnsi="Times New Roman" w:cs="Times New Roman"/>
          <w:sz w:val="24"/>
          <w:szCs w:val="24"/>
        </w:rPr>
        <w:t>con</w:t>
      </w:r>
      <w:r w:rsidR="00DA794A" w:rsidRPr="006C5CA0">
        <w:rPr>
          <w:rFonts w:ascii="Times New Roman" w:hAnsi="Times New Roman" w:cs="Times New Roman"/>
          <w:sz w:val="24"/>
          <w:szCs w:val="24"/>
        </w:rPr>
        <w:t xml:space="preserve"> días de estancia hospitalaria, </w:t>
      </w:r>
      <w:r w:rsidR="000D1A66" w:rsidRPr="006C5CA0">
        <w:rPr>
          <w:rFonts w:ascii="Times New Roman" w:hAnsi="Times New Roman" w:cs="Times New Roman"/>
          <w:sz w:val="24"/>
          <w:szCs w:val="24"/>
        </w:rPr>
        <w:t>y el</w:t>
      </w:r>
      <w:r w:rsidR="00EA69E5" w:rsidRPr="006C5CA0">
        <w:rPr>
          <w:rFonts w:ascii="Times New Roman" w:hAnsi="Times New Roman" w:cs="Times New Roman"/>
          <w:sz w:val="24"/>
          <w:szCs w:val="24"/>
        </w:rPr>
        <w:t xml:space="preserve"> conteo de leucocitos al egreso</w:t>
      </w:r>
      <w:r w:rsidR="00F5112A" w:rsidRPr="006C5CA0">
        <w:rPr>
          <w:rFonts w:ascii="Times New Roman" w:hAnsi="Times New Roman" w:cs="Times New Roman"/>
          <w:sz w:val="24"/>
          <w:szCs w:val="24"/>
        </w:rPr>
        <w:t xml:space="preserve"> (</w:t>
      </w:r>
      <w:r w:rsidR="000F26F1" w:rsidRPr="006C5CA0">
        <w:rPr>
          <w:rFonts w:ascii="Times New Roman" w:hAnsi="Times New Roman" w:cs="Times New Roman"/>
          <w:sz w:val="24"/>
          <w:szCs w:val="24"/>
        </w:rPr>
        <w:t>t</w:t>
      </w:r>
      <w:r w:rsidR="00F5112A" w:rsidRPr="006C5CA0">
        <w:rPr>
          <w:rFonts w:ascii="Times New Roman" w:hAnsi="Times New Roman" w:cs="Times New Roman"/>
          <w:sz w:val="24"/>
          <w:szCs w:val="24"/>
        </w:rPr>
        <w:t xml:space="preserve">abla </w:t>
      </w:r>
      <w:r w:rsidR="00986B81" w:rsidRPr="006C5CA0">
        <w:rPr>
          <w:rFonts w:ascii="Times New Roman" w:hAnsi="Times New Roman" w:cs="Times New Roman"/>
          <w:sz w:val="24"/>
          <w:szCs w:val="24"/>
        </w:rPr>
        <w:t>3</w:t>
      </w:r>
      <w:r w:rsidR="00F5112A" w:rsidRPr="006C5CA0">
        <w:rPr>
          <w:rFonts w:ascii="Times New Roman" w:hAnsi="Times New Roman" w:cs="Times New Roman"/>
          <w:sz w:val="24"/>
          <w:szCs w:val="24"/>
        </w:rPr>
        <w:t>)</w:t>
      </w:r>
      <w:r w:rsidR="00EA69E5" w:rsidRPr="006C5CA0">
        <w:rPr>
          <w:rFonts w:ascii="Times New Roman" w:hAnsi="Times New Roman" w:cs="Times New Roman"/>
          <w:sz w:val="24"/>
          <w:szCs w:val="24"/>
        </w:rPr>
        <w:t>.</w:t>
      </w:r>
    </w:p>
    <w:p w:rsidR="00D70C85" w:rsidRDefault="00D70C85" w:rsidP="006C5CA0">
      <w:pPr>
        <w:autoSpaceDE w:val="0"/>
        <w:autoSpaceDN w:val="0"/>
        <w:adjustRightInd w:val="0"/>
        <w:spacing w:after="0" w:line="360" w:lineRule="auto"/>
        <w:jc w:val="both"/>
        <w:rPr>
          <w:rFonts w:ascii="Times New Roman" w:hAnsi="Times New Roman" w:cs="Times New Roman"/>
          <w:sz w:val="24"/>
          <w:szCs w:val="24"/>
        </w:rPr>
      </w:pPr>
    </w:p>
    <w:p w:rsidR="00786373" w:rsidRDefault="00786373" w:rsidP="006C5CA0">
      <w:pPr>
        <w:autoSpaceDE w:val="0"/>
        <w:autoSpaceDN w:val="0"/>
        <w:adjustRightInd w:val="0"/>
        <w:spacing w:after="0" w:line="360" w:lineRule="auto"/>
        <w:jc w:val="both"/>
        <w:rPr>
          <w:rFonts w:ascii="Times New Roman" w:hAnsi="Times New Roman" w:cs="Times New Roman"/>
          <w:sz w:val="24"/>
          <w:szCs w:val="24"/>
        </w:rPr>
      </w:pPr>
    </w:p>
    <w:p w:rsidR="00786373" w:rsidRDefault="00786373" w:rsidP="006C5CA0">
      <w:pPr>
        <w:autoSpaceDE w:val="0"/>
        <w:autoSpaceDN w:val="0"/>
        <w:adjustRightInd w:val="0"/>
        <w:spacing w:after="0" w:line="360" w:lineRule="auto"/>
        <w:jc w:val="both"/>
        <w:rPr>
          <w:rFonts w:ascii="Times New Roman" w:hAnsi="Times New Roman" w:cs="Times New Roman"/>
          <w:sz w:val="24"/>
          <w:szCs w:val="24"/>
        </w:rPr>
      </w:pPr>
    </w:p>
    <w:p w:rsidR="00786373" w:rsidRDefault="00786373" w:rsidP="006C5CA0">
      <w:pPr>
        <w:autoSpaceDE w:val="0"/>
        <w:autoSpaceDN w:val="0"/>
        <w:adjustRightInd w:val="0"/>
        <w:spacing w:after="0" w:line="360" w:lineRule="auto"/>
        <w:jc w:val="both"/>
        <w:rPr>
          <w:rFonts w:ascii="Times New Roman" w:hAnsi="Times New Roman" w:cs="Times New Roman"/>
          <w:sz w:val="24"/>
          <w:szCs w:val="24"/>
        </w:rPr>
      </w:pPr>
    </w:p>
    <w:p w:rsidR="00786373" w:rsidRPr="006C5CA0" w:rsidRDefault="00786373" w:rsidP="006C5CA0">
      <w:pPr>
        <w:autoSpaceDE w:val="0"/>
        <w:autoSpaceDN w:val="0"/>
        <w:adjustRightInd w:val="0"/>
        <w:spacing w:after="0" w:line="360" w:lineRule="auto"/>
        <w:jc w:val="both"/>
        <w:rPr>
          <w:rFonts w:ascii="Times New Roman" w:hAnsi="Times New Roman" w:cs="Times New Roman"/>
          <w:sz w:val="24"/>
          <w:szCs w:val="24"/>
        </w:rPr>
      </w:pPr>
    </w:p>
    <w:p w:rsidR="00EA1B60" w:rsidRPr="006C5CA0" w:rsidRDefault="00986B81" w:rsidP="006C5CA0">
      <w:pPr>
        <w:autoSpaceDE w:val="0"/>
        <w:autoSpaceDN w:val="0"/>
        <w:adjustRightInd w:val="0"/>
        <w:spacing w:after="0" w:line="360" w:lineRule="auto"/>
        <w:jc w:val="both"/>
        <w:rPr>
          <w:rFonts w:ascii="Times New Roman" w:hAnsi="Times New Roman" w:cs="Times New Roman"/>
          <w:sz w:val="24"/>
          <w:szCs w:val="24"/>
        </w:rPr>
      </w:pPr>
      <w:r w:rsidRPr="006C5CA0">
        <w:rPr>
          <w:rFonts w:ascii="Times New Roman" w:hAnsi="Times New Roman" w:cs="Times New Roman"/>
          <w:sz w:val="24"/>
          <w:szCs w:val="24"/>
        </w:rPr>
        <w:lastRenderedPageBreak/>
        <w:t>Tabla 3</w:t>
      </w:r>
      <w:r w:rsidR="00EA1B60" w:rsidRPr="006C5CA0">
        <w:rPr>
          <w:rFonts w:ascii="Times New Roman" w:hAnsi="Times New Roman" w:cs="Times New Roman"/>
          <w:sz w:val="24"/>
          <w:szCs w:val="24"/>
        </w:rPr>
        <w:t>. Distribución de medias en los pacientes con TCE en la UCI del Hospital General de Mexicali.</w:t>
      </w:r>
    </w:p>
    <w:p w:rsidR="00EA1B60" w:rsidRDefault="00EA1B60" w:rsidP="006C5CA0">
      <w:pPr>
        <w:autoSpaceDE w:val="0"/>
        <w:autoSpaceDN w:val="0"/>
        <w:adjustRightInd w:val="0"/>
        <w:spacing w:after="0" w:line="360" w:lineRule="auto"/>
        <w:jc w:val="both"/>
        <w:rPr>
          <w:rFonts w:ascii="Times New Roman" w:hAnsi="Times New Roman" w:cs="Times New Roman"/>
          <w:sz w:val="24"/>
          <w:szCs w:val="24"/>
        </w:rPr>
      </w:pPr>
      <w:r w:rsidRPr="006C5CA0">
        <w:rPr>
          <w:rFonts w:ascii="Times New Roman" w:hAnsi="Times New Roman" w:cs="Times New Roman"/>
          <w:sz w:val="24"/>
          <w:szCs w:val="24"/>
        </w:rPr>
        <w:t>n=30</w:t>
      </w:r>
    </w:p>
    <w:p w:rsidR="006C5CA0" w:rsidRPr="006C5CA0" w:rsidRDefault="006C5CA0" w:rsidP="006C5CA0">
      <w:pPr>
        <w:autoSpaceDE w:val="0"/>
        <w:autoSpaceDN w:val="0"/>
        <w:adjustRightInd w:val="0"/>
        <w:spacing w:after="0" w:line="360" w:lineRule="auto"/>
        <w:jc w:val="both"/>
        <w:rPr>
          <w:rFonts w:ascii="Times New Roman" w:hAnsi="Times New Roman" w:cs="Times New Roman"/>
          <w:sz w:val="24"/>
          <w:szCs w:val="24"/>
        </w:rPr>
      </w:pPr>
    </w:p>
    <w:tbl>
      <w:tblPr>
        <w:tblStyle w:val="Tablaconcuadrcula"/>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2430"/>
        <w:gridCol w:w="2160"/>
      </w:tblGrid>
      <w:tr w:rsidR="00EA1B60" w:rsidRPr="00047165" w:rsidTr="00EA1B60">
        <w:trPr>
          <w:jc w:val="center"/>
        </w:trPr>
        <w:tc>
          <w:tcPr>
            <w:tcW w:w="3060" w:type="dxa"/>
            <w:tcBorders>
              <w:top w:val="single" w:sz="4" w:space="0" w:color="auto"/>
              <w:bottom w:val="single" w:sz="4" w:space="0" w:color="auto"/>
            </w:tcBorders>
          </w:tcPr>
          <w:p w:rsidR="00EA1B60" w:rsidRPr="00047165" w:rsidRDefault="00EA1B60" w:rsidP="00666D07">
            <w:pPr>
              <w:spacing w:line="276" w:lineRule="auto"/>
              <w:jc w:val="both"/>
              <w:rPr>
                <w:rFonts w:ascii="Arial" w:hAnsi="Arial" w:cs="Arial"/>
                <w:sz w:val="20"/>
                <w:szCs w:val="20"/>
              </w:rPr>
            </w:pPr>
            <w:r>
              <w:rPr>
                <w:rFonts w:ascii="Arial" w:hAnsi="Arial" w:cs="Arial"/>
                <w:sz w:val="20"/>
                <w:szCs w:val="20"/>
              </w:rPr>
              <w:t>Resultados bioquímicos</w:t>
            </w:r>
          </w:p>
        </w:tc>
        <w:tc>
          <w:tcPr>
            <w:tcW w:w="2430" w:type="dxa"/>
            <w:tcBorders>
              <w:top w:val="single" w:sz="4" w:space="0" w:color="auto"/>
              <w:bottom w:val="single" w:sz="4" w:space="0" w:color="auto"/>
            </w:tcBorders>
          </w:tcPr>
          <w:p w:rsidR="00EA1B60" w:rsidRPr="00047165" w:rsidRDefault="00EA1B60" w:rsidP="00666D07">
            <w:pPr>
              <w:spacing w:line="276" w:lineRule="auto"/>
              <w:jc w:val="both"/>
              <w:rPr>
                <w:rFonts w:ascii="Arial" w:hAnsi="Arial" w:cs="Arial"/>
                <w:sz w:val="20"/>
                <w:szCs w:val="20"/>
              </w:rPr>
            </w:pPr>
            <w:r>
              <w:rPr>
                <w:rFonts w:ascii="Arial" w:hAnsi="Arial" w:cs="Arial"/>
                <w:sz w:val="20"/>
                <w:szCs w:val="20"/>
              </w:rPr>
              <w:t>Ingreso</w:t>
            </w:r>
          </w:p>
        </w:tc>
        <w:tc>
          <w:tcPr>
            <w:tcW w:w="2160" w:type="dxa"/>
            <w:tcBorders>
              <w:top w:val="single" w:sz="4" w:space="0" w:color="auto"/>
              <w:bottom w:val="single" w:sz="4" w:space="0" w:color="auto"/>
            </w:tcBorders>
          </w:tcPr>
          <w:p w:rsidR="00EA1B60" w:rsidRPr="00047165" w:rsidRDefault="00EA1B60" w:rsidP="00666D07">
            <w:pPr>
              <w:spacing w:line="276" w:lineRule="auto"/>
              <w:jc w:val="both"/>
              <w:rPr>
                <w:rFonts w:ascii="Arial" w:hAnsi="Arial" w:cs="Arial"/>
                <w:sz w:val="20"/>
                <w:szCs w:val="20"/>
              </w:rPr>
            </w:pPr>
            <w:r>
              <w:rPr>
                <w:rFonts w:ascii="Arial" w:hAnsi="Arial" w:cs="Arial"/>
                <w:sz w:val="20"/>
                <w:szCs w:val="20"/>
              </w:rPr>
              <w:t>Egreso</w:t>
            </w:r>
          </w:p>
        </w:tc>
      </w:tr>
      <w:tr w:rsidR="00EA1B60" w:rsidRPr="00047165" w:rsidTr="00EA1B60">
        <w:trPr>
          <w:jc w:val="center"/>
        </w:trPr>
        <w:tc>
          <w:tcPr>
            <w:tcW w:w="3060" w:type="dxa"/>
            <w:tcBorders>
              <w:top w:val="single" w:sz="4" w:space="0" w:color="auto"/>
            </w:tcBorders>
          </w:tcPr>
          <w:p w:rsidR="00EA1B60" w:rsidRPr="00047165" w:rsidRDefault="00EA1B60" w:rsidP="00666D07">
            <w:pPr>
              <w:spacing w:line="276" w:lineRule="auto"/>
              <w:jc w:val="both"/>
              <w:rPr>
                <w:rFonts w:ascii="Arial" w:hAnsi="Arial" w:cs="Arial"/>
                <w:sz w:val="20"/>
                <w:szCs w:val="20"/>
              </w:rPr>
            </w:pPr>
            <w:r>
              <w:rPr>
                <w:rFonts w:ascii="Arial" w:hAnsi="Arial" w:cs="Arial"/>
                <w:sz w:val="20"/>
                <w:szCs w:val="20"/>
              </w:rPr>
              <w:t>Leucocitos</w:t>
            </w:r>
          </w:p>
        </w:tc>
        <w:tc>
          <w:tcPr>
            <w:tcW w:w="2430" w:type="dxa"/>
            <w:tcBorders>
              <w:top w:val="single" w:sz="4" w:space="0" w:color="auto"/>
            </w:tcBorders>
          </w:tcPr>
          <w:p w:rsidR="00EA1B60" w:rsidRPr="00C24A36" w:rsidRDefault="00EA1B60" w:rsidP="00666D07">
            <w:pPr>
              <w:spacing w:line="276" w:lineRule="auto"/>
              <w:jc w:val="both"/>
              <w:rPr>
                <w:rFonts w:ascii="Arial" w:hAnsi="Arial" w:cs="Arial"/>
                <w:sz w:val="20"/>
                <w:szCs w:val="20"/>
                <w:vertAlign w:val="superscript"/>
              </w:rPr>
            </w:pPr>
            <w:r>
              <w:rPr>
                <w:rFonts w:ascii="Arial" w:hAnsi="Arial" w:cs="Arial"/>
                <w:sz w:val="20"/>
                <w:szCs w:val="20"/>
              </w:rPr>
              <w:t>17.139 /mm</w:t>
            </w:r>
            <w:r>
              <w:rPr>
                <w:rFonts w:ascii="Arial" w:hAnsi="Arial" w:cs="Arial"/>
                <w:sz w:val="20"/>
                <w:szCs w:val="20"/>
                <w:vertAlign w:val="superscript"/>
              </w:rPr>
              <w:t>3</w:t>
            </w:r>
          </w:p>
        </w:tc>
        <w:tc>
          <w:tcPr>
            <w:tcW w:w="2160" w:type="dxa"/>
            <w:tcBorders>
              <w:top w:val="single" w:sz="4" w:space="0" w:color="auto"/>
            </w:tcBorders>
          </w:tcPr>
          <w:p w:rsidR="00EA1B60" w:rsidRPr="00047165" w:rsidRDefault="00EA1B60" w:rsidP="00666D07">
            <w:pPr>
              <w:spacing w:line="276" w:lineRule="auto"/>
              <w:jc w:val="both"/>
              <w:rPr>
                <w:rFonts w:ascii="Arial" w:hAnsi="Arial" w:cs="Arial"/>
                <w:sz w:val="20"/>
                <w:szCs w:val="20"/>
              </w:rPr>
            </w:pPr>
            <w:r>
              <w:rPr>
                <w:rFonts w:ascii="Arial" w:hAnsi="Arial" w:cs="Arial"/>
                <w:sz w:val="20"/>
                <w:szCs w:val="20"/>
              </w:rPr>
              <w:t>15.236 /mm</w:t>
            </w:r>
            <w:r>
              <w:rPr>
                <w:rFonts w:ascii="Arial" w:hAnsi="Arial" w:cs="Arial"/>
                <w:sz w:val="20"/>
                <w:szCs w:val="20"/>
                <w:vertAlign w:val="superscript"/>
              </w:rPr>
              <w:t>3</w:t>
            </w:r>
          </w:p>
        </w:tc>
      </w:tr>
      <w:tr w:rsidR="00EA1B60" w:rsidRPr="00047165" w:rsidTr="00EA1B60">
        <w:trPr>
          <w:jc w:val="center"/>
        </w:trPr>
        <w:tc>
          <w:tcPr>
            <w:tcW w:w="3060" w:type="dxa"/>
          </w:tcPr>
          <w:p w:rsidR="00EA1B60" w:rsidRPr="00047165" w:rsidRDefault="00EA1B60" w:rsidP="00666D07">
            <w:pPr>
              <w:spacing w:line="276" w:lineRule="auto"/>
              <w:jc w:val="both"/>
              <w:rPr>
                <w:rFonts w:ascii="Arial" w:hAnsi="Arial" w:cs="Arial"/>
                <w:sz w:val="20"/>
                <w:szCs w:val="20"/>
              </w:rPr>
            </w:pPr>
            <w:r>
              <w:rPr>
                <w:rFonts w:ascii="Arial" w:hAnsi="Arial" w:cs="Arial"/>
                <w:sz w:val="20"/>
                <w:szCs w:val="20"/>
              </w:rPr>
              <w:t>Linfocitos</w:t>
            </w:r>
          </w:p>
        </w:tc>
        <w:tc>
          <w:tcPr>
            <w:tcW w:w="2430" w:type="dxa"/>
          </w:tcPr>
          <w:p w:rsidR="00EA1B60" w:rsidRPr="00047165" w:rsidRDefault="00EA1B60" w:rsidP="000F26F1">
            <w:pPr>
              <w:spacing w:line="276" w:lineRule="auto"/>
              <w:jc w:val="both"/>
              <w:rPr>
                <w:rFonts w:ascii="Arial" w:hAnsi="Arial" w:cs="Arial"/>
                <w:sz w:val="20"/>
                <w:szCs w:val="20"/>
              </w:rPr>
            </w:pPr>
            <w:r>
              <w:rPr>
                <w:rFonts w:ascii="Arial" w:hAnsi="Arial" w:cs="Arial"/>
                <w:sz w:val="20"/>
                <w:szCs w:val="20"/>
              </w:rPr>
              <w:t>17.816</w:t>
            </w:r>
            <w:r w:rsidR="000F26F1">
              <w:rPr>
                <w:rFonts w:ascii="Arial" w:hAnsi="Arial" w:cs="Arial"/>
                <w:sz w:val="20"/>
                <w:szCs w:val="20"/>
              </w:rPr>
              <w:t xml:space="preserve"> </w:t>
            </w:r>
            <w:r>
              <w:rPr>
                <w:rFonts w:ascii="Arial" w:hAnsi="Arial" w:cs="Arial"/>
                <w:sz w:val="20"/>
                <w:szCs w:val="20"/>
              </w:rPr>
              <w:t>%</w:t>
            </w:r>
          </w:p>
        </w:tc>
        <w:tc>
          <w:tcPr>
            <w:tcW w:w="2160" w:type="dxa"/>
          </w:tcPr>
          <w:p w:rsidR="00EA1B60" w:rsidRPr="00047165" w:rsidRDefault="00EA1B60" w:rsidP="00666D07">
            <w:pPr>
              <w:spacing w:line="276" w:lineRule="auto"/>
              <w:jc w:val="both"/>
              <w:rPr>
                <w:rFonts w:ascii="Arial" w:hAnsi="Arial" w:cs="Arial"/>
                <w:sz w:val="20"/>
                <w:szCs w:val="20"/>
              </w:rPr>
            </w:pPr>
            <w:r>
              <w:rPr>
                <w:rFonts w:ascii="Arial" w:hAnsi="Arial" w:cs="Arial"/>
                <w:sz w:val="20"/>
                <w:szCs w:val="20"/>
              </w:rPr>
              <w:t>17.346 %</w:t>
            </w:r>
          </w:p>
        </w:tc>
      </w:tr>
      <w:tr w:rsidR="00EA1B60" w:rsidRPr="00047165" w:rsidTr="00EA1B60">
        <w:trPr>
          <w:jc w:val="center"/>
        </w:trPr>
        <w:tc>
          <w:tcPr>
            <w:tcW w:w="3060" w:type="dxa"/>
          </w:tcPr>
          <w:p w:rsidR="00EA1B60" w:rsidRPr="00047165" w:rsidRDefault="00EA1B60" w:rsidP="000F26F1">
            <w:pPr>
              <w:spacing w:line="276" w:lineRule="auto"/>
              <w:jc w:val="both"/>
              <w:rPr>
                <w:rFonts w:ascii="Arial" w:hAnsi="Arial" w:cs="Arial"/>
                <w:sz w:val="20"/>
                <w:szCs w:val="20"/>
              </w:rPr>
            </w:pPr>
            <w:r>
              <w:rPr>
                <w:rFonts w:ascii="Arial" w:hAnsi="Arial" w:cs="Arial"/>
                <w:sz w:val="20"/>
                <w:szCs w:val="20"/>
              </w:rPr>
              <w:t>Alb</w:t>
            </w:r>
            <w:r w:rsidR="000F26F1">
              <w:rPr>
                <w:rFonts w:ascii="Arial" w:hAnsi="Arial" w:cs="Arial"/>
                <w:sz w:val="20"/>
                <w:szCs w:val="20"/>
              </w:rPr>
              <w:t>ú</w:t>
            </w:r>
            <w:r>
              <w:rPr>
                <w:rFonts w:ascii="Arial" w:hAnsi="Arial" w:cs="Arial"/>
                <w:sz w:val="20"/>
                <w:szCs w:val="20"/>
              </w:rPr>
              <w:t>mina</w:t>
            </w:r>
          </w:p>
        </w:tc>
        <w:tc>
          <w:tcPr>
            <w:tcW w:w="2430" w:type="dxa"/>
          </w:tcPr>
          <w:p w:rsidR="00EA1B60" w:rsidRPr="00047165" w:rsidRDefault="00EA1B60" w:rsidP="00666D07">
            <w:pPr>
              <w:spacing w:line="276" w:lineRule="auto"/>
              <w:jc w:val="both"/>
              <w:rPr>
                <w:rFonts w:ascii="Arial" w:hAnsi="Arial" w:cs="Arial"/>
                <w:sz w:val="20"/>
                <w:szCs w:val="20"/>
              </w:rPr>
            </w:pPr>
            <w:r>
              <w:rPr>
                <w:rFonts w:ascii="Arial" w:hAnsi="Arial" w:cs="Arial"/>
                <w:sz w:val="20"/>
                <w:szCs w:val="20"/>
              </w:rPr>
              <w:t>3.01 g/dl</w:t>
            </w:r>
          </w:p>
        </w:tc>
        <w:tc>
          <w:tcPr>
            <w:tcW w:w="2160" w:type="dxa"/>
          </w:tcPr>
          <w:p w:rsidR="00EA1B60" w:rsidRPr="00047165" w:rsidRDefault="00EA1B60" w:rsidP="00666D07">
            <w:pPr>
              <w:spacing w:line="276" w:lineRule="auto"/>
              <w:jc w:val="both"/>
              <w:rPr>
                <w:rFonts w:ascii="Arial" w:hAnsi="Arial" w:cs="Arial"/>
                <w:sz w:val="20"/>
                <w:szCs w:val="20"/>
              </w:rPr>
            </w:pPr>
            <w:r>
              <w:rPr>
                <w:rFonts w:ascii="Arial" w:hAnsi="Arial" w:cs="Arial"/>
                <w:sz w:val="20"/>
                <w:szCs w:val="20"/>
              </w:rPr>
              <w:t>2.633 g/dl</w:t>
            </w:r>
          </w:p>
        </w:tc>
      </w:tr>
      <w:tr w:rsidR="00EA1B60" w:rsidRPr="00047165" w:rsidTr="00EA1B60">
        <w:trPr>
          <w:jc w:val="center"/>
        </w:trPr>
        <w:tc>
          <w:tcPr>
            <w:tcW w:w="3060" w:type="dxa"/>
          </w:tcPr>
          <w:p w:rsidR="00EA1B60" w:rsidRDefault="00EA1B60" w:rsidP="00666D07">
            <w:pPr>
              <w:spacing w:line="276" w:lineRule="auto"/>
              <w:jc w:val="both"/>
              <w:rPr>
                <w:rFonts w:ascii="Arial" w:hAnsi="Arial" w:cs="Arial"/>
                <w:sz w:val="20"/>
                <w:szCs w:val="20"/>
              </w:rPr>
            </w:pPr>
            <w:r>
              <w:rPr>
                <w:rFonts w:ascii="Arial" w:hAnsi="Arial" w:cs="Arial"/>
                <w:sz w:val="20"/>
                <w:szCs w:val="20"/>
              </w:rPr>
              <w:t>Proteínas totales</w:t>
            </w:r>
          </w:p>
        </w:tc>
        <w:tc>
          <w:tcPr>
            <w:tcW w:w="2430" w:type="dxa"/>
          </w:tcPr>
          <w:p w:rsidR="00EA1B60" w:rsidRDefault="00EA1B60" w:rsidP="00666D07">
            <w:pPr>
              <w:spacing w:line="276" w:lineRule="auto"/>
              <w:jc w:val="both"/>
              <w:rPr>
                <w:rFonts w:ascii="Arial" w:hAnsi="Arial" w:cs="Arial"/>
                <w:sz w:val="20"/>
                <w:szCs w:val="20"/>
              </w:rPr>
            </w:pPr>
            <w:r>
              <w:rPr>
                <w:rFonts w:ascii="Arial" w:hAnsi="Arial" w:cs="Arial"/>
                <w:sz w:val="20"/>
                <w:szCs w:val="20"/>
              </w:rPr>
              <w:t>5.580 g/dl</w:t>
            </w:r>
          </w:p>
        </w:tc>
        <w:tc>
          <w:tcPr>
            <w:tcW w:w="2160" w:type="dxa"/>
          </w:tcPr>
          <w:p w:rsidR="00EA1B60" w:rsidRPr="00047165" w:rsidRDefault="00EA1B60" w:rsidP="00666D07">
            <w:pPr>
              <w:spacing w:line="276" w:lineRule="auto"/>
              <w:jc w:val="both"/>
              <w:rPr>
                <w:rFonts w:ascii="Arial" w:hAnsi="Arial" w:cs="Arial"/>
                <w:sz w:val="20"/>
                <w:szCs w:val="20"/>
              </w:rPr>
            </w:pPr>
            <w:r>
              <w:rPr>
                <w:rFonts w:ascii="Arial" w:hAnsi="Arial" w:cs="Arial"/>
                <w:sz w:val="20"/>
                <w:szCs w:val="20"/>
              </w:rPr>
              <w:t>5.413 g/dl</w:t>
            </w:r>
          </w:p>
        </w:tc>
      </w:tr>
    </w:tbl>
    <w:p w:rsidR="00EA1B60" w:rsidRDefault="00EA1B60" w:rsidP="00666D07">
      <w:pPr>
        <w:jc w:val="both"/>
      </w:pPr>
      <w:r>
        <w:rPr>
          <w:rFonts w:ascii="Arial" w:hAnsi="Arial" w:cs="Arial"/>
          <w:sz w:val="16"/>
          <w:szCs w:val="16"/>
        </w:rPr>
        <w:t xml:space="preserve">                   </w:t>
      </w:r>
      <w:r w:rsidRPr="00576994">
        <w:rPr>
          <w:rFonts w:ascii="Arial" w:hAnsi="Arial" w:cs="Arial"/>
          <w:sz w:val="16"/>
          <w:szCs w:val="16"/>
        </w:rPr>
        <w:t xml:space="preserve">Fuente: </w:t>
      </w:r>
      <w:r>
        <w:rPr>
          <w:rFonts w:ascii="Arial" w:hAnsi="Arial" w:cs="Arial"/>
          <w:sz w:val="16"/>
          <w:szCs w:val="16"/>
        </w:rPr>
        <w:t>Expedientes,</w:t>
      </w:r>
      <w:r w:rsidRPr="00576994">
        <w:rPr>
          <w:rFonts w:ascii="Arial" w:hAnsi="Arial" w:cs="Arial"/>
          <w:sz w:val="16"/>
          <w:szCs w:val="16"/>
        </w:rPr>
        <w:t xml:space="preserve"> Hospital General de Mexicali.</w:t>
      </w:r>
    </w:p>
    <w:p w:rsidR="000D385C" w:rsidRDefault="000D385C" w:rsidP="00666D07">
      <w:pPr>
        <w:spacing w:after="0" w:line="480" w:lineRule="auto"/>
        <w:jc w:val="both"/>
        <w:rPr>
          <w:rFonts w:ascii="Arial" w:hAnsi="Arial" w:cs="Arial"/>
          <w:b/>
          <w:sz w:val="24"/>
          <w:szCs w:val="24"/>
        </w:rPr>
      </w:pPr>
    </w:p>
    <w:p w:rsidR="0065187E" w:rsidRDefault="007A36D8" w:rsidP="00666D07">
      <w:pPr>
        <w:spacing w:after="0" w:line="240" w:lineRule="auto"/>
        <w:jc w:val="both"/>
        <w:rPr>
          <w:rFonts w:ascii="Arial" w:hAnsi="Arial" w:cs="Arial"/>
          <w:b/>
          <w:sz w:val="24"/>
          <w:szCs w:val="24"/>
        </w:rPr>
      </w:pPr>
      <w:r>
        <w:rPr>
          <w:rFonts w:ascii="Arial" w:hAnsi="Arial" w:cs="Arial"/>
          <w:b/>
          <w:sz w:val="24"/>
          <w:szCs w:val="24"/>
        </w:rPr>
        <w:t>Discusión</w:t>
      </w:r>
    </w:p>
    <w:p w:rsidR="000F26F1" w:rsidRPr="003B09AF" w:rsidRDefault="000F26F1" w:rsidP="00666D07">
      <w:pPr>
        <w:spacing w:after="0" w:line="240" w:lineRule="auto"/>
        <w:jc w:val="both"/>
        <w:rPr>
          <w:rFonts w:ascii="Arial" w:hAnsi="Arial" w:cs="Arial"/>
          <w:b/>
          <w:sz w:val="24"/>
          <w:szCs w:val="24"/>
        </w:rPr>
      </w:pPr>
    </w:p>
    <w:p w:rsidR="00A46828" w:rsidRPr="006C5CA0" w:rsidRDefault="0065187E" w:rsidP="006C5CA0">
      <w:pPr>
        <w:spacing w:after="0" w:line="360" w:lineRule="auto"/>
        <w:jc w:val="both"/>
        <w:rPr>
          <w:rFonts w:ascii="Times New Roman" w:hAnsi="Times New Roman" w:cs="Times New Roman"/>
          <w:sz w:val="24"/>
          <w:szCs w:val="24"/>
        </w:rPr>
      </w:pPr>
      <w:r w:rsidRPr="006C5CA0">
        <w:rPr>
          <w:rFonts w:ascii="Times New Roman" w:hAnsi="Times New Roman" w:cs="Times New Roman"/>
          <w:sz w:val="24"/>
          <w:szCs w:val="24"/>
        </w:rPr>
        <w:t>De acuer</w:t>
      </w:r>
      <w:r w:rsidR="00D0397B" w:rsidRPr="006C5CA0">
        <w:rPr>
          <w:rFonts w:ascii="Times New Roman" w:hAnsi="Times New Roman" w:cs="Times New Roman"/>
          <w:sz w:val="24"/>
          <w:szCs w:val="24"/>
        </w:rPr>
        <w:t>do a los resultados obtenidos</w:t>
      </w:r>
      <w:r w:rsidR="002216DA" w:rsidRPr="006C5CA0">
        <w:rPr>
          <w:rFonts w:ascii="Times New Roman" w:hAnsi="Times New Roman" w:cs="Times New Roman"/>
          <w:sz w:val="24"/>
          <w:szCs w:val="24"/>
        </w:rPr>
        <w:t>,</w:t>
      </w:r>
      <w:r w:rsidR="00D0397B" w:rsidRPr="006C5CA0">
        <w:rPr>
          <w:rFonts w:ascii="Times New Roman" w:hAnsi="Times New Roman" w:cs="Times New Roman"/>
          <w:sz w:val="24"/>
          <w:szCs w:val="24"/>
        </w:rPr>
        <w:t xml:space="preserve"> el grupo de</w:t>
      </w:r>
      <w:r w:rsidRPr="006C5CA0">
        <w:rPr>
          <w:rFonts w:ascii="Times New Roman" w:hAnsi="Times New Roman" w:cs="Times New Roman"/>
          <w:sz w:val="24"/>
          <w:szCs w:val="24"/>
        </w:rPr>
        <w:t xml:space="preserve"> edad con </w:t>
      </w:r>
      <w:r w:rsidR="008639F4" w:rsidRPr="006C5CA0">
        <w:rPr>
          <w:rFonts w:ascii="Times New Roman" w:hAnsi="Times New Roman" w:cs="Times New Roman"/>
          <w:sz w:val="24"/>
          <w:szCs w:val="24"/>
        </w:rPr>
        <w:t>mayor incidencia de TCE</w:t>
      </w:r>
      <w:r w:rsidR="00D0397B" w:rsidRPr="006C5CA0">
        <w:rPr>
          <w:rFonts w:ascii="Times New Roman" w:hAnsi="Times New Roman" w:cs="Times New Roman"/>
          <w:sz w:val="24"/>
          <w:szCs w:val="24"/>
        </w:rPr>
        <w:t xml:space="preserve"> fue</w:t>
      </w:r>
      <w:r w:rsidR="002216DA" w:rsidRPr="006C5CA0">
        <w:rPr>
          <w:rFonts w:ascii="Times New Roman" w:hAnsi="Times New Roman" w:cs="Times New Roman"/>
          <w:sz w:val="24"/>
          <w:szCs w:val="24"/>
        </w:rPr>
        <w:t xml:space="preserve"> </w:t>
      </w:r>
      <w:r w:rsidR="00D0397B" w:rsidRPr="006C5CA0">
        <w:rPr>
          <w:rFonts w:ascii="Times New Roman" w:hAnsi="Times New Roman" w:cs="Times New Roman"/>
          <w:sz w:val="24"/>
          <w:szCs w:val="24"/>
        </w:rPr>
        <w:t>de</w:t>
      </w:r>
      <w:r w:rsidRPr="006C5CA0">
        <w:rPr>
          <w:rFonts w:ascii="Times New Roman" w:hAnsi="Times New Roman" w:cs="Times New Roman"/>
          <w:sz w:val="24"/>
          <w:szCs w:val="24"/>
        </w:rPr>
        <w:t xml:space="preserve"> 14 a 34 </w:t>
      </w:r>
      <w:r w:rsidR="001A1F8B" w:rsidRPr="006C5CA0">
        <w:rPr>
          <w:rFonts w:ascii="Times New Roman" w:hAnsi="Times New Roman" w:cs="Times New Roman"/>
          <w:sz w:val="24"/>
          <w:szCs w:val="24"/>
        </w:rPr>
        <w:t>años</w:t>
      </w:r>
      <w:r w:rsidRPr="006C5CA0">
        <w:rPr>
          <w:rFonts w:ascii="Times New Roman" w:hAnsi="Times New Roman" w:cs="Times New Roman"/>
          <w:sz w:val="24"/>
          <w:szCs w:val="24"/>
        </w:rPr>
        <w:t xml:space="preserve"> de edad,</w:t>
      </w:r>
      <w:r w:rsidR="0081199E" w:rsidRPr="006C5CA0">
        <w:rPr>
          <w:rFonts w:ascii="Times New Roman" w:hAnsi="Times New Roman" w:cs="Times New Roman"/>
          <w:sz w:val="24"/>
          <w:szCs w:val="24"/>
        </w:rPr>
        <w:t xml:space="preserve"> </w:t>
      </w:r>
      <w:r w:rsidR="002216DA" w:rsidRPr="006C5CA0">
        <w:rPr>
          <w:rFonts w:ascii="Times New Roman" w:hAnsi="Times New Roman" w:cs="Times New Roman"/>
          <w:sz w:val="24"/>
          <w:szCs w:val="24"/>
        </w:rPr>
        <w:t>encontrándose resultados similares</w:t>
      </w:r>
      <w:r w:rsidR="0081199E" w:rsidRPr="006C5CA0">
        <w:rPr>
          <w:rFonts w:ascii="Times New Roman" w:hAnsi="Times New Roman" w:cs="Times New Roman"/>
          <w:sz w:val="24"/>
          <w:szCs w:val="24"/>
        </w:rPr>
        <w:t xml:space="preserve"> </w:t>
      </w:r>
      <w:r w:rsidR="002216DA" w:rsidRPr="006C5CA0">
        <w:rPr>
          <w:rFonts w:ascii="Times New Roman" w:hAnsi="Times New Roman" w:cs="Times New Roman"/>
          <w:sz w:val="24"/>
          <w:szCs w:val="24"/>
        </w:rPr>
        <w:t xml:space="preserve">en </w:t>
      </w:r>
      <w:r w:rsidR="0081199E" w:rsidRPr="006C5CA0">
        <w:rPr>
          <w:rFonts w:ascii="Times New Roman" w:hAnsi="Times New Roman" w:cs="Times New Roman"/>
          <w:sz w:val="24"/>
          <w:szCs w:val="24"/>
        </w:rPr>
        <w:t>estudios previos</w:t>
      </w:r>
      <w:r w:rsidR="00A46828" w:rsidRPr="006C5CA0">
        <w:rPr>
          <w:rFonts w:ascii="Times New Roman" w:hAnsi="Times New Roman" w:cs="Times New Roman"/>
          <w:sz w:val="24"/>
          <w:szCs w:val="24"/>
        </w:rPr>
        <w:t xml:space="preserve"> que reportan la mayor incidencia en pacientes menores de 40 años de edad, </w:t>
      </w:r>
      <w:r w:rsidRPr="006C5CA0">
        <w:rPr>
          <w:rFonts w:ascii="Times New Roman" w:hAnsi="Times New Roman" w:cs="Times New Roman"/>
          <w:sz w:val="24"/>
          <w:szCs w:val="24"/>
        </w:rPr>
        <w:t>l</w:t>
      </w:r>
      <w:r w:rsidR="007D5068" w:rsidRPr="006C5CA0">
        <w:rPr>
          <w:rFonts w:ascii="Times New Roman" w:hAnsi="Times New Roman" w:cs="Times New Roman"/>
          <w:sz w:val="24"/>
          <w:szCs w:val="24"/>
        </w:rPr>
        <w:t>a cual</w:t>
      </w:r>
      <w:r w:rsidRPr="006C5CA0">
        <w:rPr>
          <w:rFonts w:ascii="Times New Roman" w:hAnsi="Times New Roman" w:cs="Times New Roman"/>
          <w:sz w:val="24"/>
          <w:szCs w:val="24"/>
        </w:rPr>
        <w:t xml:space="preserve"> corresponde a la edad de mayor productividad del ser humano</w:t>
      </w:r>
      <w:r w:rsidR="004777D8" w:rsidRPr="006C5CA0">
        <w:rPr>
          <w:rFonts w:ascii="Times New Roman" w:hAnsi="Times New Roman" w:cs="Times New Roman"/>
          <w:sz w:val="24"/>
          <w:szCs w:val="24"/>
        </w:rPr>
        <w:t>.</w:t>
      </w:r>
      <w:r w:rsidR="005303C5" w:rsidRPr="006C5CA0">
        <w:rPr>
          <w:rFonts w:ascii="Times New Roman" w:hAnsi="Times New Roman" w:cs="Times New Roman"/>
          <w:sz w:val="24"/>
          <w:szCs w:val="24"/>
        </w:rPr>
        <w:t>1</w:t>
      </w:r>
      <w:r w:rsidR="004777D8" w:rsidRPr="006C5CA0">
        <w:rPr>
          <w:rFonts w:ascii="Times New Roman" w:hAnsi="Times New Roman" w:cs="Times New Roman"/>
          <w:sz w:val="24"/>
          <w:szCs w:val="24"/>
        </w:rPr>
        <w:t>2</w:t>
      </w:r>
      <w:r w:rsidR="005303C5" w:rsidRPr="006C5CA0">
        <w:rPr>
          <w:rFonts w:ascii="Times New Roman" w:hAnsi="Times New Roman" w:cs="Times New Roman"/>
          <w:sz w:val="24"/>
          <w:szCs w:val="24"/>
        </w:rPr>
        <w:t>-1</w:t>
      </w:r>
      <w:r w:rsidR="004777D8" w:rsidRPr="006C5CA0">
        <w:rPr>
          <w:rFonts w:ascii="Times New Roman" w:hAnsi="Times New Roman" w:cs="Times New Roman"/>
          <w:sz w:val="24"/>
          <w:szCs w:val="24"/>
        </w:rPr>
        <w:t>4</w:t>
      </w:r>
    </w:p>
    <w:p w:rsidR="001A1F8B" w:rsidRPr="006C5CA0" w:rsidRDefault="001A1F8B" w:rsidP="006C5CA0">
      <w:pPr>
        <w:spacing w:after="0" w:line="360" w:lineRule="auto"/>
        <w:jc w:val="both"/>
        <w:rPr>
          <w:rFonts w:ascii="Times New Roman" w:hAnsi="Times New Roman" w:cs="Times New Roman"/>
          <w:sz w:val="24"/>
          <w:szCs w:val="24"/>
        </w:rPr>
      </w:pPr>
      <w:r w:rsidRPr="006C5CA0">
        <w:rPr>
          <w:rFonts w:ascii="Times New Roman" w:hAnsi="Times New Roman" w:cs="Times New Roman"/>
          <w:sz w:val="24"/>
          <w:szCs w:val="24"/>
        </w:rPr>
        <w:t xml:space="preserve">El </w:t>
      </w:r>
      <w:r w:rsidR="00EA69E5" w:rsidRPr="006C5CA0">
        <w:rPr>
          <w:rFonts w:ascii="Times New Roman" w:hAnsi="Times New Roman" w:cs="Times New Roman"/>
          <w:sz w:val="24"/>
          <w:szCs w:val="24"/>
        </w:rPr>
        <w:t>género</w:t>
      </w:r>
      <w:r w:rsidRPr="006C5CA0">
        <w:rPr>
          <w:rFonts w:ascii="Times New Roman" w:hAnsi="Times New Roman" w:cs="Times New Roman"/>
          <w:sz w:val="24"/>
          <w:szCs w:val="24"/>
        </w:rPr>
        <w:t xml:space="preserve"> más afectado fue el masculino, </w:t>
      </w:r>
      <w:r w:rsidR="0081199E" w:rsidRPr="006C5CA0">
        <w:rPr>
          <w:rFonts w:ascii="Times New Roman" w:hAnsi="Times New Roman" w:cs="Times New Roman"/>
          <w:sz w:val="24"/>
          <w:szCs w:val="24"/>
        </w:rPr>
        <w:t xml:space="preserve">lo </w:t>
      </w:r>
      <w:r w:rsidR="009A1B65" w:rsidRPr="006C5CA0">
        <w:rPr>
          <w:rFonts w:ascii="Times New Roman" w:hAnsi="Times New Roman" w:cs="Times New Roman"/>
          <w:sz w:val="24"/>
          <w:szCs w:val="24"/>
        </w:rPr>
        <w:t>que</w:t>
      </w:r>
      <w:r w:rsidR="0081199E" w:rsidRPr="006C5CA0">
        <w:rPr>
          <w:rFonts w:ascii="Times New Roman" w:hAnsi="Times New Roman" w:cs="Times New Roman"/>
          <w:sz w:val="24"/>
          <w:szCs w:val="24"/>
        </w:rPr>
        <w:t xml:space="preserve"> concuerda con estudios previos donde se encuentr</w:t>
      </w:r>
      <w:r w:rsidR="008639F4" w:rsidRPr="006C5CA0">
        <w:rPr>
          <w:rFonts w:ascii="Times New Roman" w:hAnsi="Times New Roman" w:cs="Times New Roman"/>
          <w:sz w:val="24"/>
          <w:szCs w:val="24"/>
        </w:rPr>
        <w:t>a una prevalencia de TCE de 71.6</w:t>
      </w:r>
      <w:r w:rsidR="009A1B65" w:rsidRPr="006C5CA0">
        <w:rPr>
          <w:rFonts w:ascii="Times New Roman" w:hAnsi="Times New Roman" w:cs="Times New Roman"/>
          <w:sz w:val="24"/>
          <w:szCs w:val="24"/>
        </w:rPr>
        <w:t xml:space="preserve"> </w:t>
      </w:r>
      <w:r w:rsidR="008639F4" w:rsidRPr="006C5CA0">
        <w:rPr>
          <w:rFonts w:ascii="Times New Roman" w:hAnsi="Times New Roman" w:cs="Times New Roman"/>
          <w:sz w:val="24"/>
          <w:szCs w:val="24"/>
        </w:rPr>
        <w:t>% y 71.7</w:t>
      </w:r>
      <w:r w:rsidR="009A1B65" w:rsidRPr="006C5CA0">
        <w:rPr>
          <w:rFonts w:ascii="Times New Roman" w:hAnsi="Times New Roman" w:cs="Times New Roman"/>
          <w:sz w:val="24"/>
          <w:szCs w:val="24"/>
        </w:rPr>
        <w:t xml:space="preserve"> </w:t>
      </w:r>
      <w:r w:rsidR="0081199E" w:rsidRPr="006C5CA0">
        <w:rPr>
          <w:rFonts w:ascii="Times New Roman" w:hAnsi="Times New Roman" w:cs="Times New Roman"/>
          <w:sz w:val="24"/>
          <w:szCs w:val="24"/>
        </w:rPr>
        <w:t>%</w:t>
      </w:r>
      <w:r w:rsidR="009A1B65" w:rsidRPr="006C5CA0">
        <w:rPr>
          <w:rFonts w:ascii="Times New Roman" w:hAnsi="Times New Roman" w:cs="Times New Roman"/>
          <w:sz w:val="24"/>
          <w:szCs w:val="24"/>
        </w:rPr>
        <w:t>,</w:t>
      </w:r>
      <w:r w:rsidR="0081199E" w:rsidRPr="006C5CA0">
        <w:rPr>
          <w:rFonts w:ascii="Times New Roman" w:hAnsi="Times New Roman" w:cs="Times New Roman"/>
          <w:sz w:val="24"/>
          <w:szCs w:val="24"/>
        </w:rPr>
        <w:t xml:space="preserve"> </w:t>
      </w:r>
      <w:r w:rsidRPr="006C5CA0">
        <w:rPr>
          <w:rFonts w:ascii="Times New Roman" w:hAnsi="Times New Roman" w:cs="Times New Roman"/>
          <w:sz w:val="24"/>
          <w:szCs w:val="24"/>
        </w:rPr>
        <w:t xml:space="preserve">esto se puede asociar </w:t>
      </w:r>
      <w:r w:rsidR="009A1B65" w:rsidRPr="006C5CA0">
        <w:rPr>
          <w:rFonts w:ascii="Times New Roman" w:hAnsi="Times New Roman" w:cs="Times New Roman"/>
          <w:sz w:val="24"/>
          <w:szCs w:val="24"/>
        </w:rPr>
        <w:t>con</w:t>
      </w:r>
      <w:r w:rsidRPr="006C5CA0">
        <w:rPr>
          <w:rFonts w:ascii="Times New Roman" w:hAnsi="Times New Roman" w:cs="Times New Roman"/>
          <w:sz w:val="24"/>
          <w:szCs w:val="24"/>
        </w:rPr>
        <w:t xml:space="preserve"> la actividad diaria que realiza el</w:t>
      </w:r>
      <w:r w:rsidR="00263F17" w:rsidRPr="006C5CA0">
        <w:rPr>
          <w:rFonts w:ascii="Times New Roman" w:hAnsi="Times New Roman" w:cs="Times New Roman"/>
          <w:sz w:val="24"/>
          <w:szCs w:val="24"/>
        </w:rPr>
        <w:t xml:space="preserve"> hombre</w:t>
      </w:r>
      <w:r w:rsidR="004777D8" w:rsidRPr="006C5CA0">
        <w:rPr>
          <w:rFonts w:ascii="Times New Roman" w:hAnsi="Times New Roman" w:cs="Times New Roman"/>
          <w:sz w:val="24"/>
          <w:szCs w:val="24"/>
        </w:rPr>
        <w:t>.</w:t>
      </w:r>
      <w:r w:rsidR="002430A0" w:rsidRPr="006C5CA0">
        <w:rPr>
          <w:rFonts w:ascii="Times New Roman" w:hAnsi="Times New Roman" w:cs="Times New Roman"/>
          <w:sz w:val="24"/>
          <w:szCs w:val="24"/>
        </w:rPr>
        <w:t>1</w:t>
      </w:r>
      <w:r w:rsidR="004777D8" w:rsidRPr="006C5CA0">
        <w:rPr>
          <w:rFonts w:ascii="Times New Roman" w:hAnsi="Times New Roman" w:cs="Times New Roman"/>
          <w:sz w:val="24"/>
          <w:szCs w:val="24"/>
        </w:rPr>
        <w:t>5</w:t>
      </w:r>
      <w:r w:rsidR="005303C5" w:rsidRPr="006C5CA0">
        <w:rPr>
          <w:rFonts w:ascii="Times New Roman" w:hAnsi="Times New Roman" w:cs="Times New Roman"/>
          <w:sz w:val="24"/>
          <w:szCs w:val="24"/>
        </w:rPr>
        <w:t>-1</w:t>
      </w:r>
      <w:r w:rsidR="004777D8" w:rsidRPr="006C5CA0">
        <w:rPr>
          <w:rFonts w:ascii="Times New Roman" w:hAnsi="Times New Roman" w:cs="Times New Roman"/>
          <w:sz w:val="24"/>
          <w:szCs w:val="24"/>
        </w:rPr>
        <w:t>7</w:t>
      </w:r>
    </w:p>
    <w:p w:rsidR="00EA1B60" w:rsidRPr="006C5CA0" w:rsidRDefault="001A1F8B" w:rsidP="006C5CA0">
      <w:pPr>
        <w:spacing w:after="0" w:line="360" w:lineRule="auto"/>
        <w:jc w:val="both"/>
        <w:rPr>
          <w:rFonts w:ascii="Times New Roman" w:hAnsi="Times New Roman" w:cs="Times New Roman"/>
          <w:sz w:val="24"/>
          <w:szCs w:val="24"/>
        </w:rPr>
      </w:pPr>
      <w:r w:rsidRPr="006C5CA0">
        <w:rPr>
          <w:rFonts w:ascii="Times New Roman" w:hAnsi="Times New Roman" w:cs="Times New Roman"/>
          <w:sz w:val="24"/>
          <w:szCs w:val="24"/>
        </w:rPr>
        <w:t xml:space="preserve">La complicación más frecuente estuvo representada por la neumonía, que se explica </w:t>
      </w:r>
      <w:r w:rsidR="00C0141C" w:rsidRPr="006C5CA0">
        <w:rPr>
          <w:rFonts w:ascii="Times New Roman" w:hAnsi="Times New Roman" w:cs="Times New Roman"/>
          <w:sz w:val="24"/>
          <w:szCs w:val="24"/>
        </w:rPr>
        <w:t xml:space="preserve">por la intubación </w:t>
      </w:r>
      <w:proofErr w:type="spellStart"/>
      <w:r w:rsidR="00C0141C" w:rsidRPr="006C5CA0">
        <w:rPr>
          <w:rFonts w:ascii="Times New Roman" w:hAnsi="Times New Roman" w:cs="Times New Roman"/>
          <w:sz w:val="24"/>
          <w:szCs w:val="24"/>
        </w:rPr>
        <w:t>endotraqueal</w:t>
      </w:r>
      <w:proofErr w:type="spellEnd"/>
      <w:r w:rsidR="00C0141C" w:rsidRPr="006C5CA0">
        <w:rPr>
          <w:rFonts w:ascii="Times New Roman" w:hAnsi="Times New Roman" w:cs="Times New Roman"/>
          <w:sz w:val="24"/>
          <w:szCs w:val="24"/>
        </w:rPr>
        <w:t>, el reposo prolongado en cama y el inicio de la nutrición después de las 72 horas a su ingreso</w:t>
      </w:r>
      <w:r w:rsidR="00B26429" w:rsidRPr="006C5CA0">
        <w:rPr>
          <w:rFonts w:ascii="Times New Roman" w:hAnsi="Times New Roman" w:cs="Times New Roman"/>
          <w:sz w:val="24"/>
          <w:szCs w:val="24"/>
        </w:rPr>
        <w:t xml:space="preserve"> a la UCI</w:t>
      </w:r>
      <w:r w:rsidR="00C0141C" w:rsidRPr="006C5CA0">
        <w:rPr>
          <w:rFonts w:ascii="Times New Roman" w:hAnsi="Times New Roman" w:cs="Times New Roman"/>
          <w:sz w:val="24"/>
          <w:szCs w:val="24"/>
        </w:rPr>
        <w:t>,</w:t>
      </w:r>
      <w:r w:rsidR="00B26429" w:rsidRPr="006C5CA0">
        <w:rPr>
          <w:rFonts w:ascii="Times New Roman" w:hAnsi="Times New Roman" w:cs="Times New Roman"/>
          <w:sz w:val="24"/>
          <w:szCs w:val="24"/>
        </w:rPr>
        <w:t xml:space="preserve"> </w:t>
      </w:r>
      <w:r w:rsidRPr="006C5CA0">
        <w:rPr>
          <w:rFonts w:ascii="Times New Roman" w:hAnsi="Times New Roman" w:cs="Times New Roman"/>
          <w:sz w:val="24"/>
          <w:szCs w:val="24"/>
        </w:rPr>
        <w:t>observándose los mismos resultados en otros estudios</w:t>
      </w:r>
      <w:r w:rsidR="009A1B65" w:rsidRPr="006C5CA0">
        <w:rPr>
          <w:rFonts w:ascii="Times New Roman" w:hAnsi="Times New Roman" w:cs="Times New Roman"/>
          <w:sz w:val="24"/>
          <w:szCs w:val="24"/>
        </w:rPr>
        <w:t>.</w:t>
      </w:r>
      <w:r w:rsidR="00062617" w:rsidRPr="006C5CA0">
        <w:rPr>
          <w:rFonts w:ascii="Times New Roman" w:hAnsi="Times New Roman" w:cs="Times New Roman"/>
          <w:sz w:val="24"/>
          <w:szCs w:val="24"/>
        </w:rPr>
        <w:t>1</w:t>
      </w:r>
      <w:r w:rsidR="004777D8" w:rsidRPr="006C5CA0">
        <w:rPr>
          <w:rFonts w:ascii="Times New Roman" w:hAnsi="Times New Roman" w:cs="Times New Roman"/>
          <w:sz w:val="24"/>
          <w:szCs w:val="24"/>
        </w:rPr>
        <w:t>8</w:t>
      </w:r>
      <w:r w:rsidR="005754E2" w:rsidRPr="006C5CA0">
        <w:rPr>
          <w:rFonts w:ascii="Times New Roman" w:hAnsi="Times New Roman" w:cs="Times New Roman"/>
          <w:sz w:val="24"/>
          <w:szCs w:val="24"/>
        </w:rPr>
        <w:t xml:space="preserve"> </w:t>
      </w:r>
      <w:r w:rsidR="00CF593E" w:rsidRPr="006C5CA0">
        <w:rPr>
          <w:rFonts w:ascii="Times New Roman" w:hAnsi="Times New Roman" w:cs="Times New Roman"/>
          <w:sz w:val="24"/>
          <w:szCs w:val="24"/>
        </w:rPr>
        <w:t xml:space="preserve">En </w:t>
      </w:r>
      <w:r w:rsidR="00D477F0" w:rsidRPr="006C5CA0">
        <w:rPr>
          <w:rFonts w:ascii="Times New Roman" w:hAnsi="Times New Roman" w:cs="Times New Roman"/>
          <w:sz w:val="24"/>
          <w:szCs w:val="24"/>
        </w:rPr>
        <w:t xml:space="preserve">cuanto </w:t>
      </w:r>
      <w:r w:rsidR="00CF593E" w:rsidRPr="006C5CA0">
        <w:rPr>
          <w:rFonts w:ascii="Times New Roman" w:hAnsi="Times New Roman" w:cs="Times New Roman"/>
          <w:sz w:val="24"/>
          <w:szCs w:val="24"/>
        </w:rPr>
        <w:t xml:space="preserve">al inicio de la nutrición y los días de intubación </w:t>
      </w:r>
      <w:proofErr w:type="spellStart"/>
      <w:r w:rsidR="00CF593E" w:rsidRPr="006C5CA0">
        <w:rPr>
          <w:rFonts w:ascii="Times New Roman" w:hAnsi="Times New Roman" w:cs="Times New Roman"/>
          <w:sz w:val="24"/>
          <w:szCs w:val="24"/>
        </w:rPr>
        <w:t>endotraqueal</w:t>
      </w:r>
      <w:proofErr w:type="spellEnd"/>
      <w:r w:rsidR="00CF593E" w:rsidRPr="006C5CA0">
        <w:rPr>
          <w:rFonts w:ascii="Times New Roman" w:hAnsi="Times New Roman" w:cs="Times New Roman"/>
          <w:sz w:val="24"/>
          <w:szCs w:val="24"/>
        </w:rPr>
        <w:t>, se puede observar una relación paralela</w:t>
      </w:r>
      <w:r w:rsidR="00D477F0" w:rsidRPr="006C5CA0">
        <w:rPr>
          <w:rFonts w:ascii="Times New Roman" w:hAnsi="Times New Roman" w:cs="Times New Roman"/>
          <w:sz w:val="24"/>
          <w:szCs w:val="24"/>
        </w:rPr>
        <w:t>;</w:t>
      </w:r>
      <w:r w:rsidR="00CF593E" w:rsidRPr="006C5CA0">
        <w:rPr>
          <w:rFonts w:ascii="Times New Roman" w:hAnsi="Times New Roman" w:cs="Times New Roman"/>
          <w:sz w:val="24"/>
          <w:szCs w:val="24"/>
        </w:rPr>
        <w:t xml:space="preserve"> </w:t>
      </w:r>
      <w:r w:rsidR="00B26429" w:rsidRPr="006C5CA0">
        <w:rPr>
          <w:rFonts w:ascii="Times New Roman" w:hAnsi="Times New Roman" w:cs="Times New Roman"/>
          <w:sz w:val="24"/>
          <w:szCs w:val="24"/>
        </w:rPr>
        <w:t>entre más tarde se inicia la nutrición enteral, m</w:t>
      </w:r>
      <w:r w:rsidR="00D477F0" w:rsidRPr="006C5CA0">
        <w:rPr>
          <w:rFonts w:ascii="Times New Roman" w:hAnsi="Times New Roman" w:cs="Times New Roman"/>
          <w:sz w:val="24"/>
          <w:szCs w:val="24"/>
        </w:rPr>
        <w:t>ás</w:t>
      </w:r>
      <w:r w:rsidR="00B26429" w:rsidRPr="006C5CA0">
        <w:rPr>
          <w:rFonts w:ascii="Times New Roman" w:hAnsi="Times New Roman" w:cs="Times New Roman"/>
          <w:sz w:val="24"/>
          <w:szCs w:val="24"/>
        </w:rPr>
        <w:t xml:space="preserve"> van a ser los días de intubación </w:t>
      </w:r>
      <w:proofErr w:type="spellStart"/>
      <w:r w:rsidR="00B26429" w:rsidRPr="006C5CA0">
        <w:rPr>
          <w:rFonts w:ascii="Times New Roman" w:hAnsi="Times New Roman" w:cs="Times New Roman"/>
          <w:sz w:val="24"/>
          <w:szCs w:val="24"/>
        </w:rPr>
        <w:t>endotraqueal</w:t>
      </w:r>
      <w:proofErr w:type="spellEnd"/>
      <w:r w:rsidR="00CF593E" w:rsidRPr="006C5CA0">
        <w:rPr>
          <w:rFonts w:ascii="Times New Roman" w:hAnsi="Times New Roman" w:cs="Times New Roman"/>
          <w:sz w:val="24"/>
          <w:szCs w:val="24"/>
        </w:rPr>
        <w:t xml:space="preserve"> con sus respectivas consecuencias</w:t>
      </w:r>
      <w:r w:rsidR="00062617" w:rsidRPr="006C5CA0">
        <w:rPr>
          <w:rFonts w:ascii="Times New Roman" w:hAnsi="Times New Roman" w:cs="Times New Roman"/>
          <w:sz w:val="24"/>
          <w:szCs w:val="24"/>
        </w:rPr>
        <w:t>.1</w:t>
      </w:r>
      <w:r w:rsidR="004777D8" w:rsidRPr="006C5CA0">
        <w:rPr>
          <w:rFonts w:ascii="Times New Roman" w:hAnsi="Times New Roman" w:cs="Times New Roman"/>
          <w:sz w:val="24"/>
          <w:szCs w:val="24"/>
        </w:rPr>
        <w:t>9</w:t>
      </w:r>
      <w:r w:rsidR="00B26429" w:rsidRPr="006C5CA0">
        <w:rPr>
          <w:rFonts w:ascii="Times New Roman" w:hAnsi="Times New Roman" w:cs="Times New Roman"/>
          <w:sz w:val="24"/>
          <w:szCs w:val="24"/>
        </w:rPr>
        <w:t xml:space="preserve"> (</w:t>
      </w:r>
      <w:r w:rsidR="009A1B65" w:rsidRPr="006C5CA0">
        <w:rPr>
          <w:rFonts w:ascii="Times New Roman" w:hAnsi="Times New Roman" w:cs="Times New Roman"/>
          <w:sz w:val="24"/>
          <w:szCs w:val="24"/>
        </w:rPr>
        <w:t>g</w:t>
      </w:r>
      <w:r w:rsidR="00B26429" w:rsidRPr="006C5CA0">
        <w:rPr>
          <w:rFonts w:ascii="Times New Roman" w:hAnsi="Times New Roman" w:cs="Times New Roman"/>
          <w:sz w:val="24"/>
          <w:szCs w:val="24"/>
        </w:rPr>
        <w:t xml:space="preserve">ráfica 1). </w:t>
      </w:r>
    </w:p>
    <w:p w:rsidR="00062617" w:rsidRPr="006C5CA0" w:rsidRDefault="005754E2" w:rsidP="006C5CA0">
      <w:pPr>
        <w:spacing w:after="0" w:line="360" w:lineRule="auto"/>
        <w:jc w:val="both"/>
        <w:rPr>
          <w:rFonts w:ascii="Times New Roman" w:hAnsi="Times New Roman" w:cs="Times New Roman"/>
          <w:sz w:val="24"/>
          <w:szCs w:val="24"/>
        </w:rPr>
      </w:pPr>
      <w:r w:rsidRPr="006C5CA0">
        <w:rPr>
          <w:rFonts w:ascii="Times New Roman" w:hAnsi="Times New Roman" w:cs="Times New Roman"/>
          <w:sz w:val="24"/>
          <w:szCs w:val="24"/>
        </w:rPr>
        <w:t>Es importante mencionar que la aparición de fiebre como signo de infección se present</w:t>
      </w:r>
      <w:r w:rsidR="00D477F0" w:rsidRPr="006C5CA0">
        <w:rPr>
          <w:rFonts w:ascii="Times New Roman" w:hAnsi="Times New Roman" w:cs="Times New Roman"/>
          <w:sz w:val="24"/>
          <w:szCs w:val="24"/>
        </w:rPr>
        <w:t xml:space="preserve">ó </w:t>
      </w:r>
      <w:r w:rsidRPr="006C5CA0">
        <w:rPr>
          <w:rFonts w:ascii="Times New Roman" w:hAnsi="Times New Roman" w:cs="Times New Roman"/>
          <w:sz w:val="24"/>
          <w:szCs w:val="24"/>
        </w:rPr>
        <w:t>en 62.4</w:t>
      </w:r>
      <w:r w:rsidR="00D477F0" w:rsidRPr="006C5CA0">
        <w:rPr>
          <w:rFonts w:ascii="Times New Roman" w:hAnsi="Times New Roman" w:cs="Times New Roman"/>
          <w:sz w:val="24"/>
          <w:szCs w:val="24"/>
        </w:rPr>
        <w:t xml:space="preserve"> </w:t>
      </w:r>
      <w:r w:rsidRPr="006C5CA0">
        <w:rPr>
          <w:rFonts w:ascii="Times New Roman" w:hAnsi="Times New Roman" w:cs="Times New Roman"/>
          <w:sz w:val="24"/>
          <w:szCs w:val="24"/>
        </w:rPr>
        <w:t xml:space="preserve">% de los pacientes correspondiendo al grupo de pacientes que fue alimentado después de las 72 horas a su ingreso </w:t>
      </w:r>
      <w:r w:rsidR="00062617" w:rsidRPr="006C5CA0">
        <w:rPr>
          <w:rFonts w:ascii="Times New Roman" w:hAnsi="Times New Roman" w:cs="Times New Roman"/>
          <w:sz w:val="24"/>
          <w:szCs w:val="24"/>
        </w:rPr>
        <w:t xml:space="preserve">a la UCI. Al </w:t>
      </w:r>
      <w:r w:rsidRPr="006C5CA0">
        <w:rPr>
          <w:rFonts w:ascii="Times New Roman" w:hAnsi="Times New Roman" w:cs="Times New Roman"/>
          <w:sz w:val="24"/>
          <w:szCs w:val="24"/>
        </w:rPr>
        <w:t>96.7</w:t>
      </w:r>
      <w:r w:rsidR="00D477F0" w:rsidRPr="006C5CA0">
        <w:rPr>
          <w:rFonts w:ascii="Times New Roman" w:hAnsi="Times New Roman" w:cs="Times New Roman"/>
          <w:sz w:val="24"/>
          <w:szCs w:val="24"/>
        </w:rPr>
        <w:t xml:space="preserve"> </w:t>
      </w:r>
      <w:r w:rsidRPr="006C5CA0">
        <w:rPr>
          <w:rFonts w:ascii="Times New Roman" w:hAnsi="Times New Roman" w:cs="Times New Roman"/>
          <w:sz w:val="24"/>
          <w:szCs w:val="24"/>
        </w:rPr>
        <w:t>% se le administr</w:t>
      </w:r>
      <w:r w:rsidR="008639F4" w:rsidRPr="006C5CA0">
        <w:rPr>
          <w:rFonts w:ascii="Times New Roman" w:hAnsi="Times New Roman" w:cs="Times New Roman"/>
          <w:sz w:val="24"/>
          <w:szCs w:val="24"/>
        </w:rPr>
        <w:t>ó</w:t>
      </w:r>
      <w:r w:rsidRPr="006C5CA0">
        <w:rPr>
          <w:rFonts w:ascii="Times New Roman" w:hAnsi="Times New Roman" w:cs="Times New Roman"/>
          <w:sz w:val="24"/>
          <w:szCs w:val="24"/>
        </w:rPr>
        <w:t xml:space="preserve"> antibiótico a su ingreso, lo cual supondría que el proceso infeccioso debería estar </w:t>
      </w:r>
      <w:r w:rsidR="003C35ED" w:rsidRPr="006C5CA0">
        <w:rPr>
          <w:rFonts w:ascii="Times New Roman" w:hAnsi="Times New Roman" w:cs="Times New Roman"/>
          <w:sz w:val="24"/>
          <w:szCs w:val="24"/>
        </w:rPr>
        <w:t>controlado,</w:t>
      </w:r>
      <w:r w:rsidR="00C0141C" w:rsidRPr="006C5CA0">
        <w:rPr>
          <w:rFonts w:ascii="Times New Roman" w:hAnsi="Times New Roman" w:cs="Times New Roman"/>
          <w:sz w:val="24"/>
          <w:szCs w:val="24"/>
        </w:rPr>
        <w:t xml:space="preserve"> sin embargo, </w:t>
      </w:r>
      <w:r w:rsidR="008639F4" w:rsidRPr="006C5CA0">
        <w:rPr>
          <w:rFonts w:ascii="Times New Roman" w:hAnsi="Times New Roman" w:cs="Times New Roman"/>
          <w:sz w:val="24"/>
          <w:szCs w:val="24"/>
        </w:rPr>
        <w:t>se encuentra como una</w:t>
      </w:r>
      <w:r w:rsidR="00C0141C" w:rsidRPr="006C5CA0">
        <w:rPr>
          <w:rFonts w:ascii="Times New Roman" w:hAnsi="Times New Roman" w:cs="Times New Roman"/>
          <w:sz w:val="24"/>
          <w:szCs w:val="24"/>
        </w:rPr>
        <w:t xml:space="preserve"> </w:t>
      </w:r>
      <w:r w:rsidRPr="006C5CA0">
        <w:rPr>
          <w:rFonts w:ascii="Times New Roman" w:hAnsi="Times New Roman" w:cs="Times New Roman"/>
          <w:sz w:val="24"/>
          <w:szCs w:val="24"/>
        </w:rPr>
        <w:t xml:space="preserve">consecuencia </w:t>
      </w:r>
      <w:r w:rsidR="00156B29" w:rsidRPr="006C5CA0">
        <w:rPr>
          <w:rFonts w:ascii="Times New Roman" w:hAnsi="Times New Roman" w:cs="Times New Roman"/>
          <w:sz w:val="24"/>
          <w:szCs w:val="24"/>
        </w:rPr>
        <w:t xml:space="preserve">al </w:t>
      </w:r>
      <w:r w:rsidRPr="006C5CA0">
        <w:rPr>
          <w:rFonts w:ascii="Times New Roman" w:hAnsi="Times New Roman" w:cs="Times New Roman"/>
          <w:sz w:val="24"/>
          <w:szCs w:val="24"/>
        </w:rPr>
        <w:t xml:space="preserve">ayuno mayor a 48 horas, </w:t>
      </w:r>
      <w:r w:rsidR="008639F4" w:rsidRPr="006C5CA0">
        <w:rPr>
          <w:rFonts w:ascii="Times New Roman" w:hAnsi="Times New Roman" w:cs="Times New Roman"/>
          <w:sz w:val="24"/>
          <w:szCs w:val="24"/>
        </w:rPr>
        <w:t xml:space="preserve">lo </w:t>
      </w:r>
      <w:r w:rsidRPr="006C5CA0">
        <w:rPr>
          <w:rFonts w:ascii="Times New Roman" w:hAnsi="Times New Roman" w:cs="Times New Roman"/>
          <w:sz w:val="24"/>
          <w:szCs w:val="24"/>
        </w:rPr>
        <w:t>que lleva a una atrofia de la mucosa intestinal con las implicaciones ya conocidas.</w:t>
      </w:r>
      <w:r w:rsidR="00365736" w:rsidRPr="006C5CA0">
        <w:rPr>
          <w:rFonts w:ascii="Times New Roman" w:hAnsi="Times New Roman" w:cs="Times New Roman"/>
          <w:sz w:val="24"/>
          <w:szCs w:val="24"/>
        </w:rPr>
        <w:t xml:space="preserve"> </w:t>
      </w:r>
      <w:r w:rsidR="001D4EDD" w:rsidRPr="006C5CA0">
        <w:rPr>
          <w:rFonts w:ascii="Times New Roman" w:hAnsi="Times New Roman" w:cs="Times New Roman"/>
          <w:sz w:val="24"/>
          <w:szCs w:val="24"/>
        </w:rPr>
        <w:t>En el meta-análisis realizado en 11 estudios, cuyo objetivo fue cuantificar el efecto de</w:t>
      </w:r>
      <w:r w:rsidR="008639F4" w:rsidRPr="006C5CA0">
        <w:rPr>
          <w:rFonts w:ascii="Times New Roman" w:hAnsi="Times New Roman" w:cs="Times New Roman"/>
          <w:sz w:val="24"/>
          <w:szCs w:val="24"/>
        </w:rPr>
        <w:t>l</w:t>
      </w:r>
      <w:r w:rsidR="001D4EDD" w:rsidRPr="006C5CA0">
        <w:rPr>
          <w:rFonts w:ascii="Times New Roman" w:hAnsi="Times New Roman" w:cs="Times New Roman"/>
          <w:sz w:val="24"/>
          <w:szCs w:val="24"/>
        </w:rPr>
        <w:t xml:space="preserve"> apoyo nutricional después de un TCE sobre la mortalidad y morbilidad, </w:t>
      </w:r>
      <w:r w:rsidR="001D4EDD" w:rsidRPr="006C5CA0">
        <w:rPr>
          <w:rFonts w:ascii="Times New Roman" w:hAnsi="Times New Roman" w:cs="Times New Roman"/>
          <w:sz w:val="24"/>
          <w:szCs w:val="24"/>
        </w:rPr>
        <w:lastRenderedPageBreak/>
        <w:t>se concluyó que la alimentación temprana puede asociarse con menos infecciones y una tendencia hacia mejores resultados.</w:t>
      </w:r>
      <w:r w:rsidR="004777D8" w:rsidRPr="006C5CA0">
        <w:rPr>
          <w:rFonts w:ascii="Times New Roman" w:hAnsi="Times New Roman" w:cs="Times New Roman"/>
          <w:sz w:val="24"/>
          <w:szCs w:val="24"/>
        </w:rPr>
        <w:t>20</w:t>
      </w:r>
      <w:r w:rsidR="001D4EDD" w:rsidRPr="006C5CA0">
        <w:rPr>
          <w:rFonts w:ascii="Times New Roman" w:hAnsi="Times New Roman" w:cs="Times New Roman"/>
          <w:sz w:val="24"/>
          <w:szCs w:val="24"/>
        </w:rPr>
        <w:t xml:space="preserve"> </w:t>
      </w:r>
    </w:p>
    <w:p w:rsidR="005754E2" w:rsidRPr="006C5CA0" w:rsidRDefault="002B7580" w:rsidP="006C5CA0">
      <w:pPr>
        <w:spacing w:after="0" w:line="360" w:lineRule="auto"/>
        <w:jc w:val="both"/>
        <w:rPr>
          <w:rFonts w:ascii="Times New Roman" w:hAnsi="Times New Roman" w:cs="Times New Roman"/>
          <w:sz w:val="24"/>
          <w:szCs w:val="24"/>
        </w:rPr>
      </w:pPr>
      <w:r w:rsidRPr="006C5CA0">
        <w:rPr>
          <w:rFonts w:ascii="Times New Roman" w:hAnsi="Times New Roman" w:cs="Times New Roman"/>
          <w:sz w:val="24"/>
          <w:szCs w:val="24"/>
        </w:rPr>
        <w:t>En</w:t>
      </w:r>
      <w:r w:rsidR="00832A5D" w:rsidRPr="006C5CA0">
        <w:rPr>
          <w:rFonts w:ascii="Times New Roman" w:hAnsi="Times New Roman" w:cs="Times New Roman"/>
          <w:sz w:val="24"/>
          <w:szCs w:val="24"/>
        </w:rPr>
        <w:t xml:space="preserve"> </w:t>
      </w:r>
      <w:r w:rsidR="00D477F0" w:rsidRPr="006C5CA0">
        <w:rPr>
          <w:rFonts w:ascii="Times New Roman" w:hAnsi="Times New Roman" w:cs="Times New Roman"/>
          <w:sz w:val="24"/>
          <w:szCs w:val="24"/>
        </w:rPr>
        <w:t>relación con</w:t>
      </w:r>
      <w:r w:rsidR="00846A72" w:rsidRPr="006C5CA0">
        <w:rPr>
          <w:rFonts w:ascii="Times New Roman" w:hAnsi="Times New Roman" w:cs="Times New Roman"/>
          <w:sz w:val="24"/>
          <w:szCs w:val="24"/>
        </w:rPr>
        <w:t xml:space="preserve"> la mortalidad se encontró</w:t>
      </w:r>
      <w:r w:rsidR="00832A5D" w:rsidRPr="006C5CA0">
        <w:rPr>
          <w:rFonts w:ascii="Times New Roman" w:hAnsi="Times New Roman" w:cs="Times New Roman"/>
          <w:sz w:val="24"/>
          <w:szCs w:val="24"/>
        </w:rPr>
        <w:t xml:space="preserve"> una prevalencia baja</w:t>
      </w:r>
      <w:r w:rsidR="00ED4098" w:rsidRPr="006C5CA0">
        <w:rPr>
          <w:rFonts w:ascii="Times New Roman" w:hAnsi="Times New Roman" w:cs="Times New Roman"/>
          <w:sz w:val="24"/>
          <w:szCs w:val="24"/>
        </w:rPr>
        <w:t xml:space="preserve"> (6.7</w:t>
      </w:r>
      <w:r w:rsidR="00D477F0" w:rsidRPr="006C5CA0">
        <w:rPr>
          <w:rFonts w:ascii="Times New Roman" w:hAnsi="Times New Roman" w:cs="Times New Roman"/>
          <w:sz w:val="24"/>
          <w:szCs w:val="24"/>
        </w:rPr>
        <w:t xml:space="preserve"> </w:t>
      </w:r>
      <w:r w:rsidR="00ED4098" w:rsidRPr="006C5CA0">
        <w:rPr>
          <w:rFonts w:ascii="Times New Roman" w:hAnsi="Times New Roman" w:cs="Times New Roman"/>
          <w:sz w:val="24"/>
          <w:szCs w:val="24"/>
        </w:rPr>
        <w:t>%)</w:t>
      </w:r>
      <w:r w:rsidR="00D477F0" w:rsidRPr="006C5CA0">
        <w:rPr>
          <w:rFonts w:ascii="Times New Roman" w:hAnsi="Times New Roman" w:cs="Times New Roman"/>
          <w:sz w:val="24"/>
          <w:szCs w:val="24"/>
        </w:rPr>
        <w:t>,</w:t>
      </w:r>
      <w:r w:rsidR="00B16EEC" w:rsidRPr="006C5CA0">
        <w:rPr>
          <w:rFonts w:ascii="Times New Roman" w:hAnsi="Times New Roman" w:cs="Times New Roman"/>
          <w:sz w:val="24"/>
          <w:szCs w:val="24"/>
        </w:rPr>
        <w:t xml:space="preserve"> a</w:t>
      </w:r>
      <w:r w:rsidR="00ED4098" w:rsidRPr="006C5CA0">
        <w:rPr>
          <w:rFonts w:ascii="Times New Roman" w:hAnsi="Times New Roman" w:cs="Times New Roman"/>
          <w:sz w:val="24"/>
          <w:szCs w:val="24"/>
        </w:rPr>
        <w:t xml:space="preserve"> diferencia de</w:t>
      </w:r>
      <w:r w:rsidR="00B16EEC" w:rsidRPr="006C5CA0">
        <w:rPr>
          <w:rFonts w:ascii="Times New Roman" w:hAnsi="Times New Roman" w:cs="Times New Roman"/>
          <w:sz w:val="24"/>
          <w:szCs w:val="24"/>
        </w:rPr>
        <w:t xml:space="preserve"> otros</w:t>
      </w:r>
      <w:r w:rsidR="006566E7" w:rsidRPr="006C5CA0">
        <w:rPr>
          <w:rFonts w:ascii="Times New Roman" w:hAnsi="Times New Roman" w:cs="Times New Roman"/>
          <w:sz w:val="24"/>
          <w:szCs w:val="24"/>
        </w:rPr>
        <w:t xml:space="preserve"> </w:t>
      </w:r>
      <w:r w:rsidR="00832A5D" w:rsidRPr="006C5CA0">
        <w:rPr>
          <w:rFonts w:ascii="Times New Roman" w:hAnsi="Times New Roman" w:cs="Times New Roman"/>
          <w:sz w:val="24"/>
          <w:szCs w:val="24"/>
        </w:rPr>
        <w:t>estudio</w:t>
      </w:r>
      <w:r w:rsidR="00B16EEC" w:rsidRPr="006C5CA0">
        <w:rPr>
          <w:rFonts w:ascii="Times New Roman" w:hAnsi="Times New Roman" w:cs="Times New Roman"/>
          <w:sz w:val="24"/>
          <w:szCs w:val="24"/>
        </w:rPr>
        <w:t>s</w:t>
      </w:r>
      <w:r w:rsidR="00832A5D" w:rsidRPr="006C5CA0">
        <w:rPr>
          <w:rFonts w:ascii="Times New Roman" w:hAnsi="Times New Roman" w:cs="Times New Roman"/>
          <w:sz w:val="24"/>
          <w:szCs w:val="24"/>
        </w:rPr>
        <w:t xml:space="preserve"> </w:t>
      </w:r>
      <w:r w:rsidR="00B16EEC" w:rsidRPr="006C5CA0">
        <w:rPr>
          <w:rFonts w:ascii="Times New Roman" w:hAnsi="Times New Roman" w:cs="Times New Roman"/>
          <w:sz w:val="24"/>
          <w:szCs w:val="24"/>
        </w:rPr>
        <w:t>en los cuales</w:t>
      </w:r>
      <w:r w:rsidR="00832A5D" w:rsidRPr="006C5CA0">
        <w:rPr>
          <w:rFonts w:ascii="Times New Roman" w:hAnsi="Times New Roman" w:cs="Times New Roman"/>
          <w:sz w:val="24"/>
          <w:szCs w:val="24"/>
        </w:rPr>
        <w:t xml:space="preserve"> se </w:t>
      </w:r>
      <w:r w:rsidR="00846A72" w:rsidRPr="006C5CA0">
        <w:rPr>
          <w:rFonts w:ascii="Times New Roman" w:hAnsi="Times New Roman" w:cs="Times New Roman"/>
          <w:sz w:val="24"/>
          <w:szCs w:val="24"/>
        </w:rPr>
        <w:t>reporta</w:t>
      </w:r>
      <w:r w:rsidR="00832A5D" w:rsidRPr="006C5CA0">
        <w:rPr>
          <w:rFonts w:ascii="Times New Roman" w:hAnsi="Times New Roman" w:cs="Times New Roman"/>
          <w:sz w:val="24"/>
          <w:szCs w:val="24"/>
        </w:rPr>
        <w:t xml:space="preserve"> </w:t>
      </w:r>
      <w:r w:rsidR="00606151" w:rsidRPr="006C5CA0">
        <w:rPr>
          <w:rFonts w:ascii="Times New Roman" w:hAnsi="Times New Roman" w:cs="Times New Roman"/>
          <w:sz w:val="24"/>
          <w:szCs w:val="24"/>
        </w:rPr>
        <w:t>un</w:t>
      </w:r>
      <w:r w:rsidR="00977C7E" w:rsidRPr="006C5CA0">
        <w:rPr>
          <w:rFonts w:ascii="Times New Roman" w:hAnsi="Times New Roman" w:cs="Times New Roman"/>
          <w:sz w:val="24"/>
          <w:szCs w:val="24"/>
        </w:rPr>
        <w:t xml:space="preserve">a mortalidad </w:t>
      </w:r>
      <w:r w:rsidR="00846A72" w:rsidRPr="006C5CA0">
        <w:rPr>
          <w:rFonts w:ascii="Times New Roman" w:hAnsi="Times New Roman" w:cs="Times New Roman"/>
          <w:sz w:val="24"/>
          <w:szCs w:val="24"/>
        </w:rPr>
        <w:t>de</w:t>
      </w:r>
      <w:r w:rsidR="00832A5D" w:rsidRPr="006C5CA0">
        <w:rPr>
          <w:rFonts w:ascii="Times New Roman" w:hAnsi="Times New Roman" w:cs="Times New Roman"/>
          <w:sz w:val="24"/>
          <w:szCs w:val="24"/>
        </w:rPr>
        <w:t xml:space="preserve"> </w:t>
      </w:r>
      <w:r w:rsidR="00B16EEC" w:rsidRPr="006C5CA0">
        <w:rPr>
          <w:rFonts w:ascii="Times New Roman" w:hAnsi="Times New Roman" w:cs="Times New Roman"/>
          <w:sz w:val="24"/>
          <w:szCs w:val="24"/>
        </w:rPr>
        <w:t>23</w:t>
      </w:r>
      <w:r w:rsidR="00D477F0" w:rsidRPr="006C5CA0">
        <w:rPr>
          <w:rFonts w:ascii="Times New Roman" w:hAnsi="Times New Roman" w:cs="Times New Roman"/>
          <w:sz w:val="24"/>
          <w:szCs w:val="24"/>
        </w:rPr>
        <w:t xml:space="preserve"> </w:t>
      </w:r>
      <w:r w:rsidR="00B16EEC" w:rsidRPr="006C5CA0">
        <w:rPr>
          <w:rFonts w:ascii="Times New Roman" w:hAnsi="Times New Roman" w:cs="Times New Roman"/>
          <w:sz w:val="24"/>
          <w:szCs w:val="24"/>
        </w:rPr>
        <w:t>%, 30</w:t>
      </w:r>
      <w:r w:rsidR="00D477F0" w:rsidRPr="006C5CA0">
        <w:rPr>
          <w:rFonts w:ascii="Times New Roman" w:hAnsi="Times New Roman" w:cs="Times New Roman"/>
          <w:sz w:val="24"/>
          <w:szCs w:val="24"/>
        </w:rPr>
        <w:t xml:space="preserve"> </w:t>
      </w:r>
      <w:r w:rsidR="00B16EEC" w:rsidRPr="006C5CA0">
        <w:rPr>
          <w:rFonts w:ascii="Times New Roman" w:hAnsi="Times New Roman" w:cs="Times New Roman"/>
          <w:sz w:val="24"/>
          <w:szCs w:val="24"/>
        </w:rPr>
        <w:t xml:space="preserve">%, </w:t>
      </w:r>
      <w:r w:rsidR="00977C7E" w:rsidRPr="006C5CA0">
        <w:rPr>
          <w:rFonts w:ascii="Times New Roman" w:hAnsi="Times New Roman" w:cs="Times New Roman"/>
          <w:sz w:val="24"/>
          <w:szCs w:val="24"/>
        </w:rPr>
        <w:t>a</w:t>
      </w:r>
      <w:r w:rsidR="00846A72" w:rsidRPr="006C5CA0">
        <w:rPr>
          <w:rFonts w:ascii="Times New Roman" w:hAnsi="Times New Roman" w:cs="Times New Roman"/>
          <w:sz w:val="24"/>
          <w:szCs w:val="24"/>
        </w:rPr>
        <w:t xml:space="preserve"> </w:t>
      </w:r>
      <w:r w:rsidR="00832A5D" w:rsidRPr="006C5CA0">
        <w:rPr>
          <w:rFonts w:ascii="Times New Roman" w:hAnsi="Times New Roman" w:cs="Times New Roman"/>
          <w:sz w:val="24"/>
          <w:szCs w:val="24"/>
        </w:rPr>
        <w:t>43.3</w:t>
      </w:r>
      <w:r w:rsidR="00D477F0" w:rsidRPr="006C5CA0">
        <w:rPr>
          <w:rFonts w:ascii="Times New Roman" w:hAnsi="Times New Roman" w:cs="Times New Roman"/>
          <w:sz w:val="24"/>
          <w:szCs w:val="24"/>
        </w:rPr>
        <w:t xml:space="preserve"> </w:t>
      </w:r>
      <w:r w:rsidR="00832A5D" w:rsidRPr="006C5CA0">
        <w:rPr>
          <w:rFonts w:ascii="Times New Roman" w:hAnsi="Times New Roman" w:cs="Times New Roman"/>
          <w:sz w:val="24"/>
          <w:szCs w:val="24"/>
        </w:rPr>
        <w:t>%</w:t>
      </w:r>
      <w:r w:rsidR="00D477F0" w:rsidRPr="006C5CA0">
        <w:rPr>
          <w:rFonts w:ascii="Times New Roman" w:hAnsi="Times New Roman" w:cs="Times New Roman"/>
          <w:sz w:val="24"/>
          <w:szCs w:val="24"/>
        </w:rPr>
        <w:t>,</w:t>
      </w:r>
      <w:r w:rsidR="00977C7E" w:rsidRPr="006C5CA0">
        <w:rPr>
          <w:rFonts w:ascii="Times New Roman" w:hAnsi="Times New Roman" w:cs="Times New Roman"/>
          <w:sz w:val="24"/>
          <w:szCs w:val="24"/>
        </w:rPr>
        <w:t>1</w:t>
      </w:r>
      <w:r w:rsidR="004777D8" w:rsidRPr="006C5CA0">
        <w:rPr>
          <w:rFonts w:ascii="Times New Roman" w:hAnsi="Times New Roman" w:cs="Times New Roman"/>
          <w:sz w:val="24"/>
          <w:szCs w:val="24"/>
        </w:rPr>
        <w:t>3</w:t>
      </w:r>
      <w:r w:rsidR="00062617" w:rsidRPr="006C5CA0">
        <w:rPr>
          <w:rFonts w:ascii="Times New Roman" w:hAnsi="Times New Roman" w:cs="Times New Roman"/>
          <w:sz w:val="24"/>
          <w:szCs w:val="24"/>
        </w:rPr>
        <w:t>,1</w:t>
      </w:r>
      <w:r w:rsidR="004777D8" w:rsidRPr="006C5CA0">
        <w:rPr>
          <w:rFonts w:ascii="Times New Roman" w:hAnsi="Times New Roman" w:cs="Times New Roman"/>
          <w:sz w:val="24"/>
          <w:szCs w:val="24"/>
        </w:rPr>
        <w:t>4</w:t>
      </w:r>
      <w:r w:rsidR="00062617" w:rsidRPr="006C5CA0">
        <w:rPr>
          <w:rFonts w:ascii="Times New Roman" w:hAnsi="Times New Roman" w:cs="Times New Roman"/>
          <w:sz w:val="24"/>
          <w:szCs w:val="24"/>
        </w:rPr>
        <w:t>,1</w:t>
      </w:r>
      <w:r w:rsidR="004777D8" w:rsidRPr="006C5CA0">
        <w:rPr>
          <w:rFonts w:ascii="Times New Roman" w:hAnsi="Times New Roman" w:cs="Times New Roman"/>
          <w:sz w:val="24"/>
          <w:szCs w:val="24"/>
        </w:rPr>
        <w:t>6</w:t>
      </w:r>
      <w:r w:rsidR="00365736" w:rsidRPr="006C5CA0">
        <w:rPr>
          <w:rFonts w:ascii="Times New Roman" w:hAnsi="Times New Roman" w:cs="Times New Roman"/>
          <w:sz w:val="24"/>
          <w:szCs w:val="24"/>
        </w:rPr>
        <w:t xml:space="preserve"> lo cual pudiera estar relacionado </w:t>
      </w:r>
      <w:r w:rsidR="00D477F0" w:rsidRPr="006C5CA0">
        <w:rPr>
          <w:rFonts w:ascii="Times New Roman" w:hAnsi="Times New Roman" w:cs="Times New Roman"/>
          <w:sz w:val="24"/>
          <w:szCs w:val="24"/>
        </w:rPr>
        <w:t>con el hecho de que</w:t>
      </w:r>
      <w:r w:rsidR="00365736" w:rsidRPr="006C5CA0">
        <w:rPr>
          <w:rFonts w:ascii="Times New Roman" w:hAnsi="Times New Roman" w:cs="Times New Roman"/>
          <w:sz w:val="24"/>
          <w:szCs w:val="24"/>
        </w:rPr>
        <w:t xml:space="preserve"> </w:t>
      </w:r>
      <w:r w:rsidR="004D559D" w:rsidRPr="006C5CA0">
        <w:rPr>
          <w:rFonts w:ascii="Times New Roman" w:hAnsi="Times New Roman" w:cs="Times New Roman"/>
          <w:sz w:val="24"/>
          <w:szCs w:val="24"/>
        </w:rPr>
        <w:t>76.0</w:t>
      </w:r>
      <w:r w:rsidR="00D477F0" w:rsidRPr="006C5CA0">
        <w:rPr>
          <w:rFonts w:ascii="Times New Roman" w:hAnsi="Times New Roman" w:cs="Times New Roman"/>
          <w:sz w:val="24"/>
          <w:szCs w:val="24"/>
        </w:rPr>
        <w:t xml:space="preserve"> </w:t>
      </w:r>
      <w:r w:rsidR="004D559D" w:rsidRPr="006C5CA0">
        <w:rPr>
          <w:rFonts w:ascii="Times New Roman" w:hAnsi="Times New Roman" w:cs="Times New Roman"/>
          <w:sz w:val="24"/>
          <w:szCs w:val="24"/>
        </w:rPr>
        <w:t xml:space="preserve">% </w:t>
      </w:r>
      <w:r w:rsidR="00365736" w:rsidRPr="006C5CA0">
        <w:rPr>
          <w:rFonts w:ascii="Times New Roman" w:hAnsi="Times New Roman" w:cs="Times New Roman"/>
          <w:sz w:val="24"/>
          <w:szCs w:val="24"/>
        </w:rPr>
        <w:t>de los pac</w:t>
      </w:r>
      <w:r w:rsidR="004D559D" w:rsidRPr="006C5CA0">
        <w:rPr>
          <w:rFonts w:ascii="Times New Roman" w:hAnsi="Times New Roman" w:cs="Times New Roman"/>
          <w:sz w:val="24"/>
          <w:szCs w:val="24"/>
        </w:rPr>
        <w:t xml:space="preserve">ientes </w:t>
      </w:r>
      <w:r w:rsidR="00365736" w:rsidRPr="006C5CA0">
        <w:rPr>
          <w:rFonts w:ascii="Times New Roman" w:hAnsi="Times New Roman" w:cs="Times New Roman"/>
          <w:sz w:val="24"/>
          <w:szCs w:val="24"/>
        </w:rPr>
        <w:t>presen</w:t>
      </w:r>
      <w:r w:rsidR="004D559D" w:rsidRPr="006C5CA0">
        <w:rPr>
          <w:rFonts w:ascii="Times New Roman" w:hAnsi="Times New Roman" w:cs="Times New Roman"/>
          <w:sz w:val="24"/>
          <w:szCs w:val="24"/>
        </w:rPr>
        <w:t>taron</w:t>
      </w:r>
      <w:r w:rsidR="00365736" w:rsidRPr="006C5CA0">
        <w:rPr>
          <w:rFonts w:ascii="Times New Roman" w:hAnsi="Times New Roman" w:cs="Times New Roman"/>
          <w:sz w:val="24"/>
          <w:szCs w:val="24"/>
        </w:rPr>
        <w:t xml:space="preserve"> un TC</w:t>
      </w:r>
      <w:r w:rsidR="00C0141C" w:rsidRPr="006C5CA0">
        <w:rPr>
          <w:rFonts w:ascii="Times New Roman" w:hAnsi="Times New Roman" w:cs="Times New Roman"/>
          <w:sz w:val="24"/>
          <w:szCs w:val="24"/>
        </w:rPr>
        <w:t>E</w:t>
      </w:r>
      <w:r w:rsidR="00365736" w:rsidRPr="006C5CA0">
        <w:rPr>
          <w:rFonts w:ascii="Times New Roman" w:hAnsi="Times New Roman" w:cs="Times New Roman"/>
          <w:sz w:val="24"/>
          <w:szCs w:val="24"/>
        </w:rPr>
        <w:t xml:space="preserve"> leve a moderado.</w:t>
      </w:r>
    </w:p>
    <w:p w:rsidR="00C0141C" w:rsidRPr="006C5CA0" w:rsidRDefault="00E60169" w:rsidP="006C5CA0">
      <w:pPr>
        <w:spacing w:after="0" w:line="360" w:lineRule="auto"/>
        <w:jc w:val="both"/>
        <w:rPr>
          <w:rFonts w:ascii="Times New Roman" w:hAnsi="Times New Roman" w:cs="Times New Roman"/>
          <w:sz w:val="24"/>
          <w:szCs w:val="24"/>
        </w:rPr>
      </w:pPr>
      <w:r w:rsidRPr="006C5CA0">
        <w:rPr>
          <w:rFonts w:ascii="Times New Roman" w:hAnsi="Times New Roman" w:cs="Times New Roman"/>
          <w:sz w:val="24"/>
          <w:szCs w:val="24"/>
        </w:rPr>
        <w:t>Para la valoración del estado nutricional en el paciente crítico se recurre normalmente a la utilización de los métodos habituales empleados en otros pacientes como variables antropométricas, marcadores bioquímicos y pruebas funcionales.</w:t>
      </w:r>
      <w:r w:rsidR="007A36D8" w:rsidRPr="006C5CA0">
        <w:rPr>
          <w:rFonts w:ascii="Times New Roman" w:hAnsi="Times New Roman" w:cs="Times New Roman"/>
          <w:sz w:val="24"/>
          <w:szCs w:val="24"/>
        </w:rPr>
        <w:t xml:space="preserve"> </w:t>
      </w:r>
      <w:r w:rsidRPr="006C5CA0">
        <w:rPr>
          <w:rFonts w:ascii="Times New Roman" w:hAnsi="Times New Roman" w:cs="Times New Roman"/>
          <w:sz w:val="24"/>
          <w:szCs w:val="24"/>
        </w:rPr>
        <w:t>La valoración global subjetiva es un método basado en la interpretación clínica de algunos síntomas, signos y parámetros físicos, esta es un buen indicador de malnutrición y de la posibilidad de complicaciones en el paciente crítico</w:t>
      </w:r>
      <w:r w:rsidR="004777D8" w:rsidRPr="006C5CA0">
        <w:rPr>
          <w:rFonts w:ascii="Times New Roman" w:hAnsi="Times New Roman" w:cs="Times New Roman"/>
          <w:sz w:val="24"/>
          <w:szCs w:val="24"/>
        </w:rPr>
        <w:t>.21,</w:t>
      </w:r>
      <w:r w:rsidR="001C3C87" w:rsidRPr="006C5CA0">
        <w:rPr>
          <w:rFonts w:ascii="Times New Roman" w:hAnsi="Times New Roman" w:cs="Times New Roman"/>
          <w:sz w:val="24"/>
          <w:szCs w:val="24"/>
        </w:rPr>
        <w:t xml:space="preserve"> </w:t>
      </w:r>
      <w:r w:rsidR="004777D8" w:rsidRPr="006C5CA0">
        <w:rPr>
          <w:rFonts w:ascii="Times New Roman" w:hAnsi="Times New Roman" w:cs="Times New Roman"/>
          <w:sz w:val="24"/>
          <w:szCs w:val="24"/>
        </w:rPr>
        <w:t>22</w:t>
      </w:r>
      <w:r w:rsidR="004D559D" w:rsidRPr="006C5CA0">
        <w:rPr>
          <w:rFonts w:ascii="Times New Roman" w:hAnsi="Times New Roman" w:cs="Times New Roman"/>
          <w:sz w:val="24"/>
          <w:szCs w:val="24"/>
        </w:rPr>
        <w:t xml:space="preserve"> </w:t>
      </w:r>
    </w:p>
    <w:p w:rsidR="00E9273E" w:rsidRPr="006C5CA0" w:rsidRDefault="001C3C87" w:rsidP="006C5CA0">
      <w:pPr>
        <w:spacing w:after="0" w:line="360" w:lineRule="auto"/>
        <w:jc w:val="both"/>
        <w:rPr>
          <w:rFonts w:ascii="Times New Roman" w:hAnsi="Times New Roman" w:cs="Times New Roman"/>
          <w:sz w:val="24"/>
          <w:szCs w:val="24"/>
        </w:rPr>
      </w:pPr>
      <w:r w:rsidRPr="006C5CA0">
        <w:rPr>
          <w:rFonts w:ascii="Times New Roman" w:hAnsi="Times New Roman" w:cs="Times New Roman"/>
          <w:sz w:val="24"/>
          <w:szCs w:val="24"/>
        </w:rPr>
        <w:t>Sobre</w:t>
      </w:r>
      <w:r w:rsidR="00E9273E" w:rsidRPr="006C5CA0">
        <w:rPr>
          <w:rFonts w:ascii="Times New Roman" w:hAnsi="Times New Roman" w:cs="Times New Roman"/>
          <w:sz w:val="24"/>
          <w:szCs w:val="24"/>
        </w:rPr>
        <w:t xml:space="preserve"> </w:t>
      </w:r>
      <w:r w:rsidR="00ED4098" w:rsidRPr="006C5CA0">
        <w:rPr>
          <w:rFonts w:ascii="Times New Roman" w:hAnsi="Times New Roman" w:cs="Times New Roman"/>
          <w:sz w:val="24"/>
          <w:szCs w:val="24"/>
        </w:rPr>
        <w:t>este punto, hay que destacar</w:t>
      </w:r>
      <w:r w:rsidR="00CF593E" w:rsidRPr="006C5CA0">
        <w:rPr>
          <w:rFonts w:ascii="Times New Roman" w:hAnsi="Times New Roman" w:cs="Times New Roman"/>
          <w:sz w:val="24"/>
          <w:szCs w:val="24"/>
        </w:rPr>
        <w:t xml:space="preserve"> que no se llev</w:t>
      </w:r>
      <w:r w:rsidR="008639F4" w:rsidRPr="006C5CA0">
        <w:rPr>
          <w:rFonts w:ascii="Times New Roman" w:hAnsi="Times New Roman" w:cs="Times New Roman"/>
          <w:sz w:val="24"/>
          <w:szCs w:val="24"/>
        </w:rPr>
        <w:t>ó</w:t>
      </w:r>
      <w:r w:rsidR="00CF593E" w:rsidRPr="006C5CA0">
        <w:rPr>
          <w:rFonts w:ascii="Times New Roman" w:hAnsi="Times New Roman" w:cs="Times New Roman"/>
          <w:sz w:val="24"/>
          <w:szCs w:val="24"/>
        </w:rPr>
        <w:t xml:space="preserve"> a cabo</w:t>
      </w:r>
      <w:r w:rsidR="00EA69E5" w:rsidRPr="006C5CA0">
        <w:rPr>
          <w:rFonts w:ascii="Times New Roman" w:hAnsi="Times New Roman" w:cs="Times New Roman"/>
          <w:sz w:val="24"/>
          <w:szCs w:val="24"/>
        </w:rPr>
        <w:t>;</w:t>
      </w:r>
      <w:r w:rsidR="00E9273E" w:rsidRPr="006C5CA0">
        <w:rPr>
          <w:rFonts w:ascii="Times New Roman" w:hAnsi="Times New Roman" w:cs="Times New Roman"/>
          <w:sz w:val="24"/>
          <w:szCs w:val="24"/>
        </w:rPr>
        <w:t xml:space="preserve"> </w:t>
      </w:r>
      <w:r w:rsidR="00EA69E5" w:rsidRPr="006C5CA0">
        <w:rPr>
          <w:rFonts w:ascii="Times New Roman" w:hAnsi="Times New Roman" w:cs="Times New Roman"/>
          <w:sz w:val="24"/>
          <w:szCs w:val="24"/>
        </w:rPr>
        <w:t>e</w:t>
      </w:r>
      <w:r w:rsidR="00E9273E" w:rsidRPr="006C5CA0">
        <w:rPr>
          <w:rFonts w:ascii="Times New Roman" w:hAnsi="Times New Roman" w:cs="Times New Roman"/>
          <w:sz w:val="24"/>
          <w:szCs w:val="24"/>
        </w:rPr>
        <w:t>l peso solo se registr</w:t>
      </w:r>
      <w:r w:rsidR="000C502B" w:rsidRPr="006C5CA0">
        <w:rPr>
          <w:rFonts w:ascii="Times New Roman" w:hAnsi="Times New Roman" w:cs="Times New Roman"/>
          <w:sz w:val="24"/>
          <w:szCs w:val="24"/>
        </w:rPr>
        <w:t>ó</w:t>
      </w:r>
      <w:r w:rsidR="00E9273E" w:rsidRPr="006C5CA0">
        <w:rPr>
          <w:rFonts w:ascii="Times New Roman" w:hAnsi="Times New Roman" w:cs="Times New Roman"/>
          <w:sz w:val="24"/>
          <w:szCs w:val="24"/>
        </w:rPr>
        <w:t xml:space="preserve"> al ingreso a la UCI y de manera subj</w:t>
      </w:r>
      <w:r w:rsidR="007A36D8" w:rsidRPr="006C5CA0">
        <w:rPr>
          <w:rFonts w:ascii="Times New Roman" w:hAnsi="Times New Roman" w:cs="Times New Roman"/>
          <w:sz w:val="24"/>
          <w:szCs w:val="24"/>
        </w:rPr>
        <w:t>etiva ya que no se cuenta con bá</w:t>
      </w:r>
      <w:r w:rsidR="00E9273E" w:rsidRPr="006C5CA0">
        <w:rPr>
          <w:rFonts w:ascii="Times New Roman" w:hAnsi="Times New Roman" w:cs="Times New Roman"/>
          <w:sz w:val="24"/>
          <w:szCs w:val="24"/>
        </w:rPr>
        <w:t>scula para pesar al paciente, de esta manera esto es una deficiencia para partir de una valoración real y poder tomar en cuenta este parámetro dentro del estado nutricional del paciente. Si bien es cierto</w:t>
      </w:r>
      <w:r w:rsidRPr="006C5CA0">
        <w:rPr>
          <w:rFonts w:ascii="Times New Roman" w:hAnsi="Times New Roman" w:cs="Times New Roman"/>
          <w:sz w:val="24"/>
          <w:szCs w:val="24"/>
        </w:rPr>
        <w:t xml:space="preserve"> que</w:t>
      </w:r>
      <w:r w:rsidR="00E9273E" w:rsidRPr="006C5CA0">
        <w:rPr>
          <w:rFonts w:ascii="Times New Roman" w:hAnsi="Times New Roman" w:cs="Times New Roman"/>
          <w:sz w:val="24"/>
          <w:szCs w:val="24"/>
        </w:rPr>
        <w:t xml:space="preserve"> la talla es relativamente fácil de medir</w:t>
      </w:r>
      <w:r w:rsidRPr="006C5CA0">
        <w:rPr>
          <w:rFonts w:ascii="Times New Roman" w:hAnsi="Times New Roman" w:cs="Times New Roman"/>
          <w:sz w:val="24"/>
          <w:szCs w:val="24"/>
        </w:rPr>
        <w:t xml:space="preserve"> debido a</w:t>
      </w:r>
      <w:r w:rsidR="00E9273E" w:rsidRPr="006C5CA0">
        <w:rPr>
          <w:rFonts w:ascii="Times New Roman" w:hAnsi="Times New Roman" w:cs="Times New Roman"/>
          <w:sz w:val="24"/>
          <w:szCs w:val="24"/>
        </w:rPr>
        <w:t xml:space="preserve"> la simplicidad y bajo costo del implemento </w:t>
      </w:r>
      <w:r w:rsidRPr="006C5CA0">
        <w:rPr>
          <w:rFonts w:ascii="Times New Roman" w:hAnsi="Times New Roman" w:cs="Times New Roman"/>
          <w:sz w:val="24"/>
          <w:szCs w:val="24"/>
        </w:rPr>
        <w:t>utilizado</w:t>
      </w:r>
      <w:r w:rsidR="00CF593E" w:rsidRPr="006C5CA0">
        <w:rPr>
          <w:rFonts w:ascii="Times New Roman" w:hAnsi="Times New Roman" w:cs="Times New Roman"/>
          <w:sz w:val="24"/>
          <w:szCs w:val="24"/>
        </w:rPr>
        <w:t xml:space="preserve">, </w:t>
      </w:r>
      <w:r w:rsidR="00E9273E" w:rsidRPr="006C5CA0">
        <w:rPr>
          <w:rFonts w:ascii="Times New Roman" w:hAnsi="Times New Roman" w:cs="Times New Roman"/>
          <w:sz w:val="24"/>
          <w:szCs w:val="24"/>
        </w:rPr>
        <w:t>su medición es una práctica poco habitual en la UCI, de esta manera la falta de registro de talla y peso al ingreso es considerada por muchos autores como una de las pr</w:t>
      </w:r>
      <w:r w:rsidRPr="006C5CA0">
        <w:rPr>
          <w:rFonts w:ascii="Times New Roman" w:hAnsi="Times New Roman" w:cs="Times New Roman"/>
          <w:sz w:val="24"/>
          <w:szCs w:val="24"/>
        </w:rPr>
        <w:t>á</w:t>
      </w:r>
      <w:r w:rsidR="00E9273E" w:rsidRPr="006C5CA0">
        <w:rPr>
          <w:rFonts w:ascii="Times New Roman" w:hAnsi="Times New Roman" w:cs="Times New Roman"/>
          <w:sz w:val="24"/>
          <w:szCs w:val="24"/>
        </w:rPr>
        <w:t>cticas hospitalarias que favorecen la desnutrición durante el periodo de hospitalización</w:t>
      </w:r>
      <w:r w:rsidR="004777D8" w:rsidRPr="006C5CA0">
        <w:rPr>
          <w:rFonts w:ascii="Times New Roman" w:hAnsi="Times New Roman" w:cs="Times New Roman"/>
          <w:sz w:val="24"/>
          <w:szCs w:val="24"/>
        </w:rPr>
        <w:t>.23</w:t>
      </w:r>
    </w:p>
    <w:p w:rsidR="00E60169" w:rsidRPr="006C5CA0" w:rsidRDefault="00E95376" w:rsidP="006C5CA0">
      <w:pPr>
        <w:spacing w:after="0" w:line="360" w:lineRule="auto"/>
        <w:jc w:val="both"/>
        <w:rPr>
          <w:rFonts w:ascii="Times New Roman" w:hAnsi="Times New Roman" w:cs="Times New Roman"/>
          <w:sz w:val="24"/>
          <w:szCs w:val="24"/>
        </w:rPr>
      </w:pPr>
      <w:r w:rsidRPr="006C5CA0">
        <w:rPr>
          <w:rFonts w:ascii="Times New Roman" w:hAnsi="Times New Roman" w:cs="Times New Roman"/>
          <w:sz w:val="24"/>
          <w:szCs w:val="24"/>
        </w:rPr>
        <w:t>La alb</w:t>
      </w:r>
      <w:r w:rsidR="001C3C87" w:rsidRPr="006C5CA0">
        <w:rPr>
          <w:rFonts w:ascii="Times New Roman" w:hAnsi="Times New Roman" w:cs="Times New Roman"/>
          <w:sz w:val="24"/>
          <w:szCs w:val="24"/>
        </w:rPr>
        <w:t>ú</w:t>
      </w:r>
      <w:r w:rsidRPr="006C5CA0">
        <w:rPr>
          <w:rFonts w:ascii="Times New Roman" w:hAnsi="Times New Roman" w:cs="Times New Roman"/>
          <w:sz w:val="24"/>
          <w:szCs w:val="24"/>
        </w:rPr>
        <w:t>mina es el parámetro bioquímico más frecuentemente utilizado en la valoración nutricional</w:t>
      </w:r>
      <w:r w:rsidR="00E41321" w:rsidRPr="006C5CA0">
        <w:rPr>
          <w:rFonts w:ascii="Times New Roman" w:hAnsi="Times New Roman" w:cs="Times New Roman"/>
          <w:sz w:val="24"/>
          <w:szCs w:val="24"/>
        </w:rPr>
        <w:t xml:space="preserve"> por su accesibilidad y bajo costo</w:t>
      </w:r>
      <w:r w:rsidRPr="006C5CA0">
        <w:rPr>
          <w:rFonts w:ascii="Times New Roman" w:hAnsi="Times New Roman" w:cs="Times New Roman"/>
          <w:sz w:val="24"/>
          <w:szCs w:val="24"/>
        </w:rPr>
        <w:t>. Una reducción significativa de los valores de albúmina se asocia con un incremento en la aparición de complicaciones y en la mortalidad. Los valores de albúmina al ingreso de los pacientes críticos tienen valor pronóstico, sin embargo</w:t>
      </w:r>
      <w:r w:rsidR="001C3C87" w:rsidRPr="006C5CA0">
        <w:rPr>
          <w:rFonts w:ascii="Times New Roman" w:hAnsi="Times New Roman" w:cs="Times New Roman"/>
          <w:sz w:val="24"/>
          <w:szCs w:val="24"/>
        </w:rPr>
        <w:t>,</w:t>
      </w:r>
      <w:r w:rsidRPr="006C5CA0">
        <w:rPr>
          <w:rFonts w:ascii="Times New Roman" w:hAnsi="Times New Roman" w:cs="Times New Roman"/>
          <w:sz w:val="24"/>
          <w:szCs w:val="24"/>
        </w:rPr>
        <w:t xml:space="preserve"> estos son pocos sensibles a los cambios agudos del estado nutricional, ya que la</w:t>
      </w:r>
      <w:r w:rsidR="00E60169" w:rsidRPr="006C5CA0">
        <w:rPr>
          <w:rFonts w:ascii="Times New Roman" w:hAnsi="Times New Roman" w:cs="Times New Roman"/>
          <w:sz w:val="24"/>
          <w:szCs w:val="24"/>
        </w:rPr>
        <w:t xml:space="preserve"> alb</w:t>
      </w:r>
      <w:r w:rsidR="001C3C87" w:rsidRPr="006C5CA0">
        <w:rPr>
          <w:rFonts w:ascii="Times New Roman" w:hAnsi="Times New Roman" w:cs="Times New Roman"/>
          <w:sz w:val="24"/>
          <w:szCs w:val="24"/>
        </w:rPr>
        <w:t>ú</w:t>
      </w:r>
      <w:r w:rsidR="00E60169" w:rsidRPr="006C5CA0">
        <w:rPr>
          <w:rFonts w:ascii="Times New Roman" w:hAnsi="Times New Roman" w:cs="Times New Roman"/>
          <w:sz w:val="24"/>
          <w:szCs w:val="24"/>
        </w:rPr>
        <w:t>mina</w:t>
      </w:r>
      <w:r w:rsidRPr="006C5CA0">
        <w:rPr>
          <w:rFonts w:ascii="Times New Roman" w:hAnsi="Times New Roman" w:cs="Times New Roman"/>
          <w:sz w:val="24"/>
          <w:szCs w:val="24"/>
        </w:rPr>
        <w:t xml:space="preserve"> tiene una vida media </w:t>
      </w:r>
      <w:r w:rsidR="001C3C87" w:rsidRPr="006C5CA0">
        <w:rPr>
          <w:rFonts w:ascii="Times New Roman" w:hAnsi="Times New Roman" w:cs="Times New Roman"/>
          <w:sz w:val="24"/>
          <w:szCs w:val="24"/>
        </w:rPr>
        <w:t xml:space="preserve">de </w:t>
      </w:r>
      <w:r w:rsidRPr="006C5CA0">
        <w:rPr>
          <w:rFonts w:ascii="Times New Roman" w:hAnsi="Times New Roman" w:cs="Times New Roman"/>
          <w:sz w:val="24"/>
          <w:szCs w:val="24"/>
        </w:rPr>
        <w:t xml:space="preserve">aproximadamente 20 </w:t>
      </w:r>
      <w:r w:rsidR="00E60169" w:rsidRPr="006C5CA0">
        <w:rPr>
          <w:rFonts w:ascii="Times New Roman" w:hAnsi="Times New Roman" w:cs="Times New Roman"/>
          <w:sz w:val="24"/>
          <w:szCs w:val="24"/>
        </w:rPr>
        <w:t>días</w:t>
      </w:r>
      <w:r w:rsidR="001C3C87" w:rsidRPr="006C5CA0">
        <w:rPr>
          <w:rFonts w:ascii="Times New Roman" w:hAnsi="Times New Roman" w:cs="Times New Roman"/>
          <w:sz w:val="24"/>
          <w:szCs w:val="24"/>
        </w:rPr>
        <w:t>. D</w:t>
      </w:r>
      <w:r w:rsidRPr="006C5CA0">
        <w:rPr>
          <w:rFonts w:ascii="Times New Roman" w:hAnsi="Times New Roman" w:cs="Times New Roman"/>
          <w:sz w:val="24"/>
          <w:szCs w:val="24"/>
        </w:rPr>
        <w:t>e esta manera</w:t>
      </w:r>
      <w:r w:rsidR="001C3C87" w:rsidRPr="006C5CA0">
        <w:rPr>
          <w:rFonts w:ascii="Times New Roman" w:hAnsi="Times New Roman" w:cs="Times New Roman"/>
          <w:sz w:val="24"/>
          <w:szCs w:val="24"/>
        </w:rPr>
        <w:t>,</w:t>
      </w:r>
      <w:r w:rsidRPr="006C5CA0">
        <w:rPr>
          <w:rFonts w:ascii="Times New Roman" w:hAnsi="Times New Roman" w:cs="Times New Roman"/>
          <w:sz w:val="24"/>
          <w:szCs w:val="24"/>
        </w:rPr>
        <w:t xml:space="preserve"> la alb</w:t>
      </w:r>
      <w:r w:rsidR="001C3C87" w:rsidRPr="006C5CA0">
        <w:rPr>
          <w:rFonts w:ascii="Times New Roman" w:hAnsi="Times New Roman" w:cs="Times New Roman"/>
          <w:sz w:val="24"/>
          <w:szCs w:val="24"/>
        </w:rPr>
        <w:t>ú</w:t>
      </w:r>
      <w:r w:rsidRPr="006C5CA0">
        <w:rPr>
          <w:rFonts w:ascii="Times New Roman" w:hAnsi="Times New Roman" w:cs="Times New Roman"/>
          <w:sz w:val="24"/>
          <w:szCs w:val="24"/>
        </w:rPr>
        <w:t xml:space="preserve">mina </w:t>
      </w:r>
      <w:r w:rsidR="00E60169" w:rsidRPr="006C5CA0">
        <w:rPr>
          <w:rFonts w:ascii="Times New Roman" w:hAnsi="Times New Roman" w:cs="Times New Roman"/>
          <w:sz w:val="24"/>
          <w:szCs w:val="24"/>
        </w:rPr>
        <w:t>sérica no es un buen parámetro de seguimiento nutricional, aunque los valores pueden relacionarse con la extensión y gravedad de la lesión, sin embargo</w:t>
      </w:r>
      <w:r w:rsidR="001C3C87" w:rsidRPr="006C5CA0">
        <w:rPr>
          <w:rFonts w:ascii="Times New Roman" w:hAnsi="Times New Roman" w:cs="Times New Roman"/>
          <w:sz w:val="24"/>
          <w:szCs w:val="24"/>
        </w:rPr>
        <w:t>,</w:t>
      </w:r>
      <w:r w:rsidR="00E60169" w:rsidRPr="006C5CA0">
        <w:rPr>
          <w:rFonts w:ascii="Times New Roman" w:hAnsi="Times New Roman" w:cs="Times New Roman"/>
          <w:sz w:val="24"/>
          <w:szCs w:val="24"/>
        </w:rPr>
        <w:t xml:space="preserve"> es uno de los parámetros con los que se cuenta en la institución de salud</w:t>
      </w:r>
      <w:r w:rsidR="004777D8" w:rsidRPr="006C5CA0">
        <w:rPr>
          <w:rFonts w:ascii="Times New Roman" w:hAnsi="Times New Roman" w:cs="Times New Roman"/>
          <w:sz w:val="24"/>
          <w:szCs w:val="24"/>
        </w:rPr>
        <w:t>.19</w:t>
      </w:r>
      <w:r w:rsidR="00406333" w:rsidRPr="006C5CA0">
        <w:rPr>
          <w:rFonts w:ascii="Times New Roman" w:hAnsi="Times New Roman" w:cs="Times New Roman"/>
          <w:sz w:val="24"/>
          <w:szCs w:val="24"/>
        </w:rPr>
        <w:t>,</w:t>
      </w:r>
      <w:r w:rsidR="001C3C87" w:rsidRPr="006C5CA0">
        <w:rPr>
          <w:rFonts w:ascii="Times New Roman" w:hAnsi="Times New Roman" w:cs="Times New Roman"/>
          <w:sz w:val="24"/>
          <w:szCs w:val="24"/>
        </w:rPr>
        <w:t xml:space="preserve"> </w:t>
      </w:r>
      <w:r w:rsidR="004777D8" w:rsidRPr="006C5CA0">
        <w:rPr>
          <w:rFonts w:ascii="Times New Roman" w:hAnsi="Times New Roman" w:cs="Times New Roman"/>
          <w:sz w:val="24"/>
          <w:szCs w:val="24"/>
        </w:rPr>
        <w:t>22</w:t>
      </w:r>
      <w:r w:rsidR="00406333" w:rsidRPr="006C5CA0">
        <w:rPr>
          <w:rFonts w:ascii="Times New Roman" w:hAnsi="Times New Roman" w:cs="Times New Roman"/>
          <w:sz w:val="24"/>
          <w:szCs w:val="24"/>
        </w:rPr>
        <w:t>,</w:t>
      </w:r>
      <w:r w:rsidR="001C3C87" w:rsidRPr="006C5CA0">
        <w:rPr>
          <w:rFonts w:ascii="Times New Roman" w:hAnsi="Times New Roman" w:cs="Times New Roman"/>
          <w:sz w:val="24"/>
          <w:szCs w:val="24"/>
        </w:rPr>
        <w:t xml:space="preserve"> </w:t>
      </w:r>
      <w:r w:rsidR="004777D8" w:rsidRPr="006C5CA0">
        <w:rPr>
          <w:rFonts w:ascii="Times New Roman" w:hAnsi="Times New Roman" w:cs="Times New Roman"/>
          <w:sz w:val="24"/>
          <w:szCs w:val="24"/>
        </w:rPr>
        <w:t>2</w:t>
      </w:r>
      <w:r w:rsidR="00406333" w:rsidRPr="006C5CA0">
        <w:rPr>
          <w:rFonts w:ascii="Times New Roman" w:hAnsi="Times New Roman" w:cs="Times New Roman"/>
          <w:sz w:val="24"/>
          <w:szCs w:val="24"/>
        </w:rPr>
        <w:t>3</w:t>
      </w:r>
    </w:p>
    <w:p w:rsidR="0036698D" w:rsidRPr="006C5CA0" w:rsidRDefault="0036698D" w:rsidP="006C5CA0">
      <w:pPr>
        <w:spacing w:after="0" w:line="360" w:lineRule="auto"/>
        <w:jc w:val="both"/>
        <w:rPr>
          <w:rFonts w:ascii="Times New Roman" w:hAnsi="Times New Roman" w:cs="Times New Roman"/>
          <w:sz w:val="24"/>
          <w:szCs w:val="24"/>
        </w:rPr>
      </w:pPr>
      <w:r w:rsidRPr="006C5CA0">
        <w:rPr>
          <w:rFonts w:ascii="Times New Roman" w:hAnsi="Times New Roman" w:cs="Times New Roman"/>
          <w:sz w:val="24"/>
          <w:szCs w:val="24"/>
        </w:rPr>
        <w:lastRenderedPageBreak/>
        <w:t>Estudios re</w:t>
      </w:r>
      <w:r w:rsidR="00ED609C" w:rsidRPr="006C5CA0">
        <w:rPr>
          <w:rFonts w:ascii="Times New Roman" w:hAnsi="Times New Roman" w:cs="Times New Roman"/>
          <w:sz w:val="24"/>
          <w:szCs w:val="24"/>
        </w:rPr>
        <w:t>alizados reportan la</w:t>
      </w:r>
      <w:r w:rsidR="00D260BE" w:rsidRPr="006C5CA0">
        <w:rPr>
          <w:rFonts w:ascii="Times New Roman" w:hAnsi="Times New Roman" w:cs="Times New Roman"/>
          <w:sz w:val="24"/>
          <w:szCs w:val="24"/>
        </w:rPr>
        <w:t xml:space="preserve"> </w:t>
      </w:r>
      <w:r w:rsidR="00ED609C" w:rsidRPr="006C5CA0">
        <w:rPr>
          <w:rFonts w:ascii="Times New Roman" w:hAnsi="Times New Roman" w:cs="Times New Roman"/>
          <w:sz w:val="24"/>
          <w:szCs w:val="24"/>
        </w:rPr>
        <w:t>utilización de</w:t>
      </w:r>
      <w:r w:rsidR="00FE2908" w:rsidRPr="006C5CA0">
        <w:rPr>
          <w:rFonts w:ascii="Times New Roman" w:hAnsi="Times New Roman" w:cs="Times New Roman"/>
          <w:sz w:val="24"/>
          <w:szCs w:val="24"/>
        </w:rPr>
        <w:t xml:space="preserve"> l</w:t>
      </w:r>
      <w:r w:rsidRPr="006C5CA0">
        <w:rPr>
          <w:rFonts w:ascii="Times New Roman" w:hAnsi="Times New Roman" w:cs="Times New Roman"/>
          <w:sz w:val="24"/>
          <w:szCs w:val="24"/>
        </w:rPr>
        <w:t>a alb</w:t>
      </w:r>
      <w:r w:rsidR="00DA5199" w:rsidRPr="006C5CA0">
        <w:rPr>
          <w:rFonts w:ascii="Times New Roman" w:hAnsi="Times New Roman" w:cs="Times New Roman"/>
          <w:sz w:val="24"/>
          <w:szCs w:val="24"/>
        </w:rPr>
        <w:t>ú</w:t>
      </w:r>
      <w:r w:rsidRPr="006C5CA0">
        <w:rPr>
          <w:rFonts w:ascii="Times New Roman" w:hAnsi="Times New Roman" w:cs="Times New Roman"/>
          <w:sz w:val="24"/>
          <w:szCs w:val="24"/>
        </w:rPr>
        <w:t>mina sérica como marcador de desnutrición, encontrándose en todos estos una disminución de la alb</w:t>
      </w:r>
      <w:r w:rsidR="00DA5199" w:rsidRPr="006C5CA0">
        <w:rPr>
          <w:rFonts w:ascii="Times New Roman" w:hAnsi="Times New Roman" w:cs="Times New Roman"/>
          <w:sz w:val="24"/>
          <w:szCs w:val="24"/>
        </w:rPr>
        <w:t>ú</w:t>
      </w:r>
      <w:r w:rsidRPr="006C5CA0">
        <w:rPr>
          <w:rFonts w:ascii="Times New Roman" w:hAnsi="Times New Roman" w:cs="Times New Roman"/>
          <w:sz w:val="24"/>
          <w:szCs w:val="24"/>
        </w:rPr>
        <w:t>mina y linfocitos así como asociación con la pérdida de peso, infecciones y mayor mortalidad</w:t>
      </w:r>
      <w:r w:rsidR="00F95598" w:rsidRPr="006C5CA0">
        <w:rPr>
          <w:rFonts w:ascii="Times New Roman" w:hAnsi="Times New Roman" w:cs="Times New Roman"/>
          <w:sz w:val="24"/>
          <w:szCs w:val="24"/>
        </w:rPr>
        <w:t>.</w:t>
      </w:r>
      <w:r w:rsidR="004777D8" w:rsidRPr="006C5CA0">
        <w:rPr>
          <w:rFonts w:ascii="Times New Roman" w:hAnsi="Times New Roman" w:cs="Times New Roman"/>
          <w:sz w:val="24"/>
          <w:szCs w:val="24"/>
        </w:rPr>
        <w:t>19,</w:t>
      </w:r>
      <w:r w:rsidR="00DA5199" w:rsidRPr="006C5CA0">
        <w:rPr>
          <w:rFonts w:ascii="Times New Roman" w:hAnsi="Times New Roman" w:cs="Times New Roman"/>
          <w:sz w:val="24"/>
          <w:szCs w:val="24"/>
        </w:rPr>
        <w:t xml:space="preserve"> </w:t>
      </w:r>
      <w:r w:rsidR="004777D8" w:rsidRPr="006C5CA0">
        <w:rPr>
          <w:rFonts w:ascii="Times New Roman" w:hAnsi="Times New Roman" w:cs="Times New Roman"/>
          <w:sz w:val="24"/>
          <w:szCs w:val="24"/>
        </w:rPr>
        <w:t>22,</w:t>
      </w:r>
      <w:r w:rsidR="00DA5199" w:rsidRPr="006C5CA0">
        <w:rPr>
          <w:rFonts w:ascii="Times New Roman" w:hAnsi="Times New Roman" w:cs="Times New Roman"/>
          <w:sz w:val="24"/>
          <w:szCs w:val="24"/>
        </w:rPr>
        <w:t xml:space="preserve"> </w:t>
      </w:r>
      <w:r w:rsidR="004777D8" w:rsidRPr="006C5CA0">
        <w:rPr>
          <w:rFonts w:ascii="Times New Roman" w:hAnsi="Times New Roman" w:cs="Times New Roman"/>
          <w:sz w:val="24"/>
          <w:szCs w:val="24"/>
        </w:rPr>
        <w:t>2</w:t>
      </w:r>
      <w:r w:rsidR="00406333" w:rsidRPr="006C5CA0">
        <w:rPr>
          <w:rFonts w:ascii="Times New Roman" w:hAnsi="Times New Roman" w:cs="Times New Roman"/>
          <w:sz w:val="24"/>
          <w:szCs w:val="24"/>
        </w:rPr>
        <w:t>3</w:t>
      </w:r>
    </w:p>
    <w:p w:rsidR="0036698D" w:rsidRPr="006C5CA0" w:rsidRDefault="00B16EEC" w:rsidP="006C5CA0">
      <w:pPr>
        <w:spacing w:after="0" w:line="360" w:lineRule="auto"/>
        <w:jc w:val="both"/>
        <w:rPr>
          <w:rFonts w:ascii="Times New Roman" w:hAnsi="Times New Roman" w:cs="Times New Roman"/>
          <w:sz w:val="24"/>
          <w:szCs w:val="24"/>
        </w:rPr>
      </w:pPr>
      <w:r w:rsidRPr="006C5CA0">
        <w:rPr>
          <w:rFonts w:ascii="Times New Roman" w:hAnsi="Times New Roman" w:cs="Times New Roman"/>
          <w:sz w:val="24"/>
          <w:szCs w:val="24"/>
        </w:rPr>
        <w:t xml:space="preserve">En </w:t>
      </w:r>
      <w:r w:rsidR="000120BA" w:rsidRPr="006C5CA0">
        <w:rPr>
          <w:rFonts w:ascii="Times New Roman" w:hAnsi="Times New Roman" w:cs="Times New Roman"/>
          <w:sz w:val="24"/>
          <w:szCs w:val="24"/>
        </w:rPr>
        <w:t>el presente</w:t>
      </w:r>
      <w:r w:rsidR="00263F17" w:rsidRPr="006C5CA0">
        <w:rPr>
          <w:rFonts w:ascii="Times New Roman" w:hAnsi="Times New Roman" w:cs="Times New Roman"/>
          <w:sz w:val="24"/>
          <w:szCs w:val="24"/>
        </w:rPr>
        <w:t xml:space="preserve"> estudio </w:t>
      </w:r>
      <w:r w:rsidRPr="006C5CA0">
        <w:rPr>
          <w:rFonts w:ascii="Times New Roman" w:hAnsi="Times New Roman" w:cs="Times New Roman"/>
          <w:sz w:val="24"/>
          <w:szCs w:val="24"/>
        </w:rPr>
        <w:t>se co</w:t>
      </w:r>
      <w:r w:rsidR="000120BA" w:rsidRPr="006C5CA0">
        <w:rPr>
          <w:rFonts w:ascii="Times New Roman" w:hAnsi="Times New Roman" w:cs="Times New Roman"/>
          <w:sz w:val="24"/>
          <w:szCs w:val="24"/>
        </w:rPr>
        <w:t>incide</w:t>
      </w:r>
      <w:r w:rsidRPr="006C5CA0">
        <w:rPr>
          <w:rFonts w:ascii="Times New Roman" w:hAnsi="Times New Roman" w:cs="Times New Roman"/>
          <w:sz w:val="24"/>
          <w:szCs w:val="24"/>
        </w:rPr>
        <w:t xml:space="preserve"> con lo antes mencionado ya que se puede observar una disminución de alb</w:t>
      </w:r>
      <w:r w:rsidR="00DA5199" w:rsidRPr="006C5CA0">
        <w:rPr>
          <w:rFonts w:ascii="Times New Roman" w:hAnsi="Times New Roman" w:cs="Times New Roman"/>
          <w:sz w:val="24"/>
          <w:szCs w:val="24"/>
        </w:rPr>
        <w:t>ú</w:t>
      </w:r>
      <w:r w:rsidRPr="006C5CA0">
        <w:rPr>
          <w:rFonts w:ascii="Times New Roman" w:hAnsi="Times New Roman" w:cs="Times New Roman"/>
          <w:sz w:val="24"/>
          <w:szCs w:val="24"/>
        </w:rPr>
        <w:t>mina, leucocitos y linfocitos al egreso del paciente.</w:t>
      </w:r>
    </w:p>
    <w:p w:rsidR="0053037E" w:rsidRPr="00C44AD6" w:rsidRDefault="00DA5199" w:rsidP="006C5CA0">
      <w:pPr>
        <w:spacing w:after="0" w:line="360" w:lineRule="auto"/>
        <w:jc w:val="both"/>
        <w:rPr>
          <w:rFonts w:ascii="Arial" w:hAnsi="Arial" w:cs="Arial"/>
          <w:sz w:val="24"/>
          <w:szCs w:val="24"/>
        </w:rPr>
      </w:pPr>
      <w:r w:rsidRPr="006C5CA0">
        <w:rPr>
          <w:rFonts w:ascii="Times New Roman" w:hAnsi="Times New Roman" w:cs="Times New Roman"/>
          <w:sz w:val="24"/>
          <w:szCs w:val="24"/>
        </w:rPr>
        <w:t>Con relación a l</w:t>
      </w:r>
      <w:r w:rsidR="0036698D" w:rsidRPr="006C5CA0">
        <w:rPr>
          <w:rFonts w:ascii="Times New Roman" w:hAnsi="Times New Roman" w:cs="Times New Roman"/>
          <w:sz w:val="24"/>
          <w:szCs w:val="24"/>
        </w:rPr>
        <w:t>os días de estancia hospitalaria</w:t>
      </w:r>
      <w:r w:rsidR="00CF593E" w:rsidRPr="006C5CA0">
        <w:rPr>
          <w:rFonts w:ascii="Times New Roman" w:hAnsi="Times New Roman" w:cs="Times New Roman"/>
          <w:sz w:val="24"/>
          <w:szCs w:val="24"/>
        </w:rPr>
        <w:t>,</w:t>
      </w:r>
      <w:r w:rsidR="0036698D" w:rsidRPr="006C5CA0">
        <w:rPr>
          <w:rFonts w:ascii="Times New Roman" w:hAnsi="Times New Roman" w:cs="Times New Roman"/>
          <w:sz w:val="24"/>
          <w:szCs w:val="24"/>
        </w:rPr>
        <w:t xml:space="preserve"> está comprobado que la desnutrición </w:t>
      </w:r>
      <w:r w:rsidR="004E6D25" w:rsidRPr="006C5CA0">
        <w:rPr>
          <w:rFonts w:ascii="Times New Roman" w:hAnsi="Times New Roman" w:cs="Times New Roman"/>
          <w:sz w:val="24"/>
          <w:szCs w:val="24"/>
        </w:rPr>
        <w:t>se asocia con</w:t>
      </w:r>
      <w:r w:rsidR="0036698D" w:rsidRPr="006C5CA0">
        <w:rPr>
          <w:rFonts w:ascii="Times New Roman" w:hAnsi="Times New Roman" w:cs="Times New Roman"/>
          <w:sz w:val="24"/>
          <w:szCs w:val="24"/>
        </w:rPr>
        <w:t xml:space="preserve"> estancias prolongadas, además de observarse un aumento del riesgo de complicaciones asociadas a la prolongación de la esta</w:t>
      </w:r>
      <w:r w:rsidR="00F94FDC" w:rsidRPr="006C5CA0">
        <w:rPr>
          <w:rFonts w:ascii="Times New Roman" w:hAnsi="Times New Roman" w:cs="Times New Roman"/>
          <w:sz w:val="24"/>
          <w:szCs w:val="24"/>
        </w:rPr>
        <w:t>ncia y al deterioro progresivo. En el estudio realizado por Pérez de la Cruz</w:t>
      </w:r>
      <w:r w:rsidR="004D559D" w:rsidRPr="006C5CA0">
        <w:rPr>
          <w:rFonts w:ascii="Times New Roman" w:hAnsi="Times New Roman" w:cs="Times New Roman"/>
          <w:sz w:val="24"/>
          <w:szCs w:val="24"/>
        </w:rPr>
        <w:t xml:space="preserve">, </w:t>
      </w:r>
      <w:r w:rsidR="00F94FDC" w:rsidRPr="006C5CA0">
        <w:rPr>
          <w:rFonts w:ascii="Times New Roman" w:hAnsi="Times New Roman" w:cs="Times New Roman"/>
          <w:sz w:val="24"/>
          <w:szCs w:val="24"/>
        </w:rPr>
        <w:t>los pacientes desnutridos permanecieron hospitalizados 10.4 días frente a los 7.5 días en los pacientes bien nutridos, resultados similares se obtuvieron en nuestro estudio con 7.5 días promedio de estancia hospitalaria, sin embargo, no podemos confirmar la presencia de desnutrición o bien el grado de desnutrición</w:t>
      </w:r>
      <w:r w:rsidR="004777D8" w:rsidRPr="006C5CA0">
        <w:rPr>
          <w:rFonts w:ascii="Times New Roman" w:hAnsi="Times New Roman" w:cs="Times New Roman"/>
          <w:sz w:val="24"/>
          <w:szCs w:val="24"/>
        </w:rPr>
        <w:t>2</w:t>
      </w:r>
      <w:r w:rsidR="00406333" w:rsidRPr="006C5CA0">
        <w:rPr>
          <w:rFonts w:ascii="Times New Roman" w:hAnsi="Times New Roman" w:cs="Times New Roman"/>
          <w:sz w:val="24"/>
          <w:szCs w:val="24"/>
        </w:rPr>
        <w:t>3</w:t>
      </w:r>
      <w:r w:rsidR="00B26429" w:rsidRPr="006C5CA0">
        <w:rPr>
          <w:rFonts w:ascii="Times New Roman" w:hAnsi="Times New Roman" w:cs="Times New Roman"/>
          <w:sz w:val="24"/>
          <w:szCs w:val="24"/>
        </w:rPr>
        <w:t>, sin embargo</w:t>
      </w:r>
      <w:r w:rsidRPr="006C5CA0">
        <w:rPr>
          <w:rFonts w:ascii="Times New Roman" w:hAnsi="Times New Roman" w:cs="Times New Roman"/>
          <w:sz w:val="24"/>
          <w:szCs w:val="24"/>
        </w:rPr>
        <w:t>,</w:t>
      </w:r>
      <w:r w:rsidR="00B26429" w:rsidRPr="006C5CA0">
        <w:rPr>
          <w:rFonts w:ascii="Times New Roman" w:hAnsi="Times New Roman" w:cs="Times New Roman"/>
          <w:sz w:val="24"/>
          <w:szCs w:val="24"/>
        </w:rPr>
        <w:t xml:space="preserve"> en la </w:t>
      </w:r>
      <w:r w:rsidRPr="006C5CA0">
        <w:rPr>
          <w:rFonts w:ascii="Times New Roman" w:hAnsi="Times New Roman" w:cs="Times New Roman"/>
          <w:sz w:val="24"/>
          <w:szCs w:val="24"/>
        </w:rPr>
        <w:t>g</w:t>
      </w:r>
      <w:r w:rsidR="00B26429" w:rsidRPr="006C5CA0">
        <w:rPr>
          <w:rFonts w:ascii="Times New Roman" w:hAnsi="Times New Roman" w:cs="Times New Roman"/>
          <w:sz w:val="24"/>
          <w:szCs w:val="24"/>
        </w:rPr>
        <w:t>ráfica 2 se puede apreciar que aumenta</w:t>
      </w:r>
      <w:r w:rsidRPr="006C5CA0">
        <w:rPr>
          <w:rFonts w:ascii="Times New Roman" w:hAnsi="Times New Roman" w:cs="Times New Roman"/>
          <w:sz w:val="24"/>
          <w:szCs w:val="24"/>
        </w:rPr>
        <w:t>n</w:t>
      </w:r>
      <w:r w:rsidR="00B26429" w:rsidRPr="006C5CA0">
        <w:rPr>
          <w:rFonts w:ascii="Times New Roman" w:hAnsi="Times New Roman" w:cs="Times New Roman"/>
          <w:sz w:val="24"/>
          <w:szCs w:val="24"/>
        </w:rPr>
        <w:t xml:space="preserve"> los días de estancia hospitalaria entre más tardío es el inicio de la nutrición. </w:t>
      </w:r>
    </w:p>
    <w:p w:rsidR="00375800" w:rsidRDefault="00375800" w:rsidP="00666D07">
      <w:pPr>
        <w:autoSpaceDE w:val="0"/>
        <w:autoSpaceDN w:val="0"/>
        <w:adjustRightInd w:val="0"/>
        <w:spacing w:after="0"/>
        <w:jc w:val="both"/>
        <w:rPr>
          <w:rFonts w:ascii="Arial" w:eastAsiaTheme="minorHAnsi" w:hAnsi="Arial" w:cs="Arial"/>
          <w:sz w:val="20"/>
          <w:szCs w:val="20"/>
          <w:lang w:eastAsia="en-US"/>
        </w:rPr>
      </w:pPr>
    </w:p>
    <w:p w:rsidR="002F5208" w:rsidRDefault="002F5208" w:rsidP="00666D07">
      <w:pPr>
        <w:spacing w:after="0" w:line="240" w:lineRule="auto"/>
        <w:jc w:val="both"/>
        <w:rPr>
          <w:rFonts w:ascii="Arial" w:hAnsi="Arial" w:cs="Arial"/>
          <w:b/>
          <w:sz w:val="24"/>
          <w:szCs w:val="24"/>
        </w:rPr>
      </w:pPr>
    </w:p>
    <w:p w:rsidR="003B15A3" w:rsidRDefault="00AF41D7" w:rsidP="00666D07">
      <w:pPr>
        <w:spacing w:after="0" w:line="240" w:lineRule="auto"/>
        <w:jc w:val="both"/>
        <w:rPr>
          <w:rFonts w:ascii="Arial" w:hAnsi="Arial" w:cs="Arial"/>
          <w:b/>
          <w:sz w:val="24"/>
          <w:szCs w:val="24"/>
        </w:rPr>
      </w:pPr>
      <w:r>
        <w:rPr>
          <w:rFonts w:ascii="Arial" w:hAnsi="Arial" w:cs="Arial"/>
          <w:b/>
          <w:sz w:val="24"/>
          <w:szCs w:val="24"/>
        </w:rPr>
        <w:t>Conclusiones</w:t>
      </w:r>
    </w:p>
    <w:p w:rsidR="00DA5199" w:rsidRPr="003B09AF" w:rsidRDefault="00DA5199" w:rsidP="00666D07">
      <w:pPr>
        <w:spacing w:after="0" w:line="240" w:lineRule="auto"/>
        <w:jc w:val="both"/>
        <w:rPr>
          <w:rFonts w:ascii="Arial" w:hAnsi="Arial" w:cs="Arial"/>
          <w:b/>
          <w:sz w:val="24"/>
          <w:szCs w:val="24"/>
        </w:rPr>
      </w:pPr>
    </w:p>
    <w:p w:rsidR="000C502B" w:rsidRPr="00346D1A" w:rsidRDefault="00DA5199" w:rsidP="006C5CA0">
      <w:pPr>
        <w:spacing w:after="0" w:line="360" w:lineRule="auto"/>
        <w:jc w:val="both"/>
        <w:rPr>
          <w:rFonts w:ascii="Arial" w:hAnsi="Arial" w:cs="Arial"/>
          <w:sz w:val="24"/>
          <w:szCs w:val="24"/>
        </w:rPr>
      </w:pPr>
      <w:r w:rsidRPr="006C5CA0">
        <w:rPr>
          <w:rFonts w:ascii="Times New Roman" w:hAnsi="Times New Roman" w:cs="Times New Roman"/>
          <w:sz w:val="24"/>
          <w:szCs w:val="24"/>
        </w:rPr>
        <w:t>Después de revisar</w:t>
      </w:r>
      <w:r w:rsidR="008A6A41" w:rsidRPr="006C5CA0">
        <w:rPr>
          <w:rFonts w:ascii="Times New Roman" w:hAnsi="Times New Roman" w:cs="Times New Roman"/>
          <w:sz w:val="24"/>
          <w:szCs w:val="24"/>
        </w:rPr>
        <w:t xml:space="preserve"> 30 expedientes clínicos de pac</w:t>
      </w:r>
      <w:r w:rsidR="00986B81" w:rsidRPr="006C5CA0">
        <w:rPr>
          <w:rFonts w:ascii="Times New Roman" w:hAnsi="Times New Roman" w:cs="Times New Roman"/>
          <w:sz w:val="24"/>
          <w:szCs w:val="24"/>
        </w:rPr>
        <w:t xml:space="preserve">ientes que ingresaron a la UCI </w:t>
      </w:r>
      <w:r w:rsidR="008A6A41" w:rsidRPr="006C5CA0">
        <w:rPr>
          <w:rFonts w:ascii="Times New Roman" w:hAnsi="Times New Roman" w:cs="Times New Roman"/>
          <w:sz w:val="24"/>
          <w:szCs w:val="24"/>
        </w:rPr>
        <w:t>con diagn</w:t>
      </w:r>
      <w:r w:rsidRPr="006C5CA0">
        <w:rPr>
          <w:rFonts w:ascii="Times New Roman" w:hAnsi="Times New Roman" w:cs="Times New Roman"/>
          <w:sz w:val="24"/>
          <w:szCs w:val="24"/>
        </w:rPr>
        <w:t>ó</w:t>
      </w:r>
      <w:r w:rsidR="008A6A41" w:rsidRPr="006C5CA0">
        <w:rPr>
          <w:rFonts w:ascii="Times New Roman" w:hAnsi="Times New Roman" w:cs="Times New Roman"/>
          <w:sz w:val="24"/>
          <w:szCs w:val="24"/>
        </w:rPr>
        <w:t>stico de TCE,</w:t>
      </w:r>
      <w:r w:rsidR="000C502B" w:rsidRPr="006C5CA0">
        <w:rPr>
          <w:rFonts w:ascii="Times New Roman" w:hAnsi="Times New Roman" w:cs="Times New Roman"/>
          <w:sz w:val="24"/>
          <w:szCs w:val="24"/>
        </w:rPr>
        <w:t xml:space="preserve"> con la finalidad de determinar la</w:t>
      </w:r>
      <w:r w:rsidR="008A6A41" w:rsidRPr="006C5CA0">
        <w:rPr>
          <w:rFonts w:ascii="Times New Roman" w:hAnsi="Times New Roman" w:cs="Times New Roman"/>
          <w:sz w:val="24"/>
          <w:szCs w:val="24"/>
        </w:rPr>
        <w:t xml:space="preserve"> relación</w:t>
      </w:r>
      <w:r w:rsidR="000C502B" w:rsidRPr="006C5CA0">
        <w:rPr>
          <w:rFonts w:ascii="Times New Roman" w:hAnsi="Times New Roman" w:cs="Times New Roman"/>
          <w:sz w:val="24"/>
          <w:szCs w:val="24"/>
        </w:rPr>
        <w:t xml:space="preserve"> entre el inicio temprano de la nutrición e</w:t>
      </w:r>
      <w:r w:rsidR="0053602C" w:rsidRPr="006C5CA0">
        <w:rPr>
          <w:rFonts w:ascii="Times New Roman" w:hAnsi="Times New Roman" w:cs="Times New Roman"/>
          <w:sz w:val="24"/>
          <w:szCs w:val="24"/>
        </w:rPr>
        <w:t xml:space="preserve">nteral y su impacto sobre la </w:t>
      </w:r>
      <w:proofErr w:type="spellStart"/>
      <w:r w:rsidR="000C502B" w:rsidRPr="006C5CA0">
        <w:rPr>
          <w:rFonts w:ascii="Times New Roman" w:hAnsi="Times New Roman" w:cs="Times New Roman"/>
          <w:sz w:val="24"/>
          <w:szCs w:val="24"/>
        </w:rPr>
        <w:t>morbi</w:t>
      </w:r>
      <w:proofErr w:type="spellEnd"/>
      <w:r w:rsidR="000C502B" w:rsidRPr="006C5CA0">
        <w:rPr>
          <w:rFonts w:ascii="Times New Roman" w:hAnsi="Times New Roman" w:cs="Times New Roman"/>
          <w:sz w:val="24"/>
          <w:szCs w:val="24"/>
        </w:rPr>
        <w:t>-mortalidad y días de hospitalización, p</w:t>
      </w:r>
      <w:r w:rsidR="00182334" w:rsidRPr="006C5CA0">
        <w:rPr>
          <w:rFonts w:ascii="Times New Roman" w:hAnsi="Times New Roman" w:cs="Times New Roman"/>
          <w:sz w:val="24"/>
          <w:szCs w:val="24"/>
        </w:rPr>
        <w:t xml:space="preserve">odemos concluir </w:t>
      </w:r>
      <w:r w:rsidR="000C502B" w:rsidRPr="006C5CA0">
        <w:rPr>
          <w:rFonts w:ascii="Times New Roman" w:hAnsi="Times New Roman" w:cs="Times New Roman"/>
          <w:sz w:val="24"/>
          <w:szCs w:val="24"/>
        </w:rPr>
        <w:t>que el empleo de nutrición enteral temprana (antes de 72 horas) en el paciente con TCE, disminuye la incidencia de infecciones nosocomiales, días de ventilación mecánica y de estancia hospitalaria en la UCI.</w:t>
      </w:r>
    </w:p>
    <w:p w:rsidR="008167A5" w:rsidRDefault="008167A5" w:rsidP="00666D07">
      <w:pPr>
        <w:spacing w:after="0" w:line="240" w:lineRule="auto"/>
        <w:jc w:val="both"/>
        <w:rPr>
          <w:rFonts w:ascii="Arial" w:hAnsi="Arial" w:cs="Arial"/>
          <w:b/>
          <w:sz w:val="24"/>
          <w:szCs w:val="24"/>
        </w:rPr>
      </w:pPr>
    </w:p>
    <w:p w:rsidR="00D667F7" w:rsidRDefault="008167A5" w:rsidP="00666D07">
      <w:pPr>
        <w:spacing w:after="0" w:line="240" w:lineRule="auto"/>
        <w:jc w:val="both"/>
        <w:rPr>
          <w:rFonts w:ascii="Arial" w:hAnsi="Arial" w:cs="Arial"/>
          <w:b/>
          <w:sz w:val="24"/>
          <w:szCs w:val="24"/>
        </w:rPr>
      </w:pPr>
      <w:r>
        <w:rPr>
          <w:rFonts w:ascii="Arial" w:hAnsi="Arial" w:cs="Arial"/>
          <w:b/>
          <w:sz w:val="24"/>
          <w:szCs w:val="24"/>
        </w:rPr>
        <w:t>Recomendaciones</w:t>
      </w:r>
    </w:p>
    <w:p w:rsidR="00DA5199" w:rsidRDefault="00DA5199" w:rsidP="00666D07">
      <w:pPr>
        <w:spacing w:after="0" w:line="240" w:lineRule="auto"/>
        <w:jc w:val="both"/>
        <w:rPr>
          <w:rFonts w:ascii="Arial" w:hAnsi="Arial" w:cs="Arial"/>
          <w:b/>
          <w:sz w:val="24"/>
          <w:szCs w:val="24"/>
        </w:rPr>
      </w:pPr>
    </w:p>
    <w:p w:rsidR="008167A5" w:rsidRPr="006C5CA0" w:rsidRDefault="008167A5" w:rsidP="006C5CA0">
      <w:pPr>
        <w:spacing w:after="0" w:line="360" w:lineRule="auto"/>
        <w:jc w:val="both"/>
        <w:rPr>
          <w:rFonts w:ascii="Times New Roman" w:hAnsi="Times New Roman" w:cs="Times New Roman"/>
          <w:sz w:val="24"/>
          <w:szCs w:val="24"/>
        </w:rPr>
      </w:pPr>
      <w:r w:rsidRPr="006C5CA0">
        <w:rPr>
          <w:rFonts w:ascii="Times New Roman" w:hAnsi="Times New Roman" w:cs="Times New Roman"/>
          <w:sz w:val="24"/>
          <w:szCs w:val="24"/>
        </w:rPr>
        <w:t>Es importante implementa</w:t>
      </w:r>
      <w:r w:rsidR="00DA5199" w:rsidRPr="006C5CA0">
        <w:rPr>
          <w:rFonts w:ascii="Times New Roman" w:hAnsi="Times New Roman" w:cs="Times New Roman"/>
          <w:sz w:val="24"/>
          <w:szCs w:val="24"/>
        </w:rPr>
        <w:t xml:space="preserve">r </w:t>
      </w:r>
      <w:r w:rsidRPr="006C5CA0">
        <w:rPr>
          <w:rFonts w:ascii="Times New Roman" w:hAnsi="Times New Roman" w:cs="Times New Roman"/>
          <w:sz w:val="24"/>
          <w:szCs w:val="24"/>
        </w:rPr>
        <w:t>un protocolo de manejo nutricional basado en evidencias</w:t>
      </w:r>
      <w:r w:rsidR="00426455" w:rsidRPr="006C5CA0">
        <w:rPr>
          <w:rFonts w:ascii="Times New Roman" w:hAnsi="Times New Roman" w:cs="Times New Roman"/>
          <w:sz w:val="24"/>
          <w:szCs w:val="24"/>
        </w:rPr>
        <w:t>, partiendo</w:t>
      </w:r>
      <w:r w:rsidR="00FE62DE" w:rsidRPr="006C5CA0">
        <w:rPr>
          <w:rFonts w:ascii="Times New Roman" w:hAnsi="Times New Roman" w:cs="Times New Roman"/>
          <w:sz w:val="24"/>
          <w:szCs w:val="24"/>
        </w:rPr>
        <w:t xml:space="preserve"> de la</w:t>
      </w:r>
      <w:r w:rsidRPr="006C5CA0">
        <w:rPr>
          <w:rFonts w:ascii="Times New Roman" w:hAnsi="Times New Roman" w:cs="Times New Roman"/>
          <w:sz w:val="24"/>
          <w:szCs w:val="24"/>
        </w:rPr>
        <w:t xml:space="preserve"> evaluación del estado de nutrición de cada paciente en estado crítico</w:t>
      </w:r>
      <w:r w:rsidR="00426455" w:rsidRPr="006C5CA0">
        <w:rPr>
          <w:rFonts w:ascii="Times New Roman" w:hAnsi="Times New Roman" w:cs="Times New Roman"/>
          <w:sz w:val="24"/>
          <w:szCs w:val="24"/>
        </w:rPr>
        <w:t xml:space="preserve"> que ingrese a la UCI</w:t>
      </w:r>
      <w:r w:rsidRPr="006C5CA0">
        <w:rPr>
          <w:rFonts w:ascii="Times New Roman" w:hAnsi="Times New Roman" w:cs="Times New Roman"/>
          <w:sz w:val="24"/>
          <w:szCs w:val="24"/>
        </w:rPr>
        <w:t>, y así plantear los objetivos y las estrategias</w:t>
      </w:r>
      <w:r w:rsidR="00014065" w:rsidRPr="006C5CA0">
        <w:rPr>
          <w:rFonts w:ascii="Times New Roman" w:hAnsi="Times New Roman" w:cs="Times New Roman"/>
          <w:sz w:val="24"/>
          <w:szCs w:val="24"/>
        </w:rPr>
        <w:t xml:space="preserve"> a seguir</w:t>
      </w:r>
      <w:r w:rsidRPr="006C5CA0">
        <w:rPr>
          <w:rFonts w:ascii="Times New Roman" w:hAnsi="Times New Roman" w:cs="Times New Roman"/>
          <w:sz w:val="24"/>
          <w:szCs w:val="24"/>
        </w:rPr>
        <w:t xml:space="preserve">, </w:t>
      </w:r>
      <w:r w:rsidR="00426455" w:rsidRPr="006C5CA0">
        <w:rPr>
          <w:rFonts w:ascii="Times New Roman" w:hAnsi="Times New Roman" w:cs="Times New Roman"/>
          <w:sz w:val="24"/>
          <w:szCs w:val="24"/>
        </w:rPr>
        <w:t xml:space="preserve">para </w:t>
      </w:r>
      <w:r w:rsidR="00CD4486" w:rsidRPr="006C5CA0">
        <w:rPr>
          <w:rFonts w:ascii="Times New Roman" w:hAnsi="Times New Roman" w:cs="Times New Roman"/>
          <w:sz w:val="24"/>
          <w:szCs w:val="24"/>
        </w:rPr>
        <w:t xml:space="preserve">brindar </w:t>
      </w:r>
      <w:r w:rsidRPr="006C5CA0">
        <w:rPr>
          <w:rFonts w:ascii="Times New Roman" w:hAnsi="Times New Roman" w:cs="Times New Roman"/>
          <w:sz w:val="24"/>
          <w:szCs w:val="24"/>
        </w:rPr>
        <w:t xml:space="preserve">el soporte nutricional </w:t>
      </w:r>
      <w:r w:rsidR="00426455" w:rsidRPr="006C5CA0">
        <w:rPr>
          <w:rFonts w:ascii="Times New Roman" w:hAnsi="Times New Roman" w:cs="Times New Roman"/>
          <w:sz w:val="24"/>
          <w:szCs w:val="24"/>
        </w:rPr>
        <w:t>adecuado</w:t>
      </w:r>
      <w:r w:rsidR="00FE62DE" w:rsidRPr="006C5CA0">
        <w:rPr>
          <w:rFonts w:ascii="Times New Roman" w:hAnsi="Times New Roman" w:cs="Times New Roman"/>
          <w:sz w:val="24"/>
          <w:szCs w:val="24"/>
        </w:rPr>
        <w:t xml:space="preserve"> tomando en cuenta</w:t>
      </w:r>
      <w:r w:rsidR="00DA5199" w:rsidRPr="006C5CA0">
        <w:rPr>
          <w:rFonts w:ascii="Times New Roman" w:hAnsi="Times New Roman" w:cs="Times New Roman"/>
          <w:sz w:val="24"/>
          <w:szCs w:val="24"/>
        </w:rPr>
        <w:t>,</w:t>
      </w:r>
      <w:r w:rsidR="00FE62DE" w:rsidRPr="006C5CA0">
        <w:rPr>
          <w:rFonts w:ascii="Times New Roman" w:hAnsi="Times New Roman" w:cs="Times New Roman"/>
          <w:sz w:val="24"/>
          <w:szCs w:val="24"/>
        </w:rPr>
        <w:t xml:space="preserve"> entre </w:t>
      </w:r>
      <w:r w:rsidR="00DA5199" w:rsidRPr="006C5CA0">
        <w:rPr>
          <w:rFonts w:ascii="Times New Roman" w:hAnsi="Times New Roman" w:cs="Times New Roman"/>
          <w:sz w:val="24"/>
          <w:szCs w:val="24"/>
        </w:rPr>
        <w:t>otros</w:t>
      </w:r>
      <w:r w:rsidR="00FE62DE" w:rsidRPr="006C5CA0">
        <w:rPr>
          <w:rFonts w:ascii="Times New Roman" w:hAnsi="Times New Roman" w:cs="Times New Roman"/>
          <w:sz w:val="24"/>
          <w:szCs w:val="24"/>
        </w:rPr>
        <w:t xml:space="preserve"> factores</w:t>
      </w:r>
      <w:r w:rsidR="00DA5199" w:rsidRPr="006C5CA0">
        <w:rPr>
          <w:rFonts w:ascii="Times New Roman" w:hAnsi="Times New Roman" w:cs="Times New Roman"/>
          <w:sz w:val="24"/>
          <w:szCs w:val="24"/>
        </w:rPr>
        <w:t>,</w:t>
      </w:r>
      <w:r w:rsidR="00FE62DE" w:rsidRPr="006C5CA0">
        <w:rPr>
          <w:rFonts w:ascii="Times New Roman" w:hAnsi="Times New Roman" w:cs="Times New Roman"/>
          <w:sz w:val="24"/>
          <w:szCs w:val="24"/>
        </w:rPr>
        <w:t xml:space="preserve"> la enfermedad base del paciente</w:t>
      </w:r>
      <w:r w:rsidRPr="006C5CA0">
        <w:rPr>
          <w:rFonts w:ascii="Times New Roman" w:hAnsi="Times New Roman" w:cs="Times New Roman"/>
          <w:sz w:val="24"/>
          <w:szCs w:val="24"/>
        </w:rPr>
        <w:t xml:space="preserve">; de esta manera, </w:t>
      </w:r>
      <w:r w:rsidR="00014065" w:rsidRPr="006C5CA0">
        <w:rPr>
          <w:rFonts w:ascii="Times New Roman" w:hAnsi="Times New Roman" w:cs="Times New Roman"/>
          <w:sz w:val="24"/>
          <w:szCs w:val="24"/>
        </w:rPr>
        <w:t xml:space="preserve">es necesario contar con un equipo de salud que incluya al servicio de nutrición para </w:t>
      </w:r>
      <w:r w:rsidRPr="006C5CA0">
        <w:rPr>
          <w:rFonts w:ascii="Times New Roman" w:hAnsi="Times New Roman" w:cs="Times New Roman"/>
          <w:sz w:val="24"/>
          <w:szCs w:val="24"/>
        </w:rPr>
        <w:t>la uni</w:t>
      </w:r>
      <w:r w:rsidR="00014065" w:rsidRPr="006C5CA0">
        <w:rPr>
          <w:rFonts w:ascii="Times New Roman" w:hAnsi="Times New Roman" w:cs="Times New Roman"/>
          <w:sz w:val="24"/>
          <w:szCs w:val="24"/>
        </w:rPr>
        <w:t>ficación de criterios</w:t>
      </w:r>
      <w:r w:rsidRPr="006C5CA0">
        <w:rPr>
          <w:rFonts w:ascii="Times New Roman" w:hAnsi="Times New Roman" w:cs="Times New Roman"/>
          <w:sz w:val="24"/>
          <w:szCs w:val="24"/>
        </w:rPr>
        <w:t>. Por otra parte</w:t>
      </w:r>
      <w:r w:rsidR="00CD4486" w:rsidRPr="006C5CA0">
        <w:rPr>
          <w:rFonts w:ascii="Times New Roman" w:hAnsi="Times New Roman" w:cs="Times New Roman"/>
          <w:sz w:val="24"/>
          <w:szCs w:val="24"/>
        </w:rPr>
        <w:t>,</w:t>
      </w:r>
      <w:r w:rsidRPr="006C5CA0">
        <w:rPr>
          <w:rFonts w:ascii="Times New Roman" w:hAnsi="Times New Roman" w:cs="Times New Roman"/>
          <w:sz w:val="24"/>
          <w:szCs w:val="24"/>
        </w:rPr>
        <w:t xml:space="preserve"> es </w:t>
      </w:r>
      <w:r w:rsidR="00FE62DE" w:rsidRPr="006C5CA0">
        <w:rPr>
          <w:rFonts w:ascii="Times New Roman" w:hAnsi="Times New Roman" w:cs="Times New Roman"/>
          <w:sz w:val="24"/>
          <w:szCs w:val="24"/>
        </w:rPr>
        <w:t>muy importante</w:t>
      </w:r>
      <w:r w:rsidRPr="006C5CA0">
        <w:rPr>
          <w:rFonts w:ascii="Times New Roman" w:hAnsi="Times New Roman" w:cs="Times New Roman"/>
          <w:sz w:val="24"/>
          <w:szCs w:val="24"/>
        </w:rPr>
        <w:t xml:space="preserve"> la clara asignación de responsabilidades dentro del equipo, manteniendo la comunicación y cooperación entre sus elementos. </w:t>
      </w:r>
    </w:p>
    <w:p w:rsidR="00D667F7" w:rsidRDefault="00D667F7" w:rsidP="00666D07">
      <w:pPr>
        <w:spacing w:after="0" w:line="240" w:lineRule="auto"/>
        <w:jc w:val="both"/>
        <w:rPr>
          <w:rFonts w:ascii="Arial" w:hAnsi="Arial" w:cs="Arial"/>
          <w:b/>
          <w:sz w:val="24"/>
          <w:szCs w:val="24"/>
        </w:rPr>
      </w:pPr>
    </w:p>
    <w:p w:rsidR="00D667F7" w:rsidRDefault="00D667F7" w:rsidP="00666D07">
      <w:pPr>
        <w:spacing w:after="0" w:line="240" w:lineRule="auto"/>
        <w:jc w:val="both"/>
        <w:rPr>
          <w:rFonts w:ascii="Arial" w:hAnsi="Arial" w:cs="Arial"/>
          <w:b/>
          <w:sz w:val="24"/>
          <w:szCs w:val="24"/>
        </w:rPr>
      </w:pPr>
    </w:p>
    <w:p w:rsidR="003B44C6" w:rsidRPr="0069230C" w:rsidRDefault="0069230C" w:rsidP="00666D07">
      <w:pPr>
        <w:spacing w:after="0" w:line="240" w:lineRule="auto"/>
        <w:jc w:val="both"/>
        <w:rPr>
          <w:rFonts w:ascii="Calibri" w:eastAsia="Times New Roman" w:hAnsi="Calibri" w:cs="Calibri"/>
          <w:color w:val="7030A0"/>
          <w:sz w:val="28"/>
          <w:szCs w:val="28"/>
          <w:lang w:val="es-ES" w:eastAsia="es-ES"/>
        </w:rPr>
      </w:pPr>
      <w:r>
        <w:rPr>
          <w:rFonts w:ascii="Calibri" w:eastAsia="Times New Roman" w:hAnsi="Calibri" w:cs="Calibri"/>
          <w:color w:val="7030A0"/>
          <w:sz w:val="28"/>
          <w:szCs w:val="28"/>
          <w:lang w:val="es-ES" w:eastAsia="es-ES"/>
        </w:rPr>
        <w:t>Bibliografía</w:t>
      </w:r>
    </w:p>
    <w:p w:rsidR="00DA5199" w:rsidRPr="008C4145" w:rsidRDefault="00DA5199" w:rsidP="00666D07">
      <w:pPr>
        <w:spacing w:after="0" w:line="240" w:lineRule="auto"/>
        <w:jc w:val="both"/>
        <w:rPr>
          <w:rFonts w:ascii="Arial" w:hAnsi="Arial" w:cs="Arial"/>
          <w:b/>
          <w:sz w:val="24"/>
          <w:szCs w:val="24"/>
        </w:rPr>
      </w:pPr>
    </w:p>
    <w:p w:rsidR="003B44C6" w:rsidRPr="006C5CA0" w:rsidRDefault="003B44C6" w:rsidP="006C5CA0">
      <w:pPr>
        <w:pStyle w:val="Bibliografa"/>
        <w:spacing w:after="0" w:line="360" w:lineRule="auto"/>
        <w:ind w:left="720" w:hanging="720"/>
        <w:jc w:val="both"/>
        <w:rPr>
          <w:rFonts w:ascii="Times New Roman" w:hAnsi="Times New Roman"/>
          <w:noProof/>
          <w:sz w:val="24"/>
          <w:szCs w:val="24"/>
        </w:rPr>
      </w:pPr>
      <w:r w:rsidRPr="006C5CA0">
        <w:rPr>
          <w:rFonts w:ascii="Times New Roman" w:hAnsi="Times New Roman"/>
          <w:noProof/>
          <w:sz w:val="24"/>
          <w:szCs w:val="24"/>
        </w:rPr>
        <w:t>Boto G.R., Gómez P.A., De la Cruz J. Lobato R.D. Modelos pronósticos en el traumatismo craneoencefálico grave. Rev. Neurocirugía 2006; 17:215-255.</w:t>
      </w:r>
    </w:p>
    <w:p w:rsidR="003B44C6" w:rsidRPr="006C5CA0" w:rsidRDefault="003B44C6" w:rsidP="006C5CA0">
      <w:pPr>
        <w:pStyle w:val="Bibliografa"/>
        <w:spacing w:after="0" w:line="360" w:lineRule="auto"/>
        <w:ind w:left="720" w:hanging="720"/>
        <w:jc w:val="both"/>
        <w:rPr>
          <w:rFonts w:ascii="Times New Roman" w:hAnsi="Times New Roman"/>
          <w:noProof/>
          <w:sz w:val="24"/>
          <w:szCs w:val="24"/>
        </w:rPr>
      </w:pPr>
    </w:p>
    <w:p w:rsidR="003B44C6" w:rsidRPr="006C5CA0" w:rsidRDefault="003B44C6" w:rsidP="006C5CA0">
      <w:pPr>
        <w:pStyle w:val="Bibliografa"/>
        <w:spacing w:after="0" w:line="360" w:lineRule="auto"/>
        <w:ind w:left="720" w:hanging="720"/>
        <w:jc w:val="both"/>
        <w:rPr>
          <w:rFonts w:ascii="Times New Roman" w:hAnsi="Times New Roman"/>
          <w:noProof/>
          <w:sz w:val="24"/>
          <w:szCs w:val="24"/>
        </w:rPr>
      </w:pPr>
      <w:r w:rsidRPr="006C5CA0">
        <w:rPr>
          <w:rFonts w:ascii="Times New Roman" w:hAnsi="Times New Roman"/>
          <w:noProof/>
          <w:sz w:val="24"/>
          <w:szCs w:val="24"/>
        </w:rPr>
        <w:t>García de Lorenzo y Mateos, Acosta Escribano J., Bonet Saris A., Nutrición artificial en el paciente poli traumatiza</w:t>
      </w:r>
      <w:r w:rsidR="0051657E" w:rsidRPr="006C5CA0">
        <w:rPr>
          <w:rFonts w:ascii="Times New Roman" w:hAnsi="Times New Roman"/>
          <w:noProof/>
          <w:sz w:val="24"/>
          <w:szCs w:val="24"/>
        </w:rPr>
        <w:t xml:space="preserve">do. Nutrición Hospitalaria 2005; </w:t>
      </w:r>
      <w:r w:rsidRPr="006C5CA0">
        <w:rPr>
          <w:rFonts w:ascii="Times New Roman" w:hAnsi="Times New Roman"/>
          <w:noProof/>
          <w:sz w:val="24"/>
          <w:szCs w:val="24"/>
        </w:rPr>
        <w:t>20(2):47-50.</w:t>
      </w:r>
    </w:p>
    <w:p w:rsidR="003B44C6" w:rsidRPr="006C5CA0" w:rsidRDefault="003B44C6" w:rsidP="006C5CA0">
      <w:pPr>
        <w:pStyle w:val="Bibliografa"/>
        <w:spacing w:after="0" w:line="360" w:lineRule="auto"/>
        <w:ind w:left="720" w:hanging="720"/>
        <w:jc w:val="both"/>
        <w:rPr>
          <w:rFonts w:ascii="Times New Roman" w:hAnsi="Times New Roman"/>
          <w:noProof/>
          <w:sz w:val="24"/>
          <w:szCs w:val="24"/>
        </w:rPr>
      </w:pPr>
    </w:p>
    <w:p w:rsidR="003B44C6" w:rsidRPr="006C5CA0" w:rsidRDefault="003B44C6" w:rsidP="006C5CA0">
      <w:pPr>
        <w:pStyle w:val="Bibliografa"/>
        <w:spacing w:after="0" w:line="360" w:lineRule="auto"/>
        <w:ind w:left="720" w:hanging="720"/>
        <w:jc w:val="both"/>
        <w:rPr>
          <w:rFonts w:ascii="Times New Roman" w:hAnsi="Times New Roman"/>
          <w:noProof/>
          <w:sz w:val="24"/>
          <w:szCs w:val="24"/>
        </w:rPr>
      </w:pPr>
      <w:r w:rsidRPr="006C5CA0">
        <w:rPr>
          <w:rFonts w:ascii="Times New Roman" w:hAnsi="Times New Roman"/>
          <w:noProof/>
          <w:sz w:val="24"/>
          <w:szCs w:val="24"/>
        </w:rPr>
        <w:t xml:space="preserve">Small Seoane R., Hernández González J. Comportamiento nutricional del trauma craneoencefálico en una unidad de cuidados intensivos de un Hospital Provincial. Rev Cub Aliment </w:t>
      </w:r>
      <w:r w:rsidR="0051657E" w:rsidRPr="006C5CA0">
        <w:rPr>
          <w:rFonts w:ascii="Times New Roman" w:hAnsi="Times New Roman"/>
          <w:noProof/>
          <w:sz w:val="24"/>
          <w:szCs w:val="24"/>
        </w:rPr>
        <w:t>Nutr; 2009;</w:t>
      </w:r>
      <w:r w:rsidR="00DC490A" w:rsidRPr="006C5CA0">
        <w:rPr>
          <w:rFonts w:ascii="Times New Roman" w:hAnsi="Times New Roman"/>
          <w:noProof/>
          <w:sz w:val="24"/>
          <w:szCs w:val="24"/>
        </w:rPr>
        <w:t xml:space="preserve"> </w:t>
      </w:r>
      <w:r w:rsidRPr="006C5CA0">
        <w:rPr>
          <w:rFonts w:ascii="Times New Roman" w:hAnsi="Times New Roman"/>
          <w:noProof/>
          <w:sz w:val="24"/>
          <w:szCs w:val="24"/>
        </w:rPr>
        <w:t xml:space="preserve">19: 56-72. </w:t>
      </w:r>
    </w:p>
    <w:p w:rsidR="003B44C6" w:rsidRPr="006C5CA0" w:rsidRDefault="003B44C6" w:rsidP="006C5CA0">
      <w:pPr>
        <w:pStyle w:val="Bibliografa"/>
        <w:spacing w:after="0" w:line="360" w:lineRule="auto"/>
        <w:ind w:left="720" w:hanging="720"/>
        <w:jc w:val="both"/>
        <w:rPr>
          <w:rFonts w:ascii="Times New Roman" w:hAnsi="Times New Roman"/>
          <w:noProof/>
          <w:sz w:val="24"/>
          <w:szCs w:val="24"/>
        </w:rPr>
      </w:pPr>
    </w:p>
    <w:p w:rsidR="003B44C6" w:rsidRPr="006C5CA0" w:rsidRDefault="003B44C6" w:rsidP="006C5CA0">
      <w:pPr>
        <w:pStyle w:val="Bibliografa"/>
        <w:spacing w:after="0" w:line="360" w:lineRule="auto"/>
        <w:ind w:left="720" w:hanging="720"/>
        <w:jc w:val="both"/>
        <w:rPr>
          <w:rFonts w:ascii="Times New Roman" w:hAnsi="Times New Roman"/>
          <w:noProof/>
          <w:sz w:val="24"/>
          <w:szCs w:val="24"/>
        </w:rPr>
      </w:pPr>
      <w:r w:rsidRPr="006C5CA0">
        <w:rPr>
          <w:rFonts w:ascii="Times New Roman" w:hAnsi="Times New Roman"/>
          <w:noProof/>
          <w:sz w:val="24"/>
          <w:szCs w:val="24"/>
        </w:rPr>
        <w:t>Chávez-Pérez J.P., Sánchez-Velázquez L.D. Impacto del retraso del inicio del apoyo nutricio en la morbimortalidad en la Unidad de Terapia Intensiva. Revista de la Asociación Mexicana de Medicina Crítica y Terapia Intensiva. 2009;</w:t>
      </w:r>
      <w:r w:rsidR="00DC490A" w:rsidRPr="006C5CA0">
        <w:rPr>
          <w:rFonts w:ascii="Times New Roman" w:hAnsi="Times New Roman"/>
          <w:noProof/>
          <w:sz w:val="24"/>
          <w:szCs w:val="24"/>
        </w:rPr>
        <w:t xml:space="preserve"> </w:t>
      </w:r>
      <w:r w:rsidRPr="006C5CA0">
        <w:rPr>
          <w:rFonts w:ascii="Times New Roman" w:hAnsi="Times New Roman"/>
          <w:noProof/>
          <w:sz w:val="24"/>
          <w:szCs w:val="24"/>
        </w:rPr>
        <w:t>23(2):70-75.</w:t>
      </w:r>
    </w:p>
    <w:p w:rsidR="003B44C6" w:rsidRPr="006C5CA0" w:rsidRDefault="003B44C6" w:rsidP="006C5CA0">
      <w:pPr>
        <w:pStyle w:val="Bibliografa"/>
        <w:spacing w:after="0" w:line="360" w:lineRule="auto"/>
        <w:ind w:left="720" w:hanging="720"/>
        <w:jc w:val="both"/>
        <w:rPr>
          <w:rFonts w:ascii="Times New Roman" w:hAnsi="Times New Roman"/>
          <w:noProof/>
          <w:sz w:val="24"/>
          <w:szCs w:val="24"/>
        </w:rPr>
      </w:pPr>
    </w:p>
    <w:p w:rsidR="003B44C6" w:rsidRPr="006C5CA0" w:rsidRDefault="003B44C6" w:rsidP="006C5CA0">
      <w:pPr>
        <w:pStyle w:val="Bibliografa"/>
        <w:spacing w:after="0" w:line="360" w:lineRule="auto"/>
        <w:ind w:left="720" w:hanging="720"/>
        <w:jc w:val="both"/>
        <w:rPr>
          <w:rFonts w:ascii="Times New Roman" w:hAnsi="Times New Roman"/>
          <w:noProof/>
          <w:sz w:val="24"/>
          <w:szCs w:val="24"/>
        </w:rPr>
      </w:pPr>
      <w:r w:rsidRPr="006C5CA0">
        <w:rPr>
          <w:rFonts w:ascii="Times New Roman" w:hAnsi="Times New Roman"/>
          <w:noProof/>
          <w:sz w:val="24"/>
          <w:szCs w:val="24"/>
        </w:rPr>
        <w:t>García de Lorenzo y Mateos A., Rodríguez Montes J. A. Traumatismo craneoencefálico y manejo nutricional del paciente neurológico en estado crítico. Revista Nutrición Hospitalaria Suplementos 2009; 2(2):106-113.</w:t>
      </w:r>
    </w:p>
    <w:p w:rsidR="003B44C6" w:rsidRPr="006C5CA0" w:rsidRDefault="003B44C6" w:rsidP="006C5CA0">
      <w:pPr>
        <w:pStyle w:val="Bibliografa"/>
        <w:spacing w:after="0" w:line="360" w:lineRule="auto"/>
        <w:ind w:left="720" w:hanging="720"/>
        <w:jc w:val="both"/>
        <w:rPr>
          <w:rFonts w:ascii="Times New Roman" w:hAnsi="Times New Roman"/>
          <w:noProof/>
          <w:sz w:val="24"/>
          <w:szCs w:val="24"/>
        </w:rPr>
      </w:pPr>
    </w:p>
    <w:p w:rsidR="003B44C6" w:rsidRPr="006C5CA0" w:rsidRDefault="003B44C6" w:rsidP="006C5CA0">
      <w:pPr>
        <w:pStyle w:val="Bibliografa"/>
        <w:spacing w:after="0" w:line="360" w:lineRule="auto"/>
        <w:ind w:left="720" w:hanging="720"/>
        <w:jc w:val="both"/>
        <w:rPr>
          <w:rFonts w:ascii="Times New Roman" w:hAnsi="Times New Roman"/>
          <w:noProof/>
          <w:sz w:val="24"/>
          <w:szCs w:val="24"/>
        </w:rPr>
      </w:pPr>
      <w:r w:rsidRPr="006C5CA0">
        <w:rPr>
          <w:rFonts w:ascii="Times New Roman" w:hAnsi="Times New Roman"/>
          <w:noProof/>
          <w:sz w:val="24"/>
          <w:szCs w:val="24"/>
        </w:rPr>
        <w:t>Torres Vega A., Fuentes Carrasco M., Jiménez Márquez F., Sandoval Lima N., Vargas Urbina B., Ocampo Olivera N. Nutrición enteral, intervención segura en la Unidad de Terapia Intensiva. Revista Medicina Crítica y Terapia Intensiva 2008</w:t>
      </w:r>
      <w:r w:rsidR="0051657E" w:rsidRPr="006C5CA0">
        <w:rPr>
          <w:rFonts w:ascii="Times New Roman" w:hAnsi="Times New Roman"/>
          <w:noProof/>
          <w:sz w:val="24"/>
          <w:szCs w:val="24"/>
        </w:rPr>
        <w:t>;</w:t>
      </w:r>
      <w:r w:rsidRPr="006C5CA0">
        <w:rPr>
          <w:rFonts w:ascii="Times New Roman" w:hAnsi="Times New Roman"/>
          <w:noProof/>
          <w:sz w:val="24"/>
          <w:szCs w:val="24"/>
        </w:rPr>
        <w:t xml:space="preserve"> 22,4:226-235.</w:t>
      </w:r>
    </w:p>
    <w:p w:rsidR="003B44C6" w:rsidRPr="006C5CA0" w:rsidRDefault="003B44C6" w:rsidP="006C5CA0">
      <w:pPr>
        <w:pStyle w:val="Bibliografa"/>
        <w:spacing w:after="0" w:line="360" w:lineRule="auto"/>
        <w:ind w:left="720" w:hanging="720"/>
        <w:jc w:val="both"/>
        <w:rPr>
          <w:rFonts w:ascii="Times New Roman" w:hAnsi="Times New Roman"/>
          <w:noProof/>
          <w:sz w:val="24"/>
          <w:szCs w:val="24"/>
        </w:rPr>
      </w:pPr>
    </w:p>
    <w:p w:rsidR="003B44C6" w:rsidRPr="006C5CA0" w:rsidRDefault="003B44C6" w:rsidP="006C5CA0">
      <w:pPr>
        <w:pStyle w:val="Bibliografa"/>
        <w:spacing w:after="0" w:line="360" w:lineRule="auto"/>
        <w:ind w:left="720" w:hanging="720"/>
        <w:jc w:val="both"/>
        <w:rPr>
          <w:rFonts w:ascii="Times New Roman" w:hAnsi="Times New Roman"/>
          <w:noProof/>
          <w:sz w:val="24"/>
          <w:szCs w:val="24"/>
        </w:rPr>
      </w:pPr>
      <w:r w:rsidRPr="006C5CA0">
        <w:rPr>
          <w:rFonts w:ascii="Times New Roman" w:hAnsi="Times New Roman"/>
          <w:noProof/>
          <w:sz w:val="24"/>
          <w:szCs w:val="24"/>
        </w:rPr>
        <w:t xml:space="preserve">Lobo Támer G., Ruiz López M.D., Pérez de la Cruz A. Desnutrición hospitalaria: relación con la estancia media y la tasa de reingresos prematuros. Revista Medicina  </w:t>
      </w:r>
      <w:r w:rsidR="0051657E" w:rsidRPr="006C5CA0">
        <w:rPr>
          <w:rFonts w:ascii="Times New Roman" w:hAnsi="Times New Roman"/>
          <w:noProof/>
          <w:sz w:val="24"/>
          <w:szCs w:val="24"/>
        </w:rPr>
        <w:t>Clínica 2009;</w:t>
      </w:r>
      <w:r w:rsidR="00DC490A" w:rsidRPr="006C5CA0">
        <w:rPr>
          <w:rFonts w:ascii="Times New Roman" w:hAnsi="Times New Roman"/>
          <w:noProof/>
          <w:sz w:val="24"/>
          <w:szCs w:val="24"/>
        </w:rPr>
        <w:t xml:space="preserve"> </w:t>
      </w:r>
      <w:r w:rsidR="00D07D3F" w:rsidRPr="006C5CA0">
        <w:rPr>
          <w:rFonts w:ascii="Times New Roman" w:hAnsi="Times New Roman"/>
          <w:noProof/>
          <w:sz w:val="24"/>
          <w:szCs w:val="24"/>
        </w:rPr>
        <w:t>132(10):</w:t>
      </w:r>
      <w:r w:rsidRPr="006C5CA0">
        <w:rPr>
          <w:rFonts w:ascii="Times New Roman" w:hAnsi="Times New Roman"/>
          <w:noProof/>
          <w:sz w:val="24"/>
          <w:szCs w:val="24"/>
        </w:rPr>
        <w:t>377-384.</w:t>
      </w:r>
    </w:p>
    <w:p w:rsidR="003B44C6" w:rsidRPr="006C5CA0" w:rsidRDefault="003B44C6" w:rsidP="006C5CA0">
      <w:pPr>
        <w:pStyle w:val="Bibliografa"/>
        <w:spacing w:after="0" w:line="360" w:lineRule="auto"/>
        <w:ind w:left="720" w:hanging="720"/>
        <w:jc w:val="both"/>
        <w:rPr>
          <w:rFonts w:ascii="Times New Roman" w:hAnsi="Times New Roman"/>
          <w:noProof/>
          <w:sz w:val="24"/>
          <w:szCs w:val="24"/>
        </w:rPr>
      </w:pPr>
    </w:p>
    <w:p w:rsidR="003B44C6" w:rsidRPr="006C5CA0" w:rsidRDefault="003B44C6" w:rsidP="006C5CA0">
      <w:pPr>
        <w:pStyle w:val="Bibliografa"/>
        <w:spacing w:after="0" w:line="360" w:lineRule="auto"/>
        <w:ind w:left="720" w:hanging="720"/>
        <w:jc w:val="both"/>
        <w:rPr>
          <w:rFonts w:ascii="Times New Roman" w:hAnsi="Times New Roman"/>
          <w:noProof/>
          <w:sz w:val="24"/>
          <w:szCs w:val="24"/>
        </w:rPr>
      </w:pPr>
      <w:r w:rsidRPr="006C5CA0">
        <w:rPr>
          <w:rFonts w:ascii="Times New Roman" w:hAnsi="Times New Roman"/>
          <w:noProof/>
          <w:sz w:val="24"/>
          <w:szCs w:val="24"/>
        </w:rPr>
        <w:t>Fuchs Tarlovsky V. Alimentación vía enteral. Importancia en la práctica clínica. Revista de gastroenterología, México1999</w:t>
      </w:r>
      <w:r w:rsidR="0051657E" w:rsidRPr="006C5CA0">
        <w:rPr>
          <w:rFonts w:ascii="Times New Roman" w:hAnsi="Times New Roman"/>
          <w:noProof/>
          <w:sz w:val="24"/>
          <w:szCs w:val="24"/>
        </w:rPr>
        <w:t>;</w:t>
      </w:r>
      <w:r w:rsidRPr="006C5CA0">
        <w:rPr>
          <w:rFonts w:ascii="Times New Roman" w:hAnsi="Times New Roman"/>
          <w:noProof/>
          <w:sz w:val="24"/>
          <w:szCs w:val="24"/>
        </w:rPr>
        <w:t xml:space="preserve"> 64(2):95-100. </w:t>
      </w:r>
    </w:p>
    <w:p w:rsidR="003B44C6" w:rsidRPr="006C5CA0" w:rsidRDefault="003B44C6" w:rsidP="006C5CA0">
      <w:pPr>
        <w:pStyle w:val="Bibliografa"/>
        <w:spacing w:after="0" w:line="360" w:lineRule="auto"/>
        <w:ind w:left="720" w:hanging="720"/>
        <w:jc w:val="both"/>
        <w:rPr>
          <w:rFonts w:ascii="Times New Roman" w:hAnsi="Times New Roman"/>
          <w:noProof/>
          <w:sz w:val="24"/>
          <w:szCs w:val="24"/>
        </w:rPr>
      </w:pPr>
    </w:p>
    <w:p w:rsidR="003B44C6" w:rsidRPr="006C5CA0" w:rsidRDefault="003B44C6" w:rsidP="006C5CA0">
      <w:pPr>
        <w:pStyle w:val="Bibliografa"/>
        <w:spacing w:after="0" w:line="360" w:lineRule="auto"/>
        <w:ind w:left="720" w:hanging="720"/>
        <w:jc w:val="both"/>
        <w:rPr>
          <w:rFonts w:ascii="Times New Roman" w:hAnsi="Times New Roman"/>
          <w:noProof/>
          <w:sz w:val="24"/>
          <w:szCs w:val="24"/>
        </w:rPr>
      </w:pPr>
      <w:r w:rsidRPr="006C5CA0">
        <w:rPr>
          <w:rFonts w:ascii="Times New Roman" w:hAnsi="Times New Roman"/>
          <w:noProof/>
          <w:sz w:val="24"/>
          <w:szCs w:val="24"/>
        </w:rPr>
        <w:lastRenderedPageBreak/>
        <w:t>Álvarez Hernández J., Peláez Torres N., Muñoz Jiménez A. Utilización clínica de la Nutrición Ente</w:t>
      </w:r>
      <w:r w:rsidR="0051657E" w:rsidRPr="006C5CA0">
        <w:rPr>
          <w:rFonts w:ascii="Times New Roman" w:hAnsi="Times New Roman"/>
          <w:noProof/>
          <w:sz w:val="24"/>
          <w:szCs w:val="24"/>
        </w:rPr>
        <w:t>ral. Revista Nutr. Hosp. 2006;</w:t>
      </w:r>
      <w:r w:rsidRPr="006C5CA0">
        <w:rPr>
          <w:rFonts w:ascii="Times New Roman" w:hAnsi="Times New Roman"/>
          <w:noProof/>
          <w:sz w:val="24"/>
          <w:szCs w:val="24"/>
        </w:rPr>
        <w:t xml:space="preserve"> 21(2):87-99.</w:t>
      </w:r>
    </w:p>
    <w:p w:rsidR="003B44C6" w:rsidRPr="006C5CA0" w:rsidRDefault="003B44C6" w:rsidP="006C5CA0">
      <w:pPr>
        <w:pStyle w:val="Bibliografa"/>
        <w:spacing w:after="0" w:line="360" w:lineRule="auto"/>
        <w:ind w:left="720" w:hanging="720"/>
        <w:jc w:val="both"/>
        <w:rPr>
          <w:rFonts w:ascii="Times New Roman" w:hAnsi="Times New Roman"/>
          <w:noProof/>
          <w:sz w:val="24"/>
          <w:szCs w:val="24"/>
        </w:rPr>
      </w:pPr>
    </w:p>
    <w:p w:rsidR="003B44C6" w:rsidRPr="006C5CA0" w:rsidRDefault="003B44C6" w:rsidP="006C5CA0">
      <w:pPr>
        <w:pStyle w:val="Bibliografa"/>
        <w:spacing w:after="0" w:line="360" w:lineRule="auto"/>
        <w:ind w:left="720" w:hanging="720"/>
        <w:jc w:val="both"/>
        <w:rPr>
          <w:rFonts w:ascii="Times New Roman" w:hAnsi="Times New Roman"/>
          <w:noProof/>
          <w:sz w:val="24"/>
          <w:szCs w:val="24"/>
        </w:rPr>
      </w:pPr>
      <w:r w:rsidRPr="006C5CA0">
        <w:rPr>
          <w:rFonts w:ascii="Times New Roman" w:hAnsi="Times New Roman"/>
          <w:noProof/>
          <w:sz w:val="24"/>
          <w:szCs w:val="24"/>
        </w:rPr>
        <w:t>Sánchez Nava V. M., Gutiérrez Marfileño J.J., Arzola C. Prealbúmina como marcador de seguimiento nutricional en pacientes críticamente enfermos. Revista de la Asociación Mexicana de Medicina C</w:t>
      </w:r>
      <w:r w:rsidR="0051657E" w:rsidRPr="006C5CA0">
        <w:rPr>
          <w:rFonts w:ascii="Times New Roman" w:hAnsi="Times New Roman"/>
          <w:noProof/>
          <w:sz w:val="24"/>
          <w:szCs w:val="24"/>
        </w:rPr>
        <w:t>rítica y Terapia Intensiva 2006;</w:t>
      </w:r>
      <w:r w:rsidRPr="006C5CA0">
        <w:rPr>
          <w:rFonts w:ascii="Times New Roman" w:hAnsi="Times New Roman"/>
          <w:noProof/>
          <w:sz w:val="24"/>
          <w:szCs w:val="24"/>
        </w:rPr>
        <w:t xml:space="preserve"> 20(1): 41-45. </w:t>
      </w:r>
    </w:p>
    <w:p w:rsidR="003B44C6" w:rsidRPr="006C5CA0" w:rsidRDefault="003B44C6" w:rsidP="006C5CA0">
      <w:pPr>
        <w:pStyle w:val="Bibliografa"/>
        <w:spacing w:after="0" w:line="360" w:lineRule="auto"/>
        <w:ind w:left="720" w:hanging="720"/>
        <w:jc w:val="both"/>
        <w:rPr>
          <w:rFonts w:ascii="Times New Roman" w:hAnsi="Times New Roman"/>
          <w:noProof/>
          <w:sz w:val="24"/>
          <w:szCs w:val="24"/>
        </w:rPr>
      </w:pPr>
    </w:p>
    <w:p w:rsidR="003B44C6" w:rsidRPr="006C5CA0" w:rsidRDefault="003B44C6" w:rsidP="006C5CA0">
      <w:pPr>
        <w:pStyle w:val="Bibliografa"/>
        <w:spacing w:after="0" w:line="360" w:lineRule="auto"/>
        <w:ind w:left="720" w:hanging="720"/>
        <w:jc w:val="both"/>
        <w:rPr>
          <w:rFonts w:ascii="Times New Roman" w:hAnsi="Times New Roman"/>
          <w:noProof/>
          <w:sz w:val="24"/>
          <w:szCs w:val="24"/>
        </w:rPr>
      </w:pPr>
      <w:r w:rsidRPr="006C5CA0">
        <w:rPr>
          <w:rFonts w:ascii="Times New Roman" w:hAnsi="Times New Roman"/>
          <w:noProof/>
          <w:sz w:val="24"/>
          <w:szCs w:val="24"/>
        </w:rPr>
        <w:t>López Hubiel J., Varela Hernández A., Soler Morejon C., Vega Basulto S., Lacerda Gallardo A. Estado actual del manejo del traumatismo cr</w:t>
      </w:r>
      <w:r w:rsidR="00DC490A" w:rsidRPr="006C5CA0">
        <w:rPr>
          <w:rFonts w:ascii="Times New Roman" w:hAnsi="Times New Roman"/>
          <w:noProof/>
          <w:sz w:val="24"/>
          <w:szCs w:val="24"/>
        </w:rPr>
        <w:t>á</w:t>
      </w:r>
      <w:r w:rsidRPr="006C5CA0">
        <w:rPr>
          <w:rFonts w:ascii="Times New Roman" w:hAnsi="Times New Roman"/>
          <w:noProof/>
          <w:sz w:val="24"/>
          <w:szCs w:val="24"/>
        </w:rPr>
        <w:t>neo-encef</w:t>
      </w:r>
      <w:r w:rsidR="00DC490A" w:rsidRPr="006C5CA0">
        <w:rPr>
          <w:rFonts w:ascii="Times New Roman" w:hAnsi="Times New Roman"/>
          <w:noProof/>
          <w:sz w:val="24"/>
          <w:szCs w:val="24"/>
        </w:rPr>
        <w:t>á</w:t>
      </w:r>
      <w:r w:rsidRPr="006C5CA0">
        <w:rPr>
          <w:rFonts w:ascii="Times New Roman" w:hAnsi="Times New Roman"/>
          <w:noProof/>
          <w:sz w:val="24"/>
          <w:szCs w:val="24"/>
        </w:rPr>
        <w:t>lico grave en los hospitales de atención al adulto. Cuba.</w:t>
      </w:r>
      <w:r w:rsidR="00DC490A" w:rsidRPr="006C5CA0">
        <w:rPr>
          <w:rFonts w:ascii="Times New Roman" w:hAnsi="Times New Roman"/>
          <w:noProof/>
          <w:sz w:val="24"/>
          <w:szCs w:val="24"/>
        </w:rPr>
        <w:t xml:space="preserve"> </w:t>
      </w:r>
      <w:r w:rsidRPr="006C5CA0">
        <w:rPr>
          <w:rFonts w:ascii="Times New Roman" w:hAnsi="Times New Roman"/>
          <w:noProof/>
          <w:sz w:val="24"/>
          <w:szCs w:val="24"/>
        </w:rPr>
        <w:t>Rev cub med int emerg.</w:t>
      </w:r>
      <w:r w:rsidR="0051657E" w:rsidRPr="006C5CA0">
        <w:rPr>
          <w:rFonts w:ascii="Times New Roman" w:hAnsi="Times New Roman"/>
          <w:noProof/>
          <w:sz w:val="24"/>
          <w:szCs w:val="24"/>
        </w:rPr>
        <w:t xml:space="preserve"> 2004;</w:t>
      </w:r>
      <w:r w:rsidRPr="006C5CA0">
        <w:rPr>
          <w:rFonts w:ascii="Times New Roman" w:hAnsi="Times New Roman"/>
          <w:noProof/>
          <w:sz w:val="24"/>
          <w:szCs w:val="24"/>
        </w:rPr>
        <w:t xml:space="preserve"> 3(4):11-23.</w:t>
      </w:r>
    </w:p>
    <w:p w:rsidR="003B44C6" w:rsidRPr="006C5CA0" w:rsidRDefault="003B44C6" w:rsidP="006C5CA0">
      <w:pPr>
        <w:pStyle w:val="Bibliografa"/>
        <w:spacing w:after="0" w:line="360" w:lineRule="auto"/>
        <w:ind w:left="720" w:hanging="720"/>
        <w:jc w:val="both"/>
        <w:rPr>
          <w:rFonts w:ascii="Times New Roman" w:hAnsi="Times New Roman"/>
          <w:noProof/>
          <w:sz w:val="24"/>
          <w:szCs w:val="24"/>
        </w:rPr>
      </w:pPr>
    </w:p>
    <w:p w:rsidR="003B44C6" w:rsidRPr="006C5CA0" w:rsidRDefault="003B44C6" w:rsidP="006C5CA0">
      <w:pPr>
        <w:pStyle w:val="Bibliografa"/>
        <w:spacing w:after="0" w:line="360" w:lineRule="auto"/>
        <w:ind w:left="720" w:hanging="720"/>
        <w:jc w:val="both"/>
        <w:rPr>
          <w:rFonts w:ascii="Times New Roman" w:hAnsi="Times New Roman"/>
          <w:noProof/>
          <w:sz w:val="24"/>
          <w:szCs w:val="24"/>
        </w:rPr>
      </w:pPr>
      <w:r w:rsidRPr="006C5CA0">
        <w:rPr>
          <w:rFonts w:ascii="Times New Roman" w:hAnsi="Times New Roman"/>
          <w:noProof/>
          <w:sz w:val="24"/>
          <w:szCs w:val="24"/>
        </w:rPr>
        <w:t>Hamdan Suleiman G. Trauma Craneoencefálico Severo: Parte I. Revista de Medicina Interna y Medicina Crítica. 2005</w:t>
      </w:r>
      <w:r w:rsidR="0051657E" w:rsidRPr="006C5CA0">
        <w:rPr>
          <w:rFonts w:ascii="Times New Roman" w:hAnsi="Times New Roman"/>
          <w:noProof/>
          <w:sz w:val="24"/>
          <w:szCs w:val="24"/>
        </w:rPr>
        <w:t>;</w:t>
      </w:r>
      <w:r w:rsidRPr="006C5CA0">
        <w:rPr>
          <w:rFonts w:ascii="Times New Roman" w:hAnsi="Times New Roman"/>
          <w:noProof/>
          <w:sz w:val="24"/>
          <w:szCs w:val="24"/>
        </w:rPr>
        <w:t xml:space="preserve"> 2(7):107-148.</w:t>
      </w:r>
    </w:p>
    <w:p w:rsidR="003B44C6" w:rsidRPr="006C5CA0" w:rsidRDefault="003B44C6" w:rsidP="006C5CA0">
      <w:pPr>
        <w:pStyle w:val="Bibliografa"/>
        <w:spacing w:after="0" w:line="360" w:lineRule="auto"/>
        <w:ind w:left="720" w:hanging="720"/>
        <w:jc w:val="both"/>
        <w:rPr>
          <w:rFonts w:ascii="Times New Roman" w:hAnsi="Times New Roman"/>
          <w:noProof/>
          <w:sz w:val="24"/>
          <w:szCs w:val="24"/>
        </w:rPr>
      </w:pPr>
    </w:p>
    <w:p w:rsidR="003B44C6" w:rsidRPr="006C5CA0" w:rsidRDefault="003B44C6" w:rsidP="006C5CA0">
      <w:pPr>
        <w:pStyle w:val="Bibliografa"/>
        <w:spacing w:after="0" w:line="360" w:lineRule="auto"/>
        <w:ind w:left="720" w:hanging="720"/>
        <w:jc w:val="both"/>
        <w:rPr>
          <w:rFonts w:ascii="Times New Roman" w:hAnsi="Times New Roman"/>
          <w:noProof/>
          <w:sz w:val="24"/>
          <w:szCs w:val="24"/>
        </w:rPr>
      </w:pPr>
      <w:r w:rsidRPr="006C5CA0">
        <w:rPr>
          <w:rFonts w:ascii="Times New Roman" w:hAnsi="Times New Roman"/>
          <w:noProof/>
          <w:sz w:val="24"/>
          <w:szCs w:val="24"/>
        </w:rPr>
        <w:t>Ruiz Bailén M., Fierro Rosón L.J., Ramos Cuadra J.A., Serrano Córcoles M.C., Hurtado Ruiz B., Díaz Castellanos M.A., de Burgos Marín E. Manejo del traumatismo craneoencefálico grave en un hospital comarcal. Revista emergencias. 2000</w:t>
      </w:r>
      <w:r w:rsidR="0051657E" w:rsidRPr="006C5CA0">
        <w:rPr>
          <w:rFonts w:ascii="Times New Roman" w:hAnsi="Times New Roman"/>
          <w:noProof/>
          <w:sz w:val="24"/>
          <w:szCs w:val="24"/>
        </w:rPr>
        <w:t>;</w:t>
      </w:r>
      <w:r w:rsidRPr="006C5CA0">
        <w:rPr>
          <w:rFonts w:ascii="Times New Roman" w:hAnsi="Times New Roman"/>
          <w:noProof/>
          <w:sz w:val="24"/>
          <w:szCs w:val="24"/>
        </w:rPr>
        <w:t xml:space="preserve"> 12:106-115.</w:t>
      </w:r>
    </w:p>
    <w:p w:rsidR="003B44C6" w:rsidRPr="006C5CA0" w:rsidRDefault="003B44C6" w:rsidP="006C5CA0">
      <w:pPr>
        <w:pStyle w:val="Bibliografa"/>
        <w:spacing w:after="0" w:line="360" w:lineRule="auto"/>
        <w:ind w:left="720" w:hanging="720"/>
        <w:jc w:val="both"/>
        <w:rPr>
          <w:rFonts w:ascii="Times New Roman" w:hAnsi="Times New Roman"/>
          <w:noProof/>
          <w:sz w:val="24"/>
          <w:szCs w:val="24"/>
        </w:rPr>
      </w:pPr>
    </w:p>
    <w:p w:rsidR="003B44C6" w:rsidRPr="006C5CA0" w:rsidRDefault="003B44C6" w:rsidP="006C5CA0">
      <w:pPr>
        <w:pStyle w:val="Bibliografa"/>
        <w:spacing w:after="0" w:line="360" w:lineRule="auto"/>
        <w:ind w:left="720" w:hanging="720"/>
        <w:jc w:val="both"/>
        <w:rPr>
          <w:rFonts w:ascii="Times New Roman" w:hAnsi="Times New Roman"/>
          <w:noProof/>
          <w:sz w:val="24"/>
          <w:szCs w:val="24"/>
        </w:rPr>
      </w:pPr>
      <w:r w:rsidRPr="006C5CA0">
        <w:rPr>
          <w:rFonts w:ascii="Times New Roman" w:hAnsi="Times New Roman"/>
          <w:noProof/>
          <w:sz w:val="24"/>
          <w:szCs w:val="24"/>
        </w:rPr>
        <w:t>Alted López E., Bermejo Aznárez S., Chico Fernández M. Actualizaciones en el manejo del traumatismo craneoencefálico grave. Revista Med Intensiva. 2009; 33(1):16-30.</w:t>
      </w:r>
    </w:p>
    <w:p w:rsidR="003B44C6" w:rsidRPr="006C5CA0" w:rsidRDefault="003B44C6" w:rsidP="006C5CA0">
      <w:pPr>
        <w:pStyle w:val="Bibliografa"/>
        <w:spacing w:after="0" w:line="360" w:lineRule="auto"/>
        <w:ind w:left="720" w:hanging="720"/>
        <w:jc w:val="both"/>
        <w:rPr>
          <w:rFonts w:ascii="Times New Roman" w:hAnsi="Times New Roman"/>
          <w:noProof/>
          <w:sz w:val="24"/>
          <w:szCs w:val="24"/>
        </w:rPr>
      </w:pPr>
    </w:p>
    <w:p w:rsidR="003B44C6" w:rsidRPr="006C5CA0" w:rsidRDefault="003B44C6" w:rsidP="006C5CA0">
      <w:pPr>
        <w:pStyle w:val="Bibliografa"/>
        <w:spacing w:after="0" w:line="360" w:lineRule="auto"/>
        <w:ind w:left="720" w:hanging="720"/>
        <w:jc w:val="both"/>
        <w:rPr>
          <w:rFonts w:ascii="Times New Roman" w:hAnsi="Times New Roman"/>
          <w:noProof/>
          <w:sz w:val="24"/>
          <w:szCs w:val="24"/>
        </w:rPr>
      </w:pPr>
      <w:r w:rsidRPr="006C5CA0">
        <w:rPr>
          <w:rFonts w:ascii="Times New Roman" w:hAnsi="Times New Roman"/>
          <w:noProof/>
          <w:sz w:val="24"/>
          <w:szCs w:val="24"/>
        </w:rPr>
        <w:t>Guzmán Francisco. Fisiopatología del trauma craneoencefálico. Revista Colombia</w:t>
      </w:r>
      <w:r w:rsidR="0051657E" w:rsidRPr="006C5CA0">
        <w:rPr>
          <w:rFonts w:ascii="Times New Roman" w:hAnsi="Times New Roman"/>
          <w:noProof/>
          <w:sz w:val="24"/>
          <w:szCs w:val="24"/>
        </w:rPr>
        <w:t xml:space="preserve"> Médica 2008;</w:t>
      </w:r>
      <w:r w:rsidRPr="006C5CA0">
        <w:rPr>
          <w:rFonts w:ascii="Times New Roman" w:hAnsi="Times New Roman"/>
          <w:noProof/>
          <w:sz w:val="24"/>
          <w:szCs w:val="24"/>
        </w:rPr>
        <w:t xml:space="preserve"> 39(3):78-84.</w:t>
      </w:r>
    </w:p>
    <w:p w:rsidR="003B44C6" w:rsidRPr="006C5CA0" w:rsidRDefault="003B44C6" w:rsidP="006C5CA0">
      <w:pPr>
        <w:pStyle w:val="Bibliografa"/>
        <w:spacing w:after="0" w:line="360" w:lineRule="auto"/>
        <w:ind w:left="720" w:hanging="720"/>
        <w:jc w:val="both"/>
        <w:rPr>
          <w:rFonts w:ascii="Times New Roman" w:hAnsi="Times New Roman"/>
          <w:noProof/>
          <w:sz w:val="24"/>
          <w:szCs w:val="24"/>
        </w:rPr>
      </w:pPr>
    </w:p>
    <w:p w:rsidR="003B44C6" w:rsidRPr="006C5CA0" w:rsidRDefault="003B44C6" w:rsidP="006C5CA0">
      <w:pPr>
        <w:pStyle w:val="Bibliografa"/>
        <w:spacing w:after="0" w:line="360" w:lineRule="auto"/>
        <w:ind w:left="720" w:hanging="720"/>
        <w:jc w:val="both"/>
        <w:rPr>
          <w:rFonts w:ascii="Times New Roman" w:hAnsi="Times New Roman"/>
          <w:noProof/>
          <w:sz w:val="24"/>
          <w:szCs w:val="24"/>
        </w:rPr>
      </w:pPr>
      <w:r w:rsidRPr="006C5CA0">
        <w:rPr>
          <w:rFonts w:ascii="Times New Roman" w:hAnsi="Times New Roman"/>
          <w:noProof/>
          <w:sz w:val="24"/>
          <w:szCs w:val="24"/>
        </w:rPr>
        <w:t xml:space="preserve">Sánchez Coronado JL., Méndez RA., Ulerio EM., Morales W., Pimentel JN. Incidencia de trauma craneal moderado-severo en el Hospital Dr. Luis Manuel Morillo King de la Vega. Rev. Med </w:t>
      </w:r>
      <w:r w:rsidR="0051657E" w:rsidRPr="006C5CA0">
        <w:rPr>
          <w:rFonts w:ascii="Times New Roman" w:hAnsi="Times New Roman"/>
          <w:noProof/>
          <w:sz w:val="24"/>
          <w:szCs w:val="24"/>
        </w:rPr>
        <w:t>Dom. 2000;</w:t>
      </w:r>
      <w:r w:rsidRPr="006C5CA0">
        <w:rPr>
          <w:rFonts w:ascii="Times New Roman" w:hAnsi="Times New Roman"/>
          <w:noProof/>
          <w:sz w:val="24"/>
          <w:szCs w:val="24"/>
        </w:rPr>
        <w:t xml:space="preserve"> 61(3):194-196.</w:t>
      </w:r>
    </w:p>
    <w:p w:rsidR="003B44C6" w:rsidRPr="006C5CA0" w:rsidRDefault="003B44C6" w:rsidP="006C5CA0">
      <w:pPr>
        <w:pStyle w:val="Bibliografa"/>
        <w:spacing w:after="0" w:line="360" w:lineRule="auto"/>
        <w:ind w:left="720" w:hanging="720"/>
        <w:jc w:val="both"/>
        <w:rPr>
          <w:rFonts w:ascii="Times New Roman" w:hAnsi="Times New Roman"/>
          <w:noProof/>
          <w:sz w:val="24"/>
          <w:szCs w:val="24"/>
        </w:rPr>
      </w:pPr>
    </w:p>
    <w:p w:rsidR="003B44C6" w:rsidRPr="006C5CA0" w:rsidRDefault="003B44C6" w:rsidP="006C5CA0">
      <w:pPr>
        <w:pStyle w:val="Bibliografa"/>
        <w:spacing w:after="0" w:line="360" w:lineRule="auto"/>
        <w:ind w:left="720" w:hanging="720"/>
        <w:jc w:val="both"/>
        <w:rPr>
          <w:rFonts w:ascii="Times New Roman" w:hAnsi="Times New Roman"/>
          <w:noProof/>
          <w:sz w:val="24"/>
          <w:szCs w:val="24"/>
        </w:rPr>
      </w:pPr>
      <w:r w:rsidRPr="006C5CA0">
        <w:rPr>
          <w:rFonts w:ascii="Times New Roman" w:hAnsi="Times New Roman"/>
          <w:noProof/>
          <w:sz w:val="24"/>
          <w:szCs w:val="24"/>
        </w:rPr>
        <w:t>Botello Jhon J., González Rincón J.A. Nutrición enteral en el paciente crítico. Red de Revistas Científicas de América Latina, el Caribe, España y Portugal</w:t>
      </w:r>
      <w:r w:rsidR="0051657E" w:rsidRPr="006C5CA0">
        <w:rPr>
          <w:rFonts w:ascii="Times New Roman" w:hAnsi="Times New Roman"/>
          <w:noProof/>
          <w:sz w:val="24"/>
          <w:szCs w:val="24"/>
        </w:rPr>
        <w:t>. 2010;</w:t>
      </w:r>
      <w:r w:rsidRPr="006C5CA0">
        <w:rPr>
          <w:rFonts w:ascii="Times New Roman" w:hAnsi="Times New Roman"/>
          <w:noProof/>
          <w:sz w:val="24"/>
          <w:szCs w:val="24"/>
        </w:rPr>
        <w:t xml:space="preserve"> 10(2):163-169.</w:t>
      </w:r>
    </w:p>
    <w:p w:rsidR="003B44C6" w:rsidRPr="006C5CA0" w:rsidRDefault="003B44C6" w:rsidP="006C5CA0">
      <w:pPr>
        <w:pStyle w:val="Bibliografa"/>
        <w:spacing w:after="0" w:line="360" w:lineRule="auto"/>
        <w:ind w:left="720" w:hanging="720"/>
        <w:jc w:val="both"/>
        <w:rPr>
          <w:rFonts w:ascii="Times New Roman" w:hAnsi="Times New Roman"/>
          <w:noProof/>
          <w:sz w:val="24"/>
          <w:szCs w:val="24"/>
        </w:rPr>
      </w:pPr>
    </w:p>
    <w:p w:rsidR="003B44C6" w:rsidRPr="006C5CA0" w:rsidRDefault="003B44C6" w:rsidP="006C5CA0">
      <w:pPr>
        <w:pStyle w:val="Bibliografa"/>
        <w:spacing w:after="0" w:line="360" w:lineRule="auto"/>
        <w:ind w:left="720" w:hanging="720"/>
        <w:jc w:val="both"/>
        <w:rPr>
          <w:rFonts w:ascii="Times New Roman" w:hAnsi="Times New Roman"/>
          <w:noProof/>
          <w:sz w:val="24"/>
          <w:szCs w:val="24"/>
        </w:rPr>
      </w:pPr>
      <w:r w:rsidRPr="006C5CA0">
        <w:rPr>
          <w:rFonts w:ascii="Times New Roman" w:hAnsi="Times New Roman"/>
          <w:noProof/>
          <w:sz w:val="24"/>
          <w:szCs w:val="24"/>
        </w:rPr>
        <w:lastRenderedPageBreak/>
        <w:t>Agudelo Ochoa G.M., Giraldo Giraldo N.A. Soporte nutricional en el paciente crítico: una puesta al día. Revista Perspect Nut Hum</w:t>
      </w:r>
      <w:r w:rsidR="0051657E" w:rsidRPr="006C5CA0">
        <w:rPr>
          <w:rFonts w:ascii="Times New Roman" w:hAnsi="Times New Roman"/>
          <w:noProof/>
          <w:sz w:val="24"/>
          <w:szCs w:val="24"/>
        </w:rPr>
        <w:t>. 2008;</w:t>
      </w:r>
      <w:r w:rsidR="00B33F95" w:rsidRPr="006C5CA0">
        <w:rPr>
          <w:rFonts w:ascii="Times New Roman" w:hAnsi="Times New Roman"/>
          <w:noProof/>
          <w:sz w:val="24"/>
          <w:szCs w:val="24"/>
        </w:rPr>
        <w:t xml:space="preserve"> </w:t>
      </w:r>
      <w:r w:rsidRPr="006C5CA0">
        <w:rPr>
          <w:rFonts w:ascii="Times New Roman" w:hAnsi="Times New Roman"/>
          <w:noProof/>
          <w:sz w:val="24"/>
          <w:szCs w:val="24"/>
        </w:rPr>
        <w:t>10(2):95-100.</w:t>
      </w:r>
    </w:p>
    <w:p w:rsidR="003B44C6" w:rsidRPr="006C5CA0" w:rsidRDefault="003B44C6" w:rsidP="006C5CA0">
      <w:pPr>
        <w:pStyle w:val="Bibliografa"/>
        <w:spacing w:after="0" w:line="360" w:lineRule="auto"/>
        <w:ind w:left="720" w:hanging="720"/>
        <w:jc w:val="both"/>
        <w:rPr>
          <w:rFonts w:ascii="Times New Roman" w:hAnsi="Times New Roman"/>
          <w:noProof/>
          <w:sz w:val="24"/>
          <w:szCs w:val="24"/>
        </w:rPr>
      </w:pPr>
    </w:p>
    <w:p w:rsidR="003B44C6" w:rsidRPr="006C5CA0" w:rsidRDefault="003B44C6" w:rsidP="006C5CA0">
      <w:pPr>
        <w:pStyle w:val="Bibliografa"/>
        <w:spacing w:after="0" w:line="360" w:lineRule="auto"/>
        <w:ind w:left="720" w:hanging="720"/>
        <w:jc w:val="both"/>
        <w:rPr>
          <w:rFonts w:ascii="Times New Roman" w:hAnsi="Times New Roman"/>
          <w:noProof/>
          <w:sz w:val="24"/>
          <w:szCs w:val="24"/>
        </w:rPr>
      </w:pPr>
      <w:r w:rsidRPr="006C5CA0">
        <w:rPr>
          <w:rFonts w:ascii="Times New Roman" w:hAnsi="Times New Roman"/>
          <w:noProof/>
          <w:sz w:val="24"/>
          <w:szCs w:val="24"/>
        </w:rPr>
        <w:t>Acosta Escribano J., Gómez-Tello V., Ruiz Santana S. Valoración del estado nutricional en el paciente grave. Revi</w:t>
      </w:r>
      <w:r w:rsidR="0051657E" w:rsidRPr="006C5CA0">
        <w:rPr>
          <w:rFonts w:ascii="Times New Roman" w:hAnsi="Times New Roman"/>
          <w:noProof/>
          <w:sz w:val="24"/>
          <w:szCs w:val="24"/>
        </w:rPr>
        <w:t>sta Nutrición Hospitalaria 2005;</w:t>
      </w:r>
      <w:r w:rsidRPr="006C5CA0">
        <w:rPr>
          <w:rFonts w:ascii="Times New Roman" w:hAnsi="Times New Roman"/>
          <w:noProof/>
          <w:sz w:val="24"/>
          <w:szCs w:val="24"/>
        </w:rPr>
        <w:t xml:space="preserve"> 20(2): 5-8.</w:t>
      </w:r>
    </w:p>
    <w:p w:rsidR="00B33F95" w:rsidRPr="006C5CA0" w:rsidRDefault="00B33F95" w:rsidP="006C5CA0">
      <w:pPr>
        <w:pStyle w:val="Bibliografa"/>
        <w:spacing w:after="0" w:line="360" w:lineRule="auto"/>
        <w:ind w:left="720" w:hanging="720"/>
        <w:jc w:val="both"/>
        <w:rPr>
          <w:rFonts w:ascii="Times New Roman" w:hAnsi="Times New Roman"/>
          <w:noProof/>
          <w:sz w:val="24"/>
          <w:szCs w:val="24"/>
        </w:rPr>
      </w:pPr>
    </w:p>
    <w:p w:rsidR="00A9710B" w:rsidRPr="006C5CA0" w:rsidRDefault="003B44C6" w:rsidP="006C5CA0">
      <w:pPr>
        <w:pStyle w:val="Bibliografa"/>
        <w:spacing w:after="0" w:line="360" w:lineRule="auto"/>
        <w:ind w:left="720" w:hanging="720"/>
        <w:jc w:val="both"/>
        <w:rPr>
          <w:rFonts w:ascii="Times New Roman" w:hAnsi="Times New Roman"/>
          <w:noProof/>
          <w:sz w:val="24"/>
          <w:szCs w:val="24"/>
        </w:rPr>
      </w:pPr>
      <w:r w:rsidRPr="006C5CA0">
        <w:rPr>
          <w:rFonts w:ascii="Times New Roman" w:hAnsi="Times New Roman"/>
          <w:noProof/>
          <w:sz w:val="24"/>
          <w:szCs w:val="24"/>
        </w:rPr>
        <w:t>Pérez de la Cruz A., Lobo Támer G., Orduña Espinoza R., Mellado Pastor C., Aguayo de Hoyos E., Ruiz López M.D. Desnutrición en pacientes hospitalizados: prevalencia e impacto económico. Rev</w:t>
      </w:r>
      <w:r w:rsidR="0051657E" w:rsidRPr="006C5CA0">
        <w:rPr>
          <w:rFonts w:ascii="Times New Roman" w:hAnsi="Times New Roman"/>
          <w:noProof/>
          <w:sz w:val="24"/>
          <w:szCs w:val="24"/>
        </w:rPr>
        <w:t>ista Medicina Clínica 2004;</w:t>
      </w:r>
      <w:r w:rsidR="00B33F95" w:rsidRPr="006C5CA0">
        <w:rPr>
          <w:rFonts w:ascii="Times New Roman" w:hAnsi="Times New Roman"/>
          <w:noProof/>
          <w:sz w:val="24"/>
          <w:szCs w:val="24"/>
        </w:rPr>
        <w:t xml:space="preserve"> </w:t>
      </w:r>
      <w:r w:rsidRPr="006C5CA0">
        <w:rPr>
          <w:rFonts w:ascii="Times New Roman" w:hAnsi="Times New Roman"/>
          <w:noProof/>
          <w:sz w:val="24"/>
          <w:szCs w:val="24"/>
        </w:rPr>
        <w:t>123(6):201-206.</w:t>
      </w:r>
    </w:p>
    <w:p w:rsidR="00B33F95" w:rsidRPr="006C5CA0" w:rsidRDefault="00B33F95" w:rsidP="006C5CA0">
      <w:pPr>
        <w:pStyle w:val="Bibliografa"/>
        <w:spacing w:after="0" w:line="360" w:lineRule="auto"/>
        <w:ind w:left="720" w:hanging="720"/>
        <w:jc w:val="both"/>
        <w:rPr>
          <w:rFonts w:ascii="Times New Roman" w:hAnsi="Times New Roman"/>
          <w:noProof/>
          <w:sz w:val="24"/>
          <w:szCs w:val="24"/>
        </w:rPr>
      </w:pPr>
    </w:p>
    <w:p w:rsidR="00B33F95" w:rsidRPr="006C5CA0" w:rsidRDefault="00B33F95" w:rsidP="006C5CA0">
      <w:pPr>
        <w:pStyle w:val="Bibliografa"/>
        <w:spacing w:after="0" w:line="360" w:lineRule="auto"/>
        <w:ind w:left="720" w:hanging="720"/>
        <w:jc w:val="both"/>
        <w:rPr>
          <w:rFonts w:ascii="Times New Roman" w:hAnsi="Times New Roman"/>
          <w:noProof/>
          <w:sz w:val="24"/>
          <w:szCs w:val="24"/>
        </w:rPr>
      </w:pPr>
      <w:r w:rsidRPr="006C5CA0">
        <w:rPr>
          <w:rFonts w:ascii="Times New Roman" w:hAnsi="Times New Roman"/>
          <w:noProof/>
          <w:sz w:val="24"/>
          <w:szCs w:val="24"/>
        </w:rPr>
        <w:t xml:space="preserve">Cerda Dejeas C., Klaassen J. Asistencia nutricional. Revista temas de Medicina Interna 2001 </w:t>
      </w:r>
      <w:hyperlink r:id="rId10" w:history="1">
        <w:r w:rsidRPr="006C5CA0">
          <w:rPr>
            <w:rFonts w:ascii="Times New Roman" w:hAnsi="Times New Roman"/>
            <w:noProof/>
            <w:sz w:val="24"/>
            <w:szCs w:val="24"/>
          </w:rPr>
          <w:t>http://escuela.med.puc.cl/publ/TemasMedicinaInterna/nutricion.html</w:t>
        </w:r>
      </w:hyperlink>
    </w:p>
    <w:p w:rsidR="00B33F95" w:rsidRPr="006C5CA0" w:rsidRDefault="00B33F95" w:rsidP="006C5CA0">
      <w:pPr>
        <w:pStyle w:val="Bibliografa"/>
        <w:spacing w:after="0" w:line="360" w:lineRule="auto"/>
        <w:ind w:left="720" w:hanging="720"/>
        <w:jc w:val="both"/>
        <w:rPr>
          <w:rFonts w:ascii="Times New Roman" w:hAnsi="Times New Roman"/>
          <w:noProof/>
          <w:sz w:val="24"/>
          <w:szCs w:val="24"/>
        </w:rPr>
      </w:pPr>
    </w:p>
    <w:p w:rsidR="00B33F95" w:rsidRPr="006C5CA0" w:rsidRDefault="00B33F95" w:rsidP="006C5CA0">
      <w:pPr>
        <w:pStyle w:val="Bibliografa"/>
        <w:spacing w:after="0" w:line="360" w:lineRule="auto"/>
        <w:ind w:left="720" w:hanging="720"/>
        <w:jc w:val="both"/>
        <w:rPr>
          <w:rFonts w:ascii="Times New Roman" w:hAnsi="Times New Roman"/>
          <w:noProof/>
          <w:sz w:val="24"/>
          <w:szCs w:val="24"/>
        </w:rPr>
      </w:pPr>
      <w:r w:rsidRPr="006C5CA0">
        <w:rPr>
          <w:rFonts w:ascii="Times New Roman" w:hAnsi="Times New Roman"/>
          <w:noProof/>
          <w:sz w:val="24"/>
          <w:szCs w:val="24"/>
        </w:rPr>
        <w:t xml:space="preserve">Lobo Támer N.G. Desnutrición en pacientes hospitalizados: incidencias, factores de riesgo y costes. Tesis doctoral 2007; </w:t>
      </w:r>
      <w:hyperlink r:id="rId11" w:history="1">
        <w:r w:rsidRPr="006C5CA0">
          <w:rPr>
            <w:rFonts w:ascii="Times New Roman" w:hAnsi="Times New Roman"/>
            <w:noProof/>
            <w:sz w:val="24"/>
            <w:szCs w:val="24"/>
          </w:rPr>
          <w:t>http://digibug.ugr.es/bitstream/10481/1446/1/1661270x.pdf</w:t>
        </w:r>
      </w:hyperlink>
      <w:r w:rsidRPr="006C5CA0">
        <w:rPr>
          <w:rFonts w:ascii="Times New Roman" w:hAnsi="Times New Roman"/>
          <w:noProof/>
          <w:sz w:val="24"/>
          <w:szCs w:val="24"/>
        </w:rPr>
        <w:t xml:space="preserve"> </w:t>
      </w:r>
    </w:p>
    <w:p w:rsidR="00B33F95" w:rsidRPr="006C5CA0" w:rsidRDefault="00B33F95" w:rsidP="006C5CA0">
      <w:pPr>
        <w:pStyle w:val="Bibliografa"/>
        <w:spacing w:after="0" w:line="360" w:lineRule="auto"/>
        <w:ind w:left="720" w:hanging="720"/>
        <w:jc w:val="both"/>
        <w:rPr>
          <w:rFonts w:ascii="Times New Roman" w:hAnsi="Times New Roman"/>
          <w:noProof/>
          <w:sz w:val="24"/>
          <w:szCs w:val="24"/>
        </w:rPr>
      </w:pPr>
    </w:p>
    <w:p w:rsidR="00B33F95" w:rsidRPr="006C5CA0" w:rsidRDefault="00C6337A" w:rsidP="006C5CA0">
      <w:pPr>
        <w:pStyle w:val="Bibliografa"/>
        <w:spacing w:after="0" w:line="360" w:lineRule="auto"/>
        <w:ind w:left="720" w:hanging="720"/>
        <w:jc w:val="both"/>
        <w:rPr>
          <w:rFonts w:ascii="Times New Roman" w:hAnsi="Times New Roman"/>
          <w:noProof/>
          <w:sz w:val="24"/>
          <w:szCs w:val="24"/>
        </w:rPr>
      </w:pPr>
      <w:hyperlink r:id="rId12" w:history="1">
        <w:r w:rsidR="00B33F95" w:rsidRPr="006C5CA0">
          <w:rPr>
            <w:rFonts w:ascii="Times New Roman" w:hAnsi="Times New Roman"/>
            <w:noProof/>
            <w:sz w:val="24"/>
            <w:szCs w:val="24"/>
          </w:rPr>
          <w:t>Perel P</w:t>
        </w:r>
      </w:hyperlink>
      <w:r w:rsidR="00B33F95" w:rsidRPr="006C5CA0">
        <w:rPr>
          <w:rFonts w:ascii="Times New Roman" w:hAnsi="Times New Roman"/>
          <w:noProof/>
          <w:sz w:val="24"/>
          <w:szCs w:val="24"/>
        </w:rPr>
        <w:t xml:space="preserve">, </w:t>
      </w:r>
      <w:hyperlink r:id="rId13" w:history="1">
        <w:r w:rsidR="00B33F95" w:rsidRPr="006C5CA0">
          <w:rPr>
            <w:rFonts w:ascii="Times New Roman" w:hAnsi="Times New Roman"/>
            <w:noProof/>
            <w:sz w:val="24"/>
            <w:szCs w:val="24"/>
          </w:rPr>
          <w:t>Yanagawa T</w:t>
        </w:r>
      </w:hyperlink>
      <w:r w:rsidR="00B33F95" w:rsidRPr="006C5CA0">
        <w:rPr>
          <w:rFonts w:ascii="Times New Roman" w:hAnsi="Times New Roman"/>
          <w:noProof/>
          <w:sz w:val="24"/>
          <w:szCs w:val="24"/>
        </w:rPr>
        <w:t xml:space="preserve">, </w:t>
      </w:r>
      <w:hyperlink r:id="rId14" w:history="1">
        <w:r w:rsidR="00B33F95" w:rsidRPr="006C5CA0">
          <w:rPr>
            <w:rFonts w:ascii="Times New Roman" w:hAnsi="Times New Roman"/>
            <w:noProof/>
            <w:sz w:val="24"/>
            <w:szCs w:val="24"/>
          </w:rPr>
          <w:t>Bunn F</w:t>
        </w:r>
      </w:hyperlink>
      <w:r w:rsidR="00B33F95" w:rsidRPr="006C5CA0">
        <w:rPr>
          <w:rFonts w:ascii="Times New Roman" w:hAnsi="Times New Roman"/>
          <w:noProof/>
          <w:sz w:val="24"/>
          <w:szCs w:val="24"/>
        </w:rPr>
        <w:t xml:space="preserve">, </w:t>
      </w:r>
      <w:hyperlink r:id="rId15" w:history="1">
        <w:r w:rsidR="00B33F95" w:rsidRPr="006C5CA0">
          <w:rPr>
            <w:rFonts w:ascii="Times New Roman" w:hAnsi="Times New Roman"/>
            <w:noProof/>
            <w:sz w:val="24"/>
            <w:szCs w:val="24"/>
          </w:rPr>
          <w:t>Roberts I</w:t>
        </w:r>
      </w:hyperlink>
      <w:r w:rsidR="00B33F95" w:rsidRPr="006C5CA0">
        <w:rPr>
          <w:rFonts w:ascii="Times New Roman" w:hAnsi="Times New Roman"/>
          <w:noProof/>
          <w:sz w:val="24"/>
          <w:szCs w:val="24"/>
        </w:rPr>
        <w:t xml:space="preserve">, </w:t>
      </w:r>
      <w:hyperlink r:id="rId16" w:history="1">
        <w:r w:rsidR="00B33F95" w:rsidRPr="006C5CA0">
          <w:rPr>
            <w:rFonts w:ascii="Times New Roman" w:hAnsi="Times New Roman"/>
            <w:noProof/>
            <w:sz w:val="24"/>
            <w:szCs w:val="24"/>
          </w:rPr>
          <w:t>Wentz R</w:t>
        </w:r>
      </w:hyperlink>
      <w:r w:rsidR="00B33F95" w:rsidRPr="006C5CA0">
        <w:rPr>
          <w:rFonts w:ascii="Times New Roman" w:hAnsi="Times New Roman"/>
          <w:noProof/>
          <w:sz w:val="24"/>
          <w:szCs w:val="24"/>
        </w:rPr>
        <w:t xml:space="preserve">, </w:t>
      </w:r>
      <w:hyperlink r:id="rId17" w:history="1">
        <w:r w:rsidR="00B33F95" w:rsidRPr="006C5CA0">
          <w:rPr>
            <w:rFonts w:ascii="Times New Roman" w:hAnsi="Times New Roman"/>
            <w:noProof/>
            <w:sz w:val="24"/>
            <w:szCs w:val="24"/>
          </w:rPr>
          <w:t>Pierro A</w:t>
        </w:r>
      </w:hyperlink>
      <w:r w:rsidR="00B33F95" w:rsidRPr="006C5CA0">
        <w:rPr>
          <w:rFonts w:ascii="Times New Roman" w:hAnsi="Times New Roman"/>
          <w:noProof/>
          <w:sz w:val="24"/>
          <w:szCs w:val="24"/>
        </w:rPr>
        <w:t>. Nutritional support for head-injured patients.</w:t>
      </w:r>
      <w:hyperlink r:id="rId18" w:tooltip="The Cochrane database of systematic reviews." w:history="1">
        <w:r w:rsidR="00B33F95" w:rsidRPr="006C5CA0">
          <w:rPr>
            <w:rFonts w:ascii="Times New Roman" w:hAnsi="Times New Roman"/>
            <w:noProof/>
            <w:sz w:val="24"/>
            <w:szCs w:val="24"/>
          </w:rPr>
          <w:t>Cochrane Database Syst Rev.</w:t>
        </w:r>
      </w:hyperlink>
      <w:r w:rsidR="00B33F95" w:rsidRPr="006C5CA0">
        <w:rPr>
          <w:rFonts w:ascii="Times New Roman" w:hAnsi="Times New Roman"/>
          <w:noProof/>
          <w:sz w:val="24"/>
          <w:szCs w:val="24"/>
        </w:rPr>
        <w:t xml:space="preserve">2006;18(4) </w:t>
      </w:r>
      <w:hyperlink r:id="rId19" w:history="1">
        <w:r w:rsidR="00B33F95" w:rsidRPr="006C5CA0">
          <w:rPr>
            <w:rFonts w:ascii="Times New Roman" w:hAnsi="Times New Roman"/>
            <w:noProof/>
            <w:sz w:val="24"/>
            <w:szCs w:val="24"/>
          </w:rPr>
          <w:t>http://www.ncbi.nlm.nih.gov/pubmed/17054137</w:t>
        </w:r>
      </w:hyperlink>
    </w:p>
    <w:p w:rsidR="00B33F95" w:rsidRPr="00FF57AE" w:rsidRDefault="00B33F95" w:rsidP="00B33F95">
      <w:pPr>
        <w:pStyle w:val="NormalWeb"/>
        <w:shd w:val="clear" w:color="auto" w:fill="FFFFFF"/>
        <w:spacing w:before="0" w:beforeAutospacing="0" w:after="0" w:afterAutospacing="0"/>
        <w:ind w:left="360"/>
        <w:jc w:val="both"/>
        <w:textAlignment w:val="baseline"/>
        <w:rPr>
          <w:rFonts w:ascii="Arial" w:eastAsiaTheme="minorHAnsi" w:hAnsi="Arial" w:cs="Arial"/>
          <w:bCs/>
          <w:lang w:eastAsia="en-US"/>
        </w:rPr>
      </w:pPr>
    </w:p>
    <w:sectPr w:rsidR="00B33F95" w:rsidRPr="00FF57AE" w:rsidSect="00EB26FD">
      <w:headerReference w:type="default" r:id="rId20"/>
      <w:footerReference w:type="default" r:id="rId21"/>
      <w:headerReference w:type="first" r:id="rId22"/>
      <w:footerReference w:type="firs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37A" w:rsidRDefault="00C6337A" w:rsidP="00570806">
      <w:pPr>
        <w:spacing w:after="0" w:line="240" w:lineRule="auto"/>
      </w:pPr>
      <w:r>
        <w:separator/>
      </w:r>
    </w:p>
  </w:endnote>
  <w:endnote w:type="continuationSeparator" w:id="0">
    <w:p w:rsidR="00C6337A" w:rsidRDefault="00C6337A" w:rsidP="00570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Bold">
    <w:altName w:val="MS Mincho"/>
    <w:panose1 w:val="00000000000000000000"/>
    <w:charset w:val="80"/>
    <w:family w:val="auto"/>
    <w:notTrueType/>
    <w:pitch w:val="default"/>
    <w:sig w:usb0="00000003" w:usb1="08070000" w:usb2="00000010" w:usb3="00000000" w:csb0="00020001" w:csb1="00000000"/>
  </w:font>
  <w:font w:name="Gungsuh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E42" w:rsidRDefault="003F6E42">
    <w:pPr>
      <w:pStyle w:val="Piedepgina"/>
      <w:jc w:val="right"/>
    </w:pPr>
  </w:p>
  <w:p w:rsidR="003F6E42" w:rsidRDefault="0069230C" w:rsidP="0069230C">
    <w:pPr>
      <w:pStyle w:val="Piedepgina"/>
      <w:jc w:val="center"/>
    </w:pPr>
    <w:r>
      <w:rPr>
        <w:rFonts w:ascii="Calibri" w:eastAsia="Calibri" w:hAnsi="Calibri" w:cs="Calibri"/>
        <w:b/>
      </w:rPr>
      <w:t>Vol. 6, Núm. 11</w:t>
    </w:r>
    <w:r w:rsidRPr="00DB0B18">
      <w:rPr>
        <w:rFonts w:ascii="Calibri" w:eastAsia="Calibri" w:hAnsi="Calibri" w:cs="Calibri"/>
        <w:b/>
      </w:rPr>
      <w:t xml:space="preserve">                   Julio - Diciembre 2015                           </w:t>
    </w:r>
    <w:r>
      <w:rPr>
        <w:rFonts w:ascii="Calibri" w:eastAsia="Calibri" w:hAnsi="Calibri" w:cs="Calibri"/>
        <w:b/>
      </w:rPr>
      <w:t>RIDE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30C" w:rsidRDefault="0069230C" w:rsidP="0069230C">
    <w:pPr>
      <w:pStyle w:val="Piedepgina"/>
      <w:jc w:val="center"/>
    </w:pPr>
    <w:r>
      <w:rPr>
        <w:rFonts w:ascii="Calibri" w:eastAsia="Calibri" w:hAnsi="Calibri" w:cs="Calibri"/>
        <w:b/>
      </w:rPr>
      <w:t>Vol. 6, Núm. 11</w:t>
    </w:r>
    <w:r w:rsidRPr="00DB0B18">
      <w:rPr>
        <w:rFonts w:ascii="Calibri" w:eastAsia="Calibri" w:hAnsi="Calibri" w:cs="Calibri"/>
        <w:b/>
      </w:rPr>
      <w:t xml:space="preserve">                   Julio - Diciembre 2015                           </w:t>
    </w:r>
    <w:r>
      <w:rPr>
        <w:rFonts w:ascii="Calibri" w:eastAsia="Calibri" w:hAnsi="Calibri" w:cs="Calibri"/>
        <w:b/>
      </w:rPr>
      <w:t>RIDE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37A" w:rsidRDefault="00C6337A" w:rsidP="00570806">
      <w:pPr>
        <w:spacing w:after="0" w:line="240" w:lineRule="auto"/>
      </w:pPr>
      <w:r>
        <w:separator/>
      </w:r>
    </w:p>
  </w:footnote>
  <w:footnote w:type="continuationSeparator" w:id="0">
    <w:p w:rsidR="00C6337A" w:rsidRDefault="00C6337A" w:rsidP="005708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30C" w:rsidRDefault="0069230C">
    <w:pPr>
      <w:pStyle w:val="Encabezado"/>
    </w:pPr>
    <w:r w:rsidRPr="00EA0B02">
      <w:rPr>
        <w:rFonts w:ascii="Calibri" w:eastAsia="Calibri" w:hAnsi="Calibri" w:cs="Calibri"/>
        <w:b/>
        <w:i/>
      </w:rPr>
      <w:t xml:space="preserve">Revista Iberoamericana para la Investigación y el Desarrollo Educativo           </w:t>
    </w:r>
    <w:r w:rsidRPr="00EA0B02">
      <w:rPr>
        <w:rFonts w:ascii="Calibri" w:eastAsia="Calibri" w:hAnsi="Calibri" w:cs="Calibri"/>
        <w:b/>
      </w:rPr>
      <w:t>ISSN 2007 - 7467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30C" w:rsidRDefault="0069230C">
    <w:pPr>
      <w:pStyle w:val="Encabezado"/>
    </w:pPr>
    <w:r w:rsidRPr="00EA0B02">
      <w:rPr>
        <w:rFonts w:ascii="Calibri" w:eastAsia="Calibri" w:hAnsi="Calibri" w:cs="Calibri"/>
        <w:b/>
        <w:i/>
      </w:rPr>
      <w:t xml:space="preserve">Revista Iberoamericana para la Investigación y el Desarrollo Educativo           </w:t>
    </w:r>
    <w:r w:rsidRPr="00EA0B02">
      <w:rPr>
        <w:rFonts w:ascii="Calibri" w:eastAsia="Calibri" w:hAnsi="Calibri" w:cs="Calibri"/>
        <w:b/>
      </w:rPr>
      <w:t>ISSN 2007 - 7467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70EBE"/>
    <w:multiLevelType w:val="multilevel"/>
    <w:tmpl w:val="7966B8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3085D3C"/>
    <w:multiLevelType w:val="hybridMultilevel"/>
    <w:tmpl w:val="8FD691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1757294B"/>
    <w:multiLevelType w:val="hybridMultilevel"/>
    <w:tmpl w:val="B1C8B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380113"/>
    <w:multiLevelType w:val="hybridMultilevel"/>
    <w:tmpl w:val="5D6A3B76"/>
    <w:lvl w:ilvl="0" w:tplc="91562144">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381FB0"/>
    <w:multiLevelType w:val="hybridMultilevel"/>
    <w:tmpl w:val="94B8C88C"/>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5" w15:restartNumberingAfterBreak="0">
    <w:nsid w:val="4ADA52A4"/>
    <w:multiLevelType w:val="hybridMultilevel"/>
    <w:tmpl w:val="60BA5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991413"/>
    <w:multiLevelType w:val="hybridMultilevel"/>
    <w:tmpl w:val="AF4C8A50"/>
    <w:lvl w:ilvl="0" w:tplc="ADDC5142">
      <w:start w:val="1"/>
      <w:numFmt w:val="decimal"/>
      <w:lvlText w:val="%1."/>
      <w:lvlJc w:val="left"/>
      <w:pPr>
        <w:tabs>
          <w:tab w:val="num" w:pos="720"/>
        </w:tabs>
        <w:ind w:left="720" w:hanging="360"/>
      </w:pPr>
    </w:lvl>
    <w:lvl w:ilvl="1" w:tplc="C7C0939A" w:tentative="1">
      <w:start w:val="1"/>
      <w:numFmt w:val="decimal"/>
      <w:lvlText w:val="%2."/>
      <w:lvlJc w:val="left"/>
      <w:pPr>
        <w:tabs>
          <w:tab w:val="num" w:pos="1440"/>
        </w:tabs>
        <w:ind w:left="1440" w:hanging="360"/>
      </w:pPr>
    </w:lvl>
    <w:lvl w:ilvl="2" w:tplc="FB9C4C9A" w:tentative="1">
      <w:start w:val="1"/>
      <w:numFmt w:val="decimal"/>
      <w:lvlText w:val="%3."/>
      <w:lvlJc w:val="left"/>
      <w:pPr>
        <w:tabs>
          <w:tab w:val="num" w:pos="2160"/>
        </w:tabs>
        <w:ind w:left="2160" w:hanging="360"/>
      </w:pPr>
    </w:lvl>
    <w:lvl w:ilvl="3" w:tplc="FD7AE2D6" w:tentative="1">
      <w:start w:val="1"/>
      <w:numFmt w:val="decimal"/>
      <w:lvlText w:val="%4."/>
      <w:lvlJc w:val="left"/>
      <w:pPr>
        <w:tabs>
          <w:tab w:val="num" w:pos="2880"/>
        </w:tabs>
        <w:ind w:left="2880" w:hanging="360"/>
      </w:pPr>
    </w:lvl>
    <w:lvl w:ilvl="4" w:tplc="EDF6B59E" w:tentative="1">
      <w:start w:val="1"/>
      <w:numFmt w:val="decimal"/>
      <w:lvlText w:val="%5."/>
      <w:lvlJc w:val="left"/>
      <w:pPr>
        <w:tabs>
          <w:tab w:val="num" w:pos="3600"/>
        </w:tabs>
        <w:ind w:left="3600" w:hanging="360"/>
      </w:pPr>
    </w:lvl>
    <w:lvl w:ilvl="5" w:tplc="E2022D2E" w:tentative="1">
      <w:start w:val="1"/>
      <w:numFmt w:val="decimal"/>
      <w:lvlText w:val="%6."/>
      <w:lvlJc w:val="left"/>
      <w:pPr>
        <w:tabs>
          <w:tab w:val="num" w:pos="4320"/>
        </w:tabs>
        <w:ind w:left="4320" w:hanging="360"/>
      </w:pPr>
    </w:lvl>
    <w:lvl w:ilvl="6" w:tplc="A22E3FFC" w:tentative="1">
      <w:start w:val="1"/>
      <w:numFmt w:val="decimal"/>
      <w:lvlText w:val="%7."/>
      <w:lvlJc w:val="left"/>
      <w:pPr>
        <w:tabs>
          <w:tab w:val="num" w:pos="5040"/>
        </w:tabs>
        <w:ind w:left="5040" w:hanging="360"/>
      </w:pPr>
    </w:lvl>
    <w:lvl w:ilvl="7" w:tplc="0DB88A28" w:tentative="1">
      <w:start w:val="1"/>
      <w:numFmt w:val="decimal"/>
      <w:lvlText w:val="%8."/>
      <w:lvlJc w:val="left"/>
      <w:pPr>
        <w:tabs>
          <w:tab w:val="num" w:pos="5760"/>
        </w:tabs>
        <w:ind w:left="5760" w:hanging="360"/>
      </w:pPr>
    </w:lvl>
    <w:lvl w:ilvl="8" w:tplc="8C7287E2" w:tentative="1">
      <w:start w:val="1"/>
      <w:numFmt w:val="decimal"/>
      <w:lvlText w:val="%9."/>
      <w:lvlJc w:val="left"/>
      <w:pPr>
        <w:tabs>
          <w:tab w:val="num" w:pos="6480"/>
        </w:tabs>
        <w:ind w:left="6480" w:hanging="360"/>
      </w:pPr>
    </w:lvl>
  </w:abstractNum>
  <w:abstractNum w:abstractNumId="7" w15:restartNumberingAfterBreak="0">
    <w:nsid w:val="60561C14"/>
    <w:multiLevelType w:val="hybridMultilevel"/>
    <w:tmpl w:val="C5B41108"/>
    <w:lvl w:ilvl="0" w:tplc="3CCCAFF4">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B6C49FD"/>
    <w:multiLevelType w:val="hybridMultilevel"/>
    <w:tmpl w:val="46EA0B14"/>
    <w:lvl w:ilvl="0" w:tplc="8022F8A8">
      <w:start w:val="1"/>
      <w:numFmt w:val="decimal"/>
      <w:lvlText w:val="%1."/>
      <w:lvlJc w:val="left"/>
      <w:pPr>
        <w:ind w:left="427" w:hanging="360"/>
      </w:pPr>
      <w:rPr>
        <w:rFonts w:hint="default"/>
        <w:color w:val="auto"/>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num w:numId="1">
    <w:abstractNumId w:val="0"/>
  </w:num>
  <w:num w:numId="2">
    <w:abstractNumId w:val="7"/>
  </w:num>
  <w:num w:numId="3">
    <w:abstractNumId w:val="8"/>
  </w:num>
  <w:num w:numId="4">
    <w:abstractNumId w:val="4"/>
  </w:num>
  <w:num w:numId="5">
    <w:abstractNumId w:val="6"/>
  </w:num>
  <w:num w:numId="6">
    <w:abstractNumId w:val="3"/>
  </w:num>
  <w:num w:numId="7">
    <w:abstractNumId w:val="5"/>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1586E"/>
    <w:rsid w:val="0000128B"/>
    <w:rsid w:val="000031C8"/>
    <w:rsid w:val="00003D29"/>
    <w:rsid w:val="0000689B"/>
    <w:rsid w:val="000120BA"/>
    <w:rsid w:val="00014065"/>
    <w:rsid w:val="00014D71"/>
    <w:rsid w:val="00020735"/>
    <w:rsid w:val="00020DF8"/>
    <w:rsid w:val="0003204E"/>
    <w:rsid w:val="000420E9"/>
    <w:rsid w:val="00047165"/>
    <w:rsid w:val="00054C87"/>
    <w:rsid w:val="00062617"/>
    <w:rsid w:val="000762B9"/>
    <w:rsid w:val="00077B4E"/>
    <w:rsid w:val="00086EDA"/>
    <w:rsid w:val="00087742"/>
    <w:rsid w:val="0009033F"/>
    <w:rsid w:val="00096FBF"/>
    <w:rsid w:val="000A4599"/>
    <w:rsid w:val="000A5BA8"/>
    <w:rsid w:val="000A70A8"/>
    <w:rsid w:val="000B2692"/>
    <w:rsid w:val="000B317B"/>
    <w:rsid w:val="000B5754"/>
    <w:rsid w:val="000C0AF3"/>
    <w:rsid w:val="000C1A1C"/>
    <w:rsid w:val="000C502B"/>
    <w:rsid w:val="000C5257"/>
    <w:rsid w:val="000C7C82"/>
    <w:rsid w:val="000D0E7A"/>
    <w:rsid w:val="000D1A66"/>
    <w:rsid w:val="000D385C"/>
    <w:rsid w:val="000E4D0E"/>
    <w:rsid w:val="000E647B"/>
    <w:rsid w:val="000F26F1"/>
    <w:rsid w:val="000F35A1"/>
    <w:rsid w:val="000F3B6C"/>
    <w:rsid w:val="000F5E7D"/>
    <w:rsid w:val="000F6D00"/>
    <w:rsid w:val="000F7B17"/>
    <w:rsid w:val="00102EAC"/>
    <w:rsid w:val="00107C44"/>
    <w:rsid w:val="00112682"/>
    <w:rsid w:val="00114797"/>
    <w:rsid w:val="0011586E"/>
    <w:rsid w:val="00116E9B"/>
    <w:rsid w:val="00122ABC"/>
    <w:rsid w:val="0012425A"/>
    <w:rsid w:val="00127FDB"/>
    <w:rsid w:val="00130B1A"/>
    <w:rsid w:val="0013537D"/>
    <w:rsid w:val="0013573D"/>
    <w:rsid w:val="001369C8"/>
    <w:rsid w:val="00137652"/>
    <w:rsid w:val="00145478"/>
    <w:rsid w:val="001470E1"/>
    <w:rsid w:val="00156B29"/>
    <w:rsid w:val="00156F08"/>
    <w:rsid w:val="0016195C"/>
    <w:rsid w:val="00172367"/>
    <w:rsid w:val="00182334"/>
    <w:rsid w:val="001828B3"/>
    <w:rsid w:val="00183A52"/>
    <w:rsid w:val="0019583F"/>
    <w:rsid w:val="00195C74"/>
    <w:rsid w:val="00196340"/>
    <w:rsid w:val="0019666E"/>
    <w:rsid w:val="001973CF"/>
    <w:rsid w:val="001A1F8B"/>
    <w:rsid w:val="001A228D"/>
    <w:rsid w:val="001A3135"/>
    <w:rsid w:val="001A38E0"/>
    <w:rsid w:val="001A6DE3"/>
    <w:rsid w:val="001B5A71"/>
    <w:rsid w:val="001C3C87"/>
    <w:rsid w:val="001C5953"/>
    <w:rsid w:val="001D101E"/>
    <w:rsid w:val="001D4EDD"/>
    <w:rsid w:val="001E02A8"/>
    <w:rsid w:val="001E75A4"/>
    <w:rsid w:val="001F2F9C"/>
    <w:rsid w:val="002000BD"/>
    <w:rsid w:val="002015AA"/>
    <w:rsid w:val="00203B3D"/>
    <w:rsid w:val="002216DA"/>
    <w:rsid w:val="00226078"/>
    <w:rsid w:val="00226BB2"/>
    <w:rsid w:val="00231793"/>
    <w:rsid w:val="002346AD"/>
    <w:rsid w:val="002347DC"/>
    <w:rsid w:val="00241B42"/>
    <w:rsid w:val="002430A0"/>
    <w:rsid w:val="002469BB"/>
    <w:rsid w:val="002551C8"/>
    <w:rsid w:val="00261714"/>
    <w:rsid w:val="00263F17"/>
    <w:rsid w:val="00263FA5"/>
    <w:rsid w:val="00274781"/>
    <w:rsid w:val="00283624"/>
    <w:rsid w:val="00283923"/>
    <w:rsid w:val="00286FC9"/>
    <w:rsid w:val="002923CE"/>
    <w:rsid w:val="00295048"/>
    <w:rsid w:val="002B3D32"/>
    <w:rsid w:val="002B7580"/>
    <w:rsid w:val="002C0BD9"/>
    <w:rsid w:val="002C1C01"/>
    <w:rsid w:val="002C6B92"/>
    <w:rsid w:val="002D2434"/>
    <w:rsid w:val="002D74D0"/>
    <w:rsid w:val="002E2537"/>
    <w:rsid w:val="002E37ED"/>
    <w:rsid w:val="002F0A33"/>
    <w:rsid w:val="002F368C"/>
    <w:rsid w:val="002F3D4B"/>
    <w:rsid w:val="002F3F86"/>
    <w:rsid w:val="002F5208"/>
    <w:rsid w:val="003072E0"/>
    <w:rsid w:val="00310088"/>
    <w:rsid w:val="00314B23"/>
    <w:rsid w:val="00320811"/>
    <w:rsid w:val="0032675D"/>
    <w:rsid w:val="00337C50"/>
    <w:rsid w:val="00343984"/>
    <w:rsid w:val="0034483B"/>
    <w:rsid w:val="00346D1A"/>
    <w:rsid w:val="00350156"/>
    <w:rsid w:val="00355CB4"/>
    <w:rsid w:val="0035760B"/>
    <w:rsid w:val="00365736"/>
    <w:rsid w:val="00365A76"/>
    <w:rsid w:val="00366498"/>
    <w:rsid w:val="0036698D"/>
    <w:rsid w:val="00375800"/>
    <w:rsid w:val="00380E7A"/>
    <w:rsid w:val="00381E73"/>
    <w:rsid w:val="00390765"/>
    <w:rsid w:val="0039433B"/>
    <w:rsid w:val="003A4083"/>
    <w:rsid w:val="003B01C3"/>
    <w:rsid w:val="003B09AF"/>
    <w:rsid w:val="003B0DD4"/>
    <w:rsid w:val="003B15A3"/>
    <w:rsid w:val="003B44C6"/>
    <w:rsid w:val="003B6090"/>
    <w:rsid w:val="003B7CFA"/>
    <w:rsid w:val="003C252C"/>
    <w:rsid w:val="003C35ED"/>
    <w:rsid w:val="003C7D98"/>
    <w:rsid w:val="003D05D5"/>
    <w:rsid w:val="003D6F01"/>
    <w:rsid w:val="003F08A1"/>
    <w:rsid w:val="003F1502"/>
    <w:rsid w:val="003F6E42"/>
    <w:rsid w:val="004003F9"/>
    <w:rsid w:val="00400BEB"/>
    <w:rsid w:val="00400FD5"/>
    <w:rsid w:val="00403791"/>
    <w:rsid w:val="00405E1E"/>
    <w:rsid w:val="00406333"/>
    <w:rsid w:val="00410D16"/>
    <w:rsid w:val="004155AD"/>
    <w:rsid w:val="004229C3"/>
    <w:rsid w:val="00424D47"/>
    <w:rsid w:val="00426455"/>
    <w:rsid w:val="00430F31"/>
    <w:rsid w:val="004315A4"/>
    <w:rsid w:val="004338BD"/>
    <w:rsid w:val="00434D35"/>
    <w:rsid w:val="004406F2"/>
    <w:rsid w:val="00442110"/>
    <w:rsid w:val="004515CF"/>
    <w:rsid w:val="0046397B"/>
    <w:rsid w:val="00470445"/>
    <w:rsid w:val="00472769"/>
    <w:rsid w:val="004777D8"/>
    <w:rsid w:val="0048177F"/>
    <w:rsid w:val="004831DC"/>
    <w:rsid w:val="00493BC4"/>
    <w:rsid w:val="00494A26"/>
    <w:rsid w:val="004953FC"/>
    <w:rsid w:val="004A2D56"/>
    <w:rsid w:val="004A7CDB"/>
    <w:rsid w:val="004B4257"/>
    <w:rsid w:val="004B478E"/>
    <w:rsid w:val="004B5D38"/>
    <w:rsid w:val="004B76B1"/>
    <w:rsid w:val="004C023B"/>
    <w:rsid w:val="004C5647"/>
    <w:rsid w:val="004C5751"/>
    <w:rsid w:val="004D559D"/>
    <w:rsid w:val="004E03CF"/>
    <w:rsid w:val="004E2A01"/>
    <w:rsid w:val="004E31FD"/>
    <w:rsid w:val="004E6D25"/>
    <w:rsid w:val="004F268A"/>
    <w:rsid w:val="004F2BFA"/>
    <w:rsid w:val="004F4E0B"/>
    <w:rsid w:val="004F4FC6"/>
    <w:rsid w:val="004F65A9"/>
    <w:rsid w:val="004F6CB7"/>
    <w:rsid w:val="00503D9B"/>
    <w:rsid w:val="00504A50"/>
    <w:rsid w:val="00505A45"/>
    <w:rsid w:val="005065EC"/>
    <w:rsid w:val="00510265"/>
    <w:rsid w:val="0051657E"/>
    <w:rsid w:val="00525079"/>
    <w:rsid w:val="00525FF8"/>
    <w:rsid w:val="00527E37"/>
    <w:rsid w:val="0053037E"/>
    <w:rsid w:val="005303C5"/>
    <w:rsid w:val="0053602C"/>
    <w:rsid w:val="0053668C"/>
    <w:rsid w:val="005410F2"/>
    <w:rsid w:val="00542512"/>
    <w:rsid w:val="00543DA5"/>
    <w:rsid w:val="005535B3"/>
    <w:rsid w:val="005552EE"/>
    <w:rsid w:val="00556BC4"/>
    <w:rsid w:val="00562BDA"/>
    <w:rsid w:val="00565D7D"/>
    <w:rsid w:val="00570806"/>
    <w:rsid w:val="005754E2"/>
    <w:rsid w:val="005755FB"/>
    <w:rsid w:val="00576994"/>
    <w:rsid w:val="005944BA"/>
    <w:rsid w:val="00595155"/>
    <w:rsid w:val="00596B09"/>
    <w:rsid w:val="005A4B1F"/>
    <w:rsid w:val="005A7538"/>
    <w:rsid w:val="005B153A"/>
    <w:rsid w:val="005B3451"/>
    <w:rsid w:val="005B5B5A"/>
    <w:rsid w:val="005C2003"/>
    <w:rsid w:val="005D02A6"/>
    <w:rsid w:val="005E0489"/>
    <w:rsid w:val="005E5799"/>
    <w:rsid w:val="005F030E"/>
    <w:rsid w:val="0060062F"/>
    <w:rsid w:val="00600EE6"/>
    <w:rsid w:val="00601921"/>
    <w:rsid w:val="00605C28"/>
    <w:rsid w:val="00606151"/>
    <w:rsid w:val="0060676E"/>
    <w:rsid w:val="0061308B"/>
    <w:rsid w:val="00624B1E"/>
    <w:rsid w:val="00624DFC"/>
    <w:rsid w:val="0062562E"/>
    <w:rsid w:val="00636A3D"/>
    <w:rsid w:val="006431C0"/>
    <w:rsid w:val="00644CBB"/>
    <w:rsid w:val="0065187E"/>
    <w:rsid w:val="006566E7"/>
    <w:rsid w:val="00662296"/>
    <w:rsid w:val="00664884"/>
    <w:rsid w:val="006653D6"/>
    <w:rsid w:val="00666375"/>
    <w:rsid w:val="00666D07"/>
    <w:rsid w:val="006673B4"/>
    <w:rsid w:val="00667F8A"/>
    <w:rsid w:val="00670819"/>
    <w:rsid w:val="0067317C"/>
    <w:rsid w:val="00674806"/>
    <w:rsid w:val="006823DB"/>
    <w:rsid w:val="006858D8"/>
    <w:rsid w:val="0069230C"/>
    <w:rsid w:val="00693D4F"/>
    <w:rsid w:val="006A56FF"/>
    <w:rsid w:val="006C517E"/>
    <w:rsid w:val="006C5CA0"/>
    <w:rsid w:val="006D4C9D"/>
    <w:rsid w:val="006D730C"/>
    <w:rsid w:val="006E1979"/>
    <w:rsid w:val="006E21DE"/>
    <w:rsid w:val="006E6656"/>
    <w:rsid w:val="006F19E7"/>
    <w:rsid w:val="006F1AA2"/>
    <w:rsid w:val="006F3E85"/>
    <w:rsid w:val="006F4B93"/>
    <w:rsid w:val="00703118"/>
    <w:rsid w:val="007123DF"/>
    <w:rsid w:val="0071426A"/>
    <w:rsid w:val="007228EC"/>
    <w:rsid w:val="00734A8E"/>
    <w:rsid w:val="00740965"/>
    <w:rsid w:val="007445B6"/>
    <w:rsid w:val="00750285"/>
    <w:rsid w:val="00750D27"/>
    <w:rsid w:val="0075695B"/>
    <w:rsid w:val="007612A3"/>
    <w:rsid w:val="00763000"/>
    <w:rsid w:val="00765183"/>
    <w:rsid w:val="00767C16"/>
    <w:rsid w:val="007745AD"/>
    <w:rsid w:val="007836E5"/>
    <w:rsid w:val="00784296"/>
    <w:rsid w:val="00786373"/>
    <w:rsid w:val="00790827"/>
    <w:rsid w:val="007923B0"/>
    <w:rsid w:val="00793EE1"/>
    <w:rsid w:val="00794EB7"/>
    <w:rsid w:val="007A2C1A"/>
    <w:rsid w:val="007A36D8"/>
    <w:rsid w:val="007A7489"/>
    <w:rsid w:val="007B62E9"/>
    <w:rsid w:val="007C14D2"/>
    <w:rsid w:val="007C1C3F"/>
    <w:rsid w:val="007C6B27"/>
    <w:rsid w:val="007D5068"/>
    <w:rsid w:val="007D5CAC"/>
    <w:rsid w:val="007D7451"/>
    <w:rsid w:val="007E08B6"/>
    <w:rsid w:val="007E1380"/>
    <w:rsid w:val="007E6EFC"/>
    <w:rsid w:val="00803692"/>
    <w:rsid w:val="00810C2A"/>
    <w:rsid w:val="0081199E"/>
    <w:rsid w:val="00813AE4"/>
    <w:rsid w:val="008155F2"/>
    <w:rsid w:val="008167A5"/>
    <w:rsid w:val="008167D7"/>
    <w:rsid w:val="008262D3"/>
    <w:rsid w:val="0082666D"/>
    <w:rsid w:val="00830110"/>
    <w:rsid w:val="00832A5D"/>
    <w:rsid w:val="00841ECB"/>
    <w:rsid w:val="008457E6"/>
    <w:rsid w:val="008466AC"/>
    <w:rsid w:val="00846A72"/>
    <w:rsid w:val="00855700"/>
    <w:rsid w:val="0086305A"/>
    <w:rsid w:val="008639F4"/>
    <w:rsid w:val="00863A8C"/>
    <w:rsid w:val="00864B32"/>
    <w:rsid w:val="00881163"/>
    <w:rsid w:val="00884741"/>
    <w:rsid w:val="00886427"/>
    <w:rsid w:val="00891CD3"/>
    <w:rsid w:val="008937B7"/>
    <w:rsid w:val="008A00DD"/>
    <w:rsid w:val="008A0D5E"/>
    <w:rsid w:val="008A4BE6"/>
    <w:rsid w:val="008A5D19"/>
    <w:rsid w:val="008A6A41"/>
    <w:rsid w:val="008B5CCE"/>
    <w:rsid w:val="008B734C"/>
    <w:rsid w:val="008C4145"/>
    <w:rsid w:val="008C6405"/>
    <w:rsid w:val="008D56E6"/>
    <w:rsid w:val="008E2E16"/>
    <w:rsid w:val="008E3CF9"/>
    <w:rsid w:val="008F3ABF"/>
    <w:rsid w:val="0090137E"/>
    <w:rsid w:val="00903AD0"/>
    <w:rsid w:val="00904D60"/>
    <w:rsid w:val="009074EE"/>
    <w:rsid w:val="0091470E"/>
    <w:rsid w:val="00922F13"/>
    <w:rsid w:val="00923D5E"/>
    <w:rsid w:val="00927F3B"/>
    <w:rsid w:val="00932713"/>
    <w:rsid w:val="00932B5A"/>
    <w:rsid w:val="00935BF7"/>
    <w:rsid w:val="00935FE5"/>
    <w:rsid w:val="00950119"/>
    <w:rsid w:val="00962D80"/>
    <w:rsid w:val="00971E15"/>
    <w:rsid w:val="00977C7E"/>
    <w:rsid w:val="00983E61"/>
    <w:rsid w:val="00986B81"/>
    <w:rsid w:val="00996FB9"/>
    <w:rsid w:val="00997A24"/>
    <w:rsid w:val="00997B89"/>
    <w:rsid w:val="009A1B65"/>
    <w:rsid w:val="009A71DE"/>
    <w:rsid w:val="009B446A"/>
    <w:rsid w:val="009C1696"/>
    <w:rsid w:val="009C1A58"/>
    <w:rsid w:val="009C2499"/>
    <w:rsid w:val="009C6B26"/>
    <w:rsid w:val="009D02DF"/>
    <w:rsid w:val="009D481B"/>
    <w:rsid w:val="009D67E2"/>
    <w:rsid w:val="009E0B6E"/>
    <w:rsid w:val="009E361A"/>
    <w:rsid w:val="009E39A3"/>
    <w:rsid w:val="009E3E03"/>
    <w:rsid w:val="009F3E92"/>
    <w:rsid w:val="009F4162"/>
    <w:rsid w:val="00A04EA9"/>
    <w:rsid w:val="00A07217"/>
    <w:rsid w:val="00A10FD1"/>
    <w:rsid w:val="00A22AD4"/>
    <w:rsid w:val="00A26ADA"/>
    <w:rsid w:val="00A31DBC"/>
    <w:rsid w:val="00A35447"/>
    <w:rsid w:val="00A46828"/>
    <w:rsid w:val="00A52CA5"/>
    <w:rsid w:val="00A60B12"/>
    <w:rsid w:val="00A661F8"/>
    <w:rsid w:val="00A66C04"/>
    <w:rsid w:val="00A705D8"/>
    <w:rsid w:val="00A70A76"/>
    <w:rsid w:val="00A95D24"/>
    <w:rsid w:val="00A964DE"/>
    <w:rsid w:val="00A96CB4"/>
    <w:rsid w:val="00A9710B"/>
    <w:rsid w:val="00A97A92"/>
    <w:rsid w:val="00AA04A4"/>
    <w:rsid w:val="00AA2CB4"/>
    <w:rsid w:val="00AB782F"/>
    <w:rsid w:val="00AC033A"/>
    <w:rsid w:val="00AC13F2"/>
    <w:rsid w:val="00AC1BC4"/>
    <w:rsid w:val="00AC3102"/>
    <w:rsid w:val="00AD3CED"/>
    <w:rsid w:val="00AE3F86"/>
    <w:rsid w:val="00AE5B8D"/>
    <w:rsid w:val="00AE696E"/>
    <w:rsid w:val="00AF1ACD"/>
    <w:rsid w:val="00AF41D7"/>
    <w:rsid w:val="00AF6EE9"/>
    <w:rsid w:val="00B00FC4"/>
    <w:rsid w:val="00B133C8"/>
    <w:rsid w:val="00B13B8E"/>
    <w:rsid w:val="00B14EA4"/>
    <w:rsid w:val="00B16EEC"/>
    <w:rsid w:val="00B20E8C"/>
    <w:rsid w:val="00B216B1"/>
    <w:rsid w:val="00B26429"/>
    <w:rsid w:val="00B27461"/>
    <w:rsid w:val="00B33F95"/>
    <w:rsid w:val="00B422DE"/>
    <w:rsid w:val="00B431C8"/>
    <w:rsid w:val="00B50C8E"/>
    <w:rsid w:val="00B526CA"/>
    <w:rsid w:val="00B55BE6"/>
    <w:rsid w:val="00B64D68"/>
    <w:rsid w:val="00B67706"/>
    <w:rsid w:val="00B71697"/>
    <w:rsid w:val="00B73101"/>
    <w:rsid w:val="00B738BD"/>
    <w:rsid w:val="00B76CBC"/>
    <w:rsid w:val="00B81180"/>
    <w:rsid w:val="00B865EB"/>
    <w:rsid w:val="00B875D2"/>
    <w:rsid w:val="00B91103"/>
    <w:rsid w:val="00B91825"/>
    <w:rsid w:val="00B92D59"/>
    <w:rsid w:val="00B945DA"/>
    <w:rsid w:val="00B9588C"/>
    <w:rsid w:val="00B97365"/>
    <w:rsid w:val="00BA0EC7"/>
    <w:rsid w:val="00BA3D87"/>
    <w:rsid w:val="00BB3406"/>
    <w:rsid w:val="00BB48F2"/>
    <w:rsid w:val="00BB6F88"/>
    <w:rsid w:val="00BB7DD5"/>
    <w:rsid w:val="00BB7F73"/>
    <w:rsid w:val="00BD4E70"/>
    <w:rsid w:val="00BD5266"/>
    <w:rsid w:val="00BE0B4C"/>
    <w:rsid w:val="00BE0C45"/>
    <w:rsid w:val="00BE50C2"/>
    <w:rsid w:val="00BE5CFA"/>
    <w:rsid w:val="00C0141C"/>
    <w:rsid w:val="00C10FE1"/>
    <w:rsid w:val="00C110DB"/>
    <w:rsid w:val="00C1426E"/>
    <w:rsid w:val="00C2130C"/>
    <w:rsid w:val="00C22185"/>
    <w:rsid w:val="00C23071"/>
    <w:rsid w:val="00C24A36"/>
    <w:rsid w:val="00C26E60"/>
    <w:rsid w:val="00C34948"/>
    <w:rsid w:val="00C36BD4"/>
    <w:rsid w:val="00C43794"/>
    <w:rsid w:val="00C44AD6"/>
    <w:rsid w:val="00C44C0C"/>
    <w:rsid w:val="00C567D0"/>
    <w:rsid w:val="00C5701E"/>
    <w:rsid w:val="00C60198"/>
    <w:rsid w:val="00C6337A"/>
    <w:rsid w:val="00C64002"/>
    <w:rsid w:val="00C71E43"/>
    <w:rsid w:val="00C773C0"/>
    <w:rsid w:val="00C83335"/>
    <w:rsid w:val="00C845AE"/>
    <w:rsid w:val="00C9105C"/>
    <w:rsid w:val="00C95496"/>
    <w:rsid w:val="00CA111A"/>
    <w:rsid w:val="00CA4CAD"/>
    <w:rsid w:val="00CB0C0E"/>
    <w:rsid w:val="00CB5C48"/>
    <w:rsid w:val="00CC5B08"/>
    <w:rsid w:val="00CD23A1"/>
    <w:rsid w:val="00CD2882"/>
    <w:rsid w:val="00CD42DB"/>
    <w:rsid w:val="00CD4486"/>
    <w:rsid w:val="00CD5019"/>
    <w:rsid w:val="00CD77AE"/>
    <w:rsid w:val="00CE3B6F"/>
    <w:rsid w:val="00CE7693"/>
    <w:rsid w:val="00CF02DA"/>
    <w:rsid w:val="00CF181C"/>
    <w:rsid w:val="00CF1A0C"/>
    <w:rsid w:val="00CF455E"/>
    <w:rsid w:val="00CF593E"/>
    <w:rsid w:val="00D0397B"/>
    <w:rsid w:val="00D04694"/>
    <w:rsid w:val="00D07D3F"/>
    <w:rsid w:val="00D07EBF"/>
    <w:rsid w:val="00D07FFE"/>
    <w:rsid w:val="00D22C7C"/>
    <w:rsid w:val="00D260BE"/>
    <w:rsid w:val="00D260DE"/>
    <w:rsid w:val="00D3180D"/>
    <w:rsid w:val="00D477F0"/>
    <w:rsid w:val="00D47D48"/>
    <w:rsid w:val="00D550A6"/>
    <w:rsid w:val="00D56CB4"/>
    <w:rsid w:val="00D62719"/>
    <w:rsid w:val="00D63DFB"/>
    <w:rsid w:val="00D64CEE"/>
    <w:rsid w:val="00D65AE7"/>
    <w:rsid w:val="00D667F7"/>
    <w:rsid w:val="00D70C85"/>
    <w:rsid w:val="00D7724D"/>
    <w:rsid w:val="00D846E3"/>
    <w:rsid w:val="00DA1511"/>
    <w:rsid w:val="00DA15C0"/>
    <w:rsid w:val="00DA5199"/>
    <w:rsid w:val="00DA794A"/>
    <w:rsid w:val="00DA7BE5"/>
    <w:rsid w:val="00DB1ACF"/>
    <w:rsid w:val="00DC490A"/>
    <w:rsid w:val="00DC65FE"/>
    <w:rsid w:val="00DE187A"/>
    <w:rsid w:val="00DE6187"/>
    <w:rsid w:val="00DF0DDF"/>
    <w:rsid w:val="00DF4372"/>
    <w:rsid w:val="00DF5387"/>
    <w:rsid w:val="00E014A9"/>
    <w:rsid w:val="00E11721"/>
    <w:rsid w:val="00E156D7"/>
    <w:rsid w:val="00E20D61"/>
    <w:rsid w:val="00E24C5F"/>
    <w:rsid w:val="00E31C8B"/>
    <w:rsid w:val="00E355A5"/>
    <w:rsid w:val="00E35C15"/>
    <w:rsid w:val="00E41321"/>
    <w:rsid w:val="00E420E7"/>
    <w:rsid w:val="00E43D1B"/>
    <w:rsid w:val="00E43E31"/>
    <w:rsid w:val="00E45D07"/>
    <w:rsid w:val="00E5474A"/>
    <w:rsid w:val="00E55B28"/>
    <w:rsid w:val="00E55D2C"/>
    <w:rsid w:val="00E57401"/>
    <w:rsid w:val="00E57592"/>
    <w:rsid w:val="00E60169"/>
    <w:rsid w:val="00E604FB"/>
    <w:rsid w:val="00E65291"/>
    <w:rsid w:val="00E702F7"/>
    <w:rsid w:val="00E76039"/>
    <w:rsid w:val="00E82EFF"/>
    <w:rsid w:val="00E85092"/>
    <w:rsid w:val="00E9106A"/>
    <w:rsid w:val="00E9273E"/>
    <w:rsid w:val="00E95376"/>
    <w:rsid w:val="00E96E5D"/>
    <w:rsid w:val="00EA1B60"/>
    <w:rsid w:val="00EA5104"/>
    <w:rsid w:val="00EA69E5"/>
    <w:rsid w:val="00EB212B"/>
    <w:rsid w:val="00EB26FD"/>
    <w:rsid w:val="00EB2F6E"/>
    <w:rsid w:val="00EC4191"/>
    <w:rsid w:val="00ED0146"/>
    <w:rsid w:val="00ED4098"/>
    <w:rsid w:val="00ED5854"/>
    <w:rsid w:val="00ED609C"/>
    <w:rsid w:val="00ED64A7"/>
    <w:rsid w:val="00ED7257"/>
    <w:rsid w:val="00EF0682"/>
    <w:rsid w:val="00EF4120"/>
    <w:rsid w:val="00EF550D"/>
    <w:rsid w:val="00EF615A"/>
    <w:rsid w:val="00F154D9"/>
    <w:rsid w:val="00F16B70"/>
    <w:rsid w:val="00F173EE"/>
    <w:rsid w:val="00F2091B"/>
    <w:rsid w:val="00F21231"/>
    <w:rsid w:val="00F219D2"/>
    <w:rsid w:val="00F223AC"/>
    <w:rsid w:val="00F22888"/>
    <w:rsid w:val="00F27427"/>
    <w:rsid w:val="00F27B9F"/>
    <w:rsid w:val="00F32888"/>
    <w:rsid w:val="00F41245"/>
    <w:rsid w:val="00F45663"/>
    <w:rsid w:val="00F5112A"/>
    <w:rsid w:val="00F515D0"/>
    <w:rsid w:val="00F54686"/>
    <w:rsid w:val="00F574B7"/>
    <w:rsid w:val="00F6212B"/>
    <w:rsid w:val="00F63D1E"/>
    <w:rsid w:val="00F63E0C"/>
    <w:rsid w:val="00F80B25"/>
    <w:rsid w:val="00F839FF"/>
    <w:rsid w:val="00F83BE7"/>
    <w:rsid w:val="00F94FDC"/>
    <w:rsid w:val="00F95598"/>
    <w:rsid w:val="00F95F2D"/>
    <w:rsid w:val="00F977FF"/>
    <w:rsid w:val="00FA1141"/>
    <w:rsid w:val="00FA11B5"/>
    <w:rsid w:val="00FA13E9"/>
    <w:rsid w:val="00FB7DF8"/>
    <w:rsid w:val="00FC454A"/>
    <w:rsid w:val="00FD4E94"/>
    <w:rsid w:val="00FE00E4"/>
    <w:rsid w:val="00FE0393"/>
    <w:rsid w:val="00FE28EA"/>
    <w:rsid w:val="00FE2908"/>
    <w:rsid w:val="00FE4778"/>
    <w:rsid w:val="00FE5FB0"/>
    <w:rsid w:val="00FE62DE"/>
    <w:rsid w:val="00FF57AE"/>
    <w:rsid w:val="00FF6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35F38F-A79D-413F-AD88-CC0675D55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C1A1C"/>
  </w:style>
  <w:style w:type="paragraph" w:styleId="Ttulo2">
    <w:name w:val="heading 2"/>
    <w:basedOn w:val="Normal"/>
    <w:next w:val="Normal"/>
    <w:link w:val="Ttulo2Car"/>
    <w:uiPriority w:val="9"/>
    <w:unhideWhenUsed/>
    <w:qFormat/>
    <w:rsid w:val="001369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1369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1586E"/>
    <w:rPr>
      <w:color w:val="0000FF"/>
      <w:u w:val="single"/>
    </w:rPr>
  </w:style>
  <w:style w:type="character" w:customStyle="1" w:styleId="apple-converted-space">
    <w:name w:val="apple-converted-space"/>
    <w:basedOn w:val="Fuentedeprrafopredeter"/>
    <w:rsid w:val="0011586E"/>
  </w:style>
  <w:style w:type="table" w:styleId="Tablaconcuadrcula">
    <w:name w:val="Table Grid"/>
    <w:basedOn w:val="Tablanormal"/>
    <w:uiPriority w:val="59"/>
    <w:rsid w:val="00576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C41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4191"/>
    <w:rPr>
      <w:rFonts w:ascii="Tahoma" w:eastAsiaTheme="minorEastAsia" w:hAnsi="Tahoma" w:cs="Tahoma"/>
      <w:sz w:val="16"/>
      <w:szCs w:val="16"/>
      <w:lang w:val="es-MX" w:eastAsia="es-MX"/>
    </w:rPr>
  </w:style>
  <w:style w:type="paragraph" w:styleId="NormalWeb">
    <w:name w:val="Normal (Web)"/>
    <w:basedOn w:val="Normal"/>
    <w:uiPriority w:val="99"/>
    <w:unhideWhenUsed/>
    <w:rsid w:val="001369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3Car">
    <w:name w:val="Título 3 Car"/>
    <w:basedOn w:val="Fuentedeprrafopredeter"/>
    <w:link w:val="Ttulo3"/>
    <w:uiPriority w:val="9"/>
    <w:rsid w:val="001369C8"/>
    <w:rPr>
      <w:rFonts w:ascii="Times New Roman" w:eastAsia="Times New Roman" w:hAnsi="Times New Roman" w:cs="Times New Roman"/>
      <w:b/>
      <w:bCs/>
      <w:sz w:val="27"/>
      <w:szCs w:val="27"/>
      <w:lang w:val="es-MX" w:eastAsia="es-MX"/>
    </w:rPr>
  </w:style>
  <w:style w:type="character" w:customStyle="1" w:styleId="Ttulo2Car">
    <w:name w:val="Título 2 Car"/>
    <w:basedOn w:val="Fuentedeprrafopredeter"/>
    <w:link w:val="Ttulo2"/>
    <w:uiPriority w:val="9"/>
    <w:rsid w:val="001369C8"/>
    <w:rPr>
      <w:rFonts w:asciiTheme="majorHAnsi" w:eastAsiaTheme="majorEastAsia" w:hAnsiTheme="majorHAnsi" w:cstheme="majorBidi"/>
      <w:b/>
      <w:bCs/>
      <w:color w:val="4F81BD" w:themeColor="accent1"/>
      <w:sz w:val="26"/>
      <w:szCs w:val="26"/>
      <w:lang w:val="es-MX" w:eastAsia="es-MX"/>
    </w:rPr>
  </w:style>
  <w:style w:type="character" w:styleId="nfasis">
    <w:name w:val="Emphasis"/>
    <w:basedOn w:val="Fuentedeprrafopredeter"/>
    <w:uiPriority w:val="20"/>
    <w:qFormat/>
    <w:rsid w:val="001369C8"/>
    <w:rPr>
      <w:i/>
      <w:iCs/>
    </w:rPr>
  </w:style>
  <w:style w:type="paragraph" w:styleId="Prrafodelista">
    <w:name w:val="List Paragraph"/>
    <w:basedOn w:val="Normal"/>
    <w:uiPriority w:val="34"/>
    <w:qFormat/>
    <w:rsid w:val="00E45D07"/>
    <w:pPr>
      <w:ind w:left="720"/>
      <w:contextualSpacing/>
    </w:pPr>
  </w:style>
  <w:style w:type="paragraph" w:styleId="Encabezado">
    <w:name w:val="header"/>
    <w:basedOn w:val="Normal"/>
    <w:link w:val="EncabezadoCar"/>
    <w:uiPriority w:val="99"/>
    <w:unhideWhenUsed/>
    <w:rsid w:val="00570806"/>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70806"/>
  </w:style>
  <w:style w:type="paragraph" w:styleId="Piedepgina">
    <w:name w:val="footer"/>
    <w:basedOn w:val="Normal"/>
    <w:link w:val="PiedepginaCar"/>
    <w:uiPriority w:val="99"/>
    <w:unhideWhenUsed/>
    <w:rsid w:val="00570806"/>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70806"/>
  </w:style>
  <w:style w:type="paragraph" w:customStyle="1" w:styleId="Default">
    <w:name w:val="Default"/>
    <w:rsid w:val="00570806"/>
    <w:pPr>
      <w:autoSpaceDE w:val="0"/>
      <w:autoSpaceDN w:val="0"/>
      <w:adjustRightInd w:val="0"/>
      <w:spacing w:after="0" w:line="240" w:lineRule="auto"/>
    </w:pPr>
    <w:rPr>
      <w:rFonts w:ascii="Arial" w:hAnsi="Arial" w:cs="Arial"/>
      <w:color w:val="000000"/>
      <w:sz w:val="24"/>
      <w:szCs w:val="24"/>
      <w:lang w:val="en-US"/>
    </w:rPr>
  </w:style>
  <w:style w:type="character" w:customStyle="1" w:styleId="superscript1">
    <w:name w:val="superscript1"/>
    <w:uiPriority w:val="99"/>
    <w:rsid w:val="00570806"/>
    <w:rPr>
      <w:color w:val="000000"/>
    </w:rPr>
  </w:style>
  <w:style w:type="character" w:styleId="CitaHTML">
    <w:name w:val="HTML Cite"/>
    <w:basedOn w:val="Fuentedeprrafopredeter"/>
    <w:uiPriority w:val="99"/>
    <w:semiHidden/>
    <w:unhideWhenUsed/>
    <w:rsid w:val="00014D71"/>
    <w:rPr>
      <w:i/>
      <w:iCs/>
    </w:rPr>
  </w:style>
  <w:style w:type="character" w:styleId="Refdecomentario">
    <w:name w:val="annotation reference"/>
    <w:basedOn w:val="Fuentedeprrafopredeter"/>
    <w:uiPriority w:val="99"/>
    <w:semiHidden/>
    <w:unhideWhenUsed/>
    <w:rsid w:val="005D02A6"/>
    <w:rPr>
      <w:sz w:val="16"/>
      <w:szCs w:val="16"/>
    </w:rPr>
  </w:style>
  <w:style w:type="paragraph" w:styleId="Textocomentario">
    <w:name w:val="annotation text"/>
    <w:basedOn w:val="Normal"/>
    <w:link w:val="TextocomentarioCar"/>
    <w:uiPriority w:val="99"/>
    <w:semiHidden/>
    <w:unhideWhenUsed/>
    <w:rsid w:val="005D02A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D02A6"/>
    <w:rPr>
      <w:sz w:val="20"/>
      <w:szCs w:val="20"/>
    </w:rPr>
  </w:style>
  <w:style w:type="paragraph" w:styleId="Asuntodelcomentario">
    <w:name w:val="annotation subject"/>
    <w:basedOn w:val="Textocomentario"/>
    <w:next w:val="Textocomentario"/>
    <w:link w:val="AsuntodelcomentarioCar"/>
    <w:uiPriority w:val="99"/>
    <w:semiHidden/>
    <w:unhideWhenUsed/>
    <w:rsid w:val="005D02A6"/>
    <w:rPr>
      <w:b/>
      <w:bCs/>
    </w:rPr>
  </w:style>
  <w:style w:type="character" w:customStyle="1" w:styleId="AsuntodelcomentarioCar">
    <w:name w:val="Asunto del comentario Car"/>
    <w:basedOn w:val="TextocomentarioCar"/>
    <w:link w:val="Asuntodelcomentario"/>
    <w:uiPriority w:val="99"/>
    <w:semiHidden/>
    <w:rsid w:val="005D02A6"/>
    <w:rPr>
      <w:b/>
      <w:bCs/>
      <w:sz w:val="20"/>
      <w:szCs w:val="20"/>
    </w:rPr>
  </w:style>
  <w:style w:type="paragraph" w:styleId="Bibliografa">
    <w:name w:val="Bibliography"/>
    <w:basedOn w:val="Normal"/>
    <w:next w:val="Normal"/>
    <w:uiPriority w:val="37"/>
    <w:unhideWhenUsed/>
    <w:rsid w:val="006C5CA0"/>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667075">
      <w:bodyDiv w:val="1"/>
      <w:marLeft w:val="0"/>
      <w:marRight w:val="0"/>
      <w:marTop w:val="0"/>
      <w:marBottom w:val="0"/>
      <w:divBdr>
        <w:top w:val="none" w:sz="0" w:space="0" w:color="auto"/>
        <w:left w:val="none" w:sz="0" w:space="0" w:color="auto"/>
        <w:bottom w:val="none" w:sz="0" w:space="0" w:color="auto"/>
        <w:right w:val="none" w:sz="0" w:space="0" w:color="auto"/>
      </w:divBdr>
    </w:div>
    <w:div w:id="522670008">
      <w:bodyDiv w:val="1"/>
      <w:marLeft w:val="0"/>
      <w:marRight w:val="0"/>
      <w:marTop w:val="0"/>
      <w:marBottom w:val="0"/>
      <w:divBdr>
        <w:top w:val="none" w:sz="0" w:space="0" w:color="auto"/>
        <w:left w:val="none" w:sz="0" w:space="0" w:color="auto"/>
        <w:bottom w:val="none" w:sz="0" w:space="0" w:color="auto"/>
        <w:right w:val="none" w:sz="0" w:space="0" w:color="auto"/>
      </w:divBdr>
    </w:div>
    <w:div w:id="547229911">
      <w:bodyDiv w:val="1"/>
      <w:marLeft w:val="0"/>
      <w:marRight w:val="0"/>
      <w:marTop w:val="0"/>
      <w:marBottom w:val="0"/>
      <w:divBdr>
        <w:top w:val="none" w:sz="0" w:space="0" w:color="auto"/>
        <w:left w:val="none" w:sz="0" w:space="0" w:color="auto"/>
        <w:bottom w:val="none" w:sz="0" w:space="0" w:color="auto"/>
        <w:right w:val="none" w:sz="0" w:space="0" w:color="auto"/>
      </w:divBdr>
    </w:div>
    <w:div w:id="866796330">
      <w:bodyDiv w:val="1"/>
      <w:marLeft w:val="0"/>
      <w:marRight w:val="0"/>
      <w:marTop w:val="0"/>
      <w:marBottom w:val="0"/>
      <w:divBdr>
        <w:top w:val="none" w:sz="0" w:space="0" w:color="auto"/>
        <w:left w:val="none" w:sz="0" w:space="0" w:color="auto"/>
        <w:bottom w:val="none" w:sz="0" w:space="0" w:color="auto"/>
        <w:right w:val="none" w:sz="0" w:space="0" w:color="auto"/>
      </w:divBdr>
    </w:div>
    <w:div w:id="915894611">
      <w:bodyDiv w:val="1"/>
      <w:marLeft w:val="0"/>
      <w:marRight w:val="0"/>
      <w:marTop w:val="0"/>
      <w:marBottom w:val="0"/>
      <w:divBdr>
        <w:top w:val="none" w:sz="0" w:space="0" w:color="auto"/>
        <w:left w:val="none" w:sz="0" w:space="0" w:color="auto"/>
        <w:bottom w:val="none" w:sz="0" w:space="0" w:color="auto"/>
        <w:right w:val="none" w:sz="0" w:space="0" w:color="auto"/>
      </w:divBdr>
      <w:divsChild>
        <w:div w:id="769663279">
          <w:marLeft w:val="720"/>
          <w:marRight w:val="0"/>
          <w:marTop w:val="106"/>
          <w:marBottom w:val="0"/>
          <w:divBdr>
            <w:top w:val="none" w:sz="0" w:space="0" w:color="auto"/>
            <w:left w:val="none" w:sz="0" w:space="0" w:color="auto"/>
            <w:bottom w:val="none" w:sz="0" w:space="0" w:color="auto"/>
            <w:right w:val="none" w:sz="0" w:space="0" w:color="auto"/>
          </w:divBdr>
        </w:div>
        <w:div w:id="364256209">
          <w:marLeft w:val="720"/>
          <w:marRight w:val="0"/>
          <w:marTop w:val="106"/>
          <w:marBottom w:val="0"/>
          <w:divBdr>
            <w:top w:val="none" w:sz="0" w:space="0" w:color="auto"/>
            <w:left w:val="none" w:sz="0" w:space="0" w:color="auto"/>
            <w:bottom w:val="none" w:sz="0" w:space="0" w:color="auto"/>
            <w:right w:val="none" w:sz="0" w:space="0" w:color="auto"/>
          </w:divBdr>
        </w:div>
        <w:div w:id="1023478105">
          <w:marLeft w:val="720"/>
          <w:marRight w:val="0"/>
          <w:marTop w:val="106"/>
          <w:marBottom w:val="0"/>
          <w:divBdr>
            <w:top w:val="none" w:sz="0" w:space="0" w:color="auto"/>
            <w:left w:val="none" w:sz="0" w:space="0" w:color="auto"/>
            <w:bottom w:val="none" w:sz="0" w:space="0" w:color="auto"/>
            <w:right w:val="none" w:sz="0" w:space="0" w:color="auto"/>
          </w:divBdr>
        </w:div>
        <w:div w:id="612714724">
          <w:marLeft w:val="720"/>
          <w:marRight w:val="0"/>
          <w:marTop w:val="106"/>
          <w:marBottom w:val="0"/>
          <w:divBdr>
            <w:top w:val="none" w:sz="0" w:space="0" w:color="auto"/>
            <w:left w:val="none" w:sz="0" w:space="0" w:color="auto"/>
            <w:bottom w:val="none" w:sz="0" w:space="0" w:color="auto"/>
            <w:right w:val="none" w:sz="0" w:space="0" w:color="auto"/>
          </w:divBdr>
        </w:div>
        <w:div w:id="1606183514">
          <w:marLeft w:val="720"/>
          <w:marRight w:val="0"/>
          <w:marTop w:val="106"/>
          <w:marBottom w:val="0"/>
          <w:divBdr>
            <w:top w:val="none" w:sz="0" w:space="0" w:color="auto"/>
            <w:left w:val="none" w:sz="0" w:space="0" w:color="auto"/>
            <w:bottom w:val="none" w:sz="0" w:space="0" w:color="auto"/>
            <w:right w:val="none" w:sz="0" w:space="0" w:color="auto"/>
          </w:divBdr>
        </w:div>
      </w:divsChild>
    </w:div>
    <w:div w:id="1026717013">
      <w:bodyDiv w:val="1"/>
      <w:marLeft w:val="0"/>
      <w:marRight w:val="0"/>
      <w:marTop w:val="0"/>
      <w:marBottom w:val="0"/>
      <w:divBdr>
        <w:top w:val="none" w:sz="0" w:space="0" w:color="auto"/>
        <w:left w:val="none" w:sz="0" w:space="0" w:color="auto"/>
        <w:bottom w:val="none" w:sz="0" w:space="0" w:color="auto"/>
        <w:right w:val="none" w:sz="0" w:space="0" w:color="auto"/>
      </w:divBdr>
    </w:div>
    <w:div w:id="1140417520">
      <w:bodyDiv w:val="1"/>
      <w:marLeft w:val="0"/>
      <w:marRight w:val="0"/>
      <w:marTop w:val="0"/>
      <w:marBottom w:val="0"/>
      <w:divBdr>
        <w:top w:val="none" w:sz="0" w:space="0" w:color="auto"/>
        <w:left w:val="none" w:sz="0" w:space="0" w:color="auto"/>
        <w:bottom w:val="none" w:sz="0" w:space="0" w:color="auto"/>
        <w:right w:val="none" w:sz="0" w:space="0" w:color="auto"/>
      </w:divBdr>
    </w:div>
    <w:div w:id="1249921462">
      <w:bodyDiv w:val="1"/>
      <w:marLeft w:val="0"/>
      <w:marRight w:val="0"/>
      <w:marTop w:val="0"/>
      <w:marBottom w:val="0"/>
      <w:divBdr>
        <w:top w:val="none" w:sz="0" w:space="0" w:color="auto"/>
        <w:left w:val="none" w:sz="0" w:space="0" w:color="auto"/>
        <w:bottom w:val="none" w:sz="0" w:space="0" w:color="auto"/>
        <w:right w:val="none" w:sz="0" w:space="0" w:color="auto"/>
      </w:divBdr>
    </w:div>
    <w:div w:id="1249927930">
      <w:bodyDiv w:val="1"/>
      <w:marLeft w:val="0"/>
      <w:marRight w:val="0"/>
      <w:marTop w:val="0"/>
      <w:marBottom w:val="0"/>
      <w:divBdr>
        <w:top w:val="none" w:sz="0" w:space="0" w:color="auto"/>
        <w:left w:val="none" w:sz="0" w:space="0" w:color="auto"/>
        <w:bottom w:val="none" w:sz="0" w:space="0" w:color="auto"/>
        <w:right w:val="none" w:sz="0" w:space="0" w:color="auto"/>
      </w:divBdr>
    </w:div>
    <w:div w:id="1290428993">
      <w:bodyDiv w:val="1"/>
      <w:marLeft w:val="0"/>
      <w:marRight w:val="0"/>
      <w:marTop w:val="0"/>
      <w:marBottom w:val="0"/>
      <w:divBdr>
        <w:top w:val="none" w:sz="0" w:space="0" w:color="auto"/>
        <w:left w:val="none" w:sz="0" w:space="0" w:color="auto"/>
        <w:bottom w:val="none" w:sz="0" w:space="0" w:color="auto"/>
        <w:right w:val="none" w:sz="0" w:space="0" w:color="auto"/>
      </w:divBdr>
    </w:div>
    <w:div w:id="1753696991">
      <w:bodyDiv w:val="1"/>
      <w:marLeft w:val="0"/>
      <w:marRight w:val="0"/>
      <w:marTop w:val="0"/>
      <w:marBottom w:val="0"/>
      <w:divBdr>
        <w:top w:val="none" w:sz="0" w:space="0" w:color="auto"/>
        <w:left w:val="none" w:sz="0" w:space="0" w:color="auto"/>
        <w:bottom w:val="none" w:sz="0" w:space="0" w:color="auto"/>
        <w:right w:val="none" w:sz="0" w:space="0" w:color="auto"/>
      </w:divBdr>
    </w:div>
    <w:div w:id="1781341187">
      <w:bodyDiv w:val="1"/>
      <w:marLeft w:val="0"/>
      <w:marRight w:val="0"/>
      <w:marTop w:val="0"/>
      <w:marBottom w:val="0"/>
      <w:divBdr>
        <w:top w:val="none" w:sz="0" w:space="0" w:color="auto"/>
        <w:left w:val="none" w:sz="0" w:space="0" w:color="auto"/>
        <w:bottom w:val="none" w:sz="0" w:space="0" w:color="auto"/>
        <w:right w:val="none" w:sz="0" w:space="0" w:color="auto"/>
      </w:divBdr>
    </w:div>
    <w:div w:id="1790204773">
      <w:bodyDiv w:val="1"/>
      <w:marLeft w:val="0"/>
      <w:marRight w:val="0"/>
      <w:marTop w:val="0"/>
      <w:marBottom w:val="0"/>
      <w:divBdr>
        <w:top w:val="none" w:sz="0" w:space="0" w:color="auto"/>
        <w:left w:val="none" w:sz="0" w:space="0" w:color="auto"/>
        <w:bottom w:val="none" w:sz="0" w:space="0" w:color="auto"/>
        <w:right w:val="none" w:sz="0" w:space="0" w:color="auto"/>
      </w:divBdr>
    </w:div>
    <w:div w:id="207762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ncbi.nlm.nih.gov/pubmed?term=Yanagawa%20T%5BAuthor%5D&amp;cauthor=true&amp;cauthor_uid=17054137" TargetMode="External"/><Relationship Id="rId18" Type="http://schemas.openxmlformats.org/officeDocument/2006/relationships/hyperlink" Target="http://www.ncbi.nlm.nih.gov/pubmed/17054137"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ncbi.nlm.nih.gov/pubmed?term=Perel%20P%5BAuthor%5D&amp;cauthor=true&amp;cauthor_uid=17054137" TargetMode="External"/><Relationship Id="rId17" Type="http://schemas.openxmlformats.org/officeDocument/2006/relationships/hyperlink" Target="http://www.ncbi.nlm.nih.gov/pubmed?term=Pierro%20A%5BAuthor%5D&amp;cauthor=true&amp;cauthor_uid=1705413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cbi.nlm.nih.gov/pubmed?term=Wentz%20R%5BAuthor%5D&amp;cauthor=true&amp;cauthor_uid=17054137"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gibug.ugr.es/bitstream/10481/1446/1/1661270x.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cbi.nlm.nih.gov/pubmed?term=Roberts%20I%5BAuthor%5D&amp;cauthor=true&amp;cauthor_uid=17054137" TargetMode="External"/><Relationship Id="rId23" Type="http://schemas.openxmlformats.org/officeDocument/2006/relationships/footer" Target="footer2.xml"/><Relationship Id="rId10" Type="http://schemas.openxmlformats.org/officeDocument/2006/relationships/hyperlink" Target="http://escuela.med.puc.cl/publ/TemasMedicinaInterna/nutricion.html" TargetMode="External"/><Relationship Id="rId19" Type="http://schemas.openxmlformats.org/officeDocument/2006/relationships/hyperlink" Target="http://www.ncbi.nlm.nih.gov/pubmed/17054137"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ncbi.nlm.nih.gov/pubmed?term=Bunn%20F%5BAuthor%5D&amp;cauthor=true&amp;cauthor_uid=17054137" TargetMode="External"/><Relationship Id="rId22"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val>
            <c:numRef>
              <c:f>Hoja1!$A$1:$O$1</c:f>
              <c:numCache>
                <c:formatCode>General</c:formatCode>
                <c:ptCount val="15"/>
                <c:pt idx="0">
                  <c:v>24</c:v>
                </c:pt>
                <c:pt idx="1">
                  <c:v>48</c:v>
                </c:pt>
                <c:pt idx="2">
                  <c:v>72</c:v>
                </c:pt>
                <c:pt idx="3">
                  <c:v>96</c:v>
                </c:pt>
                <c:pt idx="4">
                  <c:v>120</c:v>
                </c:pt>
                <c:pt idx="5">
                  <c:v>168</c:v>
                </c:pt>
              </c:numCache>
            </c:numRef>
          </c:val>
          <c:smooth val="0"/>
          <c:extLst>
            <c:ext xmlns:c16="http://schemas.microsoft.com/office/drawing/2014/chart" uri="{C3380CC4-5D6E-409C-BE32-E72D297353CC}">
              <c16:uniqueId val="{00000000-61EE-473B-B51E-1F569930B978}"/>
            </c:ext>
          </c:extLst>
        </c:ser>
        <c:ser>
          <c:idx val="1"/>
          <c:order val="1"/>
          <c:val>
            <c:numRef>
              <c:f>Hoja1!$A$2:$O$2</c:f>
              <c:numCache>
                <c:formatCode>General</c:formatCode>
                <c:ptCount val="15"/>
                <c:pt idx="0">
                  <c:v>1</c:v>
                </c:pt>
                <c:pt idx="1">
                  <c:v>4</c:v>
                </c:pt>
                <c:pt idx="2">
                  <c:v>5</c:v>
                </c:pt>
                <c:pt idx="3">
                  <c:v>6</c:v>
                </c:pt>
                <c:pt idx="4">
                  <c:v>7</c:v>
                </c:pt>
                <c:pt idx="5">
                  <c:v>8</c:v>
                </c:pt>
                <c:pt idx="6">
                  <c:v>9</c:v>
                </c:pt>
                <c:pt idx="7">
                  <c:v>11</c:v>
                </c:pt>
                <c:pt idx="8">
                  <c:v>12</c:v>
                </c:pt>
                <c:pt idx="9">
                  <c:v>13</c:v>
                </c:pt>
                <c:pt idx="10">
                  <c:v>14</c:v>
                </c:pt>
                <c:pt idx="11">
                  <c:v>17</c:v>
                </c:pt>
                <c:pt idx="12">
                  <c:v>48</c:v>
                </c:pt>
                <c:pt idx="13">
                  <c:v>72</c:v>
                </c:pt>
                <c:pt idx="14">
                  <c:v>98</c:v>
                </c:pt>
              </c:numCache>
            </c:numRef>
          </c:val>
          <c:smooth val="0"/>
          <c:extLst>
            <c:ext xmlns:c16="http://schemas.microsoft.com/office/drawing/2014/chart" uri="{C3380CC4-5D6E-409C-BE32-E72D297353CC}">
              <c16:uniqueId val="{00000001-61EE-473B-B51E-1F569930B978}"/>
            </c:ext>
          </c:extLst>
        </c:ser>
        <c:dLbls>
          <c:showLegendKey val="0"/>
          <c:showVal val="0"/>
          <c:showCatName val="0"/>
          <c:showSerName val="0"/>
          <c:showPercent val="0"/>
          <c:showBubbleSize val="0"/>
        </c:dLbls>
        <c:marker val="1"/>
        <c:smooth val="0"/>
        <c:axId val="87411712"/>
        <c:axId val="277157376"/>
      </c:lineChart>
      <c:catAx>
        <c:axId val="87411712"/>
        <c:scaling>
          <c:orientation val="minMax"/>
        </c:scaling>
        <c:delete val="0"/>
        <c:axPos val="b"/>
        <c:majorTickMark val="none"/>
        <c:minorTickMark val="none"/>
        <c:tickLblPos val="nextTo"/>
        <c:crossAx val="277157376"/>
        <c:crosses val="autoZero"/>
        <c:auto val="1"/>
        <c:lblAlgn val="ctr"/>
        <c:lblOffset val="100"/>
        <c:noMultiLvlLbl val="0"/>
      </c:catAx>
      <c:valAx>
        <c:axId val="277157376"/>
        <c:scaling>
          <c:orientation val="minMax"/>
        </c:scaling>
        <c:delete val="0"/>
        <c:axPos val="l"/>
        <c:majorGridlines/>
        <c:title>
          <c:tx>
            <c:rich>
              <a:bodyPr/>
              <a:lstStyle/>
              <a:p>
                <a:pPr>
                  <a:defRPr/>
                </a:pPr>
                <a:r>
                  <a:rPr lang="es-MX" sz="900" b="0">
                    <a:latin typeface="Arial" pitchFamily="34" charset="0"/>
                    <a:cs typeface="Arial" pitchFamily="34" charset="0"/>
                  </a:rPr>
                  <a:t>Hora de inicio  de la dieta</a:t>
                </a:r>
              </a:p>
            </c:rich>
          </c:tx>
          <c:overlay val="0"/>
        </c:title>
        <c:numFmt formatCode="General" sourceLinked="1"/>
        <c:majorTickMark val="none"/>
        <c:minorTickMark val="none"/>
        <c:tickLblPos val="nextTo"/>
        <c:crossAx val="87411712"/>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val>
            <c:numRef>
              <c:f>Hoja1!$A$32:$O$32</c:f>
              <c:numCache>
                <c:formatCode>General</c:formatCode>
                <c:ptCount val="15"/>
                <c:pt idx="0">
                  <c:v>24</c:v>
                </c:pt>
                <c:pt idx="1">
                  <c:v>48</c:v>
                </c:pt>
                <c:pt idx="2">
                  <c:v>72</c:v>
                </c:pt>
                <c:pt idx="3">
                  <c:v>96</c:v>
                </c:pt>
                <c:pt idx="4">
                  <c:v>98</c:v>
                </c:pt>
                <c:pt idx="5">
                  <c:v>120</c:v>
                </c:pt>
                <c:pt idx="6">
                  <c:v>168</c:v>
                </c:pt>
              </c:numCache>
            </c:numRef>
          </c:val>
          <c:smooth val="0"/>
          <c:extLst>
            <c:ext xmlns:c16="http://schemas.microsoft.com/office/drawing/2014/chart" uri="{C3380CC4-5D6E-409C-BE32-E72D297353CC}">
              <c16:uniqueId val="{00000000-2367-477B-B1F8-1ACBCAAD8ACD}"/>
            </c:ext>
          </c:extLst>
        </c:ser>
        <c:ser>
          <c:idx val="1"/>
          <c:order val="1"/>
          <c:val>
            <c:numRef>
              <c:f>Hoja1!$A$33:$O$33</c:f>
              <c:numCache>
                <c:formatCode>General</c:formatCode>
                <c:ptCount val="15"/>
                <c:pt idx="0">
                  <c:v>1</c:v>
                </c:pt>
                <c:pt idx="1">
                  <c:v>2</c:v>
                </c:pt>
                <c:pt idx="2">
                  <c:v>3</c:v>
                </c:pt>
                <c:pt idx="3">
                  <c:v>5</c:v>
                </c:pt>
                <c:pt idx="4">
                  <c:v>6</c:v>
                </c:pt>
                <c:pt idx="5">
                  <c:v>7</c:v>
                </c:pt>
                <c:pt idx="6">
                  <c:v>8</c:v>
                </c:pt>
                <c:pt idx="7">
                  <c:v>9</c:v>
                </c:pt>
                <c:pt idx="8">
                  <c:v>11</c:v>
                </c:pt>
                <c:pt idx="9">
                  <c:v>12</c:v>
                </c:pt>
                <c:pt idx="10">
                  <c:v>13</c:v>
                </c:pt>
                <c:pt idx="11">
                  <c:v>14</c:v>
                </c:pt>
                <c:pt idx="12">
                  <c:v>17</c:v>
                </c:pt>
                <c:pt idx="13">
                  <c:v>19</c:v>
                </c:pt>
                <c:pt idx="14">
                  <c:v>21</c:v>
                </c:pt>
              </c:numCache>
            </c:numRef>
          </c:val>
          <c:smooth val="0"/>
          <c:extLst>
            <c:ext xmlns:c16="http://schemas.microsoft.com/office/drawing/2014/chart" uri="{C3380CC4-5D6E-409C-BE32-E72D297353CC}">
              <c16:uniqueId val="{00000001-2367-477B-B1F8-1ACBCAAD8ACD}"/>
            </c:ext>
          </c:extLst>
        </c:ser>
        <c:dLbls>
          <c:showLegendKey val="0"/>
          <c:showVal val="0"/>
          <c:showCatName val="0"/>
          <c:showSerName val="0"/>
          <c:showPercent val="0"/>
          <c:showBubbleSize val="0"/>
        </c:dLbls>
        <c:marker val="1"/>
        <c:smooth val="0"/>
        <c:axId val="436625408"/>
        <c:axId val="436627712"/>
      </c:lineChart>
      <c:catAx>
        <c:axId val="436625408"/>
        <c:scaling>
          <c:orientation val="minMax"/>
        </c:scaling>
        <c:delete val="0"/>
        <c:axPos val="b"/>
        <c:majorTickMark val="none"/>
        <c:minorTickMark val="none"/>
        <c:tickLblPos val="nextTo"/>
        <c:crossAx val="436627712"/>
        <c:crosses val="autoZero"/>
        <c:auto val="1"/>
        <c:lblAlgn val="ctr"/>
        <c:lblOffset val="100"/>
        <c:noMultiLvlLbl val="0"/>
      </c:catAx>
      <c:valAx>
        <c:axId val="436627712"/>
        <c:scaling>
          <c:orientation val="minMax"/>
        </c:scaling>
        <c:delete val="0"/>
        <c:axPos val="l"/>
        <c:majorGridlines/>
        <c:title>
          <c:tx>
            <c:rich>
              <a:bodyPr/>
              <a:lstStyle/>
              <a:p>
                <a:pPr>
                  <a:defRPr/>
                </a:pPr>
                <a:r>
                  <a:rPr lang="es-MX" sz="900" b="0">
                    <a:latin typeface="Arial" pitchFamily="34" charset="0"/>
                    <a:cs typeface="Arial" pitchFamily="34" charset="0"/>
                  </a:rPr>
                  <a:t>Hora</a:t>
                </a:r>
                <a:r>
                  <a:rPr lang="es-MX" sz="900" b="0" baseline="0">
                    <a:latin typeface="Arial" pitchFamily="34" charset="0"/>
                    <a:cs typeface="Arial" pitchFamily="34" charset="0"/>
                  </a:rPr>
                  <a:t>  de inicio de la dieta</a:t>
                </a:r>
                <a:endParaRPr lang="es-MX" sz="900" b="0">
                  <a:latin typeface="Arial" pitchFamily="34" charset="0"/>
                  <a:cs typeface="Arial" pitchFamily="34" charset="0"/>
                </a:endParaRPr>
              </a:p>
            </c:rich>
          </c:tx>
          <c:overlay val="0"/>
        </c:title>
        <c:numFmt formatCode="General" sourceLinked="1"/>
        <c:majorTickMark val="none"/>
        <c:minorTickMark val="none"/>
        <c:tickLblPos val="nextTo"/>
        <c:crossAx val="436625408"/>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0EF9F-9C22-49B3-9F5E-0F461C0B6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4145</Words>
  <Characters>22798</Characters>
  <Application>Microsoft Office Word</Application>
  <DocSecurity>0</DocSecurity>
  <Lines>189</Lines>
  <Paragraphs>53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 Ponce</dc:creator>
  <cp:lastModifiedBy>FRANCISCO</cp:lastModifiedBy>
  <cp:revision>5</cp:revision>
  <cp:lastPrinted>2013-12-17T17:45:00Z</cp:lastPrinted>
  <dcterms:created xsi:type="dcterms:W3CDTF">2015-07-04T22:34:00Z</dcterms:created>
  <dcterms:modified xsi:type="dcterms:W3CDTF">2017-03-21T21:41:00Z</dcterms:modified>
</cp:coreProperties>
</file>