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73CA" w14:textId="75423BD8" w:rsidR="006468CC" w:rsidRPr="00B745B0" w:rsidRDefault="00B745B0" w:rsidP="006468CC">
      <w:pPr>
        <w:spacing w:before="240" w:after="240" w:line="360" w:lineRule="auto"/>
        <w:jc w:val="right"/>
        <w:rPr>
          <w:b/>
          <w:bCs/>
          <w:i/>
          <w:iCs/>
          <w:color w:val="000000" w:themeColor="text1"/>
          <w:szCs w:val="24"/>
        </w:rPr>
      </w:pPr>
      <w:r w:rsidRPr="00B745B0">
        <w:rPr>
          <w:b/>
          <w:bCs/>
          <w:i/>
          <w:iCs/>
          <w:color w:val="000000" w:themeColor="text1"/>
          <w:szCs w:val="24"/>
        </w:rPr>
        <w:t>https://doi.org/10.23913/ride.v14i27.1540</w:t>
      </w:r>
    </w:p>
    <w:p w14:paraId="07A2CF26" w14:textId="5EDFBEB9" w:rsidR="006468CC" w:rsidRDefault="006468CC" w:rsidP="006468CC">
      <w:pPr>
        <w:spacing w:before="240" w:after="240" w:line="360" w:lineRule="auto"/>
        <w:jc w:val="right"/>
        <w:rPr>
          <w:b/>
          <w:bCs/>
        </w:rPr>
      </w:pPr>
      <w:r>
        <w:rPr>
          <w:b/>
          <w:bCs/>
          <w:i/>
          <w:iCs/>
          <w:color w:val="000000" w:themeColor="text1"/>
          <w:szCs w:val="24"/>
        </w:rPr>
        <w:t>Artículos científicos</w:t>
      </w:r>
    </w:p>
    <w:p w14:paraId="0BF19237" w14:textId="77777777" w:rsidR="00311A64" w:rsidRPr="006468CC" w:rsidRDefault="00EC1CAF" w:rsidP="006468CC">
      <w:pPr>
        <w:spacing w:line="276" w:lineRule="auto"/>
        <w:jc w:val="right"/>
        <w:rPr>
          <w:rFonts w:asciiTheme="minorHAnsi" w:hAnsiTheme="minorHAnsi" w:cstheme="minorHAnsi"/>
          <w:b/>
          <w:bCs/>
          <w:sz w:val="32"/>
          <w:szCs w:val="32"/>
        </w:rPr>
      </w:pPr>
      <w:r w:rsidRPr="006468CC">
        <w:rPr>
          <w:rFonts w:asciiTheme="minorHAnsi" w:hAnsiTheme="minorHAnsi" w:cstheme="minorHAnsi"/>
          <w:b/>
          <w:bCs/>
          <w:sz w:val="32"/>
          <w:szCs w:val="32"/>
        </w:rPr>
        <w:t>Sistemas de Gestión en Instituciones de Educación Superior, su Operación y la Correlación con la Calidad en el Servicio</w:t>
      </w:r>
    </w:p>
    <w:p w14:paraId="4D82FE4E" w14:textId="2CEE3761" w:rsidR="00311A64" w:rsidRPr="00EC6DFC" w:rsidRDefault="006468CC" w:rsidP="006468CC">
      <w:pPr>
        <w:spacing w:line="276" w:lineRule="auto"/>
        <w:jc w:val="right"/>
        <w:rPr>
          <w:rFonts w:asciiTheme="minorHAnsi" w:hAnsiTheme="minorHAnsi" w:cstheme="minorHAnsi"/>
          <w:b/>
          <w:bCs/>
          <w:i/>
          <w:iCs/>
          <w:sz w:val="28"/>
          <w:szCs w:val="28"/>
          <w:lang w:val="en-US"/>
        </w:rPr>
      </w:pPr>
      <w:r w:rsidRPr="00B745B0">
        <w:rPr>
          <w:rFonts w:asciiTheme="minorHAnsi" w:hAnsiTheme="minorHAnsi" w:cstheme="minorHAnsi"/>
          <w:b/>
          <w:bCs/>
          <w:i/>
          <w:iCs/>
          <w:sz w:val="28"/>
          <w:szCs w:val="28"/>
          <w:lang w:val="en-US"/>
        </w:rPr>
        <w:br/>
      </w:r>
      <w:r w:rsidRPr="00EC6DFC">
        <w:rPr>
          <w:rFonts w:asciiTheme="minorHAnsi" w:hAnsiTheme="minorHAnsi" w:cstheme="minorHAnsi"/>
          <w:b/>
          <w:bCs/>
          <w:i/>
          <w:iCs/>
          <w:sz w:val="28"/>
          <w:szCs w:val="28"/>
          <w:lang w:val="en-US"/>
        </w:rPr>
        <w:t>Management Systems in Higher Education Institutions, their Operation and Correlation with Service Quality</w:t>
      </w:r>
    </w:p>
    <w:p w14:paraId="47D93C3D" w14:textId="49CF59E2" w:rsidR="006468CC" w:rsidRPr="006468CC" w:rsidRDefault="006468CC" w:rsidP="006468CC">
      <w:pPr>
        <w:spacing w:line="276" w:lineRule="auto"/>
        <w:jc w:val="right"/>
        <w:rPr>
          <w:rFonts w:asciiTheme="minorHAnsi" w:hAnsiTheme="minorHAnsi" w:cstheme="minorHAnsi"/>
          <w:b/>
          <w:bCs/>
          <w:i/>
          <w:iCs/>
          <w:sz w:val="28"/>
          <w:szCs w:val="28"/>
        </w:rPr>
      </w:pPr>
      <w:r w:rsidRPr="00B745B0">
        <w:rPr>
          <w:rFonts w:asciiTheme="minorHAnsi" w:hAnsiTheme="minorHAnsi" w:cstheme="minorHAnsi"/>
          <w:b/>
          <w:bCs/>
          <w:i/>
          <w:iCs/>
          <w:sz w:val="28"/>
          <w:szCs w:val="28"/>
        </w:rPr>
        <w:br/>
      </w:r>
      <w:r w:rsidRPr="006468CC">
        <w:rPr>
          <w:rFonts w:asciiTheme="minorHAnsi" w:hAnsiTheme="minorHAnsi" w:cstheme="minorHAnsi"/>
          <w:b/>
          <w:bCs/>
          <w:i/>
          <w:iCs/>
          <w:sz w:val="28"/>
          <w:szCs w:val="28"/>
        </w:rPr>
        <w:t xml:space="preserve">Sistemas de </w:t>
      </w:r>
      <w:proofErr w:type="spellStart"/>
      <w:r w:rsidRPr="006468CC">
        <w:rPr>
          <w:rFonts w:asciiTheme="minorHAnsi" w:hAnsiTheme="minorHAnsi" w:cstheme="minorHAnsi"/>
          <w:b/>
          <w:bCs/>
          <w:i/>
          <w:iCs/>
          <w:sz w:val="28"/>
          <w:szCs w:val="28"/>
        </w:rPr>
        <w:t>Gestão</w:t>
      </w:r>
      <w:proofErr w:type="spellEnd"/>
      <w:r w:rsidRPr="006468CC">
        <w:rPr>
          <w:rFonts w:asciiTheme="minorHAnsi" w:hAnsiTheme="minorHAnsi" w:cstheme="minorHAnsi"/>
          <w:b/>
          <w:bCs/>
          <w:i/>
          <w:iCs/>
          <w:sz w:val="28"/>
          <w:szCs w:val="28"/>
        </w:rPr>
        <w:t xml:space="preserve"> em </w:t>
      </w:r>
      <w:proofErr w:type="spellStart"/>
      <w:r w:rsidRPr="006468CC">
        <w:rPr>
          <w:rFonts w:asciiTheme="minorHAnsi" w:hAnsiTheme="minorHAnsi" w:cstheme="minorHAnsi"/>
          <w:b/>
          <w:bCs/>
          <w:i/>
          <w:iCs/>
          <w:sz w:val="28"/>
          <w:szCs w:val="28"/>
        </w:rPr>
        <w:t>Instituições</w:t>
      </w:r>
      <w:proofErr w:type="spellEnd"/>
      <w:r w:rsidRPr="006468CC">
        <w:rPr>
          <w:rFonts w:asciiTheme="minorHAnsi" w:hAnsiTheme="minorHAnsi" w:cstheme="minorHAnsi"/>
          <w:b/>
          <w:bCs/>
          <w:i/>
          <w:iCs/>
          <w:sz w:val="28"/>
          <w:szCs w:val="28"/>
        </w:rPr>
        <w:t xml:space="preserve"> de </w:t>
      </w:r>
      <w:proofErr w:type="spellStart"/>
      <w:r w:rsidRPr="006468CC">
        <w:rPr>
          <w:rFonts w:asciiTheme="minorHAnsi" w:hAnsiTheme="minorHAnsi" w:cstheme="minorHAnsi"/>
          <w:b/>
          <w:bCs/>
          <w:i/>
          <w:iCs/>
          <w:sz w:val="28"/>
          <w:szCs w:val="28"/>
        </w:rPr>
        <w:t>Ensino</w:t>
      </w:r>
      <w:proofErr w:type="spellEnd"/>
      <w:r w:rsidRPr="006468CC">
        <w:rPr>
          <w:rFonts w:asciiTheme="minorHAnsi" w:hAnsiTheme="minorHAnsi" w:cstheme="minorHAnsi"/>
          <w:b/>
          <w:bCs/>
          <w:i/>
          <w:iCs/>
          <w:sz w:val="28"/>
          <w:szCs w:val="28"/>
        </w:rPr>
        <w:t xml:space="preserve"> Superior, </w:t>
      </w:r>
      <w:proofErr w:type="spellStart"/>
      <w:r w:rsidRPr="006468CC">
        <w:rPr>
          <w:rFonts w:asciiTheme="minorHAnsi" w:hAnsiTheme="minorHAnsi" w:cstheme="minorHAnsi"/>
          <w:b/>
          <w:bCs/>
          <w:i/>
          <w:iCs/>
          <w:sz w:val="28"/>
          <w:szCs w:val="28"/>
        </w:rPr>
        <w:t>seu</w:t>
      </w:r>
      <w:proofErr w:type="spellEnd"/>
      <w:r w:rsidRPr="006468CC">
        <w:rPr>
          <w:rFonts w:asciiTheme="minorHAnsi" w:hAnsiTheme="minorHAnsi" w:cstheme="minorHAnsi"/>
          <w:b/>
          <w:bCs/>
          <w:i/>
          <w:iCs/>
          <w:sz w:val="28"/>
          <w:szCs w:val="28"/>
        </w:rPr>
        <w:t xml:space="preserve"> </w:t>
      </w:r>
      <w:proofErr w:type="spellStart"/>
      <w:r w:rsidRPr="006468CC">
        <w:rPr>
          <w:rFonts w:asciiTheme="minorHAnsi" w:hAnsiTheme="minorHAnsi" w:cstheme="minorHAnsi"/>
          <w:b/>
          <w:bCs/>
          <w:i/>
          <w:iCs/>
          <w:sz w:val="28"/>
          <w:szCs w:val="28"/>
        </w:rPr>
        <w:t>Funcionamento</w:t>
      </w:r>
      <w:proofErr w:type="spellEnd"/>
      <w:r w:rsidRPr="006468CC">
        <w:rPr>
          <w:rFonts w:asciiTheme="minorHAnsi" w:hAnsiTheme="minorHAnsi" w:cstheme="minorHAnsi"/>
          <w:b/>
          <w:bCs/>
          <w:i/>
          <w:iCs/>
          <w:sz w:val="28"/>
          <w:szCs w:val="28"/>
        </w:rPr>
        <w:t xml:space="preserve"> e </w:t>
      </w:r>
      <w:proofErr w:type="spellStart"/>
      <w:r w:rsidRPr="006468CC">
        <w:rPr>
          <w:rFonts w:asciiTheme="minorHAnsi" w:hAnsiTheme="minorHAnsi" w:cstheme="minorHAnsi"/>
          <w:b/>
          <w:bCs/>
          <w:i/>
          <w:iCs/>
          <w:sz w:val="28"/>
          <w:szCs w:val="28"/>
        </w:rPr>
        <w:t>Correlação</w:t>
      </w:r>
      <w:proofErr w:type="spellEnd"/>
      <w:r w:rsidRPr="006468CC">
        <w:rPr>
          <w:rFonts w:asciiTheme="minorHAnsi" w:hAnsiTheme="minorHAnsi" w:cstheme="minorHAnsi"/>
          <w:b/>
          <w:bCs/>
          <w:i/>
          <w:iCs/>
          <w:sz w:val="28"/>
          <w:szCs w:val="28"/>
        </w:rPr>
        <w:t xml:space="preserve"> </w:t>
      </w:r>
      <w:proofErr w:type="spellStart"/>
      <w:r w:rsidRPr="006468CC">
        <w:rPr>
          <w:rFonts w:asciiTheme="minorHAnsi" w:hAnsiTheme="minorHAnsi" w:cstheme="minorHAnsi"/>
          <w:b/>
          <w:bCs/>
          <w:i/>
          <w:iCs/>
          <w:sz w:val="28"/>
          <w:szCs w:val="28"/>
        </w:rPr>
        <w:t>com</w:t>
      </w:r>
      <w:proofErr w:type="spellEnd"/>
      <w:r w:rsidRPr="006468CC">
        <w:rPr>
          <w:rFonts w:asciiTheme="minorHAnsi" w:hAnsiTheme="minorHAnsi" w:cstheme="minorHAnsi"/>
          <w:b/>
          <w:bCs/>
          <w:i/>
          <w:iCs/>
          <w:sz w:val="28"/>
          <w:szCs w:val="28"/>
        </w:rPr>
        <w:t xml:space="preserve"> a </w:t>
      </w:r>
      <w:proofErr w:type="spellStart"/>
      <w:r w:rsidRPr="006468CC">
        <w:rPr>
          <w:rFonts w:asciiTheme="minorHAnsi" w:hAnsiTheme="minorHAnsi" w:cstheme="minorHAnsi"/>
          <w:b/>
          <w:bCs/>
          <w:i/>
          <w:iCs/>
          <w:sz w:val="28"/>
          <w:szCs w:val="28"/>
        </w:rPr>
        <w:t>Qualidade</w:t>
      </w:r>
      <w:proofErr w:type="spellEnd"/>
      <w:r w:rsidRPr="006468CC">
        <w:rPr>
          <w:rFonts w:asciiTheme="minorHAnsi" w:hAnsiTheme="minorHAnsi" w:cstheme="minorHAnsi"/>
          <w:b/>
          <w:bCs/>
          <w:i/>
          <w:iCs/>
          <w:sz w:val="28"/>
          <w:szCs w:val="28"/>
        </w:rPr>
        <w:t xml:space="preserve"> do </w:t>
      </w:r>
      <w:proofErr w:type="spellStart"/>
      <w:r w:rsidRPr="006468CC">
        <w:rPr>
          <w:rFonts w:asciiTheme="minorHAnsi" w:hAnsiTheme="minorHAnsi" w:cstheme="minorHAnsi"/>
          <w:b/>
          <w:bCs/>
          <w:i/>
          <w:iCs/>
          <w:sz w:val="28"/>
          <w:szCs w:val="28"/>
        </w:rPr>
        <w:t>Serviço</w:t>
      </w:r>
      <w:proofErr w:type="spellEnd"/>
    </w:p>
    <w:p w14:paraId="3562C443" w14:textId="77777777" w:rsidR="00311A64" w:rsidRPr="006468CC" w:rsidRDefault="00311A64">
      <w:pPr>
        <w:spacing w:line="360" w:lineRule="auto"/>
      </w:pPr>
    </w:p>
    <w:p w14:paraId="29101496" w14:textId="77777777" w:rsidR="00311A64" w:rsidRPr="006468CC" w:rsidRDefault="00EC1CAF">
      <w:pPr>
        <w:spacing w:line="240" w:lineRule="auto"/>
        <w:jc w:val="right"/>
        <w:rPr>
          <w:rFonts w:asciiTheme="minorHAnsi" w:hAnsiTheme="minorHAnsi" w:cstheme="minorHAnsi"/>
          <w:b/>
          <w:bCs/>
          <w:szCs w:val="24"/>
          <w:vertAlign w:val="superscript"/>
        </w:rPr>
      </w:pPr>
      <w:r w:rsidRPr="006468CC">
        <w:rPr>
          <w:rFonts w:asciiTheme="minorHAnsi" w:hAnsiTheme="minorHAnsi" w:cstheme="minorHAnsi"/>
          <w:b/>
          <w:bCs/>
          <w:szCs w:val="24"/>
        </w:rPr>
        <w:t xml:space="preserve">Jesús Guillermo Sotelo </w:t>
      </w:r>
      <w:proofErr w:type="spellStart"/>
      <w:r w:rsidRPr="006468CC">
        <w:rPr>
          <w:rFonts w:asciiTheme="minorHAnsi" w:hAnsiTheme="minorHAnsi" w:cstheme="minorHAnsi"/>
          <w:b/>
          <w:bCs/>
          <w:szCs w:val="24"/>
        </w:rPr>
        <w:t>Asef</w:t>
      </w:r>
      <w:proofErr w:type="spellEnd"/>
    </w:p>
    <w:p w14:paraId="68F27497" w14:textId="77777777" w:rsidR="00311A64" w:rsidRDefault="00EC1CAF">
      <w:pPr>
        <w:spacing w:line="240" w:lineRule="auto"/>
        <w:jc w:val="right"/>
        <w:rPr>
          <w:szCs w:val="24"/>
          <w:vertAlign w:val="superscript"/>
        </w:rPr>
      </w:pPr>
      <w:r>
        <w:rPr>
          <w:szCs w:val="24"/>
        </w:rPr>
        <w:t xml:space="preserve">Universidad Juárez del Estado de Durango, México </w:t>
      </w:r>
    </w:p>
    <w:p w14:paraId="386FA43D" w14:textId="3994DDA4" w:rsidR="00311A64" w:rsidRPr="006468CC" w:rsidRDefault="00EC1CAF">
      <w:pPr>
        <w:spacing w:line="240" w:lineRule="auto"/>
        <w:jc w:val="right"/>
        <w:rPr>
          <w:rFonts w:asciiTheme="minorHAnsi" w:hAnsiTheme="minorHAnsi" w:cstheme="minorHAnsi"/>
          <w:color w:val="FF0000"/>
          <w:szCs w:val="24"/>
        </w:rPr>
      </w:pPr>
      <w:r w:rsidRPr="006468CC">
        <w:rPr>
          <w:rFonts w:asciiTheme="minorHAnsi" w:hAnsiTheme="minorHAnsi" w:cstheme="minorHAnsi"/>
          <w:color w:val="FF0000"/>
          <w:szCs w:val="24"/>
        </w:rPr>
        <w:t xml:space="preserve">chuy_sotelo@hotmail.com </w:t>
      </w:r>
    </w:p>
    <w:p w14:paraId="2DFC9AC4" w14:textId="77777777" w:rsidR="00311A64" w:rsidRPr="006468CC" w:rsidRDefault="00EC1CAF">
      <w:pPr>
        <w:spacing w:line="240" w:lineRule="auto"/>
        <w:jc w:val="right"/>
        <w:rPr>
          <w:szCs w:val="24"/>
        </w:rPr>
      </w:pPr>
      <w:r w:rsidRPr="006468CC">
        <w:rPr>
          <w:szCs w:val="24"/>
        </w:rPr>
        <w:t>https://orcid.org/0000-0002-0560-866X</w:t>
      </w:r>
      <w:bookmarkStart w:id="0" w:name="_Hlk106331079"/>
      <w:bookmarkEnd w:id="0"/>
    </w:p>
    <w:p w14:paraId="4ECA2C8A" w14:textId="77777777" w:rsidR="00311A64" w:rsidRDefault="00311A64">
      <w:pPr>
        <w:spacing w:line="240" w:lineRule="auto"/>
        <w:jc w:val="right"/>
      </w:pPr>
    </w:p>
    <w:p w14:paraId="3D1B9415" w14:textId="77777777" w:rsidR="00311A64" w:rsidRPr="006468CC" w:rsidRDefault="00EC1CAF">
      <w:pPr>
        <w:spacing w:line="240" w:lineRule="auto"/>
        <w:jc w:val="right"/>
        <w:rPr>
          <w:rFonts w:asciiTheme="minorHAnsi" w:hAnsiTheme="minorHAnsi" w:cstheme="minorHAnsi"/>
          <w:b/>
          <w:bCs/>
          <w:szCs w:val="24"/>
        </w:rPr>
      </w:pPr>
      <w:r w:rsidRPr="006468CC">
        <w:rPr>
          <w:rFonts w:asciiTheme="minorHAnsi" w:hAnsiTheme="minorHAnsi" w:cstheme="minorHAnsi"/>
          <w:b/>
          <w:bCs/>
          <w:szCs w:val="24"/>
        </w:rPr>
        <w:t>Ernesto Geovani Figueroa González</w:t>
      </w:r>
    </w:p>
    <w:p w14:paraId="660CBD52" w14:textId="77777777" w:rsidR="00311A64" w:rsidRDefault="00EC1CAF">
      <w:pPr>
        <w:spacing w:line="240" w:lineRule="auto"/>
        <w:jc w:val="right"/>
      </w:pPr>
      <w:r>
        <w:t xml:space="preserve">Universidad Juárez del Estado de Durango, México </w:t>
      </w:r>
    </w:p>
    <w:p w14:paraId="11C7EEE0" w14:textId="20B3E72F" w:rsidR="00311A64" w:rsidRPr="006468CC" w:rsidRDefault="00EC1CAF">
      <w:pPr>
        <w:spacing w:line="240" w:lineRule="auto"/>
        <w:jc w:val="right"/>
        <w:rPr>
          <w:rFonts w:asciiTheme="minorHAnsi" w:hAnsiTheme="minorHAnsi" w:cstheme="minorHAnsi"/>
          <w:color w:val="FF0000"/>
          <w:szCs w:val="24"/>
        </w:rPr>
      </w:pPr>
      <w:r w:rsidRPr="006468CC">
        <w:rPr>
          <w:rFonts w:asciiTheme="minorHAnsi" w:hAnsiTheme="minorHAnsi" w:cstheme="minorHAnsi"/>
          <w:color w:val="FF0000"/>
          <w:szCs w:val="24"/>
        </w:rPr>
        <w:t>geovanifigueroa@yahoo.es</w:t>
      </w:r>
      <w:bookmarkStart w:id="1" w:name="_Hlk106331346"/>
      <w:bookmarkEnd w:id="1"/>
    </w:p>
    <w:p w14:paraId="3E23B30F" w14:textId="33F56A37" w:rsidR="00311A64" w:rsidRPr="006468CC" w:rsidRDefault="00EC1CAF">
      <w:pPr>
        <w:spacing w:line="240" w:lineRule="auto"/>
        <w:jc w:val="right"/>
        <w:rPr>
          <w:szCs w:val="24"/>
        </w:rPr>
      </w:pPr>
      <w:r w:rsidRPr="006468CC">
        <w:rPr>
          <w:szCs w:val="24"/>
        </w:rPr>
        <w:t>https://orcid.org/0000-0002-7900-9141</w:t>
      </w:r>
      <w:bookmarkStart w:id="2" w:name="_Hlk106331331"/>
      <w:bookmarkEnd w:id="2"/>
    </w:p>
    <w:p w14:paraId="7A991C50" w14:textId="77777777" w:rsidR="00311A64" w:rsidRDefault="00311A64">
      <w:pPr>
        <w:spacing w:line="240" w:lineRule="auto"/>
        <w:jc w:val="right"/>
        <w:rPr>
          <w:color w:val="0563C1" w:themeColor="hyperlink"/>
          <w:u w:val="single"/>
        </w:rPr>
      </w:pPr>
    </w:p>
    <w:p w14:paraId="5EE02F68" w14:textId="77777777" w:rsidR="00311A64" w:rsidRPr="006468CC" w:rsidRDefault="00EC1CAF">
      <w:pPr>
        <w:spacing w:line="240" w:lineRule="auto"/>
        <w:jc w:val="right"/>
        <w:rPr>
          <w:rFonts w:asciiTheme="minorHAnsi" w:hAnsiTheme="minorHAnsi" w:cstheme="minorHAnsi"/>
          <w:b/>
          <w:bCs/>
          <w:szCs w:val="24"/>
        </w:rPr>
      </w:pPr>
      <w:r w:rsidRPr="006468CC">
        <w:rPr>
          <w:rFonts w:asciiTheme="minorHAnsi" w:hAnsiTheme="minorHAnsi" w:cstheme="minorHAnsi"/>
          <w:b/>
          <w:bCs/>
          <w:szCs w:val="24"/>
        </w:rPr>
        <w:t>Ernesto Carreón Gallegos</w:t>
      </w:r>
    </w:p>
    <w:p w14:paraId="59879CD8" w14:textId="77777777" w:rsidR="00311A64" w:rsidRDefault="00EC1CAF">
      <w:pPr>
        <w:spacing w:line="240" w:lineRule="auto"/>
        <w:jc w:val="right"/>
      </w:pPr>
      <w:r>
        <w:t xml:space="preserve">Universidad Juárez del Estado de Durango, México </w:t>
      </w:r>
    </w:p>
    <w:p w14:paraId="4298F22B" w14:textId="2AD73749" w:rsidR="00311A64" w:rsidRPr="006468CC" w:rsidRDefault="00EC1CAF">
      <w:pPr>
        <w:spacing w:line="240" w:lineRule="auto"/>
        <w:jc w:val="right"/>
        <w:rPr>
          <w:rFonts w:asciiTheme="minorHAnsi" w:hAnsiTheme="minorHAnsi" w:cstheme="minorHAnsi"/>
          <w:color w:val="FF0000"/>
          <w:szCs w:val="24"/>
        </w:rPr>
      </w:pPr>
      <w:r w:rsidRPr="006468CC">
        <w:rPr>
          <w:rFonts w:asciiTheme="minorHAnsi" w:hAnsiTheme="minorHAnsi" w:cstheme="minorHAnsi"/>
          <w:color w:val="FF0000"/>
          <w:szCs w:val="24"/>
        </w:rPr>
        <w:t xml:space="preserve">ernestocarreon86@hotmail.com </w:t>
      </w:r>
      <w:bookmarkStart w:id="3" w:name="_Hlk106331444"/>
      <w:bookmarkEnd w:id="3"/>
    </w:p>
    <w:p w14:paraId="008F4473" w14:textId="08C09E13" w:rsidR="00311A64" w:rsidRPr="006468CC" w:rsidRDefault="00EC1CAF">
      <w:pPr>
        <w:spacing w:line="240" w:lineRule="auto"/>
        <w:jc w:val="right"/>
        <w:rPr>
          <w:szCs w:val="24"/>
        </w:rPr>
      </w:pPr>
      <w:r w:rsidRPr="006468CC">
        <w:rPr>
          <w:szCs w:val="24"/>
        </w:rPr>
        <w:t>https://orcid.org/0000-0002-2264-9770</w:t>
      </w:r>
    </w:p>
    <w:p w14:paraId="1341A7AD" w14:textId="77777777" w:rsidR="00311A64" w:rsidRDefault="00311A64">
      <w:pPr>
        <w:spacing w:line="360" w:lineRule="auto"/>
      </w:pPr>
    </w:p>
    <w:p w14:paraId="58CA5EA8" w14:textId="77777777" w:rsidR="00311A64" w:rsidRPr="006468CC" w:rsidRDefault="00EC1CAF">
      <w:pPr>
        <w:spacing w:line="360" w:lineRule="auto"/>
        <w:rPr>
          <w:rFonts w:asciiTheme="minorHAnsi" w:hAnsiTheme="minorHAnsi" w:cstheme="minorHAnsi"/>
          <w:b/>
          <w:bCs/>
          <w:i/>
          <w:iCs/>
          <w:sz w:val="28"/>
          <w:szCs w:val="24"/>
        </w:rPr>
      </w:pPr>
      <w:r w:rsidRPr="006468CC">
        <w:rPr>
          <w:rFonts w:asciiTheme="minorHAnsi" w:hAnsiTheme="minorHAnsi" w:cstheme="minorHAnsi"/>
          <w:b/>
          <w:bCs/>
          <w:sz w:val="28"/>
          <w:szCs w:val="24"/>
        </w:rPr>
        <w:t>Resumen</w:t>
      </w:r>
    </w:p>
    <w:p w14:paraId="5CE2EBF1" w14:textId="4DF14F3C" w:rsidR="00311A64" w:rsidRPr="006468CC" w:rsidRDefault="00EC1CAF">
      <w:pPr>
        <w:spacing w:line="360" w:lineRule="auto"/>
      </w:pPr>
      <w:bookmarkStart w:id="4" w:name="_Hlk120013431"/>
      <w:bookmarkEnd w:id="4"/>
      <w:r>
        <w:t>El objetivo de la presente fue determinar la correlación entre la Operación de un Sistema de Gestión de la Calidad (OSGC) y la Calidad en el servicio en un Sistema de Gestión (CSG). Para la metodología se aplicaron cuestionarios a los trabajadores de una Institución de Educación Superior (IES) en el Estado de Durango, México. Se empleó la técnica de análisis estadístico de regresión lineal simple. En los resultados se confirmó que, existe una correlación lineal positiva entre la variable de OSGC y la variable CSG. Se concluye que el modelo de regresión se puede ajustar para validar estudios que aborden temáticas semejantes a la de la presente investigación y ayude a medir las variables para su mejora continua.</w:t>
      </w:r>
    </w:p>
    <w:p w14:paraId="08826ED2" w14:textId="77777777" w:rsidR="00311A64" w:rsidRDefault="00EC1CAF">
      <w:pPr>
        <w:spacing w:line="360" w:lineRule="auto"/>
      </w:pPr>
      <w:r w:rsidRPr="006468CC">
        <w:rPr>
          <w:rFonts w:asciiTheme="minorHAnsi" w:hAnsiTheme="minorHAnsi" w:cstheme="minorHAnsi"/>
          <w:b/>
          <w:bCs/>
          <w:sz w:val="28"/>
          <w:szCs w:val="24"/>
        </w:rPr>
        <w:t>Palabras clave:</w:t>
      </w:r>
      <w:r>
        <w:t xml:space="preserve"> Análisis estadístico, calidad, educación superior, México.</w:t>
      </w:r>
      <w:bookmarkStart w:id="5" w:name="_Hlk120013440"/>
      <w:bookmarkEnd w:id="5"/>
    </w:p>
    <w:p w14:paraId="14390DC0" w14:textId="77777777" w:rsidR="00311A64" w:rsidRPr="00EC6DFC" w:rsidRDefault="00EC1CAF">
      <w:pPr>
        <w:spacing w:line="360" w:lineRule="auto"/>
        <w:rPr>
          <w:rFonts w:asciiTheme="minorHAnsi" w:hAnsiTheme="minorHAnsi" w:cstheme="minorHAnsi"/>
          <w:b/>
          <w:bCs/>
          <w:sz w:val="28"/>
          <w:szCs w:val="24"/>
          <w:lang w:val="en-US"/>
        </w:rPr>
      </w:pPr>
      <w:bookmarkStart w:id="6" w:name="_Toc26906978"/>
      <w:r w:rsidRPr="00EC6DFC">
        <w:rPr>
          <w:rFonts w:asciiTheme="minorHAnsi" w:hAnsiTheme="minorHAnsi" w:cstheme="minorHAnsi"/>
          <w:b/>
          <w:bCs/>
          <w:sz w:val="28"/>
          <w:szCs w:val="24"/>
          <w:lang w:val="en-US"/>
        </w:rPr>
        <w:lastRenderedPageBreak/>
        <w:t>Abstract</w:t>
      </w:r>
      <w:bookmarkEnd w:id="6"/>
    </w:p>
    <w:p w14:paraId="6BD12DA7" w14:textId="77777777" w:rsidR="00311A64" w:rsidRDefault="00EC1CAF">
      <w:pPr>
        <w:spacing w:line="360" w:lineRule="auto"/>
        <w:rPr>
          <w:lang w:val="en-GB"/>
        </w:rPr>
      </w:pPr>
      <w:bookmarkStart w:id="7" w:name="_Hlk120013446"/>
      <w:bookmarkEnd w:id="7"/>
      <w:r>
        <w:rPr>
          <w:lang w:val="en-GB"/>
        </w:rPr>
        <w:t>The objective of this was to determine the correlation between the Operation of a Quality Management System (OSGC) and the Quality in the Service in a Management System (CSG). For the methodology, questionnaires were applied to workers of a Higher Education Institution (HEI) in the State of Durango, Mexico. The technique of statistical analysis of simple linear regression was used. The results confirmed that there is a positive linear correlation between the OSGC variable and the CSG variable. It is concluded that the regression model can be adjusted to validate studies that address topics similar to that of the present research and help measure the variables for continuous improvement.</w:t>
      </w:r>
    </w:p>
    <w:p w14:paraId="52D154A1" w14:textId="509FBC69" w:rsidR="00311A64" w:rsidRDefault="00EC1CAF">
      <w:pPr>
        <w:spacing w:line="360" w:lineRule="auto"/>
        <w:rPr>
          <w:lang w:val="en-GB"/>
        </w:rPr>
      </w:pPr>
      <w:r w:rsidRPr="006468CC">
        <w:rPr>
          <w:rFonts w:asciiTheme="minorHAnsi" w:hAnsiTheme="minorHAnsi" w:cstheme="minorHAnsi"/>
          <w:b/>
          <w:bCs/>
          <w:sz w:val="28"/>
          <w:szCs w:val="24"/>
          <w:lang w:val="en-US"/>
        </w:rPr>
        <w:t>Keywords:</w:t>
      </w:r>
      <w:r>
        <w:rPr>
          <w:lang w:val="en-GB"/>
        </w:rPr>
        <w:t xml:space="preserve"> Statistical analysis, quality, higher education, Mexico</w:t>
      </w:r>
      <w:r w:rsidR="006468CC">
        <w:rPr>
          <w:lang w:val="en-GB"/>
        </w:rPr>
        <w:t>.</w:t>
      </w:r>
    </w:p>
    <w:p w14:paraId="32B848E9" w14:textId="77777777" w:rsidR="006468CC" w:rsidRDefault="006468CC">
      <w:pPr>
        <w:spacing w:line="360" w:lineRule="auto"/>
        <w:rPr>
          <w:lang w:val="en-GB"/>
        </w:rPr>
      </w:pPr>
    </w:p>
    <w:p w14:paraId="26201420" w14:textId="55BECEF4" w:rsidR="006468CC" w:rsidRPr="00EC6DFC" w:rsidRDefault="006468CC">
      <w:pPr>
        <w:spacing w:line="360" w:lineRule="auto"/>
        <w:rPr>
          <w:rFonts w:asciiTheme="minorHAnsi" w:hAnsiTheme="minorHAnsi" w:cstheme="minorHAnsi"/>
          <w:b/>
          <w:bCs/>
          <w:sz w:val="28"/>
          <w:szCs w:val="24"/>
        </w:rPr>
      </w:pPr>
      <w:r w:rsidRPr="00EC6DFC">
        <w:rPr>
          <w:rFonts w:asciiTheme="minorHAnsi" w:hAnsiTheme="minorHAnsi" w:cstheme="minorHAnsi"/>
          <w:b/>
          <w:bCs/>
          <w:sz w:val="28"/>
          <w:szCs w:val="24"/>
        </w:rPr>
        <w:t>Resumo</w:t>
      </w:r>
    </w:p>
    <w:p w14:paraId="50BAF6CD" w14:textId="77777777" w:rsidR="006468CC" w:rsidRPr="006468CC" w:rsidRDefault="006468CC" w:rsidP="006468CC">
      <w:pPr>
        <w:spacing w:line="360" w:lineRule="auto"/>
      </w:pPr>
      <w:r w:rsidRPr="006468CC">
        <w:t xml:space="preserve">O objetivo </w:t>
      </w:r>
      <w:proofErr w:type="spellStart"/>
      <w:r w:rsidRPr="006468CC">
        <w:t>deste</w:t>
      </w:r>
      <w:proofErr w:type="spellEnd"/>
      <w:r w:rsidRPr="006468CC">
        <w:t xml:space="preserve"> </w:t>
      </w:r>
      <w:proofErr w:type="spellStart"/>
      <w:r w:rsidRPr="006468CC">
        <w:t>foi</w:t>
      </w:r>
      <w:proofErr w:type="spellEnd"/>
      <w:r w:rsidRPr="006468CC">
        <w:t xml:space="preserve"> determinar a </w:t>
      </w:r>
      <w:proofErr w:type="spellStart"/>
      <w:r w:rsidRPr="006468CC">
        <w:t>correlação</w:t>
      </w:r>
      <w:proofErr w:type="spellEnd"/>
      <w:r w:rsidRPr="006468CC">
        <w:t xml:space="preserve"> entre a </w:t>
      </w:r>
      <w:proofErr w:type="spellStart"/>
      <w:r w:rsidRPr="006468CC">
        <w:t>Operação</w:t>
      </w:r>
      <w:proofErr w:type="spellEnd"/>
      <w:r w:rsidRPr="006468CC">
        <w:t xml:space="preserve"> de </w:t>
      </w:r>
      <w:proofErr w:type="spellStart"/>
      <w:r w:rsidRPr="006468CC">
        <w:t>um</w:t>
      </w:r>
      <w:proofErr w:type="spellEnd"/>
      <w:r w:rsidRPr="006468CC">
        <w:t xml:space="preserve"> Sistema de </w:t>
      </w:r>
      <w:proofErr w:type="spellStart"/>
      <w:r w:rsidRPr="006468CC">
        <w:t>Gestão</w:t>
      </w:r>
      <w:proofErr w:type="spellEnd"/>
      <w:r w:rsidRPr="006468CC">
        <w:t xml:space="preserve"> da </w:t>
      </w:r>
      <w:proofErr w:type="spellStart"/>
      <w:r w:rsidRPr="006468CC">
        <w:t>Qualidade</w:t>
      </w:r>
      <w:proofErr w:type="spellEnd"/>
      <w:r w:rsidRPr="006468CC">
        <w:t xml:space="preserve"> (OSGC) e a </w:t>
      </w:r>
      <w:proofErr w:type="spellStart"/>
      <w:r w:rsidRPr="006468CC">
        <w:t>Qualidade</w:t>
      </w:r>
      <w:proofErr w:type="spellEnd"/>
      <w:r w:rsidRPr="006468CC">
        <w:t xml:space="preserve"> do </w:t>
      </w:r>
      <w:proofErr w:type="spellStart"/>
      <w:r w:rsidRPr="006468CC">
        <w:t>serviço</w:t>
      </w:r>
      <w:proofErr w:type="spellEnd"/>
      <w:r w:rsidRPr="006468CC">
        <w:t xml:space="preserve"> em </w:t>
      </w:r>
      <w:proofErr w:type="spellStart"/>
      <w:r w:rsidRPr="006468CC">
        <w:t>um</w:t>
      </w:r>
      <w:proofErr w:type="spellEnd"/>
      <w:r w:rsidRPr="006468CC">
        <w:t xml:space="preserve"> Sistema de </w:t>
      </w:r>
      <w:proofErr w:type="spellStart"/>
      <w:r w:rsidRPr="006468CC">
        <w:t>Gestão</w:t>
      </w:r>
      <w:proofErr w:type="spellEnd"/>
      <w:r w:rsidRPr="006468CC">
        <w:t xml:space="preserve"> (CSG). Para a </w:t>
      </w:r>
      <w:proofErr w:type="spellStart"/>
      <w:r w:rsidRPr="006468CC">
        <w:t>metodologia</w:t>
      </w:r>
      <w:proofErr w:type="spellEnd"/>
      <w:r w:rsidRPr="006468CC">
        <w:t xml:space="preserve">, </w:t>
      </w:r>
      <w:proofErr w:type="spellStart"/>
      <w:r w:rsidRPr="006468CC">
        <w:t>foram</w:t>
      </w:r>
      <w:proofErr w:type="spellEnd"/>
      <w:r w:rsidRPr="006468CC">
        <w:t xml:space="preserve"> aplicados </w:t>
      </w:r>
      <w:proofErr w:type="spellStart"/>
      <w:r w:rsidRPr="006468CC">
        <w:t>questionários</w:t>
      </w:r>
      <w:proofErr w:type="spellEnd"/>
      <w:r w:rsidRPr="006468CC">
        <w:t xml:space="preserve"> </w:t>
      </w:r>
      <w:proofErr w:type="spellStart"/>
      <w:r w:rsidRPr="006468CC">
        <w:t>aos</w:t>
      </w:r>
      <w:proofErr w:type="spellEnd"/>
      <w:r w:rsidRPr="006468CC">
        <w:t xml:space="preserve"> </w:t>
      </w:r>
      <w:proofErr w:type="spellStart"/>
      <w:r w:rsidRPr="006468CC">
        <w:t>trabalhadores</w:t>
      </w:r>
      <w:proofErr w:type="spellEnd"/>
      <w:r w:rsidRPr="006468CC">
        <w:t xml:space="preserve"> de </w:t>
      </w:r>
      <w:proofErr w:type="spellStart"/>
      <w:r w:rsidRPr="006468CC">
        <w:t>uma</w:t>
      </w:r>
      <w:proofErr w:type="spellEnd"/>
      <w:r w:rsidRPr="006468CC">
        <w:t xml:space="preserve"> </w:t>
      </w:r>
      <w:proofErr w:type="spellStart"/>
      <w:r w:rsidRPr="006468CC">
        <w:t>Instituição</w:t>
      </w:r>
      <w:proofErr w:type="spellEnd"/>
      <w:r w:rsidRPr="006468CC">
        <w:t xml:space="preserve"> de </w:t>
      </w:r>
      <w:proofErr w:type="spellStart"/>
      <w:r w:rsidRPr="006468CC">
        <w:t>Ensino</w:t>
      </w:r>
      <w:proofErr w:type="spellEnd"/>
      <w:r w:rsidRPr="006468CC">
        <w:t xml:space="preserve"> Superior (IES) no Estado de Durango, México. </w:t>
      </w:r>
      <w:proofErr w:type="spellStart"/>
      <w:r w:rsidRPr="006468CC">
        <w:t>Foi</w:t>
      </w:r>
      <w:proofErr w:type="spellEnd"/>
      <w:r w:rsidRPr="006468CC">
        <w:t xml:space="preserve"> utilizada a técnica de </w:t>
      </w:r>
      <w:proofErr w:type="spellStart"/>
      <w:r w:rsidRPr="006468CC">
        <w:t>análise</w:t>
      </w:r>
      <w:proofErr w:type="spellEnd"/>
      <w:r w:rsidRPr="006468CC">
        <w:t xml:space="preserve"> </w:t>
      </w:r>
      <w:proofErr w:type="spellStart"/>
      <w:r w:rsidRPr="006468CC">
        <w:t>estatística</w:t>
      </w:r>
      <w:proofErr w:type="spellEnd"/>
      <w:r w:rsidRPr="006468CC">
        <w:t xml:space="preserve"> de </w:t>
      </w:r>
      <w:proofErr w:type="spellStart"/>
      <w:r w:rsidRPr="006468CC">
        <w:t>regressão</w:t>
      </w:r>
      <w:proofErr w:type="spellEnd"/>
      <w:r w:rsidRPr="006468CC">
        <w:t xml:space="preserve"> linear simples. Os resultados </w:t>
      </w:r>
      <w:proofErr w:type="spellStart"/>
      <w:r w:rsidRPr="006468CC">
        <w:t>confirmaram</w:t>
      </w:r>
      <w:proofErr w:type="spellEnd"/>
      <w:r w:rsidRPr="006468CC">
        <w:t xml:space="preserve"> que existe </w:t>
      </w:r>
      <w:proofErr w:type="spellStart"/>
      <w:r w:rsidRPr="006468CC">
        <w:t>uma</w:t>
      </w:r>
      <w:proofErr w:type="spellEnd"/>
      <w:r w:rsidRPr="006468CC">
        <w:t xml:space="preserve"> </w:t>
      </w:r>
      <w:proofErr w:type="spellStart"/>
      <w:r w:rsidRPr="006468CC">
        <w:t>correlação</w:t>
      </w:r>
      <w:proofErr w:type="spellEnd"/>
      <w:r w:rsidRPr="006468CC">
        <w:t xml:space="preserve"> linear positiva entre a </w:t>
      </w:r>
      <w:proofErr w:type="spellStart"/>
      <w:r w:rsidRPr="006468CC">
        <w:t>variável</w:t>
      </w:r>
      <w:proofErr w:type="spellEnd"/>
      <w:r w:rsidRPr="006468CC">
        <w:t xml:space="preserve"> OSGC e a </w:t>
      </w:r>
      <w:proofErr w:type="spellStart"/>
      <w:r w:rsidRPr="006468CC">
        <w:t>variável</w:t>
      </w:r>
      <w:proofErr w:type="spellEnd"/>
      <w:r w:rsidRPr="006468CC">
        <w:t xml:space="preserve"> CSG. </w:t>
      </w:r>
      <w:proofErr w:type="spellStart"/>
      <w:r w:rsidRPr="006468CC">
        <w:t>Conclui</w:t>
      </w:r>
      <w:proofErr w:type="spellEnd"/>
      <w:r w:rsidRPr="006468CC">
        <w:t>-</w:t>
      </w:r>
      <w:proofErr w:type="spellStart"/>
      <w:r w:rsidRPr="006468CC">
        <w:t>se</w:t>
      </w:r>
      <w:proofErr w:type="spellEnd"/>
      <w:r w:rsidRPr="006468CC">
        <w:t xml:space="preserve"> que o modelo de </w:t>
      </w:r>
      <w:proofErr w:type="spellStart"/>
      <w:r w:rsidRPr="006468CC">
        <w:t>regressão</w:t>
      </w:r>
      <w:proofErr w:type="spellEnd"/>
      <w:r w:rsidRPr="006468CC">
        <w:t xml:space="preserve"> pode ser ajustado para validar </w:t>
      </w:r>
      <w:proofErr w:type="spellStart"/>
      <w:r w:rsidRPr="006468CC">
        <w:t>estudos</w:t>
      </w:r>
      <w:proofErr w:type="spellEnd"/>
      <w:r w:rsidRPr="006468CC">
        <w:t xml:space="preserve"> que </w:t>
      </w:r>
      <w:proofErr w:type="spellStart"/>
      <w:r w:rsidRPr="006468CC">
        <w:t>abordem</w:t>
      </w:r>
      <w:proofErr w:type="spellEnd"/>
      <w:r w:rsidRPr="006468CC">
        <w:t xml:space="preserve"> temas </w:t>
      </w:r>
      <w:proofErr w:type="spellStart"/>
      <w:r w:rsidRPr="006468CC">
        <w:t>semelhantes</w:t>
      </w:r>
      <w:proofErr w:type="spellEnd"/>
      <w:r w:rsidRPr="006468CC">
        <w:t xml:space="preserve"> </w:t>
      </w:r>
      <w:proofErr w:type="spellStart"/>
      <w:r w:rsidRPr="006468CC">
        <w:t>ao</w:t>
      </w:r>
      <w:proofErr w:type="spellEnd"/>
      <w:r w:rsidRPr="006468CC">
        <w:t xml:space="preserve"> da presente </w:t>
      </w:r>
      <w:proofErr w:type="spellStart"/>
      <w:r w:rsidRPr="006468CC">
        <w:t>investigação</w:t>
      </w:r>
      <w:proofErr w:type="spellEnd"/>
      <w:r w:rsidRPr="006468CC">
        <w:t xml:space="preserve"> e </w:t>
      </w:r>
      <w:proofErr w:type="spellStart"/>
      <w:r w:rsidRPr="006468CC">
        <w:t>ajude</w:t>
      </w:r>
      <w:proofErr w:type="spellEnd"/>
      <w:r w:rsidRPr="006468CC">
        <w:t xml:space="preserve"> a mensurar as </w:t>
      </w:r>
      <w:proofErr w:type="spellStart"/>
      <w:r w:rsidRPr="006468CC">
        <w:t>variáveis</w:t>
      </w:r>
      <w:proofErr w:type="spellEnd"/>
      <w:r w:rsidRPr="006468CC">
        <w:t xml:space="preserve"> ​​para </w:t>
      </w:r>
      <w:proofErr w:type="spellStart"/>
      <w:r w:rsidRPr="006468CC">
        <w:t>seu</w:t>
      </w:r>
      <w:proofErr w:type="spellEnd"/>
      <w:r w:rsidRPr="006468CC">
        <w:t xml:space="preserve"> </w:t>
      </w:r>
      <w:proofErr w:type="spellStart"/>
      <w:r w:rsidRPr="006468CC">
        <w:t>aperfeiçoamento</w:t>
      </w:r>
      <w:proofErr w:type="spellEnd"/>
      <w:r w:rsidRPr="006468CC">
        <w:t xml:space="preserve"> </w:t>
      </w:r>
      <w:proofErr w:type="spellStart"/>
      <w:r w:rsidRPr="006468CC">
        <w:t>contínuo</w:t>
      </w:r>
      <w:proofErr w:type="spellEnd"/>
      <w:r w:rsidRPr="006468CC">
        <w:t>.</w:t>
      </w:r>
    </w:p>
    <w:p w14:paraId="36A783C9" w14:textId="2F9AEED0" w:rsidR="006468CC" w:rsidRDefault="006468CC" w:rsidP="006468CC">
      <w:pPr>
        <w:spacing w:line="360" w:lineRule="auto"/>
      </w:pPr>
      <w:proofErr w:type="spellStart"/>
      <w:r w:rsidRPr="00EC6DFC">
        <w:rPr>
          <w:rFonts w:asciiTheme="minorHAnsi" w:hAnsiTheme="minorHAnsi" w:cstheme="minorHAnsi"/>
          <w:b/>
          <w:bCs/>
          <w:sz w:val="28"/>
          <w:szCs w:val="24"/>
        </w:rPr>
        <w:t>Palavras</w:t>
      </w:r>
      <w:proofErr w:type="spellEnd"/>
      <w:r w:rsidRPr="00EC6DFC">
        <w:rPr>
          <w:rFonts w:asciiTheme="minorHAnsi" w:hAnsiTheme="minorHAnsi" w:cstheme="minorHAnsi"/>
          <w:b/>
          <w:bCs/>
          <w:sz w:val="28"/>
          <w:szCs w:val="24"/>
        </w:rPr>
        <w:t>-chave:</w:t>
      </w:r>
      <w:r w:rsidRPr="006468CC">
        <w:t xml:space="preserve"> </w:t>
      </w:r>
      <w:proofErr w:type="spellStart"/>
      <w:r w:rsidRPr="006468CC">
        <w:t>Análise</w:t>
      </w:r>
      <w:proofErr w:type="spellEnd"/>
      <w:r w:rsidRPr="006468CC">
        <w:t xml:space="preserve"> </w:t>
      </w:r>
      <w:proofErr w:type="spellStart"/>
      <w:r w:rsidRPr="006468CC">
        <w:t>estatística</w:t>
      </w:r>
      <w:proofErr w:type="spellEnd"/>
      <w:r w:rsidRPr="006468CC">
        <w:t xml:space="preserve">, </w:t>
      </w:r>
      <w:proofErr w:type="spellStart"/>
      <w:r w:rsidRPr="006468CC">
        <w:t>qualidade</w:t>
      </w:r>
      <w:proofErr w:type="spellEnd"/>
      <w:r w:rsidRPr="006468CC">
        <w:t xml:space="preserve">, </w:t>
      </w:r>
      <w:proofErr w:type="spellStart"/>
      <w:r w:rsidRPr="006468CC">
        <w:t>ensino</w:t>
      </w:r>
      <w:proofErr w:type="spellEnd"/>
      <w:r w:rsidRPr="006468CC">
        <w:t xml:space="preserve"> superior, México.</w:t>
      </w:r>
    </w:p>
    <w:p w14:paraId="124B8D86" w14:textId="199A52FA" w:rsidR="006468CC" w:rsidRPr="004334EF" w:rsidRDefault="006468CC" w:rsidP="006468C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778115C2" w14:textId="77777777" w:rsidR="006468CC" w:rsidRPr="00B30098" w:rsidRDefault="00000000" w:rsidP="006468CC">
      <w:pPr>
        <w:spacing w:line="360" w:lineRule="auto"/>
        <w:rPr>
          <w:b/>
          <w:bCs/>
          <w:color w:val="000000" w:themeColor="text1"/>
          <w:szCs w:val="24"/>
        </w:rPr>
      </w:pPr>
      <w:r>
        <w:rPr>
          <w:noProof/>
        </w:rPr>
        <w:pict w14:anchorId="54F691FE">
          <v:rect id="_x0000_i1025" style="width:441.9pt;height:.05pt" o:hralign="center" o:hrstd="t" o:hr="t" fillcolor="#a0a0a0" stroked="f"/>
        </w:pict>
      </w:r>
    </w:p>
    <w:p w14:paraId="35224A3C" w14:textId="77777777" w:rsidR="00311A64" w:rsidRPr="006468CC" w:rsidRDefault="00EC1CAF" w:rsidP="006468CC">
      <w:pPr>
        <w:pStyle w:val="Ttulo1"/>
        <w:spacing w:line="360" w:lineRule="auto"/>
        <w:jc w:val="center"/>
        <w:rPr>
          <w:sz w:val="32"/>
          <w:szCs w:val="32"/>
        </w:rPr>
      </w:pPr>
      <w:bookmarkStart w:id="8" w:name="_Hlk120013499"/>
      <w:bookmarkStart w:id="9" w:name="_Toc26906979"/>
      <w:bookmarkEnd w:id="8"/>
      <w:r w:rsidRPr="006468CC">
        <w:rPr>
          <w:sz w:val="32"/>
          <w:szCs w:val="32"/>
        </w:rPr>
        <w:t>Introducción</w:t>
      </w:r>
      <w:bookmarkEnd w:id="9"/>
    </w:p>
    <w:p w14:paraId="7F86BE6E" w14:textId="77777777" w:rsidR="00311A64" w:rsidRDefault="00EC1CAF">
      <w:pPr>
        <w:spacing w:line="360" w:lineRule="auto"/>
        <w:ind w:firstLine="708"/>
      </w:pPr>
      <w:r>
        <w:t>El desarrollo histórico de los productos y servicios en el contexto empresarial, económico, comercial, político y social de cada período indudablemente continuará transmutándose de manera conjunta en el contexto de estos factores, intrínsecamente relacionados con el tema de la calidad (Amaya et al., 2020; Carro y González, 2012; Vidal, 2014). En ese sentido, cuando una organización pretende perdurar y ser competitiva, debe establecer procesos que le aseguren la satisfacción de sus clientes al cumplir con sus necesidades y expectativas, ofreciendo productos y/o servicios de calidad (</w:t>
      </w:r>
      <w:proofErr w:type="spellStart"/>
      <w:r>
        <w:t>Gremyr</w:t>
      </w:r>
      <w:proofErr w:type="spellEnd"/>
      <w:r>
        <w:t xml:space="preserve"> et al., 2021; Organización Internacional de Normalización [ISO], 2018).</w:t>
      </w:r>
    </w:p>
    <w:p w14:paraId="6F446B9B" w14:textId="77777777" w:rsidR="00311A64" w:rsidRDefault="00EC1CAF">
      <w:pPr>
        <w:spacing w:line="360" w:lineRule="auto"/>
        <w:ind w:firstLine="708"/>
      </w:pPr>
      <w:r>
        <w:lastRenderedPageBreak/>
        <w:t>La calidad en la educación es un tema que se ha transformado constantemente. Los Sistemas de Gestión de la Calidad (SGC) proveen el fundamento para estructurar los fines de la educación mediante procesos certificados que aseguran la calidad de sus resultados, por ello la importancia de analizar la percepción de los trabajadores con relación a las actividades que apoyen a la mejora de la calidad en las organizaciones.</w:t>
      </w:r>
    </w:p>
    <w:p w14:paraId="2EE11E02" w14:textId="77777777" w:rsidR="00311A64" w:rsidRDefault="00EC1CAF">
      <w:pPr>
        <w:spacing w:line="360" w:lineRule="auto"/>
        <w:ind w:firstLine="708"/>
      </w:pPr>
      <w:r>
        <w:t>Teniendo en cuenta la norma de fundamentos y vocabulario para sistemas de gestión de la calidad ISO 9000 (2015a) como base fundamental para la definición de cliente, toda persona u organización que podría recibir o que recibe un producto o un servicio destinado a esa persona u organización o requerido por ella. Por su parte, García et al. (2017), resaltan la importancia de la medición de la satisfacción de las necesidades del cliente por medio de la obtención de información veraz que conduzca a su vez, a elevar la calidad en el servicio.</w:t>
      </w:r>
    </w:p>
    <w:p w14:paraId="0D490095" w14:textId="77777777" w:rsidR="00311A64" w:rsidRDefault="00EC1CAF">
      <w:pPr>
        <w:spacing w:line="360" w:lineRule="auto"/>
        <w:ind w:firstLine="708"/>
      </w:pPr>
      <w:r>
        <w:t>Para García et al. (2017), el cliente no depende del producto o servicio que se le brinda, sino que es la organización la que depende de él. El cliente es una parte esencial para la organización; no es ningún extraño, representa más que un indicador de ganancias o cumplimiento de un servicio, es la persona más importante para una organización. Como ser humano con sentimientos, merece un tratamiento respetuoso y la atención más adecuada que se le pueda proporcionar.</w:t>
      </w:r>
    </w:p>
    <w:p w14:paraId="44A7FD0A" w14:textId="77777777" w:rsidR="00311A64" w:rsidRDefault="00EC1CAF">
      <w:pPr>
        <w:spacing w:line="360" w:lineRule="auto"/>
        <w:ind w:firstLine="708"/>
      </w:pPr>
      <w:r>
        <w:t>Cuando un cliente recibe todo lo que esperaba y más, superando su expectativa, quedará satisfecho. Siendo así, la satisfacción del cliente, vinculada a las expectativas que se tienen, es resultado de la calidad, en donde tales expectativas se producen a partir de factores como las necesidades, el contexto, precio, difusión, tecnología implícita, prestigio, entre otros (Amaya et al., 2020). En ese sentido, las organizaciones deben priorizar el análisis de estos y otros factores para planificar y tomar acciones que ayuden a cumplir y exceder las expectativas de sus clientes. Además, la gestión de calidad tiene como objetivo "hacer las cosas bien en forma rutinaria, según lo acordado y cumpliendo con los requisitos obligatorios, articulando medios para detectar y satisfacer las nuevas necesidades" (Amaya et al., 2020: 637). La gestión de la calidad debe volverse parte de la organización, adoptándola como una cultura por parte de sus miembros, aplicando este mismo enfoque a todos sus procesos.</w:t>
      </w:r>
    </w:p>
    <w:p w14:paraId="7BA34936" w14:textId="77777777" w:rsidR="00311A64" w:rsidRDefault="00EC1CAF">
      <w:pPr>
        <w:spacing w:line="360" w:lineRule="auto"/>
        <w:ind w:firstLine="708"/>
      </w:pPr>
      <w:r>
        <w:t xml:space="preserve">De acuerdo con Hernández et al. (2019: 27), "Calidad del Servicio es un concepto que deriva de la propia definición de calidad, entendida como la satisfacción de las necesidades y expectativas del cliente". En consecuencia, se deben establecer los parámetros para medir las necesidades y expectativas de los clientes y, en función de los resultados obtenidos de su </w:t>
      </w:r>
      <w:r>
        <w:lastRenderedPageBreak/>
        <w:t>evaluación, implementar las mejoras necesarias para elevar la calidad en el servicio (</w:t>
      </w:r>
      <w:proofErr w:type="spellStart"/>
      <w:r>
        <w:t>Chountalas</w:t>
      </w:r>
      <w:proofErr w:type="spellEnd"/>
      <w:r>
        <w:t xml:space="preserve"> et al., 2020).</w:t>
      </w:r>
    </w:p>
    <w:p w14:paraId="423CA1FD" w14:textId="77777777" w:rsidR="00311A64" w:rsidRDefault="00311A64">
      <w:pPr>
        <w:spacing w:line="360" w:lineRule="auto"/>
        <w:ind w:firstLine="708"/>
      </w:pPr>
    </w:p>
    <w:p w14:paraId="2B1F4D0A" w14:textId="77777777" w:rsidR="00311A64" w:rsidRPr="006468CC" w:rsidRDefault="00EC1CAF" w:rsidP="006468CC">
      <w:pPr>
        <w:spacing w:line="360" w:lineRule="auto"/>
        <w:jc w:val="center"/>
        <w:rPr>
          <w:b/>
          <w:bCs/>
          <w:sz w:val="28"/>
          <w:szCs w:val="24"/>
        </w:rPr>
      </w:pPr>
      <w:r w:rsidRPr="006468CC">
        <w:rPr>
          <w:b/>
          <w:bCs/>
          <w:sz w:val="28"/>
          <w:szCs w:val="24"/>
        </w:rPr>
        <w:t>Importancia del tema</w:t>
      </w:r>
    </w:p>
    <w:p w14:paraId="6ADB4236" w14:textId="77777777" w:rsidR="00311A64" w:rsidRDefault="00EC1CAF">
      <w:pPr>
        <w:spacing w:line="360" w:lineRule="auto"/>
      </w:pPr>
      <w:r>
        <w:t>En la presente investigación, se estudia la correlación entre un SGC y su parte operativa (a saber: la planificación y control de las operaciones, el establecimiento de los requisitos para productos y servicios, incluido el proceso para diseño y desarrollo, control externo de servicios, producción y provisión del servicio, su liberación y control de salidas con incumplimientos), brindando información sobre la percepción que tienen los miembros de una organización sobre un SGC y el estado que presentan los elementos antes descritos.</w:t>
      </w:r>
    </w:p>
    <w:p w14:paraId="7887F9B1" w14:textId="77777777" w:rsidR="00311A64" w:rsidRDefault="00EC1CAF">
      <w:pPr>
        <w:spacing w:line="360" w:lineRule="auto"/>
        <w:ind w:firstLine="708"/>
      </w:pPr>
      <w:r>
        <w:t>Con los resultados obtenidos, se pretende que las organizaciones inmersas en un sistema de gestión de calidad consideren la importancia que se tiene dentro de las operaciones del mismo de acuerdo a la norma ISO 9001:2015 y la gestión de la calidad, ya que el modelo presentado muestra que existe influencia directa entre una variable y otra. Lo anterior contribuye a complementar lo existente dentro de las teorías de la calidad que se han presentado en la historia. Asimismo, el modelo presentado sirve de base para tener otra alternativa de evaluación de un sistema de gestión de calidad y su relación con las operaciones del mismo. Cabe mencionar que, dentro del análisis, se permite tener alternativas para replicar el modelo con diferentes variables en el mismo contexto.</w:t>
      </w:r>
    </w:p>
    <w:p w14:paraId="1382E0AF" w14:textId="77777777" w:rsidR="00311A64" w:rsidRDefault="00311A64">
      <w:pPr>
        <w:spacing w:line="360" w:lineRule="auto"/>
        <w:ind w:firstLine="708"/>
      </w:pPr>
    </w:p>
    <w:p w14:paraId="1EF243E9" w14:textId="205D891F" w:rsidR="00311A64" w:rsidRDefault="00EC1CAF" w:rsidP="006468CC">
      <w:pPr>
        <w:spacing w:line="360" w:lineRule="auto"/>
        <w:jc w:val="center"/>
        <w:rPr>
          <w:b/>
          <w:bCs/>
        </w:rPr>
      </w:pPr>
      <w:r>
        <w:rPr>
          <w:b/>
          <w:bCs/>
        </w:rPr>
        <w:t>Objetivo general</w:t>
      </w:r>
    </w:p>
    <w:p w14:paraId="4F240D2C" w14:textId="77777777" w:rsidR="00311A64" w:rsidRDefault="00EC1CAF">
      <w:pPr>
        <w:spacing w:line="360" w:lineRule="auto"/>
      </w:pPr>
      <w:r>
        <w:t>Determinar la correlación entre la Operación de un Sistema de Gestión de la Calidad (OSGC) con base en la ISO 9001:2015 y la Calidad en el servicio en un Sistema de Gestión (CSG).</w:t>
      </w:r>
    </w:p>
    <w:p w14:paraId="351A2E6C" w14:textId="77777777" w:rsidR="00311A64" w:rsidRDefault="00311A64">
      <w:pPr>
        <w:spacing w:line="360" w:lineRule="auto"/>
        <w:ind w:firstLine="708"/>
      </w:pPr>
    </w:p>
    <w:p w14:paraId="4873AC1E" w14:textId="3F622FB8" w:rsidR="00311A64" w:rsidRDefault="00EC1CAF" w:rsidP="006468CC">
      <w:pPr>
        <w:spacing w:line="360" w:lineRule="auto"/>
        <w:jc w:val="center"/>
        <w:rPr>
          <w:b/>
          <w:bCs/>
        </w:rPr>
      </w:pPr>
      <w:r>
        <w:rPr>
          <w:b/>
          <w:bCs/>
        </w:rPr>
        <w:t>Objetivo específico 1</w:t>
      </w:r>
    </w:p>
    <w:p w14:paraId="189ECE4C" w14:textId="77777777" w:rsidR="00311A64" w:rsidRDefault="00EC1CAF">
      <w:pPr>
        <w:spacing w:line="360" w:lineRule="auto"/>
      </w:pPr>
      <w:r>
        <w:t>El objetivo específico es verificar si el análisis de las variables cumple con los supuestos de un modelo de regresión lineal en cuanto a linealidad, independencia, normalidad y homocedasticidad.</w:t>
      </w:r>
    </w:p>
    <w:p w14:paraId="4CD8B507" w14:textId="77777777" w:rsidR="006468CC" w:rsidRDefault="006468CC">
      <w:pPr>
        <w:spacing w:line="360" w:lineRule="auto"/>
      </w:pPr>
    </w:p>
    <w:p w14:paraId="1F5CF375" w14:textId="77777777" w:rsidR="00311A64" w:rsidRDefault="00EC1CAF" w:rsidP="006468CC">
      <w:pPr>
        <w:pStyle w:val="Ttulo1"/>
        <w:jc w:val="center"/>
      </w:pPr>
      <w:r>
        <w:t>Revisión de la Literatura</w:t>
      </w:r>
    </w:p>
    <w:p w14:paraId="4BF48BAC" w14:textId="77777777" w:rsidR="00311A64" w:rsidRDefault="00EC1CAF">
      <w:pPr>
        <w:spacing w:line="360" w:lineRule="auto"/>
      </w:pPr>
      <w:r>
        <w:t xml:space="preserve">Las organizaciones en la actualidad llevan a cabo diversos estudios para analizar y compararse con otras dentro de su giro, dándole mayor importancia al factor de la calidad en el servicio. Pues a través de dicho factor, se pueden implementar constantemente mejoras e innovaciones en los </w:t>
      </w:r>
      <w:r>
        <w:lastRenderedPageBreak/>
        <w:t xml:space="preserve">servicios, aumentando así la satisfacción de sus clientes (Hernández et al., 2019). Este factor se ha vuelto una determinante para las organizaciones que desean agregar valor a sus servicios por medio del estudio de elementos que intervienen en la mejora continua de sus procesos (Fonseca y </w:t>
      </w:r>
      <w:proofErr w:type="spellStart"/>
      <w:r>
        <w:t>Domingues</w:t>
      </w:r>
      <w:proofErr w:type="spellEnd"/>
      <w:r>
        <w:t xml:space="preserve">, 2018; </w:t>
      </w:r>
      <w:proofErr w:type="spellStart"/>
      <w:r>
        <w:t>Gremyr</w:t>
      </w:r>
      <w:proofErr w:type="spellEnd"/>
      <w:r>
        <w:t xml:space="preserve"> et al., 2021).</w:t>
      </w:r>
    </w:p>
    <w:p w14:paraId="7F9F19DA" w14:textId="77777777" w:rsidR="00311A64" w:rsidRDefault="00EC1CAF">
      <w:pPr>
        <w:spacing w:line="360" w:lineRule="auto"/>
      </w:pPr>
      <w:r>
        <w:tab/>
        <w:t>Por otro lado, Monroy (2019) señala que las empresas que orientan sus procesos hacia un servicio al cliente deben atender las expectativas que se tienen sobre la calidad en el servicio que se les ofrece. Pues la fuerte competencia en el ámbito de los negocios pone en riesgo a las organizaciones que no tomen las acciones pertinentes para mejorar la percepción que tienen sus clientes sobre la calidad en sus servicios.</w:t>
      </w:r>
    </w:p>
    <w:p w14:paraId="15AFAE45" w14:textId="77777777" w:rsidR="00311A64" w:rsidRDefault="00EC1CAF">
      <w:pPr>
        <w:spacing w:line="360" w:lineRule="auto"/>
      </w:pPr>
      <w:r>
        <w:tab/>
        <w:t>Derivado de esta situación, se han dedicado estudios de investigación para determinar qué factores influyen y en qué grado, para poder redireccionar las intenciones y estrategias de las organizaciones, contando con las técnicas y herramientas adecuadas (Cruz et al., 2017) hacia una mejora constante de la calidad en sus servicios.</w:t>
      </w:r>
    </w:p>
    <w:p w14:paraId="0FBD3A1A" w14:textId="77777777" w:rsidR="00311A64" w:rsidRDefault="00EC1CAF">
      <w:pPr>
        <w:spacing w:line="360" w:lineRule="auto"/>
      </w:pPr>
      <w:r>
        <w:tab/>
        <w:t xml:space="preserve">El constante aumento que tiene la expectativa de los clientes sobre los productos y servicios ofrecidos por las organizaciones obliga a estas a identificar las cuestiones que puedan afectar o beneficiar sus procesos y evaluar el grado en el que están siendo cumplidas las expectativas de sus partes interesadas. Debiendo planificar y efectuar los cambios estructurales y operativos necesarios abordando el enfoque al cliente y excediendo sus expectativas, además de reducir los riesgos operativos, aprovechando las oportunidades de mejora a raíz de no </w:t>
      </w:r>
      <w:proofErr w:type="gramStart"/>
      <w:r>
        <w:t>conformidades</w:t>
      </w:r>
      <w:proofErr w:type="gramEnd"/>
      <w:r>
        <w:t xml:space="preserve"> así como de las auditorías (Fontalvo y De La Hoz, 2018; Yánez y Yánez, 2012).</w:t>
      </w:r>
    </w:p>
    <w:p w14:paraId="696AB14A" w14:textId="77777777" w:rsidR="00311A64" w:rsidRDefault="00EC1CAF">
      <w:pPr>
        <w:spacing w:line="360" w:lineRule="auto"/>
      </w:pPr>
      <w:r>
        <w:tab/>
        <w:t>De acuerdo con Gómez y Pérez (2017), el proceso de Mejora de la Productividad y Calidad es una acción permanente e iterativa de toda la organización. Es una actitud que se desarrolla por parte de todo el personal y que permite mantener el interés por la innovación, por la creatividad, por hacer las cosas cada vez mejor y satisfacer en mayor medida las necesidades de los clientes. Si se dispone de una actitud de mejora continua, la empresa tratará siempre de buscar el límite de lo que puede hacer con unos recursos determinados. Esta filosofía de dirección busca conseguir una ventaja competitiva que cimiente sus bases en los fundamentos de la calidad, la gestión estratégica y operativa implementando un programa de acciones en función del ciclo de mejora sistemáticamente (Canales y Soler, 2015).</w:t>
      </w:r>
    </w:p>
    <w:p w14:paraId="3D20466A" w14:textId="77777777" w:rsidR="00311A64" w:rsidRDefault="00EC1CAF">
      <w:pPr>
        <w:spacing w:line="360" w:lineRule="auto"/>
      </w:pPr>
      <w:r>
        <w:tab/>
        <w:t xml:space="preserve">Por su parte, la Organización Internacional de Normalización (ISO) emite el estándar de calidad ISO 9001. Que en su versión 2015 es aplicable para cualquier tipo de organización, ya sea que ofrezca productos y/o servicios, enfocada a la calidad desde la perspectiva de la cultura de sus miembros. Proporciona un marco metodológico para la mejora en los aspectos internos para </w:t>
      </w:r>
      <w:r>
        <w:lastRenderedPageBreak/>
        <w:t>agregar valor al satisfacer las necesidades y cumplir con las expectativas de los clientes y otras partes interesadas pertinentes (ISO, 2015b).</w:t>
      </w:r>
    </w:p>
    <w:p w14:paraId="1A3A24E1" w14:textId="77777777" w:rsidR="00311A64" w:rsidRDefault="00EC1CAF">
      <w:pPr>
        <w:spacing w:line="360" w:lineRule="auto"/>
      </w:pPr>
      <w:r>
        <w:tab/>
        <w:t>Para mejorar la eficiencia y efectividad de una organización, los sistemas de gestión de la calidad, por medio de un conjunto de políticas, procesos y procedimientos, identifican sus objetivos y la implementación de medidas para alcanzarlos de manera sistemática y continua. Y puede ser certificado según estándares internacionales como la norma ISO 9001. Para lo cual, un sistema de gestión de la calidad debe poseer ciertas características clave, como el establecimiento de una política de calidad clara y definida, procesos y procedimientos documentados y evaluados de manera consistente, un sistema de medición y evaluación de la calidad bajo el enfoque del aprendizaje y la mejora continua.</w:t>
      </w:r>
    </w:p>
    <w:p w14:paraId="43A59372" w14:textId="77777777" w:rsidR="00311A64" w:rsidRDefault="00EC1CAF">
      <w:pPr>
        <w:spacing w:line="360" w:lineRule="auto"/>
      </w:pPr>
      <w:r>
        <w:tab/>
        <w:t>De acuerdo con la ISO 9000 (2015a: 2), “la calidad de los productos y servicios de una organización está determinada por la capacidad para satisfacer a los clientes, y por el impacto previsto y el no previsto sobre las partes interesadas pertinentes”. Esta incluye no sólo su función y desempeño previstos, sino también su valor percibido y el beneficio para el cliente (</w:t>
      </w:r>
      <w:proofErr w:type="spellStart"/>
      <w:r>
        <w:t>Betlloch</w:t>
      </w:r>
      <w:proofErr w:type="spellEnd"/>
      <w:r>
        <w:t xml:space="preserve"> et al., 2019; ISO, 2015a).</w:t>
      </w:r>
    </w:p>
    <w:p w14:paraId="42164FBC" w14:textId="77777777" w:rsidR="00311A64" w:rsidRDefault="00EC1CAF">
      <w:pPr>
        <w:spacing w:line="360" w:lineRule="auto"/>
      </w:pPr>
      <w:r>
        <w:tab/>
        <w:t>Por otro lado, de acuerdo con la norma de calidad para sistemas de gestión ISO 9001 (2015b), la operación de un SGC se refiere al funcionamiento de los procesos determinados por una organización para proveer productos y/o servicios en función de las necesidades y expectativas de sus partes interesadas. Tales procesos deben ser planificados y controlados, definiendo los requisitos de sus productos y/o servicios, teniendo en consideración las etapas de diseño y desarrollo cuando se amerite, asimismo, tener control de los procesos, productos y/o servicios suministrados externamente, para asegurar la producción y provisión de servicios y evitar las salidas no conformes en la liberación de productos servicios.</w:t>
      </w:r>
    </w:p>
    <w:p w14:paraId="6CFDB889" w14:textId="77777777" w:rsidR="00311A64" w:rsidRDefault="00EC1CAF">
      <w:pPr>
        <w:spacing w:line="360" w:lineRule="auto"/>
      </w:pPr>
      <w:r>
        <w:tab/>
        <w:t>La planificación y control operacional que señala la ISO 9001:2015 (2015b), contempla el establecimiento, implementación, control y mantenimiento de los procesos necesarios para la satisfacción del SGC, considerando las acciones para abordar riesgos y oportunidades, así como los objetivos de calidad y la planificación para lograrlos. Tales procesos deben cumplir con los requisitos previamente establecidos para la provisión de productos y servicios, asegurándose de contar con los recursos necesarios para lograr la conformidad de estos (</w:t>
      </w:r>
      <w:proofErr w:type="spellStart"/>
      <w:r>
        <w:t>Ćwiklicki</w:t>
      </w:r>
      <w:proofErr w:type="spellEnd"/>
      <w:r>
        <w:t xml:space="preserve"> et al., 2021).</w:t>
      </w:r>
    </w:p>
    <w:p w14:paraId="5C9D466B" w14:textId="77777777" w:rsidR="00311A64" w:rsidRDefault="00EC1CAF">
      <w:pPr>
        <w:spacing w:line="360" w:lineRule="auto"/>
      </w:pPr>
      <w:r>
        <w:tab/>
        <w:t xml:space="preserve">Para llevar a cabo la realización del producto o la provisión del servicio, es importante tener en cuenta los aspectos primordiales dentro de un enfoque orientado hacia los procesos. Según la Norma ISO 9001 (2015b), este enfoque permite a la organización tener control sobre las </w:t>
      </w:r>
      <w:r>
        <w:lastRenderedPageBreak/>
        <w:t>interrelaciones e interdependencias que se generan entre los procesos del Sistema de Gestión de la Calidad (SGC) con el fin de mejorar el desempeño global de la organización (</w:t>
      </w:r>
      <w:proofErr w:type="spellStart"/>
      <w:r>
        <w:t>Stertz</w:t>
      </w:r>
      <w:proofErr w:type="spellEnd"/>
      <w:r>
        <w:t xml:space="preserve"> et al., 2018).</w:t>
      </w:r>
    </w:p>
    <w:p w14:paraId="18A37162" w14:textId="77777777" w:rsidR="00311A64" w:rsidRDefault="00EC1CAF">
      <w:pPr>
        <w:spacing w:line="360" w:lineRule="auto"/>
      </w:pPr>
      <w:r>
        <w:tab/>
        <w:t>El enfoque a procesos SIPOC (</w:t>
      </w:r>
      <w:proofErr w:type="spellStart"/>
      <w:r>
        <w:t>Supplier</w:t>
      </w:r>
      <w:proofErr w:type="spellEnd"/>
      <w:r>
        <w:t xml:space="preserve">, Input, </w:t>
      </w:r>
      <w:proofErr w:type="spellStart"/>
      <w:r>
        <w:t>Process</w:t>
      </w:r>
      <w:proofErr w:type="spellEnd"/>
      <w:r>
        <w:t xml:space="preserve">, Output, </w:t>
      </w:r>
      <w:proofErr w:type="spellStart"/>
      <w:r>
        <w:t>Customer</w:t>
      </w:r>
      <w:proofErr w:type="spellEnd"/>
      <w:r>
        <w:t>), adoptado por la Norma ISO, consta de cinco elementos: Proveedor, Entrada, Proceso, Salida y Cliente. A través del establecimiento y el seguimiento sistemático de las interacciones entre estos elementos y los procesos, y mediante la aplicación del ciclo de mejora en todo el SGC, se busca alcanzar los objetivos estratégicos establecidos por la organización.</w:t>
      </w:r>
    </w:p>
    <w:p w14:paraId="5E4F898E" w14:textId="77777777" w:rsidR="006468CC" w:rsidRDefault="006468CC">
      <w:pPr>
        <w:spacing w:line="360" w:lineRule="auto"/>
      </w:pPr>
    </w:p>
    <w:p w14:paraId="51416F67" w14:textId="77777777" w:rsidR="00311A64" w:rsidRDefault="00EC1CAF">
      <w:pPr>
        <w:pStyle w:val="Descripcin"/>
        <w:spacing w:line="360" w:lineRule="auto"/>
        <w:jc w:val="center"/>
        <w:rPr>
          <w:b/>
          <w:bCs/>
          <w:i w:val="0"/>
          <w:iCs w:val="0"/>
          <w:color w:val="auto"/>
          <w:sz w:val="24"/>
          <w:szCs w:val="24"/>
        </w:rPr>
      </w:pPr>
      <w:r>
        <w:rPr>
          <w:b/>
          <w:bCs/>
          <w:i w:val="0"/>
          <w:iCs w:val="0"/>
          <w:color w:val="auto"/>
          <w:sz w:val="24"/>
          <w:szCs w:val="24"/>
        </w:rPr>
        <w:t xml:space="preserve">Figura </w:t>
      </w:r>
      <w:r>
        <w:rPr>
          <w:b/>
          <w:bCs/>
          <w:i w:val="0"/>
          <w:iCs w:val="0"/>
          <w:color w:val="auto"/>
          <w:sz w:val="24"/>
          <w:szCs w:val="24"/>
        </w:rPr>
        <w:fldChar w:fldCharType="begin"/>
      </w:r>
      <w:r>
        <w:rPr>
          <w:b/>
          <w:bCs/>
          <w:i w:val="0"/>
          <w:iCs w:val="0"/>
          <w:color w:val="auto"/>
          <w:sz w:val="24"/>
          <w:szCs w:val="24"/>
        </w:rPr>
        <w:instrText>SEQ Figura \* ARABIC</w:instrText>
      </w:r>
      <w:r>
        <w:rPr>
          <w:b/>
          <w:bCs/>
          <w:i w:val="0"/>
          <w:iCs w:val="0"/>
          <w:color w:val="auto"/>
          <w:sz w:val="24"/>
          <w:szCs w:val="24"/>
        </w:rPr>
        <w:fldChar w:fldCharType="separate"/>
      </w:r>
      <w:r>
        <w:rPr>
          <w:b/>
          <w:bCs/>
          <w:i w:val="0"/>
          <w:iCs w:val="0"/>
          <w:color w:val="auto"/>
          <w:sz w:val="24"/>
          <w:szCs w:val="24"/>
        </w:rPr>
        <w:t>1</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Elementos de un proceso</w:t>
      </w:r>
    </w:p>
    <w:p w14:paraId="565BA21A" w14:textId="77777777" w:rsidR="00311A64" w:rsidRDefault="00EC1CAF">
      <w:pPr>
        <w:spacing w:line="360" w:lineRule="auto"/>
      </w:pPr>
      <w:r>
        <w:rPr>
          <w:noProof/>
          <w:lang w:eastAsia="es-MX"/>
        </w:rPr>
        <w:drawing>
          <wp:inline distT="0" distB="0" distL="0" distR="0" wp14:anchorId="3A28E3BD" wp14:editId="4DB59F3A">
            <wp:extent cx="5924550" cy="233362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
                    <pic:cNvPicPr>
                      <a:picLocks noChangeAspect="1" noChangeArrowheads="1"/>
                    </pic:cNvPicPr>
                  </pic:nvPicPr>
                  <pic:blipFill>
                    <a:blip r:embed="rId8"/>
                    <a:stretch>
                      <a:fillRect/>
                    </a:stretch>
                  </pic:blipFill>
                  <pic:spPr bwMode="auto">
                    <a:xfrm>
                      <a:off x="0" y="0"/>
                      <a:ext cx="5924550" cy="2333625"/>
                    </a:xfrm>
                    <a:prstGeom prst="rect">
                      <a:avLst/>
                    </a:prstGeom>
                  </pic:spPr>
                </pic:pic>
              </a:graphicData>
            </a:graphic>
          </wp:inline>
        </w:drawing>
      </w:r>
    </w:p>
    <w:p w14:paraId="14669790" w14:textId="77777777" w:rsidR="00311A64" w:rsidRDefault="00EC1CAF" w:rsidP="006468CC">
      <w:pPr>
        <w:spacing w:line="360" w:lineRule="auto"/>
        <w:jc w:val="center"/>
      </w:pPr>
      <w:r>
        <w:t>Fuente: Elaboración propia.</w:t>
      </w:r>
    </w:p>
    <w:p w14:paraId="3ED13A2B" w14:textId="77777777" w:rsidR="00311A64" w:rsidRDefault="00EC1CAF">
      <w:pPr>
        <w:spacing w:line="360" w:lineRule="auto"/>
        <w:ind w:firstLine="708"/>
        <w:rPr>
          <w:szCs w:val="24"/>
        </w:rPr>
      </w:pPr>
      <w:r>
        <w:t>De modo que se deben proporcionar las condiciones apropiadas para el óptimo desempeño de las actividades que integran los procesos de producción y provisión de servicios (ISO, 2015b), por medio de la implementación de controles, definiendo las características y los resultados a alcanzar. Además, se deben tener en cuenta la disponibilidad y funcionamiento de las herramientas o instrumentos de seguimiento y medición, asegurándose de que se lleven a cabo actividades que den certeza del cumplimiento de los controles y criterios de conformidad (Macas et al., 2018). Se debe agregar que la organización se cerciore de que las condiciones de infraestructura y ambiente para la operación de los procesos (Fernández et al., 2020) de su SGC sean idóneas (ISO, 2015b), designando a las personas competentes y cualquier nivel necesario para los puestos (</w:t>
      </w:r>
      <w:proofErr w:type="spellStart"/>
      <w:r>
        <w:t>Sá</w:t>
      </w:r>
      <w:proofErr w:type="spellEnd"/>
      <w:r>
        <w:t xml:space="preserve"> et al., 2019; Martin et al., 2021; Santos et al., 2021). Por otro lado, ante la imposibilidad de verificación de las salidas de los procesos, se deben establecer controles previos durante el desarrollo de estos, teniendo en cuenta métodos como el </w:t>
      </w:r>
      <w:proofErr w:type="spellStart"/>
      <w:r>
        <w:t>poka</w:t>
      </w:r>
      <w:proofErr w:type="spellEnd"/>
      <w:r>
        <w:t xml:space="preserve"> </w:t>
      </w:r>
      <w:proofErr w:type="spellStart"/>
      <w:r>
        <w:t>yoke</w:t>
      </w:r>
      <w:proofErr w:type="spellEnd"/>
      <w:r>
        <w:t>, para evitar los errores de tipo humano, sin dejar de lado aquellas actividades que deban ser implementadas para dar un seguimiento a las salidas, una vez hayan sido entregadas y a las correspondientes ante su liberación.</w:t>
      </w:r>
    </w:p>
    <w:p w14:paraId="7BB148B4" w14:textId="77777777" w:rsidR="00311A64" w:rsidRDefault="00EC1CAF">
      <w:pPr>
        <w:spacing w:line="360" w:lineRule="auto"/>
        <w:ind w:firstLine="708"/>
        <w:rPr>
          <w:szCs w:val="24"/>
        </w:rPr>
      </w:pPr>
      <w:r>
        <w:lastRenderedPageBreak/>
        <w:t>La continua y objetiva revisión de los elementos del SGC, cuidando especialmente su sistemática mejora integral, puede ayudar a evitar que se deteriore el SGC y se pueda perder el certificado (</w:t>
      </w:r>
      <w:proofErr w:type="spellStart"/>
      <w:r>
        <w:t>Cândido</w:t>
      </w:r>
      <w:proofErr w:type="spellEnd"/>
      <w:r>
        <w:t xml:space="preserve"> et al., 2019; </w:t>
      </w:r>
      <w:proofErr w:type="spellStart"/>
      <w:r>
        <w:t>Chiarini</w:t>
      </w:r>
      <w:proofErr w:type="spellEnd"/>
      <w:r>
        <w:t>, 2019).</w:t>
      </w:r>
    </w:p>
    <w:p w14:paraId="5B3F0D5C" w14:textId="77777777" w:rsidR="00311A64" w:rsidRDefault="00EC1CAF">
      <w:pPr>
        <w:spacing w:line="360" w:lineRule="auto"/>
        <w:ind w:firstLine="708"/>
        <w:rPr>
          <w:szCs w:val="24"/>
        </w:rPr>
      </w:pPr>
      <w:r>
        <w:t>La Norma ISO 9001 (2015b) en su capítulo 8 establece los criterios para la operación de un SGC. Sin embargo, para tomar las decisiones que mejoren los productos y servicios que se brindan, se deben proporcionar los criterios de medición que recojan la información que ayude a descifrar las fallas en los procesos, recursos y otros elementos, facilitando el proceso de evaluación del SGC con base a los requisitos que establece la Norma ISO 9001 (2015b). Esto concede la medición del nivel de madurez del SGC (</w:t>
      </w:r>
      <w:proofErr w:type="spellStart"/>
      <w:r>
        <w:t>Bravi</w:t>
      </w:r>
      <w:proofErr w:type="spellEnd"/>
      <w:r>
        <w:t xml:space="preserve"> y Murmura, 2021; </w:t>
      </w:r>
      <w:proofErr w:type="spellStart"/>
      <w:r>
        <w:t>Ciravegna</w:t>
      </w:r>
      <w:proofErr w:type="spellEnd"/>
      <w:r>
        <w:t xml:space="preserve"> et al., 2019; </w:t>
      </w:r>
      <w:proofErr w:type="spellStart"/>
      <w:r>
        <w:t>Wolniak</w:t>
      </w:r>
      <w:proofErr w:type="spellEnd"/>
      <w:r>
        <w:t>, 2019), además de la identificación de elementos débiles, así como de amenazas desapercibidas, dando lugar a una reorientación de estrategias organizacionales (</w:t>
      </w:r>
      <w:proofErr w:type="spellStart"/>
      <w:r>
        <w:t>Ciravegna</w:t>
      </w:r>
      <w:proofErr w:type="spellEnd"/>
      <w:r>
        <w:t xml:space="preserve"> et al., 2017; </w:t>
      </w:r>
      <w:proofErr w:type="spellStart"/>
      <w:r>
        <w:t>Siltori</w:t>
      </w:r>
      <w:proofErr w:type="spellEnd"/>
      <w:r>
        <w:t xml:space="preserve"> et al., 2020). Para Canales y Soler (2015: 191) “la base de la mejora continua es la autoevaluación, conocer la situación de partida de la empresa para poder evolucionar, detectar áreas de mejora, para crear el proyecto de mejora”. </w:t>
      </w:r>
      <w:r>
        <w:rPr>
          <w:szCs w:val="24"/>
        </w:rPr>
        <w:t>El enfoque anterior se robustece al emplear mecanismos confiables y válidos en los procesos de evaluación y autoevaluación, contribuyendo a "evaluar la aplicabilidad empírica de las proposiciones teóricas" (Soriano, 2014: 22). El reto que presenta la calidad ante la gestión universitaria en el siglo XXI, alimentado por las cambiantes expectativas de la sociedad, se refleja en la ausencia e insuficiencia de resultados (Rodríguez, 2022).</w:t>
      </w:r>
    </w:p>
    <w:p w14:paraId="1CF078E3" w14:textId="77777777" w:rsidR="00311A64" w:rsidRDefault="00EC1CAF">
      <w:pPr>
        <w:spacing w:line="360" w:lineRule="auto"/>
        <w:ind w:firstLine="708"/>
        <w:rPr>
          <w:szCs w:val="24"/>
        </w:rPr>
      </w:pPr>
      <w:r>
        <w:rPr>
          <w:szCs w:val="24"/>
        </w:rPr>
        <w:t>El objetivo general de la investigación es determinar la correlación entre la OSGC y la CSG en una IES en el Estado de Durango, México, utilizando un modelo de regresión lineal. El objetivo específico es verificar si el análisis de las variables cumple con los supuestos de un modelo de regresión lineal en cuanto a linealidad, independencia, normalidad y homocedasticidad.</w:t>
      </w:r>
    </w:p>
    <w:p w14:paraId="505A569C" w14:textId="77777777" w:rsidR="00311A64" w:rsidRDefault="00311A64">
      <w:pPr>
        <w:spacing w:line="360" w:lineRule="auto"/>
        <w:ind w:firstLine="708"/>
        <w:rPr>
          <w:szCs w:val="24"/>
        </w:rPr>
      </w:pPr>
    </w:p>
    <w:p w14:paraId="34B976B7" w14:textId="77777777" w:rsidR="00311A64" w:rsidRPr="006468CC" w:rsidRDefault="00EC1CAF" w:rsidP="006468CC">
      <w:pPr>
        <w:spacing w:line="360" w:lineRule="auto"/>
        <w:jc w:val="center"/>
        <w:rPr>
          <w:b/>
          <w:bCs/>
          <w:sz w:val="32"/>
          <w:szCs w:val="28"/>
        </w:rPr>
      </w:pPr>
      <w:r w:rsidRPr="006468CC">
        <w:rPr>
          <w:b/>
          <w:bCs/>
          <w:sz w:val="32"/>
          <w:szCs w:val="32"/>
        </w:rPr>
        <w:t>Metodología</w:t>
      </w:r>
    </w:p>
    <w:p w14:paraId="4A0C0E5D" w14:textId="77777777" w:rsidR="00311A64" w:rsidRDefault="00EC1CAF">
      <w:pPr>
        <w:spacing w:line="360" w:lineRule="auto"/>
        <w:rPr>
          <w:szCs w:val="24"/>
        </w:rPr>
      </w:pPr>
      <w:r>
        <w:rPr>
          <w:szCs w:val="24"/>
        </w:rPr>
        <w:t>Se trata de un estudio de investigación no experimental, cuantitativo, correlacional y transversal. El alcance de la investigación cuantitativa resulta de la revisión de la literatura y de la perspectiva del estudio; depende de los objetivos de la investigación para combinar los elementos en el estudio. El alcance correlacional, que asocia o relaciona variables, permite hacer predicciones y cuantificar relaciones entre conceptos o variables. El enfoque de diseño no experimental, transversal o transeccional, tiene como propósito describir variables y analizar su incidencia e interrelación en un momento dado (Hernández et al., 2014).</w:t>
      </w:r>
    </w:p>
    <w:p w14:paraId="4B8FF55A" w14:textId="77777777" w:rsidR="00311A64" w:rsidRDefault="00EC1CAF">
      <w:pPr>
        <w:spacing w:line="360" w:lineRule="auto"/>
        <w:ind w:firstLine="708"/>
        <w:rPr>
          <w:szCs w:val="24"/>
        </w:rPr>
      </w:pPr>
      <w:r>
        <w:rPr>
          <w:szCs w:val="24"/>
        </w:rPr>
        <w:t xml:space="preserve">Para el procedimiento, se aplicaron instrumentos de medición a los trabajadores de una IES en el Estado de Durango, México. Para el análisis de resultados, se recurrió a la técnica estadística </w:t>
      </w:r>
      <w:r>
        <w:rPr>
          <w:szCs w:val="24"/>
        </w:rPr>
        <w:lastRenderedPageBreak/>
        <w:t>de regresión lineal simple, en donde se verificaron los supuestos de linealidad, independencia y ajuste, comprobando el cumplimiento del tercer supuesto (de normalidad).</w:t>
      </w:r>
    </w:p>
    <w:p w14:paraId="6CC4694A" w14:textId="77777777" w:rsidR="00311A64" w:rsidRDefault="00311A64">
      <w:pPr>
        <w:spacing w:line="360" w:lineRule="auto"/>
        <w:ind w:firstLine="708"/>
        <w:rPr>
          <w:szCs w:val="24"/>
        </w:rPr>
      </w:pPr>
    </w:p>
    <w:p w14:paraId="460835CB" w14:textId="77777777" w:rsidR="00311A64" w:rsidRPr="006468CC" w:rsidRDefault="00EC1CAF" w:rsidP="006468CC">
      <w:pPr>
        <w:spacing w:line="360" w:lineRule="auto"/>
        <w:jc w:val="center"/>
        <w:rPr>
          <w:b/>
          <w:bCs/>
          <w:sz w:val="28"/>
          <w:szCs w:val="24"/>
        </w:rPr>
      </w:pPr>
      <w:r w:rsidRPr="006468CC">
        <w:rPr>
          <w:b/>
          <w:bCs/>
          <w:sz w:val="28"/>
          <w:szCs w:val="28"/>
        </w:rPr>
        <w:t>Instrumento</w:t>
      </w:r>
    </w:p>
    <w:p w14:paraId="4404749A" w14:textId="77777777" w:rsidR="00311A64" w:rsidRDefault="00EC1CAF">
      <w:pPr>
        <w:spacing w:line="360" w:lineRule="auto"/>
        <w:rPr>
          <w:szCs w:val="24"/>
        </w:rPr>
      </w:pPr>
      <w:r>
        <w:rPr>
          <w:szCs w:val="24"/>
        </w:rPr>
        <w:t xml:space="preserve">Se tomó como base el "instrumento para medir la operación con base en el capítulo ocho de la norma ISO 9001:2015" (Sotelo et al., 2021). </w:t>
      </w:r>
      <w:proofErr w:type="spellStart"/>
      <w:r>
        <w:rPr>
          <w:szCs w:val="24"/>
        </w:rPr>
        <w:t>Envolucrando</w:t>
      </w:r>
      <w:proofErr w:type="spellEnd"/>
      <w:r>
        <w:rPr>
          <w:szCs w:val="24"/>
        </w:rPr>
        <w:t xml:space="preserve"> a 610 usuarios en la variable de OSGC, en su aplicación se obtuvieron 74 420 respuestas para los ítems. En cuanto a la variable de CSG, se aplicó un total de 2560 encuestas a usuarios, obteniendo 136 760 respuestas para los ítems de sus dimensiones (Carvajal et al., 2011; Sotelo et al., 2021).</w:t>
      </w:r>
    </w:p>
    <w:p w14:paraId="79FA1933" w14:textId="77777777" w:rsidR="00311A64" w:rsidRDefault="00EC1CAF">
      <w:pPr>
        <w:spacing w:line="360" w:lineRule="auto"/>
        <w:ind w:firstLine="708"/>
        <w:rPr>
          <w:szCs w:val="24"/>
        </w:rPr>
      </w:pPr>
      <w:r>
        <w:rPr>
          <w:szCs w:val="24"/>
        </w:rPr>
        <w:t>Para el orden o rango de valores que se asigna a las preguntas de los instrumentos, la presente investigación utilizó una escala del tipo ordinal, en cuyas respuestas se refleja la reacción de los encuestados, las cuales se escalan en intensidad, desde muy baja, baja, media, alta, hasta muy alta.</w:t>
      </w:r>
    </w:p>
    <w:p w14:paraId="0AA5B0E4" w14:textId="77777777" w:rsidR="00311A64" w:rsidRDefault="00EC1CAF">
      <w:pPr>
        <w:spacing w:line="360" w:lineRule="auto"/>
        <w:ind w:firstLine="708"/>
        <w:rPr>
          <w:szCs w:val="24"/>
        </w:rPr>
      </w:pPr>
      <w:r>
        <w:rPr>
          <w:szCs w:val="24"/>
        </w:rPr>
        <w:t>La operacionalización de la variable CSG y sus dimensiones se presentan en la Tabla 1.</w:t>
      </w:r>
    </w:p>
    <w:p w14:paraId="0736A4C7" w14:textId="77777777" w:rsidR="006468CC" w:rsidRDefault="006468CC">
      <w:pPr>
        <w:spacing w:line="360" w:lineRule="auto"/>
        <w:ind w:firstLine="708"/>
        <w:rPr>
          <w:szCs w:val="24"/>
        </w:rPr>
      </w:pPr>
    </w:p>
    <w:p w14:paraId="117FDBF2" w14:textId="77777777" w:rsidR="00311A64" w:rsidRDefault="00EC1CAF" w:rsidP="00EC6DFC">
      <w:pPr>
        <w:pStyle w:val="Descripcin"/>
        <w:spacing w:after="0" w:line="360" w:lineRule="auto"/>
        <w:jc w:val="center"/>
        <w:rPr>
          <w:b/>
          <w:bCs/>
          <w:i w:val="0"/>
          <w:iCs w:val="0"/>
          <w:color w:val="auto"/>
          <w:sz w:val="24"/>
          <w:szCs w:val="24"/>
        </w:rPr>
      </w:pPr>
      <w:r>
        <w:rPr>
          <w:b/>
          <w:bCs/>
          <w:i w:val="0"/>
          <w:iCs w:val="0"/>
          <w:color w:val="auto"/>
          <w:sz w:val="24"/>
          <w:szCs w:val="24"/>
        </w:rPr>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1</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Dimensiones de la Calidad en un Sistema de Gestión de acuerdo con la Norma ISO 9001:2015</w:t>
      </w:r>
    </w:p>
    <w:tbl>
      <w:tblPr>
        <w:tblStyle w:val="Tabladelista6concolores1"/>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3826"/>
        <w:gridCol w:w="1419"/>
        <w:gridCol w:w="2114"/>
      </w:tblGrid>
      <w:tr w:rsidR="00311A64" w:rsidRPr="006468CC" w14:paraId="5A2D3614" w14:textId="77777777" w:rsidTr="006468C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auto"/>
          </w:tcPr>
          <w:p w14:paraId="71258078" w14:textId="77777777" w:rsidR="00311A64" w:rsidRPr="006468CC" w:rsidRDefault="00EC1CAF">
            <w:pPr>
              <w:spacing w:line="240" w:lineRule="auto"/>
              <w:rPr>
                <w:rFonts w:eastAsia="Calibri"/>
                <w:b w:val="0"/>
                <w:bCs w:val="0"/>
                <w:color w:val="000000"/>
              </w:rPr>
            </w:pPr>
            <w:r w:rsidRPr="006468CC">
              <w:rPr>
                <w:rFonts w:eastAsia="Calibri"/>
                <w:b w:val="0"/>
                <w:bCs w:val="0"/>
                <w:color w:val="000000"/>
              </w:rPr>
              <w:t>Variable</w:t>
            </w:r>
          </w:p>
        </w:tc>
        <w:tc>
          <w:tcPr>
            <w:tcW w:w="3826" w:type="dxa"/>
            <w:tcBorders>
              <w:bottom w:val="none" w:sz="0" w:space="0" w:color="auto"/>
            </w:tcBorders>
            <w:shd w:val="clear" w:color="auto" w:fill="auto"/>
          </w:tcPr>
          <w:p w14:paraId="46BE6637"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000000"/>
              </w:rPr>
            </w:pPr>
            <w:r w:rsidRPr="006468CC">
              <w:rPr>
                <w:rFonts w:eastAsia="Calibri"/>
                <w:b w:val="0"/>
                <w:bCs w:val="0"/>
                <w:color w:val="000000"/>
              </w:rPr>
              <w:t xml:space="preserve">Dimensión </w:t>
            </w:r>
          </w:p>
        </w:tc>
        <w:tc>
          <w:tcPr>
            <w:tcW w:w="1419" w:type="dxa"/>
            <w:tcBorders>
              <w:bottom w:val="none" w:sz="0" w:space="0" w:color="auto"/>
            </w:tcBorders>
            <w:shd w:val="clear" w:color="auto" w:fill="auto"/>
          </w:tcPr>
          <w:p w14:paraId="1164381B"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000000"/>
              </w:rPr>
            </w:pPr>
            <w:r w:rsidRPr="006468CC">
              <w:rPr>
                <w:rFonts w:eastAsia="Calibri"/>
                <w:b w:val="0"/>
                <w:bCs w:val="0"/>
                <w:color w:val="000000"/>
              </w:rPr>
              <w:t xml:space="preserve">No. Ítems </w:t>
            </w:r>
          </w:p>
        </w:tc>
        <w:tc>
          <w:tcPr>
            <w:tcW w:w="2114" w:type="dxa"/>
            <w:tcBorders>
              <w:bottom w:val="none" w:sz="0" w:space="0" w:color="auto"/>
            </w:tcBorders>
            <w:shd w:val="clear" w:color="auto" w:fill="auto"/>
          </w:tcPr>
          <w:p w14:paraId="4CC91B68" w14:textId="77777777" w:rsidR="00311A64" w:rsidRPr="006468CC" w:rsidRDefault="00EC1CAF">
            <w:pPr>
              <w:spacing w:line="240" w:lineRule="auto"/>
              <w:jc w:val="left"/>
              <w:cnfStyle w:val="100000000000" w:firstRow="1" w:lastRow="0" w:firstColumn="0" w:lastColumn="0" w:oddVBand="0" w:evenVBand="0" w:oddHBand="0" w:evenHBand="0" w:firstRowFirstColumn="0" w:firstRowLastColumn="0" w:lastRowFirstColumn="0" w:lastRowLastColumn="0"/>
              <w:rPr>
                <w:rFonts w:eastAsia="Calibri"/>
                <w:b w:val="0"/>
                <w:bCs w:val="0"/>
                <w:color w:val="000000"/>
              </w:rPr>
            </w:pPr>
            <w:r w:rsidRPr="006468CC">
              <w:rPr>
                <w:rFonts w:eastAsia="Calibri"/>
                <w:b w:val="0"/>
                <w:bCs w:val="0"/>
                <w:color w:val="000000"/>
              </w:rPr>
              <w:t xml:space="preserve">No. de pregunta en el instrumento </w:t>
            </w:r>
          </w:p>
        </w:tc>
      </w:tr>
      <w:tr w:rsidR="00311A64" w:rsidRPr="006468CC" w14:paraId="44C3E6DF" w14:textId="77777777" w:rsidTr="006468C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auto"/>
          </w:tcPr>
          <w:p w14:paraId="13807A2E" w14:textId="77777777" w:rsidR="00311A64" w:rsidRPr="006468CC" w:rsidRDefault="00EC1CAF">
            <w:pPr>
              <w:spacing w:line="240" w:lineRule="auto"/>
              <w:jc w:val="left"/>
              <w:rPr>
                <w:rFonts w:eastAsia="Calibri"/>
                <w:b w:val="0"/>
                <w:bCs w:val="0"/>
                <w:color w:val="000000"/>
              </w:rPr>
            </w:pPr>
            <w:r w:rsidRPr="006468CC">
              <w:rPr>
                <w:rFonts w:eastAsia="Calibri"/>
                <w:b w:val="0"/>
                <w:bCs w:val="0"/>
                <w:color w:val="000000"/>
              </w:rPr>
              <w:t>Calidad en un Sistema de Gestión de acuerdo con la Norma ISO 9001:2015</w:t>
            </w:r>
          </w:p>
        </w:tc>
        <w:tc>
          <w:tcPr>
            <w:tcW w:w="3826" w:type="dxa"/>
            <w:shd w:val="clear" w:color="auto" w:fill="auto"/>
          </w:tcPr>
          <w:p w14:paraId="42DBF32E"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Contexto de la organización</w:t>
            </w:r>
          </w:p>
        </w:tc>
        <w:tc>
          <w:tcPr>
            <w:tcW w:w="1419" w:type="dxa"/>
            <w:shd w:val="clear" w:color="auto" w:fill="auto"/>
          </w:tcPr>
          <w:p w14:paraId="0B0CF59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20</w:t>
            </w:r>
          </w:p>
        </w:tc>
        <w:tc>
          <w:tcPr>
            <w:tcW w:w="2114" w:type="dxa"/>
            <w:shd w:val="clear" w:color="auto" w:fill="auto"/>
          </w:tcPr>
          <w:p w14:paraId="0B367F7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1-20</w:t>
            </w:r>
          </w:p>
        </w:tc>
      </w:tr>
      <w:tr w:rsidR="00311A64" w:rsidRPr="006468CC" w14:paraId="2E2D445A" w14:textId="77777777" w:rsidTr="006468CC">
        <w:trPr>
          <w:trHeight w:val="21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2A7CC42B"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0F7E6038"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Liderazgo</w:t>
            </w:r>
          </w:p>
        </w:tc>
        <w:tc>
          <w:tcPr>
            <w:tcW w:w="1419" w:type="dxa"/>
            <w:shd w:val="clear" w:color="auto" w:fill="auto"/>
          </w:tcPr>
          <w:p w14:paraId="7E3DF977"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30</w:t>
            </w:r>
          </w:p>
        </w:tc>
        <w:tc>
          <w:tcPr>
            <w:tcW w:w="2114" w:type="dxa"/>
            <w:shd w:val="clear" w:color="auto" w:fill="auto"/>
          </w:tcPr>
          <w:p w14:paraId="2A98421E"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21-50</w:t>
            </w:r>
          </w:p>
        </w:tc>
      </w:tr>
      <w:tr w:rsidR="00311A64" w:rsidRPr="006468CC" w14:paraId="52D82BF1" w14:textId="77777777" w:rsidTr="006468C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19A4072A"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44B3A143"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Planificación</w:t>
            </w:r>
          </w:p>
        </w:tc>
        <w:tc>
          <w:tcPr>
            <w:tcW w:w="1419" w:type="dxa"/>
            <w:shd w:val="clear" w:color="auto" w:fill="auto"/>
          </w:tcPr>
          <w:p w14:paraId="3A3E5A5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28</w:t>
            </w:r>
          </w:p>
        </w:tc>
        <w:tc>
          <w:tcPr>
            <w:tcW w:w="2114" w:type="dxa"/>
            <w:shd w:val="clear" w:color="auto" w:fill="auto"/>
          </w:tcPr>
          <w:p w14:paraId="051D5F2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51-78</w:t>
            </w:r>
          </w:p>
        </w:tc>
      </w:tr>
      <w:tr w:rsidR="00311A64" w:rsidRPr="006468CC" w14:paraId="277BC00D" w14:textId="77777777" w:rsidTr="006468CC">
        <w:trPr>
          <w:trHeight w:val="22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4A1A8F0C"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77EE98AC"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Apoyo</w:t>
            </w:r>
          </w:p>
        </w:tc>
        <w:tc>
          <w:tcPr>
            <w:tcW w:w="1419" w:type="dxa"/>
            <w:shd w:val="clear" w:color="auto" w:fill="auto"/>
          </w:tcPr>
          <w:p w14:paraId="1763EC1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50</w:t>
            </w:r>
          </w:p>
        </w:tc>
        <w:tc>
          <w:tcPr>
            <w:tcW w:w="2114" w:type="dxa"/>
            <w:shd w:val="clear" w:color="auto" w:fill="auto"/>
          </w:tcPr>
          <w:p w14:paraId="6F6597C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79-128</w:t>
            </w:r>
          </w:p>
        </w:tc>
      </w:tr>
      <w:tr w:rsidR="00311A64" w:rsidRPr="006468CC" w14:paraId="79E34BCE" w14:textId="77777777" w:rsidTr="006468C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51836CCB"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39F178D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Operación</w:t>
            </w:r>
          </w:p>
        </w:tc>
        <w:tc>
          <w:tcPr>
            <w:tcW w:w="1419" w:type="dxa"/>
            <w:shd w:val="clear" w:color="auto" w:fill="auto"/>
          </w:tcPr>
          <w:p w14:paraId="7FB4D84B"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122</w:t>
            </w:r>
          </w:p>
        </w:tc>
        <w:tc>
          <w:tcPr>
            <w:tcW w:w="2114" w:type="dxa"/>
            <w:shd w:val="clear" w:color="auto" w:fill="auto"/>
          </w:tcPr>
          <w:p w14:paraId="57DAA470"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129-250</w:t>
            </w:r>
          </w:p>
        </w:tc>
      </w:tr>
      <w:tr w:rsidR="00311A64" w:rsidRPr="006468CC" w14:paraId="3F932D90" w14:textId="77777777" w:rsidTr="006468CC">
        <w:trPr>
          <w:trHeight w:val="224"/>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1FE005FD"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705280F7"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Evaluación del desempeño</w:t>
            </w:r>
          </w:p>
        </w:tc>
        <w:tc>
          <w:tcPr>
            <w:tcW w:w="1419" w:type="dxa"/>
            <w:shd w:val="clear" w:color="auto" w:fill="auto"/>
          </w:tcPr>
          <w:p w14:paraId="282A7D9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42</w:t>
            </w:r>
          </w:p>
        </w:tc>
        <w:tc>
          <w:tcPr>
            <w:tcW w:w="2114" w:type="dxa"/>
            <w:shd w:val="clear" w:color="auto" w:fill="auto"/>
          </w:tcPr>
          <w:p w14:paraId="011FE4A5"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6468CC">
              <w:rPr>
                <w:rFonts w:eastAsia="Calibri"/>
                <w:color w:val="000000"/>
              </w:rPr>
              <w:t>251-292</w:t>
            </w:r>
          </w:p>
        </w:tc>
      </w:tr>
      <w:tr w:rsidR="00311A64" w:rsidRPr="006468CC" w14:paraId="0534C5E2" w14:textId="77777777" w:rsidTr="006468C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auto"/>
          </w:tcPr>
          <w:p w14:paraId="0C47B9D2" w14:textId="77777777" w:rsidR="00311A64" w:rsidRPr="006468CC" w:rsidRDefault="00311A64">
            <w:pPr>
              <w:spacing w:line="240" w:lineRule="auto"/>
              <w:rPr>
                <w:rFonts w:eastAsia="Calibri"/>
                <w:b w:val="0"/>
                <w:bCs w:val="0"/>
                <w:color w:val="000000"/>
              </w:rPr>
            </w:pPr>
          </w:p>
        </w:tc>
        <w:tc>
          <w:tcPr>
            <w:tcW w:w="3826" w:type="dxa"/>
            <w:shd w:val="clear" w:color="auto" w:fill="auto"/>
          </w:tcPr>
          <w:p w14:paraId="36B05753"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Mejora</w:t>
            </w:r>
          </w:p>
        </w:tc>
        <w:tc>
          <w:tcPr>
            <w:tcW w:w="1419" w:type="dxa"/>
            <w:shd w:val="clear" w:color="auto" w:fill="auto"/>
          </w:tcPr>
          <w:p w14:paraId="2612E12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24</w:t>
            </w:r>
          </w:p>
        </w:tc>
        <w:tc>
          <w:tcPr>
            <w:tcW w:w="2114" w:type="dxa"/>
            <w:shd w:val="clear" w:color="auto" w:fill="auto"/>
          </w:tcPr>
          <w:p w14:paraId="3D551C8B"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6468CC">
              <w:rPr>
                <w:rFonts w:eastAsia="Calibri"/>
                <w:color w:val="000000"/>
              </w:rPr>
              <w:t>293-316</w:t>
            </w:r>
          </w:p>
        </w:tc>
      </w:tr>
    </w:tbl>
    <w:p w14:paraId="54982A38" w14:textId="30E3CBFD" w:rsidR="00311A64" w:rsidRDefault="00EC1CAF" w:rsidP="006468CC">
      <w:pPr>
        <w:spacing w:line="360" w:lineRule="auto"/>
        <w:jc w:val="center"/>
      </w:pPr>
      <w:r>
        <w:t>Fuente: Elaboración propia</w:t>
      </w:r>
      <w:bookmarkStart w:id="10" w:name="_Hlk107542438"/>
      <w:bookmarkEnd w:id="10"/>
    </w:p>
    <w:p w14:paraId="6C988C3E" w14:textId="77777777" w:rsidR="00311A64" w:rsidRDefault="00EC1CAF">
      <w:pPr>
        <w:spacing w:line="360" w:lineRule="auto"/>
        <w:ind w:firstLine="708"/>
      </w:pPr>
      <w:r>
        <w:t>Para la variable de OSGC, se presentan sus dimensiones en la tabla 2.</w:t>
      </w:r>
    </w:p>
    <w:p w14:paraId="0A0C5403" w14:textId="77777777" w:rsidR="006468CC" w:rsidRDefault="006468CC">
      <w:pPr>
        <w:spacing w:line="360" w:lineRule="auto"/>
        <w:ind w:firstLine="708"/>
      </w:pPr>
    </w:p>
    <w:p w14:paraId="0D08854C" w14:textId="77777777" w:rsidR="006468CC" w:rsidRDefault="006468CC">
      <w:pPr>
        <w:spacing w:line="360" w:lineRule="auto"/>
        <w:ind w:firstLine="708"/>
      </w:pPr>
    </w:p>
    <w:p w14:paraId="49CDC6A0" w14:textId="77777777" w:rsidR="006468CC" w:rsidRDefault="006468CC">
      <w:pPr>
        <w:spacing w:line="360" w:lineRule="auto"/>
        <w:ind w:firstLine="708"/>
      </w:pPr>
    </w:p>
    <w:p w14:paraId="07D3A4B3" w14:textId="77777777" w:rsidR="006468CC" w:rsidRDefault="006468CC">
      <w:pPr>
        <w:spacing w:line="360" w:lineRule="auto"/>
        <w:ind w:firstLine="708"/>
      </w:pPr>
    </w:p>
    <w:p w14:paraId="155532EC" w14:textId="77777777" w:rsidR="006468CC" w:rsidRDefault="006468CC">
      <w:pPr>
        <w:spacing w:line="360" w:lineRule="auto"/>
        <w:ind w:firstLine="708"/>
      </w:pPr>
    </w:p>
    <w:p w14:paraId="114F9EC2" w14:textId="77777777" w:rsidR="006468CC" w:rsidRDefault="006468CC">
      <w:pPr>
        <w:spacing w:line="360" w:lineRule="auto"/>
        <w:ind w:firstLine="708"/>
      </w:pPr>
    </w:p>
    <w:p w14:paraId="4E821BE6" w14:textId="77777777" w:rsidR="00EC6DFC" w:rsidRDefault="00EC6DFC">
      <w:pPr>
        <w:spacing w:line="360" w:lineRule="auto"/>
        <w:ind w:firstLine="708"/>
      </w:pPr>
    </w:p>
    <w:p w14:paraId="334927ED" w14:textId="77777777" w:rsidR="00311A64" w:rsidRDefault="00EC1CAF">
      <w:pPr>
        <w:pStyle w:val="Descripcin"/>
        <w:spacing w:line="360" w:lineRule="auto"/>
        <w:jc w:val="center"/>
        <w:rPr>
          <w:b/>
          <w:bCs/>
          <w:i w:val="0"/>
          <w:iCs w:val="0"/>
          <w:color w:val="auto"/>
          <w:sz w:val="24"/>
          <w:szCs w:val="24"/>
        </w:rPr>
      </w:pPr>
      <w:r>
        <w:rPr>
          <w:b/>
          <w:bCs/>
          <w:i w:val="0"/>
          <w:iCs w:val="0"/>
          <w:color w:val="auto"/>
          <w:sz w:val="24"/>
          <w:szCs w:val="24"/>
        </w:rPr>
        <w:lastRenderedPageBreak/>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2</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Dimensiones de la Operación de un SGC del instrumento “para medir la operación con base en el capítulo ocho de la norma ISO 9001:2015”</w:t>
      </w:r>
    </w:p>
    <w:tbl>
      <w:tblPr>
        <w:tblStyle w:val="Tabladelista21"/>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4869"/>
        <w:gridCol w:w="993"/>
        <w:gridCol w:w="1845"/>
      </w:tblGrid>
      <w:tr w:rsidR="00311A64" w:rsidRPr="006468CC" w14:paraId="29F66D13" w14:textId="77777777" w:rsidTr="006468C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47" w:type="dxa"/>
            <w:shd w:val="clear" w:color="auto" w:fill="auto"/>
          </w:tcPr>
          <w:p w14:paraId="188D7D40" w14:textId="77777777" w:rsidR="00311A64" w:rsidRPr="006468CC" w:rsidRDefault="00EC1CAF">
            <w:pPr>
              <w:spacing w:line="240" w:lineRule="auto"/>
              <w:rPr>
                <w:rFonts w:eastAsia="Calibri"/>
                <w:b w:val="0"/>
                <w:bCs w:val="0"/>
              </w:rPr>
            </w:pPr>
            <w:r w:rsidRPr="006468CC">
              <w:rPr>
                <w:rFonts w:eastAsia="Calibri"/>
                <w:b w:val="0"/>
                <w:bCs w:val="0"/>
              </w:rPr>
              <w:t>Variable</w:t>
            </w:r>
          </w:p>
        </w:tc>
        <w:tc>
          <w:tcPr>
            <w:tcW w:w="4868" w:type="dxa"/>
            <w:shd w:val="clear" w:color="auto" w:fill="auto"/>
          </w:tcPr>
          <w:p w14:paraId="070AC50A"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rFonts w:eastAsia="Calibri"/>
                <w:b w:val="0"/>
                <w:bCs w:val="0"/>
              </w:rPr>
            </w:pPr>
            <w:r w:rsidRPr="006468CC">
              <w:rPr>
                <w:rFonts w:eastAsia="Calibri"/>
                <w:b w:val="0"/>
                <w:bCs w:val="0"/>
              </w:rPr>
              <w:t xml:space="preserve">Dimensión </w:t>
            </w:r>
          </w:p>
        </w:tc>
        <w:tc>
          <w:tcPr>
            <w:tcW w:w="993" w:type="dxa"/>
            <w:shd w:val="clear" w:color="auto" w:fill="auto"/>
          </w:tcPr>
          <w:p w14:paraId="4335BA5E"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rFonts w:eastAsia="Calibri"/>
                <w:b w:val="0"/>
                <w:bCs w:val="0"/>
              </w:rPr>
            </w:pPr>
            <w:r w:rsidRPr="006468CC">
              <w:rPr>
                <w:rFonts w:eastAsia="Calibri"/>
                <w:b w:val="0"/>
                <w:bCs w:val="0"/>
              </w:rPr>
              <w:t xml:space="preserve">No. Ítems </w:t>
            </w:r>
          </w:p>
        </w:tc>
        <w:tc>
          <w:tcPr>
            <w:tcW w:w="1845" w:type="dxa"/>
            <w:shd w:val="clear" w:color="auto" w:fill="auto"/>
          </w:tcPr>
          <w:p w14:paraId="7F3B88A7" w14:textId="77777777" w:rsidR="00311A64" w:rsidRPr="006468CC" w:rsidRDefault="00EC1CAF">
            <w:pPr>
              <w:spacing w:line="240" w:lineRule="auto"/>
              <w:jc w:val="left"/>
              <w:cnfStyle w:val="100000000000" w:firstRow="1" w:lastRow="0" w:firstColumn="0" w:lastColumn="0" w:oddVBand="0" w:evenVBand="0" w:oddHBand="0" w:evenHBand="0" w:firstRowFirstColumn="0" w:firstRowLastColumn="0" w:lastRowFirstColumn="0" w:lastRowLastColumn="0"/>
              <w:rPr>
                <w:rFonts w:eastAsia="Calibri"/>
                <w:b w:val="0"/>
                <w:bCs w:val="0"/>
              </w:rPr>
            </w:pPr>
            <w:r w:rsidRPr="006468CC">
              <w:rPr>
                <w:rFonts w:eastAsia="Calibri"/>
                <w:b w:val="0"/>
                <w:bCs w:val="0"/>
              </w:rPr>
              <w:t xml:space="preserve">No. de pregunta en el instrumento </w:t>
            </w:r>
          </w:p>
        </w:tc>
      </w:tr>
      <w:tr w:rsidR="00311A64" w:rsidRPr="006468CC" w14:paraId="4418A2B8" w14:textId="77777777" w:rsidTr="006468C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647" w:type="dxa"/>
            <w:vMerge w:val="restart"/>
            <w:shd w:val="clear" w:color="auto" w:fill="auto"/>
          </w:tcPr>
          <w:p w14:paraId="6DC335DC" w14:textId="77777777" w:rsidR="00311A64" w:rsidRPr="006468CC" w:rsidRDefault="00EC1CAF">
            <w:pPr>
              <w:spacing w:line="240" w:lineRule="auto"/>
              <w:rPr>
                <w:rFonts w:eastAsia="Calibri"/>
                <w:b w:val="0"/>
                <w:bCs w:val="0"/>
              </w:rPr>
            </w:pPr>
            <w:r w:rsidRPr="006468CC">
              <w:rPr>
                <w:rFonts w:eastAsia="Calibri"/>
                <w:b w:val="0"/>
                <w:bCs w:val="0"/>
              </w:rPr>
              <w:t>Operación de un SGC</w:t>
            </w:r>
          </w:p>
        </w:tc>
        <w:tc>
          <w:tcPr>
            <w:tcW w:w="4868" w:type="dxa"/>
            <w:shd w:val="clear" w:color="auto" w:fill="auto"/>
          </w:tcPr>
          <w:p w14:paraId="74F62F75"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Planificación y control operacional</w:t>
            </w:r>
          </w:p>
        </w:tc>
        <w:tc>
          <w:tcPr>
            <w:tcW w:w="993" w:type="dxa"/>
            <w:shd w:val="clear" w:color="auto" w:fill="auto"/>
          </w:tcPr>
          <w:p w14:paraId="2387832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12</w:t>
            </w:r>
          </w:p>
        </w:tc>
        <w:tc>
          <w:tcPr>
            <w:tcW w:w="1845" w:type="dxa"/>
            <w:shd w:val="clear" w:color="auto" w:fill="auto"/>
          </w:tcPr>
          <w:p w14:paraId="20BE6AE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1-12</w:t>
            </w:r>
          </w:p>
        </w:tc>
      </w:tr>
      <w:tr w:rsidR="00311A64" w:rsidRPr="006468CC" w14:paraId="45C36D57" w14:textId="77777777" w:rsidTr="006468CC">
        <w:trPr>
          <w:trHeight w:val="181"/>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00275586" w14:textId="77777777" w:rsidR="00311A64" w:rsidRPr="006468CC" w:rsidRDefault="00311A64">
            <w:pPr>
              <w:spacing w:line="240" w:lineRule="auto"/>
              <w:rPr>
                <w:rFonts w:eastAsia="Calibri"/>
                <w:b w:val="0"/>
                <w:bCs w:val="0"/>
              </w:rPr>
            </w:pPr>
          </w:p>
        </w:tc>
        <w:tc>
          <w:tcPr>
            <w:tcW w:w="4868" w:type="dxa"/>
            <w:shd w:val="clear" w:color="auto" w:fill="auto"/>
          </w:tcPr>
          <w:p w14:paraId="00089FA5"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Requisitos para los productos y servicios</w:t>
            </w:r>
          </w:p>
        </w:tc>
        <w:tc>
          <w:tcPr>
            <w:tcW w:w="993" w:type="dxa"/>
            <w:shd w:val="clear" w:color="auto" w:fill="auto"/>
          </w:tcPr>
          <w:p w14:paraId="65E125A0"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19</w:t>
            </w:r>
          </w:p>
        </w:tc>
        <w:tc>
          <w:tcPr>
            <w:tcW w:w="1845" w:type="dxa"/>
            <w:shd w:val="clear" w:color="auto" w:fill="auto"/>
          </w:tcPr>
          <w:p w14:paraId="096D6B8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13-31</w:t>
            </w:r>
          </w:p>
        </w:tc>
      </w:tr>
      <w:tr w:rsidR="00311A64" w:rsidRPr="006468CC" w14:paraId="0FA03082" w14:textId="77777777" w:rsidTr="006468CC">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75468522" w14:textId="77777777" w:rsidR="00311A64" w:rsidRPr="006468CC" w:rsidRDefault="00311A64">
            <w:pPr>
              <w:spacing w:line="240" w:lineRule="auto"/>
              <w:rPr>
                <w:rFonts w:eastAsia="Calibri"/>
                <w:b w:val="0"/>
                <w:bCs w:val="0"/>
              </w:rPr>
            </w:pPr>
          </w:p>
        </w:tc>
        <w:tc>
          <w:tcPr>
            <w:tcW w:w="4868" w:type="dxa"/>
            <w:shd w:val="clear" w:color="auto" w:fill="auto"/>
          </w:tcPr>
          <w:p w14:paraId="2D6E6416"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Diseño y desarrollo de los productos y servicios</w:t>
            </w:r>
          </w:p>
        </w:tc>
        <w:tc>
          <w:tcPr>
            <w:tcW w:w="993" w:type="dxa"/>
            <w:shd w:val="clear" w:color="auto" w:fill="auto"/>
          </w:tcPr>
          <w:p w14:paraId="7F0267D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34</w:t>
            </w:r>
          </w:p>
        </w:tc>
        <w:tc>
          <w:tcPr>
            <w:tcW w:w="1845" w:type="dxa"/>
            <w:shd w:val="clear" w:color="auto" w:fill="auto"/>
          </w:tcPr>
          <w:p w14:paraId="1A56D117"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32-65</w:t>
            </w:r>
          </w:p>
        </w:tc>
      </w:tr>
      <w:tr w:rsidR="00311A64" w:rsidRPr="006468CC" w14:paraId="42574F26" w14:textId="77777777" w:rsidTr="006468CC">
        <w:trPr>
          <w:trHeight w:val="194"/>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0F7193D7" w14:textId="77777777" w:rsidR="00311A64" w:rsidRPr="006468CC" w:rsidRDefault="00311A64">
            <w:pPr>
              <w:spacing w:line="240" w:lineRule="auto"/>
              <w:rPr>
                <w:rFonts w:eastAsia="Calibri"/>
                <w:b w:val="0"/>
                <w:bCs w:val="0"/>
              </w:rPr>
            </w:pPr>
          </w:p>
        </w:tc>
        <w:tc>
          <w:tcPr>
            <w:tcW w:w="4868" w:type="dxa"/>
            <w:shd w:val="clear" w:color="auto" w:fill="auto"/>
          </w:tcPr>
          <w:p w14:paraId="134163D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Control de los procesos, productos y servicios suministrados externamente</w:t>
            </w:r>
          </w:p>
        </w:tc>
        <w:tc>
          <w:tcPr>
            <w:tcW w:w="993" w:type="dxa"/>
            <w:shd w:val="clear" w:color="auto" w:fill="auto"/>
          </w:tcPr>
          <w:p w14:paraId="4E9F120E"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21</w:t>
            </w:r>
          </w:p>
        </w:tc>
        <w:tc>
          <w:tcPr>
            <w:tcW w:w="1845" w:type="dxa"/>
            <w:shd w:val="clear" w:color="auto" w:fill="auto"/>
          </w:tcPr>
          <w:p w14:paraId="478487B7"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66-86</w:t>
            </w:r>
          </w:p>
        </w:tc>
      </w:tr>
      <w:tr w:rsidR="00311A64" w:rsidRPr="006468CC" w14:paraId="4C10E1A2" w14:textId="77777777" w:rsidTr="006468C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2A842C37" w14:textId="77777777" w:rsidR="00311A64" w:rsidRPr="006468CC" w:rsidRDefault="00311A64">
            <w:pPr>
              <w:spacing w:line="240" w:lineRule="auto"/>
              <w:rPr>
                <w:rFonts w:eastAsia="Calibri"/>
                <w:b w:val="0"/>
                <w:bCs w:val="0"/>
              </w:rPr>
            </w:pPr>
          </w:p>
        </w:tc>
        <w:tc>
          <w:tcPr>
            <w:tcW w:w="4868" w:type="dxa"/>
            <w:shd w:val="clear" w:color="auto" w:fill="auto"/>
          </w:tcPr>
          <w:p w14:paraId="2BA0F16E"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Producción y provisión del servicio</w:t>
            </w:r>
          </w:p>
        </w:tc>
        <w:tc>
          <w:tcPr>
            <w:tcW w:w="993" w:type="dxa"/>
            <w:shd w:val="clear" w:color="auto" w:fill="auto"/>
          </w:tcPr>
          <w:p w14:paraId="585ACC5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27</w:t>
            </w:r>
          </w:p>
        </w:tc>
        <w:tc>
          <w:tcPr>
            <w:tcW w:w="1845" w:type="dxa"/>
            <w:shd w:val="clear" w:color="auto" w:fill="auto"/>
          </w:tcPr>
          <w:p w14:paraId="2E5D4AF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87-113</w:t>
            </w:r>
          </w:p>
        </w:tc>
      </w:tr>
      <w:tr w:rsidR="00311A64" w:rsidRPr="006468CC" w14:paraId="6A83664A" w14:textId="77777777" w:rsidTr="006468CC">
        <w:trPr>
          <w:trHeight w:val="194"/>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3EACD4C6" w14:textId="77777777" w:rsidR="00311A64" w:rsidRPr="006468CC" w:rsidRDefault="00311A64">
            <w:pPr>
              <w:spacing w:line="240" w:lineRule="auto"/>
              <w:rPr>
                <w:rFonts w:eastAsia="Calibri"/>
                <w:b w:val="0"/>
                <w:bCs w:val="0"/>
              </w:rPr>
            </w:pPr>
          </w:p>
        </w:tc>
        <w:tc>
          <w:tcPr>
            <w:tcW w:w="4868" w:type="dxa"/>
            <w:shd w:val="clear" w:color="auto" w:fill="auto"/>
          </w:tcPr>
          <w:p w14:paraId="076B905E"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Liberación de los productos y servicios</w:t>
            </w:r>
          </w:p>
        </w:tc>
        <w:tc>
          <w:tcPr>
            <w:tcW w:w="993" w:type="dxa"/>
            <w:shd w:val="clear" w:color="auto" w:fill="auto"/>
          </w:tcPr>
          <w:p w14:paraId="448E10DC"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4</w:t>
            </w:r>
          </w:p>
        </w:tc>
        <w:tc>
          <w:tcPr>
            <w:tcW w:w="1845" w:type="dxa"/>
            <w:shd w:val="clear" w:color="auto" w:fill="auto"/>
          </w:tcPr>
          <w:p w14:paraId="19298FEE"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6468CC">
              <w:rPr>
                <w:rFonts w:eastAsia="Calibri"/>
              </w:rPr>
              <w:t>114-117</w:t>
            </w:r>
          </w:p>
        </w:tc>
      </w:tr>
      <w:tr w:rsidR="00311A64" w:rsidRPr="006468CC" w14:paraId="75569F86" w14:textId="77777777" w:rsidTr="006468C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647" w:type="dxa"/>
            <w:vMerge/>
            <w:shd w:val="clear" w:color="auto" w:fill="auto"/>
          </w:tcPr>
          <w:p w14:paraId="4DF81400" w14:textId="77777777" w:rsidR="00311A64" w:rsidRPr="006468CC" w:rsidRDefault="00311A64">
            <w:pPr>
              <w:spacing w:line="240" w:lineRule="auto"/>
              <w:rPr>
                <w:rFonts w:eastAsia="Calibri"/>
                <w:b w:val="0"/>
                <w:bCs w:val="0"/>
              </w:rPr>
            </w:pPr>
          </w:p>
        </w:tc>
        <w:tc>
          <w:tcPr>
            <w:tcW w:w="4868" w:type="dxa"/>
            <w:shd w:val="clear" w:color="auto" w:fill="auto"/>
          </w:tcPr>
          <w:p w14:paraId="41242C27"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Control de las salidas no conformes</w:t>
            </w:r>
          </w:p>
        </w:tc>
        <w:tc>
          <w:tcPr>
            <w:tcW w:w="993" w:type="dxa"/>
            <w:shd w:val="clear" w:color="auto" w:fill="auto"/>
          </w:tcPr>
          <w:p w14:paraId="23BE9A14"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5</w:t>
            </w:r>
          </w:p>
        </w:tc>
        <w:tc>
          <w:tcPr>
            <w:tcW w:w="1845" w:type="dxa"/>
            <w:shd w:val="clear" w:color="auto" w:fill="auto"/>
          </w:tcPr>
          <w:p w14:paraId="6229B6C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rFonts w:eastAsia="Calibri"/>
              </w:rPr>
            </w:pPr>
            <w:r w:rsidRPr="006468CC">
              <w:rPr>
                <w:rFonts w:eastAsia="Calibri"/>
              </w:rPr>
              <w:t>118-122</w:t>
            </w:r>
          </w:p>
        </w:tc>
      </w:tr>
    </w:tbl>
    <w:p w14:paraId="1732DBB5" w14:textId="77777777" w:rsidR="00311A64" w:rsidRDefault="00EC1CAF" w:rsidP="006468CC">
      <w:pPr>
        <w:spacing w:line="360" w:lineRule="auto"/>
        <w:jc w:val="center"/>
      </w:pPr>
      <w:r>
        <w:t>Fuente: Elaboración propia.</w:t>
      </w:r>
      <w:bookmarkStart w:id="11" w:name="_Hlk107542460"/>
      <w:bookmarkEnd w:id="11"/>
    </w:p>
    <w:p w14:paraId="7D4FF064" w14:textId="77777777" w:rsidR="006468CC" w:rsidRDefault="006468CC" w:rsidP="00EC6DFC">
      <w:pPr>
        <w:pStyle w:val="Ttulo2"/>
        <w:spacing w:before="0"/>
        <w:ind w:left="0"/>
        <w:jc w:val="left"/>
      </w:pPr>
    </w:p>
    <w:p w14:paraId="15236455" w14:textId="44BC0D1D" w:rsidR="00311A64" w:rsidRPr="006468CC" w:rsidRDefault="00EC1CAF" w:rsidP="006468CC">
      <w:pPr>
        <w:pStyle w:val="Ttulo2"/>
        <w:spacing w:before="0" w:line="360" w:lineRule="auto"/>
        <w:ind w:left="0"/>
        <w:jc w:val="center"/>
        <w:rPr>
          <w:i w:val="0"/>
          <w:iCs w:val="0"/>
          <w:sz w:val="28"/>
          <w:szCs w:val="28"/>
        </w:rPr>
      </w:pPr>
      <w:r w:rsidRPr="006468CC">
        <w:rPr>
          <w:i w:val="0"/>
          <w:iCs w:val="0"/>
          <w:sz w:val="28"/>
          <w:szCs w:val="28"/>
        </w:rPr>
        <w:t>Participantes</w:t>
      </w:r>
    </w:p>
    <w:p w14:paraId="09CCBF7D" w14:textId="77777777" w:rsidR="00311A64" w:rsidRDefault="00EC1CAF" w:rsidP="006468CC">
      <w:pPr>
        <w:pStyle w:val="Ttulo2"/>
        <w:spacing w:before="0" w:line="360" w:lineRule="auto"/>
        <w:ind w:left="0"/>
        <w:rPr>
          <w:b w:val="0"/>
          <w:i w:val="0"/>
          <w:iCs w:val="0"/>
        </w:rPr>
      </w:pPr>
      <w:r>
        <w:rPr>
          <w:b w:val="0"/>
          <w:i w:val="0"/>
          <w:iCs w:val="0"/>
        </w:rPr>
        <w:t>El alcance del estudio abarca a los usuarios de procesos certificados en ISO 9001:2015 dentro del Sistema de Gestión de la Calidad (SGC) de una Institución de Educación Superior (IES) en el estado de Durango, México. Esto incluye a directivos, encargados de área, coordinadores, jefes de departamento, docentes y personal administrativo. Se utilizó una escala ordinal para clasificar los valores y su percepción, que varía desde muy baja, baja, media, alta, hasta muy alta.</w:t>
      </w:r>
    </w:p>
    <w:p w14:paraId="0EDAD124" w14:textId="77777777" w:rsidR="00311A64" w:rsidRDefault="00311A64" w:rsidP="006468CC">
      <w:pPr>
        <w:spacing w:line="360" w:lineRule="auto"/>
      </w:pPr>
    </w:p>
    <w:p w14:paraId="7B96046D" w14:textId="77777777" w:rsidR="00311A64" w:rsidRPr="006468CC" w:rsidRDefault="00EC1CAF" w:rsidP="006468CC">
      <w:pPr>
        <w:spacing w:line="360" w:lineRule="auto"/>
        <w:jc w:val="center"/>
        <w:rPr>
          <w:b/>
          <w:bCs/>
          <w:sz w:val="28"/>
          <w:szCs w:val="24"/>
        </w:rPr>
      </w:pPr>
      <w:r w:rsidRPr="006468CC">
        <w:rPr>
          <w:b/>
          <w:bCs/>
          <w:sz w:val="28"/>
          <w:szCs w:val="24"/>
        </w:rPr>
        <w:t>Validación de contenido</w:t>
      </w:r>
    </w:p>
    <w:p w14:paraId="4534CC33" w14:textId="77777777" w:rsidR="00311A64" w:rsidRDefault="00EC1CAF" w:rsidP="006468CC">
      <w:pPr>
        <w:spacing w:line="360" w:lineRule="auto"/>
      </w:pPr>
      <w:r>
        <w:t>En cuanto a la validación del contenido, el panel de expertos estuvo compuesto por reconocidos académicos e investigadores con experiencia profesional en el sector relacionado con el tema. Estos expertos poseían conocimientos adecuados y actualizados, así como disposición para colaborar (López, 2018). El panel de expertos se conformó por un total de 20 participantes, que incluían académicos, investigadores y trabajadores de IES en cargos estratégicos o afines. Los detalles se pueden observar en la tabla 3.</w:t>
      </w:r>
    </w:p>
    <w:p w14:paraId="158A8B15" w14:textId="77777777" w:rsidR="00311A64" w:rsidRDefault="00311A64">
      <w:pPr>
        <w:pStyle w:val="Descripcin"/>
        <w:spacing w:line="360" w:lineRule="auto"/>
        <w:jc w:val="center"/>
        <w:rPr>
          <w:b/>
          <w:bCs/>
          <w:i w:val="0"/>
          <w:iCs w:val="0"/>
          <w:color w:val="auto"/>
          <w:sz w:val="24"/>
          <w:szCs w:val="24"/>
        </w:rPr>
      </w:pPr>
    </w:p>
    <w:p w14:paraId="5EFAEC6E" w14:textId="77777777" w:rsidR="006468CC" w:rsidRDefault="006468CC" w:rsidP="006468CC"/>
    <w:p w14:paraId="3AF50600" w14:textId="77777777" w:rsidR="006468CC" w:rsidRDefault="006468CC" w:rsidP="006468CC"/>
    <w:p w14:paraId="01D4C9A9" w14:textId="77777777" w:rsidR="006468CC" w:rsidRDefault="006468CC" w:rsidP="006468CC"/>
    <w:p w14:paraId="1AE94C3E" w14:textId="77777777" w:rsidR="006468CC" w:rsidRPr="006468CC" w:rsidRDefault="006468CC" w:rsidP="006468CC"/>
    <w:p w14:paraId="7F067433" w14:textId="77777777" w:rsidR="00311A64" w:rsidRDefault="00EC1CAF">
      <w:pPr>
        <w:pStyle w:val="Descripcin"/>
        <w:spacing w:line="360" w:lineRule="auto"/>
        <w:jc w:val="center"/>
      </w:pPr>
      <w:r>
        <w:rPr>
          <w:b/>
          <w:bCs/>
          <w:i w:val="0"/>
          <w:iCs w:val="0"/>
          <w:color w:val="auto"/>
          <w:sz w:val="24"/>
          <w:szCs w:val="24"/>
        </w:rPr>
        <w:lastRenderedPageBreak/>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3</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Perfil de participantes panel de expertos</w:t>
      </w:r>
    </w:p>
    <w:tbl>
      <w:tblPr>
        <w:tblStyle w:val="Tabladelista6concolores1"/>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687"/>
        <w:gridCol w:w="1134"/>
        <w:gridCol w:w="1417"/>
        <w:gridCol w:w="2552"/>
      </w:tblGrid>
      <w:tr w:rsidR="00311A64" w:rsidRPr="006468CC" w14:paraId="5717C40B" w14:textId="77777777" w:rsidTr="00646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bottom w:val="none" w:sz="0" w:space="0" w:color="auto"/>
            </w:tcBorders>
            <w:shd w:val="clear" w:color="auto" w:fill="auto"/>
          </w:tcPr>
          <w:p w14:paraId="35A4C4FC"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No.</w:t>
            </w:r>
          </w:p>
        </w:tc>
        <w:tc>
          <w:tcPr>
            <w:tcW w:w="3687" w:type="dxa"/>
            <w:tcBorders>
              <w:bottom w:val="none" w:sz="0" w:space="0" w:color="auto"/>
            </w:tcBorders>
            <w:shd w:val="clear" w:color="auto" w:fill="auto"/>
          </w:tcPr>
          <w:p w14:paraId="0D25C626"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b w:val="0"/>
                <w:bCs w:val="0"/>
                <w:szCs w:val="24"/>
              </w:rPr>
            </w:pPr>
            <w:r w:rsidRPr="006468CC">
              <w:rPr>
                <w:rFonts w:eastAsia="Calibri"/>
                <w:b w:val="0"/>
                <w:bCs w:val="0"/>
                <w:color w:val="000000"/>
                <w:szCs w:val="24"/>
              </w:rPr>
              <w:t xml:space="preserve">Área </w:t>
            </w:r>
          </w:p>
        </w:tc>
        <w:tc>
          <w:tcPr>
            <w:tcW w:w="1134" w:type="dxa"/>
            <w:tcBorders>
              <w:bottom w:val="none" w:sz="0" w:space="0" w:color="auto"/>
            </w:tcBorders>
            <w:shd w:val="clear" w:color="auto" w:fill="auto"/>
          </w:tcPr>
          <w:p w14:paraId="7D2F6808"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b w:val="0"/>
                <w:bCs w:val="0"/>
                <w:szCs w:val="24"/>
              </w:rPr>
            </w:pPr>
            <w:r w:rsidRPr="006468CC">
              <w:rPr>
                <w:rFonts w:eastAsia="Calibri"/>
                <w:b w:val="0"/>
                <w:bCs w:val="0"/>
                <w:color w:val="000000"/>
                <w:szCs w:val="24"/>
              </w:rPr>
              <w:t>Genero</w:t>
            </w:r>
          </w:p>
        </w:tc>
        <w:tc>
          <w:tcPr>
            <w:tcW w:w="1417" w:type="dxa"/>
            <w:tcBorders>
              <w:bottom w:val="none" w:sz="0" w:space="0" w:color="auto"/>
            </w:tcBorders>
            <w:shd w:val="clear" w:color="auto" w:fill="auto"/>
          </w:tcPr>
          <w:p w14:paraId="1EB6FF02"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b w:val="0"/>
                <w:bCs w:val="0"/>
                <w:szCs w:val="24"/>
              </w:rPr>
            </w:pPr>
            <w:r w:rsidRPr="006468CC">
              <w:rPr>
                <w:rFonts w:eastAsia="Calibri"/>
                <w:b w:val="0"/>
                <w:bCs w:val="0"/>
                <w:color w:val="000000"/>
                <w:szCs w:val="24"/>
              </w:rPr>
              <w:t xml:space="preserve">Escolaridad </w:t>
            </w:r>
          </w:p>
        </w:tc>
        <w:tc>
          <w:tcPr>
            <w:tcW w:w="2552" w:type="dxa"/>
            <w:tcBorders>
              <w:bottom w:val="none" w:sz="0" w:space="0" w:color="auto"/>
            </w:tcBorders>
            <w:shd w:val="clear" w:color="auto" w:fill="auto"/>
          </w:tcPr>
          <w:p w14:paraId="6D61AC31" w14:textId="77777777" w:rsidR="00311A64" w:rsidRPr="006468CC" w:rsidRDefault="00EC1CAF">
            <w:pPr>
              <w:spacing w:line="240" w:lineRule="auto"/>
              <w:cnfStyle w:val="100000000000" w:firstRow="1" w:lastRow="0" w:firstColumn="0" w:lastColumn="0" w:oddVBand="0" w:evenVBand="0" w:oddHBand="0" w:evenHBand="0" w:firstRowFirstColumn="0" w:firstRowLastColumn="0" w:lastRowFirstColumn="0" w:lastRowLastColumn="0"/>
              <w:rPr>
                <w:b w:val="0"/>
                <w:bCs w:val="0"/>
                <w:szCs w:val="24"/>
              </w:rPr>
            </w:pPr>
            <w:r w:rsidRPr="006468CC">
              <w:rPr>
                <w:rFonts w:eastAsia="Calibri"/>
                <w:b w:val="0"/>
                <w:bCs w:val="0"/>
                <w:color w:val="000000"/>
                <w:szCs w:val="24"/>
              </w:rPr>
              <w:t xml:space="preserve">Puesto </w:t>
            </w:r>
          </w:p>
        </w:tc>
      </w:tr>
      <w:tr w:rsidR="00311A64" w:rsidRPr="006468CC" w14:paraId="22753155"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45C8B7BB"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w:t>
            </w:r>
          </w:p>
        </w:tc>
        <w:tc>
          <w:tcPr>
            <w:tcW w:w="3687" w:type="dxa"/>
            <w:shd w:val="clear" w:color="auto" w:fill="auto"/>
          </w:tcPr>
          <w:p w14:paraId="403D63B0"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Rectoría</w:t>
            </w:r>
          </w:p>
        </w:tc>
        <w:tc>
          <w:tcPr>
            <w:tcW w:w="1134" w:type="dxa"/>
            <w:shd w:val="clear" w:color="auto" w:fill="auto"/>
          </w:tcPr>
          <w:p w14:paraId="0E264037"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6C7A395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27F5F999"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Auditor Investigador</w:t>
            </w:r>
          </w:p>
        </w:tc>
      </w:tr>
      <w:tr w:rsidR="00311A64" w:rsidRPr="006468CC" w14:paraId="167A9816"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04F2600D"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2</w:t>
            </w:r>
          </w:p>
        </w:tc>
        <w:tc>
          <w:tcPr>
            <w:tcW w:w="3687" w:type="dxa"/>
            <w:shd w:val="clear" w:color="auto" w:fill="auto"/>
          </w:tcPr>
          <w:p w14:paraId="615B81DA"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Coordinación de Compras</w:t>
            </w:r>
          </w:p>
        </w:tc>
        <w:tc>
          <w:tcPr>
            <w:tcW w:w="1134" w:type="dxa"/>
            <w:shd w:val="clear" w:color="auto" w:fill="auto"/>
          </w:tcPr>
          <w:p w14:paraId="0E916BB4"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7BDD944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7E8D86D5"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Auditor Investigador</w:t>
            </w:r>
          </w:p>
        </w:tc>
      </w:tr>
      <w:tr w:rsidR="00311A64" w:rsidRPr="006468CC" w14:paraId="325DF805"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78293D76"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3</w:t>
            </w:r>
          </w:p>
        </w:tc>
        <w:tc>
          <w:tcPr>
            <w:tcW w:w="3687" w:type="dxa"/>
            <w:shd w:val="clear" w:color="auto" w:fill="auto"/>
          </w:tcPr>
          <w:p w14:paraId="6127BDEB"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Facultad de Ciencias Forestales y Ambientales (FCFA)</w:t>
            </w:r>
          </w:p>
        </w:tc>
        <w:tc>
          <w:tcPr>
            <w:tcW w:w="1134" w:type="dxa"/>
            <w:shd w:val="clear" w:color="auto" w:fill="auto"/>
          </w:tcPr>
          <w:p w14:paraId="4CADC97F"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4217E0E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291C00F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Docente, Auditora y responsable de Calidad</w:t>
            </w:r>
          </w:p>
        </w:tc>
      </w:tr>
      <w:tr w:rsidR="00311A64" w:rsidRPr="006468CC" w14:paraId="077B4208"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5A00AE0F"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4</w:t>
            </w:r>
          </w:p>
        </w:tc>
        <w:tc>
          <w:tcPr>
            <w:tcW w:w="3687" w:type="dxa"/>
            <w:shd w:val="clear" w:color="auto" w:fill="auto"/>
          </w:tcPr>
          <w:p w14:paraId="672251E9"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FCFA</w:t>
            </w:r>
          </w:p>
        </w:tc>
        <w:tc>
          <w:tcPr>
            <w:tcW w:w="1134" w:type="dxa"/>
            <w:shd w:val="clear" w:color="auto" w:fill="auto"/>
          </w:tcPr>
          <w:p w14:paraId="2AAD3708"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5224EA26"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6D378F24"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Docente Auditora</w:t>
            </w:r>
          </w:p>
        </w:tc>
      </w:tr>
      <w:tr w:rsidR="00311A64" w:rsidRPr="006468CC" w14:paraId="21BABF38"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1EA0DA64"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5</w:t>
            </w:r>
          </w:p>
        </w:tc>
        <w:tc>
          <w:tcPr>
            <w:tcW w:w="3687" w:type="dxa"/>
            <w:shd w:val="clear" w:color="auto" w:fill="auto"/>
          </w:tcPr>
          <w:p w14:paraId="1BE6EB9F"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Facultad de Ciencias Químicas (FCQ)</w:t>
            </w:r>
          </w:p>
        </w:tc>
        <w:tc>
          <w:tcPr>
            <w:tcW w:w="1134" w:type="dxa"/>
            <w:shd w:val="clear" w:color="auto" w:fill="auto"/>
          </w:tcPr>
          <w:p w14:paraId="04E9FC9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1F8B1D4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36EF9F30"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Auditora y responsable de Calidad</w:t>
            </w:r>
          </w:p>
        </w:tc>
      </w:tr>
      <w:tr w:rsidR="00311A64" w:rsidRPr="006468CC" w14:paraId="48896806"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14468576"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6</w:t>
            </w:r>
          </w:p>
        </w:tc>
        <w:tc>
          <w:tcPr>
            <w:tcW w:w="3687" w:type="dxa"/>
            <w:shd w:val="clear" w:color="auto" w:fill="auto"/>
          </w:tcPr>
          <w:p w14:paraId="707AC998"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Centro de Negocios</w:t>
            </w:r>
          </w:p>
        </w:tc>
        <w:tc>
          <w:tcPr>
            <w:tcW w:w="1134" w:type="dxa"/>
            <w:shd w:val="clear" w:color="auto" w:fill="auto"/>
          </w:tcPr>
          <w:p w14:paraId="3194C23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32EC2E92"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29C3686A"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Director de Centro de Negocios</w:t>
            </w:r>
          </w:p>
        </w:tc>
      </w:tr>
      <w:tr w:rsidR="00311A64" w:rsidRPr="006468CC" w14:paraId="4AEF5E7C"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5A688CE3"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7</w:t>
            </w:r>
          </w:p>
        </w:tc>
        <w:tc>
          <w:tcPr>
            <w:tcW w:w="3687" w:type="dxa"/>
            <w:shd w:val="clear" w:color="auto" w:fill="auto"/>
          </w:tcPr>
          <w:p w14:paraId="77F1D114"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Contraloría General</w:t>
            </w:r>
          </w:p>
        </w:tc>
        <w:tc>
          <w:tcPr>
            <w:tcW w:w="1134" w:type="dxa"/>
            <w:shd w:val="clear" w:color="auto" w:fill="auto"/>
          </w:tcPr>
          <w:p w14:paraId="12EEECB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72FB2906"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2861CC8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Contralor General</w:t>
            </w:r>
          </w:p>
        </w:tc>
      </w:tr>
      <w:tr w:rsidR="00311A64" w:rsidRPr="006468CC" w14:paraId="16CDBCC1"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5C088AEB"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8</w:t>
            </w:r>
          </w:p>
        </w:tc>
        <w:tc>
          <w:tcPr>
            <w:tcW w:w="3687" w:type="dxa"/>
            <w:shd w:val="clear" w:color="auto" w:fill="auto"/>
          </w:tcPr>
          <w:p w14:paraId="4EC64B56"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Dirección Institucional de Posgrado e Investigación</w:t>
            </w:r>
          </w:p>
        </w:tc>
        <w:tc>
          <w:tcPr>
            <w:tcW w:w="1134" w:type="dxa"/>
            <w:shd w:val="clear" w:color="auto" w:fill="auto"/>
          </w:tcPr>
          <w:p w14:paraId="284506A6"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7B1CD110"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1B8D4CF3"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Director Institucional de Posgrado e Investigación</w:t>
            </w:r>
          </w:p>
        </w:tc>
      </w:tr>
      <w:tr w:rsidR="00311A64" w:rsidRPr="006468CC" w14:paraId="18A6527A"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6DCEED9C"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9</w:t>
            </w:r>
          </w:p>
        </w:tc>
        <w:tc>
          <w:tcPr>
            <w:tcW w:w="3687" w:type="dxa"/>
            <w:shd w:val="clear" w:color="auto" w:fill="auto"/>
          </w:tcPr>
          <w:p w14:paraId="367E6E09"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Facultad de Economía, Contaduría y Administración (FECA) y Rectoría</w:t>
            </w:r>
          </w:p>
        </w:tc>
        <w:tc>
          <w:tcPr>
            <w:tcW w:w="1134" w:type="dxa"/>
            <w:shd w:val="clear" w:color="auto" w:fill="auto"/>
          </w:tcPr>
          <w:p w14:paraId="2B502C8F"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3DCA22E5"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Postdoctorado</w:t>
            </w:r>
          </w:p>
        </w:tc>
        <w:tc>
          <w:tcPr>
            <w:tcW w:w="2552" w:type="dxa"/>
            <w:shd w:val="clear" w:color="auto" w:fill="auto"/>
          </w:tcPr>
          <w:p w14:paraId="0EA986D5"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Investigador y Representante de Alta Dirección del SGC</w:t>
            </w:r>
          </w:p>
        </w:tc>
      </w:tr>
      <w:tr w:rsidR="00311A64" w:rsidRPr="006468CC" w14:paraId="335DC538"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3FB6D588"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10</w:t>
            </w:r>
          </w:p>
        </w:tc>
        <w:tc>
          <w:tcPr>
            <w:tcW w:w="3687" w:type="dxa"/>
            <w:shd w:val="clear" w:color="auto" w:fill="auto"/>
          </w:tcPr>
          <w:p w14:paraId="642A999F"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Facultad de Economía, Contaduría y Administración (FECA)</w:t>
            </w:r>
          </w:p>
        </w:tc>
        <w:tc>
          <w:tcPr>
            <w:tcW w:w="1134" w:type="dxa"/>
            <w:shd w:val="clear" w:color="auto" w:fill="auto"/>
          </w:tcPr>
          <w:p w14:paraId="51545316"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2B04432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5D9189B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Docente Investigadora</w:t>
            </w:r>
          </w:p>
        </w:tc>
      </w:tr>
      <w:tr w:rsidR="00311A64" w:rsidRPr="006468CC" w14:paraId="56D00289"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2F63B99B"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11</w:t>
            </w:r>
          </w:p>
        </w:tc>
        <w:tc>
          <w:tcPr>
            <w:tcW w:w="3687" w:type="dxa"/>
            <w:shd w:val="clear" w:color="auto" w:fill="auto"/>
          </w:tcPr>
          <w:p w14:paraId="1FD434FF"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Facultad de Trabajo Social (FTS)</w:t>
            </w:r>
          </w:p>
        </w:tc>
        <w:tc>
          <w:tcPr>
            <w:tcW w:w="1134" w:type="dxa"/>
            <w:shd w:val="clear" w:color="auto" w:fill="auto"/>
          </w:tcPr>
          <w:p w14:paraId="2B01CB44"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7EDFC51E"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699A12CC"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Docente Investigadora y Responsable de Calidad</w:t>
            </w:r>
          </w:p>
        </w:tc>
      </w:tr>
      <w:tr w:rsidR="00311A64" w:rsidRPr="006468CC" w14:paraId="4ED496ED"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04FE273A"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12</w:t>
            </w:r>
          </w:p>
        </w:tc>
        <w:tc>
          <w:tcPr>
            <w:tcW w:w="3687" w:type="dxa"/>
            <w:shd w:val="clear" w:color="auto" w:fill="auto"/>
          </w:tcPr>
          <w:p w14:paraId="25338D4D"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Centro de Negocios</w:t>
            </w:r>
          </w:p>
        </w:tc>
        <w:tc>
          <w:tcPr>
            <w:tcW w:w="1134" w:type="dxa"/>
            <w:shd w:val="clear" w:color="auto" w:fill="auto"/>
          </w:tcPr>
          <w:p w14:paraId="45C08369"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057E3514"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55C70340"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Investigador</w:t>
            </w:r>
          </w:p>
        </w:tc>
      </w:tr>
      <w:tr w:rsidR="00311A64" w:rsidRPr="006468CC" w14:paraId="4726A113"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4CAED26C"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13</w:t>
            </w:r>
          </w:p>
        </w:tc>
        <w:tc>
          <w:tcPr>
            <w:tcW w:w="3687" w:type="dxa"/>
            <w:shd w:val="clear" w:color="auto" w:fill="auto"/>
          </w:tcPr>
          <w:p w14:paraId="69CB484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FECA</w:t>
            </w:r>
          </w:p>
        </w:tc>
        <w:tc>
          <w:tcPr>
            <w:tcW w:w="1134" w:type="dxa"/>
            <w:shd w:val="clear" w:color="auto" w:fill="auto"/>
          </w:tcPr>
          <w:p w14:paraId="36A0E433"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555F3D89"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41C895C6"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Docente Investigadora</w:t>
            </w:r>
          </w:p>
        </w:tc>
      </w:tr>
      <w:tr w:rsidR="00311A64" w:rsidRPr="006468CC" w14:paraId="1C4955E6"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2FFE2F11"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14</w:t>
            </w:r>
          </w:p>
        </w:tc>
        <w:tc>
          <w:tcPr>
            <w:tcW w:w="3687" w:type="dxa"/>
            <w:shd w:val="clear" w:color="auto" w:fill="auto"/>
          </w:tcPr>
          <w:p w14:paraId="45607EDC"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Contraloría General</w:t>
            </w:r>
          </w:p>
        </w:tc>
        <w:tc>
          <w:tcPr>
            <w:tcW w:w="1134" w:type="dxa"/>
            <w:shd w:val="clear" w:color="auto" w:fill="auto"/>
          </w:tcPr>
          <w:p w14:paraId="21EF960A"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7F5BC87C"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7F27287E"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Coordinador de Calidad</w:t>
            </w:r>
          </w:p>
        </w:tc>
      </w:tr>
      <w:tr w:rsidR="00311A64" w:rsidRPr="006468CC" w14:paraId="4AA89B2C"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4471103A"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15</w:t>
            </w:r>
          </w:p>
        </w:tc>
        <w:tc>
          <w:tcPr>
            <w:tcW w:w="3687" w:type="dxa"/>
            <w:shd w:val="clear" w:color="auto" w:fill="auto"/>
          </w:tcPr>
          <w:p w14:paraId="40885956"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Contraloría General</w:t>
            </w:r>
          </w:p>
        </w:tc>
        <w:tc>
          <w:tcPr>
            <w:tcW w:w="1134" w:type="dxa"/>
            <w:shd w:val="clear" w:color="auto" w:fill="auto"/>
          </w:tcPr>
          <w:p w14:paraId="49D81108"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0112431E"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34A575E5"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Jefa de Calidad</w:t>
            </w:r>
          </w:p>
        </w:tc>
      </w:tr>
      <w:tr w:rsidR="00311A64" w:rsidRPr="006468CC" w14:paraId="01A4BBD8"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4155C92E"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16</w:t>
            </w:r>
          </w:p>
        </w:tc>
        <w:tc>
          <w:tcPr>
            <w:tcW w:w="3687" w:type="dxa"/>
            <w:shd w:val="clear" w:color="auto" w:fill="auto"/>
          </w:tcPr>
          <w:p w14:paraId="1313B1F2"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Contraloría General</w:t>
            </w:r>
          </w:p>
        </w:tc>
        <w:tc>
          <w:tcPr>
            <w:tcW w:w="1134" w:type="dxa"/>
            <w:shd w:val="clear" w:color="auto" w:fill="auto"/>
          </w:tcPr>
          <w:p w14:paraId="759E4848"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5447FB46"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687F95DA"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Auditora</w:t>
            </w:r>
          </w:p>
        </w:tc>
      </w:tr>
      <w:tr w:rsidR="00311A64" w:rsidRPr="006468CC" w14:paraId="2D54133C"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27C6F34F"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17</w:t>
            </w:r>
          </w:p>
        </w:tc>
        <w:tc>
          <w:tcPr>
            <w:tcW w:w="3687" w:type="dxa"/>
            <w:shd w:val="clear" w:color="auto" w:fill="auto"/>
          </w:tcPr>
          <w:p w14:paraId="1670ED21"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Facultad de Ciencias Exactas (FACE)</w:t>
            </w:r>
          </w:p>
        </w:tc>
        <w:tc>
          <w:tcPr>
            <w:tcW w:w="1134" w:type="dxa"/>
            <w:shd w:val="clear" w:color="auto" w:fill="auto"/>
          </w:tcPr>
          <w:p w14:paraId="0545B849"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5EBB879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5B4CD354"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Docente Investigador</w:t>
            </w:r>
          </w:p>
        </w:tc>
      </w:tr>
      <w:tr w:rsidR="00311A64" w:rsidRPr="006468CC" w14:paraId="20D4F7A4"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0D72B6D9"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18</w:t>
            </w:r>
          </w:p>
        </w:tc>
        <w:tc>
          <w:tcPr>
            <w:tcW w:w="3687" w:type="dxa"/>
            <w:shd w:val="clear" w:color="auto" w:fill="auto"/>
          </w:tcPr>
          <w:p w14:paraId="04DD5257"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FECA</w:t>
            </w:r>
          </w:p>
        </w:tc>
        <w:tc>
          <w:tcPr>
            <w:tcW w:w="1134" w:type="dxa"/>
            <w:shd w:val="clear" w:color="auto" w:fill="auto"/>
          </w:tcPr>
          <w:p w14:paraId="39AC8D3A"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2BB2B7B3"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Doctorado</w:t>
            </w:r>
          </w:p>
        </w:tc>
        <w:tc>
          <w:tcPr>
            <w:tcW w:w="2552" w:type="dxa"/>
            <w:shd w:val="clear" w:color="auto" w:fill="auto"/>
          </w:tcPr>
          <w:p w14:paraId="023E0867"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Docente Investigador</w:t>
            </w:r>
          </w:p>
        </w:tc>
      </w:tr>
      <w:tr w:rsidR="00311A64" w:rsidRPr="006468CC" w14:paraId="01818733" w14:textId="77777777" w:rsidTr="0064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252D061B"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19</w:t>
            </w:r>
          </w:p>
        </w:tc>
        <w:tc>
          <w:tcPr>
            <w:tcW w:w="3687" w:type="dxa"/>
            <w:shd w:val="clear" w:color="auto" w:fill="auto"/>
          </w:tcPr>
          <w:p w14:paraId="4B4FF4C7"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Rectoría</w:t>
            </w:r>
          </w:p>
        </w:tc>
        <w:tc>
          <w:tcPr>
            <w:tcW w:w="1134" w:type="dxa"/>
            <w:shd w:val="clear" w:color="auto" w:fill="auto"/>
          </w:tcPr>
          <w:p w14:paraId="556E4E42"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Femenino</w:t>
            </w:r>
          </w:p>
        </w:tc>
        <w:tc>
          <w:tcPr>
            <w:tcW w:w="1417" w:type="dxa"/>
            <w:shd w:val="clear" w:color="auto" w:fill="auto"/>
          </w:tcPr>
          <w:p w14:paraId="03BD1D43"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09183A4E" w14:textId="77777777" w:rsidR="00311A64" w:rsidRPr="006468CC" w:rsidRDefault="00EC1CAF">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6468CC">
              <w:rPr>
                <w:rFonts w:eastAsia="Calibri"/>
                <w:color w:val="000000"/>
                <w:szCs w:val="24"/>
              </w:rPr>
              <w:t>Auditora</w:t>
            </w:r>
          </w:p>
        </w:tc>
      </w:tr>
      <w:tr w:rsidR="00311A64" w:rsidRPr="006468CC" w14:paraId="67F1064E" w14:textId="77777777" w:rsidTr="006468CC">
        <w:tc>
          <w:tcPr>
            <w:cnfStyle w:val="001000000000" w:firstRow="0" w:lastRow="0" w:firstColumn="1" w:lastColumn="0" w:oddVBand="0" w:evenVBand="0" w:oddHBand="0" w:evenHBand="0" w:firstRowFirstColumn="0" w:firstRowLastColumn="0" w:lastRowFirstColumn="0" w:lastRowLastColumn="0"/>
            <w:tcW w:w="561" w:type="dxa"/>
            <w:shd w:val="clear" w:color="auto" w:fill="auto"/>
          </w:tcPr>
          <w:p w14:paraId="612C603B" w14:textId="77777777" w:rsidR="00311A64" w:rsidRPr="006468CC" w:rsidRDefault="00EC1CAF">
            <w:pPr>
              <w:spacing w:line="240" w:lineRule="auto"/>
              <w:jc w:val="center"/>
              <w:rPr>
                <w:b w:val="0"/>
                <w:bCs w:val="0"/>
                <w:szCs w:val="24"/>
              </w:rPr>
            </w:pPr>
            <w:r w:rsidRPr="006468CC">
              <w:rPr>
                <w:rFonts w:eastAsia="Calibri"/>
                <w:b w:val="0"/>
                <w:bCs w:val="0"/>
                <w:color w:val="000000"/>
                <w:szCs w:val="24"/>
              </w:rPr>
              <w:t>20</w:t>
            </w:r>
          </w:p>
        </w:tc>
        <w:tc>
          <w:tcPr>
            <w:tcW w:w="3687" w:type="dxa"/>
            <w:shd w:val="clear" w:color="auto" w:fill="auto"/>
          </w:tcPr>
          <w:p w14:paraId="7E7493D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Rectoría</w:t>
            </w:r>
          </w:p>
        </w:tc>
        <w:tc>
          <w:tcPr>
            <w:tcW w:w="1134" w:type="dxa"/>
            <w:shd w:val="clear" w:color="auto" w:fill="auto"/>
          </w:tcPr>
          <w:p w14:paraId="5957C32B"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Masculino</w:t>
            </w:r>
          </w:p>
        </w:tc>
        <w:tc>
          <w:tcPr>
            <w:tcW w:w="1417" w:type="dxa"/>
            <w:shd w:val="clear" w:color="auto" w:fill="auto"/>
          </w:tcPr>
          <w:p w14:paraId="16E72769"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Maestría</w:t>
            </w:r>
          </w:p>
        </w:tc>
        <w:tc>
          <w:tcPr>
            <w:tcW w:w="2552" w:type="dxa"/>
            <w:shd w:val="clear" w:color="auto" w:fill="auto"/>
          </w:tcPr>
          <w:p w14:paraId="3CDF9201" w14:textId="77777777" w:rsidR="00311A64" w:rsidRPr="006468CC" w:rsidRDefault="00EC1CAF">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6468CC">
              <w:rPr>
                <w:rFonts w:eastAsia="Calibri"/>
                <w:color w:val="000000"/>
                <w:szCs w:val="24"/>
              </w:rPr>
              <w:t>Auditor</w:t>
            </w:r>
          </w:p>
        </w:tc>
      </w:tr>
    </w:tbl>
    <w:p w14:paraId="248BC54A" w14:textId="03C06AA8" w:rsidR="00311A64" w:rsidRDefault="00EC1CAF" w:rsidP="00EC6DFC">
      <w:pPr>
        <w:spacing w:line="360" w:lineRule="auto"/>
        <w:jc w:val="center"/>
      </w:pPr>
      <w:r>
        <w:t>Fuente: Elaboración propia</w:t>
      </w:r>
    </w:p>
    <w:p w14:paraId="211C7164" w14:textId="77777777" w:rsidR="00311A64" w:rsidRPr="006468CC" w:rsidRDefault="00EC1CAF" w:rsidP="00EC6DFC">
      <w:pPr>
        <w:pStyle w:val="Ttulo2"/>
        <w:spacing w:line="360" w:lineRule="auto"/>
        <w:ind w:left="0"/>
        <w:jc w:val="center"/>
        <w:rPr>
          <w:i w:val="0"/>
          <w:iCs w:val="0"/>
          <w:sz w:val="28"/>
          <w:szCs w:val="28"/>
        </w:rPr>
      </w:pPr>
      <w:r w:rsidRPr="006468CC">
        <w:rPr>
          <w:i w:val="0"/>
          <w:iCs w:val="0"/>
          <w:sz w:val="28"/>
          <w:szCs w:val="28"/>
        </w:rPr>
        <w:lastRenderedPageBreak/>
        <w:t>Muestreo</w:t>
      </w:r>
    </w:p>
    <w:p w14:paraId="5B36C412" w14:textId="77777777" w:rsidR="00311A64" w:rsidRDefault="00EC1CAF">
      <w:pPr>
        <w:spacing w:line="360" w:lineRule="auto"/>
      </w:pPr>
      <w:r>
        <w:tab/>
        <w:t xml:space="preserve">Para la aplicación del modelo se utilizó la base de datos con la que se realizó la validación de los instrumentos de la ISO 9001:2015, donde se aplicaron las encuestas que se presentan en la tabla 4, considerando que, para el presente modelo, se tomó como base la variable operación y su correlación con todo el sistema de gestión de calidad, que incluye todas las variables mencionadas en la siguiente tabla. </w:t>
      </w:r>
    </w:p>
    <w:p w14:paraId="49F80D4C" w14:textId="77777777" w:rsidR="006468CC" w:rsidRDefault="006468CC">
      <w:pPr>
        <w:spacing w:line="360" w:lineRule="auto"/>
      </w:pPr>
    </w:p>
    <w:p w14:paraId="5F0CCFF6" w14:textId="77777777" w:rsidR="00311A64" w:rsidRDefault="00EC1CAF" w:rsidP="00EC6DFC">
      <w:pPr>
        <w:pStyle w:val="Descripcin"/>
        <w:spacing w:after="0" w:line="360" w:lineRule="auto"/>
        <w:jc w:val="center"/>
      </w:pPr>
      <w:r>
        <w:rPr>
          <w:b/>
          <w:bCs/>
          <w:i w:val="0"/>
          <w:iCs w:val="0"/>
          <w:color w:val="auto"/>
          <w:sz w:val="24"/>
          <w:szCs w:val="24"/>
        </w:rPr>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4</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Perfil de participantes panel de expertos</w:t>
      </w:r>
    </w:p>
    <w:tbl>
      <w:tblPr>
        <w:tblStyle w:val="Tabladelista6concolores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1843"/>
        <w:gridCol w:w="3709"/>
      </w:tblGrid>
      <w:tr w:rsidR="00311A64" w:rsidRPr="006468CC" w14:paraId="6F75A76B" w14:textId="77777777" w:rsidTr="006468CC">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118" w:type="dxa"/>
            <w:tcBorders>
              <w:bottom w:val="none" w:sz="0" w:space="0" w:color="auto"/>
            </w:tcBorders>
            <w:shd w:val="clear" w:color="auto" w:fill="auto"/>
          </w:tcPr>
          <w:p w14:paraId="09930004" w14:textId="77777777" w:rsidR="00311A64" w:rsidRPr="006468CC" w:rsidRDefault="00EC1CAF">
            <w:pPr>
              <w:spacing w:line="240" w:lineRule="auto"/>
              <w:jc w:val="center"/>
              <w:rPr>
                <w:rFonts w:eastAsia="Times New Roman"/>
                <w:b w:val="0"/>
                <w:bCs w:val="0"/>
                <w:color w:val="212529"/>
                <w:szCs w:val="24"/>
                <w:lang w:eastAsia="es-MX"/>
              </w:rPr>
            </w:pPr>
            <w:r w:rsidRPr="006468CC">
              <w:rPr>
                <w:rFonts w:eastAsia="Times New Roman"/>
                <w:b w:val="0"/>
                <w:bCs w:val="0"/>
                <w:color w:val="212529"/>
                <w:szCs w:val="24"/>
                <w:lang w:eastAsia="es-MX"/>
              </w:rPr>
              <w:t>Capítulo Norma ISO 9001:2015</w:t>
            </w:r>
          </w:p>
        </w:tc>
        <w:tc>
          <w:tcPr>
            <w:tcW w:w="709" w:type="dxa"/>
            <w:tcBorders>
              <w:bottom w:val="none" w:sz="0" w:space="0" w:color="auto"/>
            </w:tcBorders>
            <w:shd w:val="clear" w:color="auto" w:fill="auto"/>
          </w:tcPr>
          <w:p w14:paraId="67743F4A" w14:textId="77777777" w:rsidR="00311A64" w:rsidRPr="006468CC" w:rsidRDefault="00EC1CA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212529"/>
                <w:szCs w:val="24"/>
                <w:lang w:eastAsia="es-MX"/>
              </w:rPr>
            </w:pPr>
            <w:r w:rsidRPr="006468CC">
              <w:rPr>
                <w:rFonts w:eastAsia="Times New Roman"/>
                <w:b w:val="0"/>
                <w:bCs w:val="0"/>
                <w:color w:val="212529"/>
                <w:szCs w:val="24"/>
                <w:lang w:eastAsia="es-MX"/>
              </w:rPr>
              <w:t>Ítems</w:t>
            </w:r>
          </w:p>
        </w:tc>
        <w:tc>
          <w:tcPr>
            <w:tcW w:w="1843" w:type="dxa"/>
            <w:tcBorders>
              <w:bottom w:val="none" w:sz="0" w:space="0" w:color="auto"/>
            </w:tcBorders>
            <w:shd w:val="clear" w:color="auto" w:fill="auto"/>
          </w:tcPr>
          <w:p w14:paraId="71ACEFAB" w14:textId="77777777" w:rsidR="00311A64" w:rsidRPr="006468CC" w:rsidRDefault="00EC1CA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212529"/>
                <w:szCs w:val="24"/>
                <w:lang w:eastAsia="es-MX"/>
              </w:rPr>
            </w:pPr>
            <w:r w:rsidRPr="006468CC">
              <w:rPr>
                <w:rFonts w:eastAsia="Times New Roman"/>
                <w:b w:val="0"/>
                <w:bCs w:val="0"/>
                <w:color w:val="212529"/>
                <w:szCs w:val="24"/>
                <w:lang w:eastAsia="es-MX"/>
              </w:rPr>
              <w:t>Encuestas aplicadas</w:t>
            </w:r>
          </w:p>
        </w:tc>
        <w:tc>
          <w:tcPr>
            <w:tcW w:w="3709" w:type="dxa"/>
            <w:tcBorders>
              <w:bottom w:val="none" w:sz="0" w:space="0" w:color="auto"/>
            </w:tcBorders>
            <w:shd w:val="clear" w:color="auto" w:fill="auto"/>
          </w:tcPr>
          <w:p w14:paraId="127361A5" w14:textId="77777777" w:rsidR="00311A64" w:rsidRPr="006468CC" w:rsidRDefault="00EC1CA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212529"/>
                <w:szCs w:val="24"/>
                <w:lang w:eastAsia="es-MX"/>
              </w:rPr>
            </w:pPr>
            <w:r w:rsidRPr="006468CC">
              <w:rPr>
                <w:rFonts w:eastAsia="Times New Roman"/>
                <w:b w:val="0"/>
                <w:bCs w:val="0"/>
                <w:color w:val="212529"/>
                <w:szCs w:val="24"/>
                <w:lang w:eastAsia="es-MX"/>
              </w:rPr>
              <w:t>Total de respuestas de ítem por instrumento</w:t>
            </w:r>
          </w:p>
        </w:tc>
      </w:tr>
      <w:tr w:rsidR="00311A64" w:rsidRPr="006468CC" w14:paraId="2CC97A36" w14:textId="77777777" w:rsidTr="006468C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0FA4A1B8"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4. Contexto de la organización</w:t>
            </w:r>
          </w:p>
        </w:tc>
        <w:tc>
          <w:tcPr>
            <w:tcW w:w="709" w:type="dxa"/>
            <w:shd w:val="clear" w:color="auto" w:fill="auto"/>
          </w:tcPr>
          <w:p w14:paraId="39DCCE69"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20</w:t>
            </w:r>
          </w:p>
        </w:tc>
        <w:tc>
          <w:tcPr>
            <w:tcW w:w="1843" w:type="dxa"/>
            <w:shd w:val="clear" w:color="auto" w:fill="auto"/>
          </w:tcPr>
          <w:p w14:paraId="66E75F52"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400</w:t>
            </w:r>
          </w:p>
        </w:tc>
        <w:tc>
          <w:tcPr>
            <w:tcW w:w="3709" w:type="dxa"/>
            <w:shd w:val="clear" w:color="auto" w:fill="auto"/>
          </w:tcPr>
          <w:p w14:paraId="5540AA13"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8,000</w:t>
            </w:r>
          </w:p>
        </w:tc>
      </w:tr>
      <w:tr w:rsidR="00311A64" w:rsidRPr="006468CC" w14:paraId="01E884F3" w14:textId="77777777" w:rsidTr="006468CC">
        <w:trPr>
          <w:trHeight w:val="148"/>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48624541"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5. Liderazgo</w:t>
            </w:r>
          </w:p>
        </w:tc>
        <w:tc>
          <w:tcPr>
            <w:tcW w:w="709" w:type="dxa"/>
            <w:shd w:val="clear" w:color="auto" w:fill="auto"/>
          </w:tcPr>
          <w:p w14:paraId="7D07AE12"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30</w:t>
            </w:r>
          </w:p>
        </w:tc>
        <w:tc>
          <w:tcPr>
            <w:tcW w:w="1843" w:type="dxa"/>
            <w:shd w:val="clear" w:color="auto" w:fill="auto"/>
          </w:tcPr>
          <w:p w14:paraId="2AADD21D"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400</w:t>
            </w:r>
          </w:p>
        </w:tc>
        <w:tc>
          <w:tcPr>
            <w:tcW w:w="3709" w:type="dxa"/>
            <w:shd w:val="clear" w:color="auto" w:fill="auto"/>
          </w:tcPr>
          <w:p w14:paraId="696279D3"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12,000</w:t>
            </w:r>
          </w:p>
        </w:tc>
      </w:tr>
      <w:tr w:rsidR="00311A64" w:rsidRPr="006468CC" w14:paraId="7F0EA4CD" w14:textId="77777777" w:rsidTr="006468C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504103F7"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6. Planificación</w:t>
            </w:r>
          </w:p>
        </w:tc>
        <w:tc>
          <w:tcPr>
            <w:tcW w:w="709" w:type="dxa"/>
            <w:shd w:val="clear" w:color="auto" w:fill="auto"/>
          </w:tcPr>
          <w:p w14:paraId="69420295"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28</w:t>
            </w:r>
          </w:p>
        </w:tc>
        <w:tc>
          <w:tcPr>
            <w:tcW w:w="1843" w:type="dxa"/>
            <w:shd w:val="clear" w:color="auto" w:fill="auto"/>
          </w:tcPr>
          <w:p w14:paraId="2469F588"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140</w:t>
            </w:r>
          </w:p>
        </w:tc>
        <w:tc>
          <w:tcPr>
            <w:tcW w:w="3709" w:type="dxa"/>
            <w:shd w:val="clear" w:color="auto" w:fill="auto"/>
          </w:tcPr>
          <w:p w14:paraId="0FFD2F5C"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3,920</w:t>
            </w:r>
          </w:p>
        </w:tc>
      </w:tr>
      <w:tr w:rsidR="00311A64" w:rsidRPr="006468CC" w14:paraId="3CDDB9ED" w14:textId="77777777" w:rsidTr="006468CC">
        <w:trPr>
          <w:trHeight w:val="148"/>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6FD53824"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7. Apoyo</w:t>
            </w:r>
          </w:p>
        </w:tc>
        <w:tc>
          <w:tcPr>
            <w:tcW w:w="709" w:type="dxa"/>
            <w:shd w:val="clear" w:color="auto" w:fill="auto"/>
          </w:tcPr>
          <w:p w14:paraId="61D7BE07"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50</w:t>
            </w:r>
          </w:p>
        </w:tc>
        <w:tc>
          <w:tcPr>
            <w:tcW w:w="1843" w:type="dxa"/>
            <w:shd w:val="clear" w:color="auto" w:fill="auto"/>
          </w:tcPr>
          <w:p w14:paraId="2CA2039C"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400</w:t>
            </w:r>
          </w:p>
        </w:tc>
        <w:tc>
          <w:tcPr>
            <w:tcW w:w="3709" w:type="dxa"/>
            <w:shd w:val="clear" w:color="auto" w:fill="auto"/>
          </w:tcPr>
          <w:p w14:paraId="5E71552E"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20,000</w:t>
            </w:r>
          </w:p>
        </w:tc>
      </w:tr>
      <w:tr w:rsidR="00311A64" w:rsidRPr="006468CC" w14:paraId="4326359B" w14:textId="77777777" w:rsidTr="006468C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21328860"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8. Operación</w:t>
            </w:r>
          </w:p>
        </w:tc>
        <w:tc>
          <w:tcPr>
            <w:tcW w:w="709" w:type="dxa"/>
            <w:shd w:val="clear" w:color="auto" w:fill="auto"/>
          </w:tcPr>
          <w:p w14:paraId="2AA68519"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122</w:t>
            </w:r>
          </w:p>
        </w:tc>
        <w:tc>
          <w:tcPr>
            <w:tcW w:w="1843" w:type="dxa"/>
            <w:shd w:val="clear" w:color="auto" w:fill="auto"/>
          </w:tcPr>
          <w:p w14:paraId="514CC8BA"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610</w:t>
            </w:r>
          </w:p>
        </w:tc>
        <w:tc>
          <w:tcPr>
            <w:tcW w:w="3709" w:type="dxa"/>
            <w:shd w:val="clear" w:color="auto" w:fill="auto"/>
          </w:tcPr>
          <w:p w14:paraId="09BD6DB4"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74,420</w:t>
            </w:r>
          </w:p>
        </w:tc>
      </w:tr>
      <w:tr w:rsidR="00311A64" w:rsidRPr="006468CC" w14:paraId="1F4EF4D5" w14:textId="77777777" w:rsidTr="006468CC">
        <w:trPr>
          <w:trHeight w:val="34"/>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2BE36363"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9. Evaluación del desempeño</w:t>
            </w:r>
          </w:p>
        </w:tc>
        <w:tc>
          <w:tcPr>
            <w:tcW w:w="709" w:type="dxa"/>
            <w:shd w:val="clear" w:color="auto" w:fill="auto"/>
          </w:tcPr>
          <w:p w14:paraId="4D688BE7"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42</w:t>
            </w:r>
          </w:p>
        </w:tc>
        <w:tc>
          <w:tcPr>
            <w:tcW w:w="1843" w:type="dxa"/>
            <w:shd w:val="clear" w:color="auto" w:fill="auto"/>
          </w:tcPr>
          <w:p w14:paraId="3ECC0CF0"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210</w:t>
            </w:r>
          </w:p>
        </w:tc>
        <w:tc>
          <w:tcPr>
            <w:tcW w:w="3709" w:type="dxa"/>
            <w:shd w:val="clear" w:color="auto" w:fill="auto"/>
          </w:tcPr>
          <w:p w14:paraId="35191BDE"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8,820</w:t>
            </w:r>
          </w:p>
        </w:tc>
      </w:tr>
      <w:tr w:rsidR="00311A64" w:rsidRPr="006468CC" w14:paraId="2EF13AA3" w14:textId="77777777" w:rsidTr="006468C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33135969" w14:textId="77777777" w:rsidR="00311A64" w:rsidRPr="006468CC" w:rsidRDefault="00EC1CAF">
            <w:pPr>
              <w:spacing w:line="240" w:lineRule="auto"/>
              <w:jc w:val="left"/>
              <w:rPr>
                <w:rFonts w:eastAsia="Times New Roman"/>
                <w:b w:val="0"/>
                <w:bCs w:val="0"/>
                <w:color w:val="212529"/>
                <w:szCs w:val="24"/>
                <w:lang w:eastAsia="es-MX"/>
              </w:rPr>
            </w:pPr>
            <w:r w:rsidRPr="006468CC">
              <w:rPr>
                <w:rFonts w:eastAsia="Times New Roman"/>
                <w:b w:val="0"/>
                <w:bCs w:val="0"/>
                <w:color w:val="212529"/>
                <w:szCs w:val="24"/>
                <w:lang w:eastAsia="es-MX"/>
              </w:rPr>
              <w:t>10. Mejora</w:t>
            </w:r>
          </w:p>
        </w:tc>
        <w:tc>
          <w:tcPr>
            <w:tcW w:w="709" w:type="dxa"/>
            <w:shd w:val="clear" w:color="auto" w:fill="auto"/>
          </w:tcPr>
          <w:p w14:paraId="0859D64F"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24</w:t>
            </w:r>
          </w:p>
        </w:tc>
        <w:tc>
          <w:tcPr>
            <w:tcW w:w="1843" w:type="dxa"/>
            <w:shd w:val="clear" w:color="auto" w:fill="auto"/>
          </w:tcPr>
          <w:p w14:paraId="797F3AE9"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400</w:t>
            </w:r>
          </w:p>
        </w:tc>
        <w:tc>
          <w:tcPr>
            <w:tcW w:w="3709" w:type="dxa"/>
            <w:shd w:val="clear" w:color="auto" w:fill="auto"/>
          </w:tcPr>
          <w:p w14:paraId="2103EEEA" w14:textId="77777777" w:rsidR="00311A64" w:rsidRPr="006468CC"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9,600</w:t>
            </w:r>
          </w:p>
        </w:tc>
      </w:tr>
      <w:tr w:rsidR="00311A64" w:rsidRPr="006468CC" w14:paraId="34FD1982" w14:textId="77777777" w:rsidTr="006468CC">
        <w:trPr>
          <w:trHeight w:val="142"/>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14:paraId="77633875" w14:textId="77777777" w:rsidR="00311A64" w:rsidRPr="006468CC" w:rsidRDefault="00EC1CAF">
            <w:pPr>
              <w:spacing w:line="240" w:lineRule="auto"/>
              <w:jc w:val="right"/>
              <w:rPr>
                <w:rFonts w:eastAsia="Times New Roman"/>
                <w:b w:val="0"/>
                <w:bCs w:val="0"/>
                <w:color w:val="212529"/>
                <w:szCs w:val="24"/>
                <w:lang w:eastAsia="es-MX"/>
              </w:rPr>
            </w:pPr>
            <w:r w:rsidRPr="006468CC">
              <w:rPr>
                <w:rFonts w:eastAsia="Times New Roman"/>
                <w:b w:val="0"/>
                <w:bCs w:val="0"/>
                <w:color w:val="212529"/>
                <w:szCs w:val="24"/>
                <w:lang w:eastAsia="es-MX"/>
              </w:rPr>
              <w:t>Total</w:t>
            </w:r>
          </w:p>
        </w:tc>
        <w:tc>
          <w:tcPr>
            <w:tcW w:w="709" w:type="dxa"/>
            <w:shd w:val="clear" w:color="auto" w:fill="auto"/>
          </w:tcPr>
          <w:p w14:paraId="3479D804"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316</w:t>
            </w:r>
          </w:p>
        </w:tc>
        <w:tc>
          <w:tcPr>
            <w:tcW w:w="1843" w:type="dxa"/>
            <w:shd w:val="clear" w:color="auto" w:fill="auto"/>
          </w:tcPr>
          <w:p w14:paraId="4160E081"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2,560</w:t>
            </w:r>
          </w:p>
        </w:tc>
        <w:tc>
          <w:tcPr>
            <w:tcW w:w="3709" w:type="dxa"/>
            <w:shd w:val="clear" w:color="auto" w:fill="auto"/>
          </w:tcPr>
          <w:p w14:paraId="3C91808B" w14:textId="77777777" w:rsidR="00311A64" w:rsidRPr="006468CC"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212529"/>
                <w:szCs w:val="24"/>
                <w:lang w:eastAsia="es-MX"/>
              </w:rPr>
            </w:pPr>
            <w:r w:rsidRPr="006468CC">
              <w:rPr>
                <w:rFonts w:eastAsia="Times New Roman"/>
                <w:color w:val="212529"/>
                <w:szCs w:val="24"/>
                <w:lang w:eastAsia="es-MX"/>
              </w:rPr>
              <w:t>136,760</w:t>
            </w:r>
          </w:p>
        </w:tc>
      </w:tr>
    </w:tbl>
    <w:p w14:paraId="6CC84EDD" w14:textId="77777777" w:rsidR="00311A64" w:rsidRDefault="00EC1CAF" w:rsidP="006468CC">
      <w:pPr>
        <w:spacing w:line="360" w:lineRule="auto"/>
        <w:jc w:val="center"/>
      </w:pPr>
      <w:r>
        <w:t>Fuente: Sotelo et al. (2021).</w:t>
      </w:r>
    </w:p>
    <w:p w14:paraId="11E1313D" w14:textId="77777777" w:rsidR="006468CC" w:rsidRDefault="006468CC" w:rsidP="00607909">
      <w:pPr>
        <w:pStyle w:val="Ttulo2"/>
        <w:spacing w:before="0" w:line="360" w:lineRule="auto"/>
        <w:ind w:left="0"/>
        <w:jc w:val="left"/>
      </w:pPr>
    </w:p>
    <w:p w14:paraId="5B866ECB" w14:textId="54FD3B85" w:rsidR="00311A64" w:rsidRPr="006468CC" w:rsidRDefault="00EC1CAF" w:rsidP="00607909">
      <w:pPr>
        <w:pStyle w:val="Ttulo2"/>
        <w:spacing w:before="0" w:line="360" w:lineRule="auto"/>
        <w:ind w:left="0"/>
        <w:jc w:val="center"/>
        <w:rPr>
          <w:i w:val="0"/>
          <w:iCs w:val="0"/>
        </w:rPr>
      </w:pPr>
      <w:r w:rsidRPr="006468CC">
        <w:rPr>
          <w:i w:val="0"/>
          <w:iCs w:val="0"/>
        </w:rPr>
        <w:t>Fiabilidad</w:t>
      </w:r>
    </w:p>
    <w:p w14:paraId="4F553AFC" w14:textId="77777777" w:rsidR="00311A64" w:rsidRDefault="00EC1CAF" w:rsidP="00607909">
      <w:pPr>
        <w:spacing w:line="360" w:lineRule="auto"/>
      </w:pPr>
      <w:r>
        <w:t>Para el análisis de la confiabilidad de la consistencia interna se tomó en cuenta el coeficiente de alfa de Cronbach, ampliamente utilizado en el estudio de ciencias sociales (Cronbach, 1951).</w:t>
      </w:r>
    </w:p>
    <w:p w14:paraId="1231217F" w14:textId="77777777" w:rsidR="00607909" w:rsidRDefault="00607909" w:rsidP="00607909">
      <w:pPr>
        <w:pStyle w:val="Ttulo2"/>
        <w:spacing w:before="0" w:line="360" w:lineRule="auto"/>
        <w:ind w:left="0"/>
        <w:jc w:val="left"/>
      </w:pPr>
    </w:p>
    <w:p w14:paraId="13C4BC34" w14:textId="0E37EAA3" w:rsidR="00311A64" w:rsidRPr="00607909" w:rsidRDefault="00EC1CAF" w:rsidP="00607909">
      <w:pPr>
        <w:pStyle w:val="Ttulo2"/>
        <w:spacing w:before="0" w:line="360" w:lineRule="auto"/>
        <w:ind w:left="0"/>
        <w:jc w:val="center"/>
        <w:rPr>
          <w:i w:val="0"/>
          <w:iCs w:val="0"/>
        </w:rPr>
      </w:pPr>
      <w:r w:rsidRPr="00607909">
        <w:rPr>
          <w:i w:val="0"/>
          <w:iCs w:val="0"/>
        </w:rPr>
        <w:t>Recolección de datos</w:t>
      </w:r>
    </w:p>
    <w:p w14:paraId="7D74C485" w14:textId="77777777" w:rsidR="00311A64" w:rsidRDefault="00EC1CAF" w:rsidP="00607909">
      <w:pPr>
        <w:spacing w:line="360" w:lineRule="auto"/>
      </w:pPr>
      <w:r>
        <w:t>En cuanto a la recopilación de los datos se aplicó en 2019 el “instrumento para medir la operación con base en el capítulo ocho de la norma ISO 9001:2015” a miembros de una IES con SGC en el Estado de Durango, México (Santos, 2017).</w:t>
      </w:r>
    </w:p>
    <w:p w14:paraId="752BA7F6" w14:textId="77777777" w:rsidR="00607909" w:rsidRDefault="00607909" w:rsidP="00607909">
      <w:pPr>
        <w:pStyle w:val="Ttulo2"/>
        <w:spacing w:before="0" w:line="360" w:lineRule="auto"/>
        <w:ind w:left="0"/>
        <w:jc w:val="left"/>
      </w:pPr>
    </w:p>
    <w:p w14:paraId="03A413E9" w14:textId="49DE6DEB" w:rsidR="00311A64" w:rsidRPr="00607909" w:rsidRDefault="00EC1CAF" w:rsidP="00607909">
      <w:pPr>
        <w:pStyle w:val="Ttulo2"/>
        <w:spacing w:before="0" w:line="360" w:lineRule="auto"/>
        <w:ind w:left="0"/>
        <w:jc w:val="center"/>
        <w:rPr>
          <w:i w:val="0"/>
          <w:iCs w:val="0"/>
        </w:rPr>
      </w:pPr>
      <w:r w:rsidRPr="00607909">
        <w:rPr>
          <w:i w:val="0"/>
          <w:iCs w:val="0"/>
        </w:rPr>
        <w:t>Análisis de datos</w:t>
      </w:r>
    </w:p>
    <w:p w14:paraId="489C9335" w14:textId="77777777" w:rsidR="00311A64" w:rsidRDefault="00EC1CAF" w:rsidP="00607909">
      <w:pPr>
        <w:spacing w:line="360" w:lineRule="auto"/>
      </w:pPr>
      <w:r>
        <w:t xml:space="preserve">Los resultados que se obtuvieron de la metodología anteriormente mencionada se analizaron utilizando la herramienta de análisis estadístico IBM SPSS versión 25. </w:t>
      </w:r>
    </w:p>
    <w:p w14:paraId="6C887431" w14:textId="77777777" w:rsidR="00607909" w:rsidRDefault="00607909" w:rsidP="00607909">
      <w:pPr>
        <w:pStyle w:val="Ttulo2"/>
        <w:spacing w:before="0" w:line="360" w:lineRule="auto"/>
        <w:ind w:left="0"/>
        <w:jc w:val="left"/>
      </w:pPr>
    </w:p>
    <w:p w14:paraId="7C1F9988" w14:textId="77777777" w:rsidR="00EC6DFC" w:rsidRDefault="00EC6DFC" w:rsidP="00EC6DFC"/>
    <w:p w14:paraId="57BCAF75" w14:textId="77777777" w:rsidR="00EC6DFC" w:rsidRPr="00EC6DFC" w:rsidRDefault="00EC6DFC" w:rsidP="00EC6DFC"/>
    <w:p w14:paraId="39C82F9F" w14:textId="0094EE59" w:rsidR="00311A64" w:rsidRPr="00607909" w:rsidRDefault="00EC1CAF" w:rsidP="00607909">
      <w:pPr>
        <w:pStyle w:val="Ttulo2"/>
        <w:spacing w:before="0" w:line="360" w:lineRule="auto"/>
        <w:ind w:left="0"/>
        <w:jc w:val="center"/>
        <w:rPr>
          <w:i w:val="0"/>
          <w:iCs w:val="0"/>
        </w:rPr>
      </w:pPr>
      <w:r w:rsidRPr="00607909">
        <w:rPr>
          <w:i w:val="0"/>
          <w:iCs w:val="0"/>
        </w:rPr>
        <w:lastRenderedPageBreak/>
        <w:t>Modelo de Regresión lineal</w:t>
      </w:r>
    </w:p>
    <w:p w14:paraId="4FD7B8A8" w14:textId="77777777" w:rsidR="00311A64" w:rsidRDefault="00EC1CAF" w:rsidP="00607909">
      <w:pPr>
        <w:spacing w:line="360" w:lineRule="auto"/>
      </w:pPr>
      <w:r>
        <w:t xml:space="preserve">Finalmente, al realizar el análisis de regresión se tomaron en cuenta los siguientes tres aspectos: </w:t>
      </w:r>
    </w:p>
    <w:p w14:paraId="21D3F354" w14:textId="77777777" w:rsidR="00311A64" w:rsidRDefault="00EC1CAF" w:rsidP="00607909">
      <w:pPr>
        <w:pStyle w:val="Prrafodelista"/>
        <w:numPr>
          <w:ilvl w:val="0"/>
          <w:numId w:val="2"/>
        </w:numPr>
        <w:spacing w:line="360" w:lineRule="auto"/>
      </w:pPr>
      <w:r>
        <w:t xml:space="preserve">Validez y ajuste del modelo </w:t>
      </w:r>
    </w:p>
    <w:p w14:paraId="5B2A9F60" w14:textId="77777777" w:rsidR="00311A64" w:rsidRDefault="00EC1CAF" w:rsidP="00607909">
      <w:pPr>
        <w:pStyle w:val="Prrafodelista"/>
        <w:numPr>
          <w:ilvl w:val="0"/>
          <w:numId w:val="2"/>
        </w:numPr>
        <w:spacing w:line="360" w:lineRule="auto"/>
      </w:pPr>
      <w:r>
        <w:t xml:space="preserve">Ecuación de regresión </w:t>
      </w:r>
    </w:p>
    <w:p w14:paraId="0D31191E" w14:textId="77777777" w:rsidR="00311A64" w:rsidRDefault="00EC1CAF" w:rsidP="00607909">
      <w:pPr>
        <w:pStyle w:val="Prrafodelista"/>
        <w:numPr>
          <w:ilvl w:val="0"/>
          <w:numId w:val="2"/>
        </w:numPr>
        <w:spacing w:line="360" w:lineRule="auto"/>
      </w:pPr>
      <w:r>
        <w:t xml:space="preserve">Análisis de los supuestos </w:t>
      </w:r>
    </w:p>
    <w:p w14:paraId="2F9D5550" w14:textId="77777777" w:rsidR="00311A64" w:rsidRDefault="00EC1CAF" w:rsidP="00607909">
      <w:pPr>
        <w:spacing w:line="360" w:lineRule="auto"/>
      </w:pPr>
      <w:r>
        <w:t xml:space="preserve">Debiendo cumplir cuatro supuestos: </w:t>
      </w:r>
    </w:p>
    <w:p w14:paraId="41DEA77E" w14:textId="77777777" w:rsidR="00311A64" w:rsidRDefault="00EC1CAF" w:rsidP="00607909">
      <w:pPr>
        <w:pStyle w:val="Prrafodelista"/>
        <w:numPr>
          <w:ilvl w:val="0"/>
          <w:numId w:val="1"/>
        </w:numPr>
        <w:spacing w:line="360" w:lineRule="auto"/>
      </w:pPr>
      <w:r>
        <w:t xml:space="preserve">Linealidad </w:t>
      </w:r>
    </w:p>
    <w:p w14:paraId="15CC66EA" w14:textId="77777777" w:rsidR="00311A64" w:rsidRDefault="00EC1CAF" w:rsidP="00607909">
      <w:pPr>
        <w:pStyle w:val="Prrafodelista"/>
        <w:numPr>
          <w:ilvl w:val="0"/>
          <w:numId w:val="1"/>
        </w:numPr>
        <w:spacing w:line="360" w:lineRule="auto"/>
      </w:pPr>
      <w:r>
        <w:t xml:space="preserve">Independencia </w:t>
      </w:r>
      <w:r>
        <w:tab/>
      </w:r>
    </w:p>
    <w:p w14:paraId="5D94E630" w14:textId="77777777" w:rsidR="00311A64" w:rsidRDefault="00EC1CAF" w:rsidP="00607909">
      <w:pPr>
        <w:pStyle w:val="Prrafodelista"/>
        <w:numPr>
          <w:ilvl w:val="0"/>
          <w:numId w:val="1"/>
        </w:numPr>
        <w:spacing w:line="360" w:lineRule="auto"/>
      </w:pPr>
      <w:r>
        <w:t xml:space="preserve">Normalidad </w:t>
      </w:r>
    </w:p>
    <w:p w14:paraId="344FAEB5" w14:textId="77777777" w:rsidR="00311A64" w:rsidRDefault="00EC1CAF" w:rsidP="00607909">
      <w:pPr>
        <w:pStyle w:val="Prrafodelista"/>
        <w:numPr>
          <w:ilvl w:val="0"/>
          <w:numId w:val="1"/>
        </w:numPr>
        <w:spacing w:line="360" w:lineRule="auto"/>
      </w:pPr>
      <w:r>
        <w:t xml:space="preserve">Homocedasticidad </w:t>
      </w:r>
    </w:p>
    <w:p w14:paraId="31D0A68E" w14:textId="77777777" w:rsidR="00607909" w:rsidRDefault="00607909" w:rsidP="00607909">
      <w:pPr>
        <w:pStyle w:val="Ttulo1"/>
        <w:spacing w:before="0" w:line="360" w:lineRule="auto"/>
        <w:jc w:val="left"/>
      </w:pPr>
      <w:bookmarkStart w:id="12" w:name="_Toc26907023"/>
    </w:p>
    <w:p w14:paraId="6FEE257A" w14:textId="26D76F2C" w:rsidR="00311A64" w:rsidRPr="00607909" w:rsidRDefault="00EC1CAF" w:rsidP="00607909">
      <w:pPr>
        <w:pStyle w:val="Ttulo1"/>
        <w:spacing w:before="0" w:line="360" w:lineRule="auto"/>
        <w:jc w:val="center"/>
        <w:rPr>
          <w:i/>
          <w:iCs/>
          <w:sz w:val="32"/>
          <w:szCs w:val="32"/>
        </w:rPr>
      </w:pPr>
      <w:r w:rsidRPr="00607909">
        <w:rPr>
          <w:sz w:val="32"/>
          <w:szCs w:val="32"/>
        </w:rPr>
        <w:t>Resultados</w:t>
      </w:r>
      <w:bookmarkEnd w:id="12"/>
    </w:p>
    <w:p w14:paraId="1E209D5A" w14:textId="77777777" w:rsidR="00311A64" w:rsidRDefault="00EC1CAF" w:rsidP="00607909">
      <w:pPr>
        <w:spacing w:line="360" w:lineRule="auto"/>
      </w:pPr>
      <w:r>
        <w:t>En cuanto al análisis de regresión, se muestra a continuación. En primer término, se presenta el comportamiento de las variables estudiadas en la nube de puntos de la figura 2.</w:t>
      </w:r>
    </w:p>
    <w:p w14:paraId="64414C0D" w14:textId="7CA3F377" w:rsidR="00311A64" w:rsidRDefault="00311A64" w:rsidP="00EC6DFC">
      <w:pPr>
        <w:pStyle w:val="Descripcin"/>
        <w:spacing w:after="0" w:line="360" w:lineRule="auto"/>
        <w:jc w:val="center"/>
        <w:rPr>
          <w:i w:val="0"/>
          <w:iCs w:val="0"/>
          <w:color w:val="auto"/>
          <w:sz w:val="24"/>
          <w:szCs w:val="24"/>
        </w:rPr>
      </w:pPr>
    </w:p>
    <w:p w14:paraId="380F7E11" w14:textId="77777777" w:rsidR="00311A64" w:rsidRDefault="00EC1CAF">
      <w:pPr>
        <w:pStyle w:val="Descripcin"/>
        <w:spacing w:line="360" w:lineRule="auto"/>
        <w:jc w:val="center"/>
        <w:rPr>
          <w:i w:val="0"/>
          <w:iCs w:val="0"/>
          <w:color w:val="auto"/>
          <w:sz w:val="24"/>
          <w:szCs w:val="24"/>
        </w:rPr>
      </w:pPr>
      <w:r>
        <w:rPr>
          <w:b/>
          <w:bCs/>
          <w:i w:val="0"/>
          <w:iCs w:val="0"/>
          <w:color w:val="auto"/>
          <w:sz w:val="24"/>
          <w:szCs w:val="24"/>
        </w:rPr>
        <w:t xml:space="preserve">Figura </w:t>
      </w:r>
      <w:r>
        <w:rPr>
          <w:b/>
          <w:bCs/>
          <w:i w:val="0"/>
          <w:iCs w:val="0"/>
          <w:color w:val="auto"/>
          <w:sz w:val="24"/>
          <w:szCs w:val="24"/>
        </w:rPr>
        <w:fldChar w:fldCharType="begin"/>
      </w:r>
      <w:r>
        <w:rPr>
          <w:b/>
          <w:bCs/>
          <w:i w:val="0"/>
          <w:iCs w:val="0"/>
          <w:color w:val="auto"/>
          <w:sz w:val="24"/>
          <w:szCs w:val="24"/>
        </w:rPr>
        <w:instrText>SEQ Figura \* ARABIC</w:instrText>
      </w:r>
      <w:r>
        <w:rPr>
          <w:b/>
          <w:bCs/>
          <w:i w:val="0"/>
          <w:iCs w:val="0"/>
          <w:color w:val="auto"/>
          <w:sz w:val="24"/>
          <w:szCs w:val="24"/>
        </w:rPr>
        <w:fldChar w:fldCharType="separate"/>
      </w:r>
      <w:r>
        <w:rPr>
          <w:b/>
          <w:bCs/>
          <w:i w:val="0"/>
          <w:iCs w:val="0"/>
          <w:color w:val="auto"/>
          <w:sz w:val="24"/>
          <w:szCs w:val="24"/>
        </w:rPr>
        <w:t>2</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Nube de puntos de las variables estudiadas</w:t>
      </w:r>
    </w:p>
    <w:p w14:paraId="456428DE" w14:textId="77777777" w:rsidR="00311A64" w:rsidRDefault="00EC1CAF">
      <w:pPr>
        <w:spacing w:line="360" w:lineRule="auto"/>
        <w:jc w:val="center"/>
      </w:pPr>
      <w:r>
        <w:rPr>
          <w:noProof/>
          <w:lang w:eastAsia="es-MX"/>
        </w:rPr>
        <w:drawing>
          <wp:inline distT="0" distB="0" distL="0" distR="0" wp14:anchorId="4BAA5E8B" wp14:editId="61F9D89B">
            <wp:extent cx="5928995" cy="34861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9"/>
                    <a:stretch>
                      <a:fillRect/>
                    </a:stretch>
                  </pic:blipFill>
                  <pic:spPr bwMode="auto">
                    <a:xfrm>
                      <a:off x="0" y="0"/>
                      <a:ext cx="5928995" cy="3486150"/>
                    </a:xfrm>
                    <a:prstGeom prst="rect">
                      <a:avLst/>
                    </a:prstGeom>
                  </pic:spPr>
                </pic:pic>
              </a:graphicData>
            </a:graphic>
          </wp:inline>
        </w:drawing>
      </w:r>
    </w:p>
    <w:p w14:paraId="2E80AC8F" w14:textId="7EEB00DC" w:rsidR="00311A64" w:rsidRDefault="00EC1CAF" w:rsidP="00607909">
      <w:pPr>
        <w:spacing w:line="360" w:lineRule="auto"/>
        <w:jc w:val="center"/>
      </w:pPr>
      <w:r>
        <w:t>Fuente: Elaboración propia</w:t>
      </w:r>
      <w:bookmarkStart w:id="13" w:name="_Hlk107542474"/>
      <w:bookmarkEnd w:id="13"/>
    </w:p>
    <w:p w14:paraId="1968B09C" w14:textId="77777777" w:rsidR="00311A64" w:rsidRDefault="00EC1CAF">
      <w:pPr>
        <w:spacing w:line="360" w:lineRule="auto"/>
      </w:pPr>
      <w:r>
        <w:tab/>
        <w:t xml:space="preserve">En la figura 2 se observa una conglomeración con tendencia lineal en la nube de puntos, mostrando una reciprocidad interdependiente de las variables, lo cual indica que existe linealidad </w:t>
      </w:r>
      <w:r>
        <w:lastRenderedPageBreak/>
        <w:t>positiva. A medida que la variable dependiente aumenta, la variable independiente crece igualmente. En cuanto al resumen del modelo, se muestra en la tabla 5.</w:t>
      </w:r>
    </w:p>
    <w:p w14:paraId="737F30B7" w14:textId="77777777" w:rsidR="00607909" w:rsidRDefault="00607909">
      <w:pPr>
        <w:spacing w:line="360" w:lineRule="auto"/>
      </w:pPr>
    </w:p>
    <w:p w14:paraId="604C0F29" w14:textId="77777777" w:rsidR="00311A64" w:rsidRDefault="00EC1CAF" w:rsidP="00607909">
      <w:pPr>
        <w:pStyle w:val="Descripcin"/>
        <w:spacing w:after="0" w:line="360" w:lineRule="auto"/>
        <w:jc w:val="center"/>
        <w:rPr>
          <w:b/>
          <w:bCs/>
          <w:i w:val="0"/>
          <w:iCs w:val="0"/>
          <w:color w:val="auto"/>
          <w:sz w:val="24"/>
          <w:szCs w:val="24"/>
        </w:rPr>
      </w:pPr>
      <w:r>
        <w:rPr>
          <w:b/>
          <w:bCs/>
          <w:i w:val="0"/>
          <w:iCs w:val="0"/>
          <w:color w:val="auto"/>
          <w:sz w:val="24"/>
          <w:szCs w:val="24"/>
        </w:rPr>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5</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Resumen del modelo</w:t>
      </w:r>
    </w:p>
    <w:tbl>
      <w:tblPr>
        <w:tblStyle w:val="Tabladelista2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260"/>
        <w:gridCol w:w="1560"/>
        <w:gridCol w:w="1809"/>
        <w:gridCol w:w="1807"/>
        <w:gridCol w:w="1815"/>
      </w:tblGrid>
      <w:tr w:rsidR="00311A64" w14:paraId="395CAAA3" w14:textId="77777777" w:rsidTr="00607909">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9360" w:type="dxa"/>
            <w:gridSpan w:val="6"/>
            <w:shd w:val="clear" w:color="auto" w:fill="auto"/>
          </w:tcPr>
          <w:p w14:paraId="60EE8477" w14:textId="77777777" w:rsidR="00311A64" w:rsidRDefault="00EC1CAF">
            <w:pPr>
              <w:spacing w:line="240" w:lineRule="auto"/>
              <w:jc w:val="center"/>
              <w:rPr>
                <w:rFonts w:eastAsia="Calibri"/>
              </w:rPr>
            </w:pPr>
            <w:r>
              <w:rPr>
                <w:rFonts w:eastAsia="Calibri"/>
              </w:rPr>
              <w:t xml:space="preserve">Resumen del </w:t>
            </w:r>
            <w:proofErr w:type="spellStart"/>
            <w:r>
              <w:rPr>
                <w:rFonts w:eastAsia="Calibri"/>
              </w:rPr>
              <w:t>modelo</w:t>
            </w:r>
            <w:r>
              <w:rPr>
                <w:rFonts w:eastAsia="Calibri"/>
                <w:vertAlign w:val="superscript"/>
              </w:rPr>
              <w:t>b</w:t>
            </w:r>
            <w:proofErr w:type="spellEnd"/>
          </w:p>
        </w:tc>
      </w:tr>
      <w:tr w:rsidR="00311A64" w14:paraId="2D0E3510" w14:textId="77777777" w:rsidTr="00607909">
        <w:trPr>
          <w:trHeight w:val="419"/>
        </w:trPr>
        <w:tc>
          <w:tcPr>
            <w:cnfStyle w:val="000010000000" w:firstRow="0" w:lastRow="0" w:firstColumn="0" w:lastColumn="0" w:oddVBand="1" w:evenVBand="0" w:oddHBand="0" w:evenHBand="0" w:firstRowFirstColumn="0" w:firstRowLastColumn="0" w:lastRowFirstColumn="0" w:lastRowLastColumn="0"/>
            <w:tcW w:w="1109" w:type="dxa"/>
            <w:shd w:val="clear" w:color="auto" w:fill="auto"/>
          </w:tcPr>
          <w:p w14:paraId="330B0E26" w14:textId="77777777" w:rsidR="00311A64" w:rsidRDefault="00EC1CAF">
            <w:pPr>
              <w:spacing w:line="240" w:lineRule="auto"/>
              <w:jc w:val="center"/>
              <w:rPr>
                <w:rFonts w:eastAsia="Calibri"/>
              </w:rPr>
            </w:pPr>
            <w:r>
              <w:rPr>
                <w:rFonts w:eastAsia="Calibri"/>
              </w:rPr>
              <w:t>Modelo</w:t>
            </w:r>
          </w:p>
        </w:tc>
        <w:tc>
          <w:tcPr>
            <w:tcW w:w="1260" w:type="dxa"/>
            <w:shd w:val="clear" w:color="auto" w:fill="auto"/>
          </w:tcPr>
          <w:p w14:paraId="4A2AA6F7"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61541F6E" w14:textId="77777777" w:rsidR="00311A64" w:rsidRDefault="00EC1CAF">
            <w:pPr>
              <w:spacing w:line="240" w:lineRule="auto"/>
              <w:jc w:val="center"/>
              <w:rPr>
                <w:rFonts w:eastAsia="Calibri"/>
              </w:rPr>
            </w:pPr>
            <w:r>
              <w:rPr>
                <w:rFonts w:eastAsia="Calibri"/>
              </w:rPr>
              <w:t>R cuadrado</w:t>
            </w:r>
          </w:p>
        </w:tc>
        <w:tc>
          <w:tcPr>
            <w:tcW w:w="1809" w:type="dxa"/>
            <w:shd w:val="clear" w:color="auto" w:fill="auto"/>
          </w:tcPr>
          <w:p w14:paraId="7346A6A9"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 cuadrado ajustado</w:t>
            </w:r>
          </w:p>
        </w:tc>
        <w:tc>
          <w:tcPr>
            <w:cnfStyle w:val="000010000000" w:firstRow="0" w:lastRow="0" w:firstColumn="0" w:lastColumn="0" w:oddVBand="1" w:evenVBand="0" w:oddHBand="0" w:evenHBand="0" w:firstRowFirstColumn="0" w:firstRowLastColumn="0" w:lastRowFirstColumn="0" w:lastRowLastColumn="0"/>
            <w:tcW w:w="1807" w:type="dxa"/>
            <w:shd w:val="clear" w:color="auto" w:fill="auto"/>
          </w:tcPr>
          <w:p w14:paraId="78748A37" w14:textId="77777777" w:rsidR="00311A64" w:rsidRDefault="00EC1CAF">
            <w:pPr>
              <w:spacing w:line="240" w:lineRule="auto"/>
              <w:jc w:val="center"/>
              <w:rPr>
                <w:rFonts w:eastAsia="Calibri"/>
              </w:rPr>
            </w:pPr>
            <w:r>
              <w:rPr>
                <w:rFonts w:eastAsia="Calibri"/>
              </w:rPr>
              <w:t>Error estándar de la estimación</w:t>
            </w:r>
          </w:p>
        </w:tc>
        <w:tc>
          <w:tcPr>
            <w:tcW w:w="1815" w:type="dxa"/>
            <w:shd w:val="clear" w:color="auto" w:fill="auto"/>
          </w:tcPr>
          <w:p w14:paraId="29E764AE"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Durbin-Watson</w:t>
            </w:r>
          </w:p>
        </w:tc>
      </w:tr>
      <w:tr w:rsidR="00311A64" w14:paraId="23E272C7" w14:textId="77777777" w:rsidTr="00607909">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1109" w:type="dxa"/>
            <w:shd w:val="clear" w:color="auto" w:fill="auto"/>
          </w:tcPr>
          <w:p w14:paraId="15167617" w14:textId="77777777" w:rsidR="00311A64" w:rsidRDefault="00EC1CAF">
            <w:pPr>
              <w:spacing w:line="240" w:lineRule="auto"/>
              <w:jc w:val="center"/>
              <w:rPr>
                <w:rFonts w:eastAsia="Calibri"/>
              </w:rPr>
            </w:pPr>
            <w:r>
              <w:rPr>
                <w:rFonts w:eastAsia="Calibri"/>
              </w:rPr>
              <w:t>1</w:t>
            </w:r>
          </w:p>
        </w:tc>
        <w:tc>
          <w:tcPr>
            <w:tcW w:w="1260" w:type="dxa"/>
            <w:shd w:val="clear" w:color="auto" w:fill="auto"/>
          </w:tcPr>
          <w:p w14:paraId="19BD0A94"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.884</w:t>
            </w:r>
            <w:r>
              <w:rPr>
                <w:rFonts w:eastAsia="Calibri"/>
                <w:vertAlign w:val="superscript"/>
              </w:rPr>
              <w:t>a</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044B886A" w14:textId="77777777" w:rsidR="00311A64" w:rsidRDefault="00EC1CAF">
            <w:pPr>
              <w:spacing w:line="240" w:lineRule="auto"/>
              <w:jc w:val="center"/>
              <w:rPr>
                <w:rFonts w:eastAsia="Calibri"/>
              </w:rPr>
            </w:pPr>
            <w:r>
              <w:rPr>
                <w:rFonts w:eastAsia="Calibri"/>
              </w:rPr>
              <w:t>.781</w:t>
            </w:r>
          </w:p>
        </w:tc>
        <w:tc>
          <w:tcPr>
            <w:tcW w:w="1809" w:type="dxa"/>
            <w:shd w:val="clear" w:color="auto" w:fill="auto"/>
          </w:tcPr>
          <w:p w14:paraId="60BD0A45"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.781</w:t>
            </w:r>
          </w:p>
        </w:tc>
        <w:tc>
          <w:tcPr>
            <w:cnfStyle w:val="000010000000" w:firstRow="0" w:lastRow="0" w:firstColumn="0" w:lastColumn="0" w:oddVBand="1" w:evenVBand="0" w:oddHBand="0" w:evenHBand="0" w:firstRowFirstColumn="0" w:firstRowLastColumn="0" w:lastRowFirstColumn="0" w:lastRowLastColumn="0"/>
            <w:tcW w:w="1807" w:type="dxa"/>
            <w:shd w:val="clear" w:color="auto" w:fill="auto"/>
          </w:tcPr>
          <w:p w14:paraId="4F3FE902" w14:textId="77777777" w:rsidR="00311A64" w:rsidRDefault="00EC1CAF">
            <w:pPr>
              <w:spacing w:line="240" w:lineRule="auto"/>
              <w:jc w:val="center"/>
              <w:rPr>
                <w:rFonts w:eastAsia="Calibri"/>
              </w:rPr>
            </w:pPr>
            <w:r>
              <w:rPr>
                <w:rFonts w:eastAsia="Calibri"/>
              </w:rPr>
              <w:t>.197</w:t>
            </w:r>
          </w:p>
        </w:tc>
        <w:tc>
          <w:tcPr>
            <w:tcW w:w="1815" w:type="dxa"/>
            <w:shd w:val="clear" w:color="auto" w:fill="auto"/>
          </w:tcPr>
          <w:p w14:paraId="61DAD9CD"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1.874</w:t>
            </w:r>
          </w:p>
        </w:tc>
      </w:tr>
      <w:tr w:rsidR="00311A64" w14:paraId="35A303F5" w14:textId="77777777" w:rsidTr="00607909">
        <w:trPr>
          <w:trHeight w:val="209"/>
        </w:trPr>
        <w:tc>
          <w:tcPr>
            <w:cnfStyle w:val="000010000000" w:firstRow="0" w:lastRow="0" w:firstColumn="0" w:lastColumn="0" w:oddVBand="1" w:evenVBand="0" w:oddHBand="0" w:evenHBand="0" w:firstRowFirstColumn="0" w:firstRowLastColumn="0" w:lastRowFirstColumn="0" w:lastRowLastColumn="0"/>
            <w:tcW w:w="9360" w:type="dxa"/>
            <w:gridSpan w:val="6"/>
            <w:shd w:val="clear" w:color="auto" w:fill="auto"/>
          </w:tcPr>
          <w:p w14:paraId="415A05F3" w14:textId="77777777" w:rsidR="00311A64" w:rsidRDefault="00EC1CAF">
            <w:pPr>
              <w:spacing w:line="240" w:lineRule="auto"/>
              <w:rPr>
                <w:rFonts w:eastAsia="Calibri"/>
              </w:rPr>
            </w:pPr>
            <w:r>
              <w:rPr>
                <w:rFonts w:eastAsia="Calibri"/>
              </w:rPr>
              <w:t>a. Predictores: (Constante), Operación de un Sistema de Gestión de la Calidad (OSGC)</w:t>
            </w:r>
          </w:p>
        </w:tc>
      </w:tr>
      <w:tr w:rsidR="00311A64" w14:paraId="0BDC8E78" w14:textId="77777777" w:rsidTr="00607909">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9360" w:type="dxa"/>
            <w:gridSpan w:val="6"/>
            <w:shd w:val="clear" w:color="auto" w:fill="auto"/>
          </w:tcPr>
          <w:p w14:paraId="49DBAF30" w14:textId="77777777" w:rsidR="00311A64" w:rsidRDefault="00EC1CAF">
            <w:pPr>
              <w:spacing w:line="240" w:lineRule="auto"/>
              <w:rPr>
                <w:rFonts w:eastAsia="Calibri"/>
              </w:rPr>
            </w:pPr>
            <w:r>
              <w:rPr>
                <w:rFonts w:eastAsia="Calibri"/>
              </w:rPr>
              <w:t>b. Variable dependiente: Calidad en un Sistema de Gestión (CSG)</w:t>
            </w:r>
          </w:p>
        </w:tc>
      </w:tr>
    </w:tbl>
    <w:p w14:paraId="275256C1" w14:textId="77777777" w:rsidR="00311A64" w:rsidRDefault="00EC1CAF" w:rsidP="00607909">
      <w:pPr>
        <w:spacing w:line="360" w:lineRule="auto"/>
        <w:jc w:val="center"/>
      </w:pPr>
      <w:r>
        <w:t>Fuente: Elaboración propia.</w:t>
      </w:r>
      <w:bookmarkStart w:id="14" w:name="_Hlk107542629"/>
      <w:bookmarkEnd w:id="14"/>
    </w:p>
    <w:p w14:paraId="1CD6F6B1" w14:textId="77777777" w:rsidR="00311A64" w:rsidRDefault="00EC1CAF">
      <w:pPr>
        <w:spacing w:line="360" w:lineRule="auto"/>
      </w:pPr>
      <w:r>
        <w:tab/>
        <w:t>En esta etapa, los supuestos de linealidad e independencia, así como el ajuste, quedan verificados en la tabla 5. Además, considerando el valor de R=0.884, se confirma que existe una fuerte correlación lineal entre la variable de OSGC y la variable CSG.</w:t>
      </w:r>
    </w:p>
    <w:p w14:paraId="7DC2B033" w14:textId="77777777" w:rsidR="00311A64" w:rsidRDefault="00EC1CAF">
      <w:pPr>
        <w:spacing w:line="360" w:lineRule="auto"/>
        <w:ind w:firstLine="708"/>
      </w:pPr>
      <w:r>
        <w:t>El valor de R</w:t>
      </w:r>
      <w:r>
        <w:rPr>
          <w:rFonts w:ascii="Calibri" w:hAnsi="Calibri" w:cs="Calibri"/>
        </w:rPr>
        <w:t>²</w:t>
      </w:r>
      <w:r>
        <w:t xml:space="preserve">=0.781 indica un ajuste significativo, demostrando que el proceso de análisis para el modelo de regresión se puede ajustar para validar estudios que aborden temáticas semejantes a la de la presente investigación. La proporción de variación explicada de 78.1%, producto de la correlación 0.884 y su cuadrado 0.781. </w:t>
      </w:r>
    </w:p>
    <w:p w14:paraId="30EE94CE" w14:textId="77777777" w:rsidR="00311A64" w:rsidRDefault="00EC1CAF">
      <w:pPr>
        <w:spacing w:line="360" w:lineRule="auto"/>
        <w:ind w:firstLine="708"/>
      </w:pPr>
      <w:r>
        <w:t>Considerando el valor de 1.874 (cercanamente a dos) de Durbin-Watson (en la tabla 5), se acepta la hipótesis de independencia, teniendo en cuenta a su vez, la independencia presente entre los residuos a través del estadístico Durbin-Watson, que acepta un valor de dos, en tanto exista completa independencia en los residuos (se considera que existe independencia dentro del intervalo de valores entre 1.5 y 2.5).</w:t>
      </w:r>
    </w:p>
    <w:p w14:paraId="4BCF7B7A" w14:textId="77777777" w:rsidR="00311A64" w:rsidRDefault="00EC1CAF">
      <w:pPr>
        <w:spacing w:line="360" w:lineRule="auto"/>
        <w:ind w:firstLine="708"/>
      </w:pPr>
      <w:r>
        <w:t>En la tabla 6 se presenta la prueba de hipótesis, (así mismo, se muestra el error típico de la estimación) en donde se muestra una F con valor de 2167.338, que su probabilidad asociada de acuerdo con lo esperado de la hipótesis nula inferior a 0.0001.</w:t>
      </w:r>
    </w:p>
    <w:p w14:paraId="75265E05" w14:textId="77777777" w:rsidR="00607909" w:rsidRDefault="00607909">
      <w:pPr>
        <w:spacing w:line="360" w:lineRule="auto"/>
        <w:ind w:firstLine="708"/>
      </w:pPr>
    </w:p>
    <w:p w14:paraId="71C0CC96" w14:textId="77777777" w:rsidR="00311A64" w:rsidRDefault="00EC1CAF" w:rsidP="00EC6DFC">
      <w:pPr>
        <w:pStyle w:val="Descripcin"/>
        <w:spacing w:after="0" w:line="360" w:lineRule="auto"/>
        <w:jc w:val="center"/>
        <w:rPr>
          <w:b/>
          <w:bCs/>
          <w:i w:val="0"/>
          <w:iCs w:val="0"/>
          <w:color w:val="auto"/>
          <w:sz w:val="24"/>
          <w:szCs w:val="24"/>
        </w:rPr>
      </w:pPr>
      <w:r>
        <w:rPr>
          <w:b/>
          <w:bCs/>
          <w:i w:val="0"/>
          <w:iCs w:val="0"/>
          <w:color w:val="auto"/>
          <w:sz w:val="24"/>
          <w:szCs w:val="24"/>
        </w:rPr>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6</w:t>
      </w:r>
      <w:r>
        <w:rPr>
          <w:b/>
          <w:bCs/>
          <w:i w:val="0"/>
          <w:iCs w:val="0"/>
          <w:color w:val="auto"/>
          <w:sz w:val="24"/>
          <w:szCs w:val="24"/>
        </w:rPr>
        <w:fldChar w:fldCharType="end"/>
      </w:r>
      <w:r>
        <w:rPr>
          <w:b/>
          <w:bCs/>
          <w:i w:val="0"/>
          <w:iCs w:val="0"/>
          <w:color w:val="auto"/>
          <w:sz w:val="24"/>
          <w:szCs w:val="24"/>
        </w:rPr>
        <w:t xml:space="preserve">. </w:t>
      </w:r>
      <w:proofErr w:type="spellStart"/>
      <w:r>
        <w:rPr>
          <w:i w:val="0"/>
          <w:iCs w:val="0"/>
          <w:color w:val="auto"/>
          <w:sz w:val="24"/>
          <w:szCs w:val="24"/>
        </w:rPr>
        <w:t>Anova</w:t>
      </w:r>
      <w:proofErr w:type="spellEnd"/>
    </w:p>
    <w:tbl>
      <w:tblPr>
        <w:tblStyle w:val="Tabladelista21"/>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380"/>
        <w:gridCol w:w="1721"/>
        <w:gridCol w:w="1200"/>
        <w:gridCol w:w="1721"/>
        <w:gridCol w:w="1273"/>
        <w:gridCol w:w="1206"/>
      </w:tblGrid>
      <w:tr w:rsidR="00311A64" w14:paraId="1473CFD0" w14:textId="77777777" w:rsidTr="00607909">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9358" w:type="dxa"/>
            <w:gridSpan w:val="7"/>
            <w:shd w:val="clear" w:color="auto" w:fill="auto"/>
          </w:tcPr>
          <w:p w14:paraId="0C758B75" w14:textId="77777777" w:rsidR="00311A64" w:rsidRDefault="00EC1CAF">
            <w:pPr>
              <w:spacing w:line="240" w:lineRule="auto"/>
              <w:jc w:val="center"/>
              <w:rPr>
                <w:rFonts w:eastAsia="Calibri"/>
              </w:rPr>
            </w:pPr>
            <w:proofErr w:type="spellStart"/>
            <w:r>
              <w:rPr>
                <w:rFonts w:eastAsia="Calibri"/>
              </w:rPr>
              <w:t>ANOVA</w:t>
            </w:r>
            <w:r>
              <w:rPr>
                <w:rFonts w:eastAsia="Calibri"/>
                <w:vertAlign w:val="superscript"/>
              </w:rPr>
              <w:t>a</w:t>
            </w:r>
            <w:proofErr w:type="spellEnd"/>
          </w:p>
        </w:tc>
      </w:tr>
      <w:tr w:rsidR="00311A64" w14:paraId="784621C3" w14:textId="77777777" w:rsidTr="00607909">
        <w:trPr>
          <w:trHeight w:val="275"/>
        </w:trPr>
        <w:tc>
          <w:tcPr>
            <w:cnfStyle w:val="000010000000" w:firstRow="0" w:lastRow="0" w:firstColumn="0" w:lastColumn="0" w:oddVBand="1" w:evenVBand="0" w:oddHBand="0" w:evenHBand="0" w:firstRowFirstColumn="0" w:firstRowLastColumn="0" w:lastRowFirstColumn="0" w:lastRowLastColumn="0"/>
            <w:tcW w:w="2237" w:type="dxa"/>
            <w:gridSpan w:val="2"/>
            <w:shd w:val="clear" w:color="auto" w:fill="auto"/>
          </w:tcPr>
          <w:p w14:paraId="39F81CE7" w14:textId="77777777" w:rsidR="00311A64" w:rsidRDefault="00EC1CAF">
            <w:pPr>
              <w:spacing w:line="240" w:lineRule="auto"/>
              <w:jc w:val="center"/>
              <w:rPr>
                <w:rFonts w:eastAsia="Calibri"/>
              </w:rPr>
            </w:pPr>
            <w:r>
              <w:rPr>
                <w:rFonts w:eastAsia="Calibri"/>
              </w:rPr>
              <w:t>Modelo</w:t>
            </w:r>
          </w:p>
        </w:tc>
        <w:tc>
          <w:tcPr>
            <w:tcW w:w="1721" w:type="dxa"/>
            <w:shd w:val="clear" w:color="auto" w:fill="auto"/>
          </w:tcPr>
          <w:p w14:paraId="7E79A88D"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Suma de cuadrados</w:t>
            </w:r>
          </w:p>
        </w:tc>
        <w:tc>
          <w:tcPr>
            <w:cnfStyle w:val="000010000000" w:firstRow="0" w:lastRow="0" w:firstColumn="0" w:lastColumn="0" w:oddVBand="1" w:evenVBand="0" w:oddHBand="0" w:evenHBand="0" w:firstRowFirstColumn="0" w:firstRowLastColumn="0" w:lastRowFirstColumn="0" w:lastRowLastColumn="0"/>
            <w:tcW w:w="1200" w:type="dxa"/>
            <w:shd w:val="clear" w:color="auto" w:fill="auto"/>
          </w:tcPr>
          <w:p w14:paraId="1C4412E0" w14:textId="6E4FCE97" w:rsidR="00311A64" w:rsidRDefault="00EC6DFC">
            <w:pPr>
              <w:spacing w:line="240" w:lineRule="auto"/>
              <w:jc w:val="center"/>
              <w:rPr>
                <w:rFonts w:eastAsia="Calibri"/>
              </w:rPr>
            </w:pPr>
            <w:proofErr w:type="spellStart"/>
            <w:r>
              <w:rPr>
                <w:rFonts w:eastAsia="Calibri"/>
              </w:rPr>
              <w:t>G</w:t>
            </w:r>
            <w:r w:rsidR="00EC1CAF">
              <w:rPr>
                <w:rFonts w:eastAsia="Calibri"/>
              </w:rPr>
              <w:t>l</w:t>
            </w:r>
            <w:proofErr w:type="spellEnd"/>
          </w:p>
        </w:tc>
        <w:tc>
          <w:tcPr>
            <w:tcW w:w="1721" w:type="dxa"/>
            <w:shd w:val="clear" w:color="auto" w:fill="auto"/>
          </w:tcPr>
          <w:p w14:paraId="7A94D358"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Media cuadrática</w:t>
            </w:r>
          </w:p>
        </w:tc>
        <w:tc>
          <w:tcPr>
            <w:cnfStyle w:val="000010000000" w:firstRow="0" w:lastRow="0" w:firstColumn="0" w:lastColumn="0" w:oddVBand="1" w:evenVBand="0" w:oddHBand="0" w:evenHBand="0" w:firstRowFirstColumn="0" w:firstRowLastColumn="0" w:lastRowFirstColumn="0" w:lastRowLastColumn="0"/>
            <w:tcW w:w="1273" w:type="dxa"/>
            <w:shd w:val="clear" w:color="auto" w:fill="auto"/>
          </w:tcPr>
          <w:p w14:paraId="3A7CCB1C" w14:textId="77777777" w:rsidR="00311A64" w:rsidRDefault="00EC1CAF">
            <w:pPr>
              <w:spacing w:line="240" w:lineRule="auto"/>
              <w:jc w:val="center"/>
              <w:rPr>
                <w:rFonts w:eastAsia="Calibri"/>
              </w:rPr>
            </w:pPr>
            <w:r>
              <w:rPr>
                <w:rFonts w:eastAsia="Calibri"/>
              </w:rPr>
              <w:t>F</w:t>
            </w:r>
          </w:p>
        </w:tc>
        <w:tc>
          <w:tcPr>
            <w:tcW w:w="1206" w:type="dxa"/>
            <w:shd w:val="clear" w:color="auto" w:fill="auto"/>
          </w:tcPr>
          <w:p w14:paraId="6088B9A0"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Sig.</w:t>
            </w:r>
          </w:p>
        </w:tc>
      </w:tr>
      <w:tr w:rsidR="00311A64" w14:paraId="2BB7AF00" w14:textId="77777777" w:rsidTr="0060790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857" w:type="dxa"/>
            <w:vMerge w:val="restart"/>
            <w:shd w:val="clear" w:color="auto" w:fill="auto"/>
          </w:tcPr>
          <w:p w14:paraId="358A3299" w14:textId="77777777" w:rsidR="00311A64" w:rsidRDefault="00EC1CAF">
            <w:pPr>
              <w:spacing w:line="240" w:lineRule="auto"/>
              <w:jc w:val="center"/>
              <w:rPr>
                <w:rFonts w:eastAsia="Calibri"/>
              </w:rPr>
            </w:pPr>
            <w:r>
              <w:rPr>
                <w:rFonts w:eastAsia="Calibri"/>
              </w:rPr>
              <w:t>1</w:t>
            </w:r>
          </w:p>
        </w:tc>
        <w:tc>
          <w:tcPr>
            <w:tcW w:w="1380" w:type="dxa"/>
            <w:shd w:val="clear" w:color="auto" w:fill="auto"/>
          </w:tcPr>
          <w:p w14:paraId="11C3DBB2"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Regresión</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21CFF36A" w14:textId="77777777" w:rsidR="00311A64" w:rsidRDefault="00EC1CAF">
            <w:pPr>
              <w:spacing w:line="240" w:lineRule="auto"/>
              <w:jc w:val="center"/>
              <w:rPr>
                <w:rFonts w:eastAsia="Calibri"/>
              </w:rPr>
            </w:pPr>
            <w:r>
              <w:rPr>
                <w:rFonts w:eastAsia="Calibri"/>
              </w:rPr>
              <w:t>84.370</w:t>
            </w:r>
          </w:p>
        </w:tc>
        <w:tc>
          <w:tcPr>
            <w:tcW w:w="1200" w:type="dxa"/>
            <w:shd w:val="clear" w:color="auto" w:fill="auto"/>
          </w:tcPr>
          <w:p w14:paraId="41B9E261"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132E77E9" w14:textId="77777777" w:rsidR="00311A64" w:rsidRDefault="00EC1CAF">
            <w:pPr>
              <w:spacing w:line="240" w:lineRule="auto"/>
              <w:jc w:val="center"/>
              <w:rPr>
                <w:rFonts w:eastAsia="Calibri"/>
              </w:rPr>
            </w:pPr>
            <w:r>
              <w:rPr>
                <w:rFonts w:eastAsia="Calibri"/>
              </w:rPr>
              <w:t>84.370</w:t>
            </w:r>
          </w:p>
        </w:tc>
        <w:tc>
          <w:tcPr>
            <w:tcW w:w="1273" w:type="dxa"/>
            <w:shd w:val="clear" w:color="auto" w:fill="auto"/>
          </w:tcPr>
          <w:p w14:paraId="78BAE2DC"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2167.338</w:t>
            </w:r>
          </w:p>
        </w:tc>
        <w:tc>
          <w:tcPr>
            <w:cnfStyle w:val="000010000000" w:firstRow="0" w:lastRow="0" w:firstColumn="0" w:lastColumn="0" w:oddVBand="1" w:evenVBand="0" w:oddHBand="0" w:evenHBand="0" w:firstRowFirstColumn="0" w:firstRowLastColumn="0" w:lastRowFirstColumn="0" w:lastRowLastColumn="0"/>
            <w:tcW w:w="1206" w:type="dxa"/>
            <w:shd w:val="clear" w:color="auto" w:fill="auto"/>
          </w:tcPr>
          <w:p w14:paraId="349DFB1F" w14:textId="77777777" w:rsidR="00311A64" w:rsidRDefault="00EC1CAF">
            <w:pPr>
              <w:spacing w:line="240" w:lineRule="auto"/>
              <w:jc w:val="center"/>
              <w:rPr>
                <w:rFonts w:eastAsia="Calibri"/>
              </w:rPr>
            </w:pPr>
            <w:r>
              <w:rPr>
                <w:rFonts w:eastAsia="Calibri"/>
              </w:rPr>
              <w:t>.000</w:t>
            </w:r>
            <w:r>
              <w:rPr>
                <w:rFonts w:eastAsia="Calibri"/>
                <w:vertAlign w:val="superscript"/>
              </w:rPr>
              <w:t>b</w:t>
            </w:r>
          </w:p>
        </w:tc>
      </w:tr>
      <w:tr w:rsidR="00311A64" w14:paraId="38D9F85A" w14:textId="77777777" w:rsidTr="00607909">
        <w:trPr>
          <w:trHeight w:val="238"/>
        </w:trPr>
        <w:tc>
          <w:tcPr>
            <w:cnfStyle w:val="000010000000" w:firstRow="0" w:lastRow="0" w:firstColumn="0" w:lastColumn="0" w:oddVBand="1" w:evenVBand="0" w:oddHBand="0" w:evenHBand="0" w:firstRowFirstColumn="0" w:firstRowLastColumn="0" w:lastRowFirstColumn="0" w:lastRowLastColumn="0"/>
            <w:tcW w:w="857" w:type="dxa"/>
            <w:vMerge/>
            <w:shd w:val="clear" w:color="auto" w:fill="auto"/>
          </w:tcPr>
          <w:p w14:paraId="40C16B91" w14:textId="77777777" w:rsidR="00311A64" w:rsidRDefault="00311A64">
            <w:pPr>
              <w:spacing w:line="240" w:lineRule="auto"/>
              <w:jc w:val="center"/>
              <w:rPr>
                <w:rFonts w:eastAsia="Calibri"/>
              </w:rPr>
            </w:pPr>
          </w:p>
        </w:tc>
        <w:tc>
          <w:tcPr>
            <w:tcW w:w="1380" w:type="dxa"/>
            <w:shd w:val="clear" w:color="auto" w:fill="auto"/>
          </w:tcPr>
          <w:p w14:paraId="574867FA"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Residuo</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0FC9B48B" w14:textId="77777777" w:rsidR="00311A64" w:rsidRDefault="00EC1CAF">
            <w:pPr>
              <w:spacing w:line="240" w:lineRule="auto"/>
              <w:jc w:val="center"/>
              <w:rPr>
                <w:rFonts w:eastAsia="Calibri"/>
              </w:rPr>
            </w:pPr>
            <w:r>
              <w:rPr>
                <w:rFonts w:eastAsia="Calibri"/>
              </w:rPr>
              <w:t>23.668</w:t>
            </w:r>
          </w:p>
        </w:tc>
        <w:tc>
          <w:tcPr>
            <w:tcW w:w="1200" w:type="dxa"/>
            <w:shd w:val="clear" w:color="auto" w:fill="auto"/>
          </w:tcPr>
          <w:p w14:paraId="4820005A"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608</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0EBA5DF5" w14:textId="77777777" w:rsidR="00311A64" w:rsidRDefault="00EC1CAF">
            <w:pPr>
              <w:spacing w:line="240" w:lineRule="auto"/>
              <w:jc w:val="center"/>
              <w:rPr>
                <w:rFonts w:eastAsia="Calibri"/>
              </w:rPr>
            </w:pPr>
            <w:r>
              <w:rPr>
                <w:rFonts w:eastAsia="Calibri"/>
              </w:rPr>
              <w:t>.039</w:t>
            </w:r>
          </w:p>
        </w:tc>
        <w:tc>
          <w:tcPr>
            <w:tcW w:w="1273" w:type="dxa"/>
            <w:shd w:val="clear" w:color="auto" w:fill="auto"/>
          </w:tcPr>
          <w:p w14:paraId="1EB32AA4" w14:textId="77777777" w:rsidR="00311A64" w:rsidRDefault="00311A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p>
        </w:tc>
        <w:tc>
          <w:tcPr>
            <w:cnfStyle w:val="000010000000" w:firstRow="0" w:lastRow="0" w:firstColumn="0" w:lastColumn="0" w:oddVBand="1" w:evenVBand="0" w:oddHBand="0" w:evenHBand="0" w:firstRowFirstColumn="0" w:firstRowLastColumn="0" w:lastRowFirstColumn="0" w:lastRowLastColumn="0"/>
            <w:tcW w:w="1206" w:type="dxa"/>
            <w:shd w:val="clear" w:color="auto" w:fill="auto"/>
          </w:tcPr>
          <w:p w14:paraId="5A77969D" w14:textId="77777777" w:rsidR="00311A64" w:rsidRDefault="00311A64">
            <w:pPr>
              <w:spacing w:line="240" w:lineRule="auto"/>
              <w:jc w:val="center"/>
              <w:rPr>
                <w:rFonts w:eastAsia="Calibri"/>
              </w:rPr>
            </w:pPr>
          </w:p>
        </w:tc>
      </w:tr>
      <w:tr w:rsidR="00311A64" w14:paraId="7A5E398E" w14:textId="77777777" w:rsidTr="0060790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857" w:type="dxa"/>
            <w:vMerge/>
            <w:shd w:val="clear" w:color="auto" w:fill="auto"/>
          </w:tcPr>
          <w:p w14:paraId="1D195D14" w14:textId="77777777" w:rsidR="00311A64" w:rsidRDefault="00311A64">
            <w:pPr>
              <w:spacing w:line="240" w:lineRule="auto"/>
              <w:jc w:val="center"/>
              <w:rPr>
                <w:rFonts w:eastAsia="Calibri"/>
              </w:rPr>
            </w:pPr>
          </w:p>
        </w:tc>
        <w:tc>
          <w:tcPr>
            <w:tcW w:w="1380" w:type="dxa"/>
            <w:shd w:val="clear" w:color="auto" w:fill="auto"/>
          </w:tcPr>
          <w:p w14:paraId="71148D92"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Total</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3C881AEB" w14:textId="77777777" w:rsidR="00311A64" w:rsidRDefault="00EC1CAF">
            <w:pPr>
              <w:spacing w:line="240" w:lineRule="auto"/>
              <w:jc w:val="center"/>
              <w:rPr>
                <w:rFonts w:eastAsia="Calibri"/>
              </w:rPr>
            </w:pPr>
            <w:r>
              <w:rPr>
                <w:rFonts w:eastAsia="Calibri"/>
              </w:rPr>
              <w:t>108.039</w:t>
            </w:r>
          </w:p>
        </w:tc>
        <w:tc>
          <w:tcPr>
            <w:tcW w:w="1200" w:type="dxa"/>
            <w:shd w:val="clear" w:color="auto" w:fill="auto"/>
          </w:tcPr>
          <w:p w14:paraId="4C7D6D08"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609</w:t>
            </w:r>
          </w:p>
        </w:tc>
        <w:tc>
          <w:tcPr>
            <w:cnfStyle w:val="000010000000" w:firstRow="0" w:lastRow="0" w:firstColumn="0" w:lastColumn="0" w:oddVBand="1" w:evenVBand="0" w:oddHBand="0" w:evenHBand="0" w:firstRowFirstColumn="0" w:firstRowLastColumn="0" w:lastRowFirstColumn="0" w:lastRowLastColumn="0"/>
            <w:tcW w:w="1721" w:type="dxa"/>
            <w:shd w:val="clear" w:color="auto" w:fill="auto"/>
          </w:tcPr>
          <w:p w14:paraId="02CCA693" w14:textId="77777777" w:rsidR="00311A64" w:rsidRDefault="00311A64">
            <w:pPr>
              <w:spacing w:line="240" w:lineRule="auto"/>
              <w:jc w:val="center"/>
              <w:rPr>
                <w:rFonts w:eastAsia="Calibri"/>
              </w:rPr>
            </w:pPr>
          </w:p>
        </w:tc>
        <w:tc>
          <w:tcPr>
            <w:tcW w:w="1273" w:type="dxa"/>
            <w:shd w:val="clear" w:color="auto" w:fill="auto"/>
          </w:tcPr>
          <w:p w14:paraId="001F00A4" w14:textId="77777777" w:rsidR="00311A64" w:rsidRDefault="00311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p>
        </w:tc>
        <w:tc>
          <w:tcPr>
            <w:cnfStyle w:val="000010000000" w:firstRow="0" w:lastRow="0" w:firstColumn="0" w:lastColumn="0" w:oddVBand="1" w:evenVBand="0" w:oddHBand="0" w:evenHBand="0" w:firstRowFirstColumn="0" w:firstRowLastColumn="0" w:lastRowFirstColumn="0" w:lastRowLastColumn="0"/>
            <w:tcW w:w="1206" w:type="dxa"/>
            <w:shd w:val="clear" w:color="auto" w:fill="auto"/>
          </w:tcPr>
          <w:p w14:paraId="40683FA3" w14:textId="77777777" w:rsidR="00311A64" w:rsidRDefault="00311A64">
            <w:pPr>
              <w:spacing w:line="240" w:lineRule="auto"/>
              <w:jc w:val="center"/>
              <w:rPr>
                <w:rFonts w:eastAsia="Calibri"/>
              </w:rPr>
            </w:pPr>
          </w:p>
        </w:tc>
      </w:tr>
      <w:tr w:rsidR="00311A64" w14:paraId="38020583" w14:textId="77777777" w:rsidTr="00607909">
        <w:trPr>
          <w:trHeight w:val="238"/>
        </w:trPr>
        <w:tc>
          <w:tcPr>
            <w:cnfStyle w:val="000010000000" w:firstRow="0" w:lastRow="0" w:firstColumn="0" w:lastColumn="0" w:oddVBand="1" w:evenVBand="0" w:oddHBand="0" w:evenHBand="0" w:firstRowFirstColumn="0" w:firstRowLastColumn="0" w:lastRowFirstColumn="0" w:lastRowLastColumn="0"/>
            <w:tcW w:w="9358" w:type="dxa"/>
            <w:gridSpan w:val="7"/>
            <w:shd w:val="clear" w:color="auto" w:fill="auto"/>
          </w:tcPr>
          <w:p w14:paraId="0BD2FB5E" w14:textId="77777777" w:rsidR="00311A64" w:rsidRDefault="00EC1CAF">
            <w:pPr>
              <w:spacing w:line="240" w:lineRule="auto"/>
              <w:rPr>
                <w:rFonts w:eastAsia="Calibri"/>
              </w:rPr>
            </w:pPr>
            <w:r>
              <w:rPr>
                <w:rFonts w:eastAsia="Calibri"/>
              </w:rPr>
              <w:t>a. Variable dependiente: Calidad en un Sistema de Gestión (CSG)</w:t>
            </w:r>
          </w:p>
        </w:tc>
      </w:tr>
      <w:tr w:rsidR="00311A64" w14:paraId="7A9E07B1" w14:textId="77777777" w:rsidTr="00607909">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9358" w:type="dxa"/>
            <w:gridSpan w:val="7"/>
            <w:shd w:val="clear" w:color="auto" w:fill="auto"/>
          </w:tcPr>
          <w:p w14:paraId="409A4D8E" w14:textId="77777777" w:rsidR="00311A64" w:rsidRDefault="00EC1CAF">
            <w:pPr>
              <w:spacing w:line="240" w:lineRule="auto"/>
              <w:rPr>
                <w:rFonts w:eastAsia="Calibri"/>
              </w:rPr>
            </w:pPr>
            <w:r>
              <w:rPr>
                <w:rFonts w:eastAsia="Calibri"/>
              </w:rPr>
              <w:t>b. Predictores: (Constante), Operación de un Sistema de Gestión de la Calidad (OSGC)</w:t>
            </w:r>
          </w:p>
        </w:tc>
      </w:tr>
    </w:tbl>
    <w:p w14:paraId="1B99F99A" w14:textId="5BF1CDF7" w:rsidR="00311A64" w:rsidRDefault="00EC1CAF" w:rsidP="00607909">
      <w:pPr>
        <w:spacing w:line="360" w:lineRule="auto"/>
        <w:jc w:val="center"/>
      </w:pPr>
      <w:r>
        <w:t>Fuente: Elaboración propia</w:t>
      </w:r>
    </w:p>
    <w:p w14:paraId="7D095CC9" w14:textId="77777777" w:rsidR="00311A64" w:rsidRDefault="00EC1CAF">
      <w:pPr>
        <w:spacing w:line="360" w:lineRule="auto"/>
      </w:pPr>
      <w:bookmarkStart w:id="15" w:name="_Hlk90264194"/>
      <w:bookmarkEnd w:id="15"/>
      <w:r>
        <w:lastRenderedPageBreak/>
        <w:tab/>
      </w:r>
      <w:bookmarkStart w:id="16" w:name="_Hlk90264727"/>
      <w:r>
        <w:t>Lo anterior resulta sumamente significativo, en cuanto a los datos obtenidos de los individuos objeto de estudio, lo que conlleva a una R cuadrada sobrevalorada, con lo que de igual manera verificamos que el modelo sea válido. Se considera un modelo valido en tanto que el valor p es cercano a cero.</w:t>
      </w:r>
    </w:p>
    <w:bookmarkEnd w:id="16"/>
    <w:p w14:paraId="6B399509" w14:textId="77777777" w:rsidR="00311A64" w:rsidRDefault="00EC1CAF">
      <w:pPr>
        <w:spacing w:line="360" w:lineRule="auto"/>
        <w:ind w:firstLine="708"/>
      </w:pPr>
      <w:r>
        <w:t>En cuanto a la ecuación de regresión, sus valores se muestran en la tabla 7:</w:t>
      </w:r>
    </w:p>
    <w:p w14:paraId="09C34E53" w14:textId="77777777" w:rsidR="00EC6DFC" w:rsidRDefault="00EC6DFC">
      <w:pPr>
        <w:spacing w:line="360" w:lineRule="auto"/>
        <w:ind w:firstLine="708"/>
      </w:pPr>
    </w:p>
    <w:p w14:paraId="1B176A97" w14:textId="77777777" w:rsidR="00311A64" w:rsidRDefault="00EC1CAF" w:rsidP="00EC6DFC">
      <w:pPr>
        <w:pStyle w:val="Descripcin"/>
        <w:spacing w:after="0" w:line="360" w:lineRule="auto"/>
        <w:jc w:val="center"/>
        <w:rPr>
          <w:b/>
          <w:bCs/>
          <w:i w:val="0"/>
          <w:iCs w:val="0"/>
          <w:color w:val="auto"/>
          <w:sz w:val="24"/>
          <w:szCs w:val="24"/>
        </w:rPr>
      </w:pPr>
      <w:r>
        <w:rPr>
          <w:b/>
          <w:bCs/>
          <w:i w:val="0"/>
          <w:iCs w:val="0"/>
          <w:color w:val="auto"/>
          <w:sz w:val="24"/>
          <w:szCs w:val="24"/>
        </w:rPr>
        <w:t xml:space="preserve">Tabla </w:t>
      </w:r>
      <w:r>
        <w:rPr>
          <w:b/>
          <w:bCs/>
          <w:i w:val="0"/>
          <w:iCs w:val="0"/>
          <w:color w:val="auto"/>
          <w:sz w:val="24"/>
          <w:szCs w:val="24"/>
        </w:rPr>
        <w:fldChar w:fldCharType="begin"/>
      </w:r>
      <w:r>
        <w:rPr>
          <w:b/>
          <w:bCs/>
          <w:i w:val="0"/>
          <w:iCs w:val="0"/>
          <w:color w:val="auto"/>
          <w:sz w:val="24"/>
          <w:szCs w:val="24"/>
        </w:rPr>
        <w:instrText>SEQ Tabla \* ARABIC</w:instrText>
      </w:r>
      <w:r>
        <w:rPr>
          <w:b/>
          <w:bCs/>
          <w:i w:val="0"/>
          <w:iCs w:val="0"/>
          <w:color w:val="auto"/>
          <w:sz w:val="24"/>
          <w:szCs w:val="24"/>
        </w:rPr>
        <w:fldChar w:fldCharType="separate"/>
      </w:r>
      <w:r>
        <w:rPr>
          <w:b/>
          <w:bCs/>
          <w:i w:val="0"/>
          <w:iCs w:val="0"/>
          <w:color w:val="auto"/>
          <w:sz w:val="24"/>
          <w:szCs w:val="24"/>
        </w:rPr>
        <w:t>7</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Coeficientes</w:t>
      </w:r>
    </w:p>
    <w:tbl>
      <w:tblPr>
        <w:tblStyle w:val="Tabladelista2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557"/>
        <w:gridCol w:w="1276"/>
        <w:gridCol w:w="1418"/>
        <w:gridCol w:w="1842"/>
        <w:gridCol w:w="1275"/>
        <w:gridCol w:w="1274"/>
      </w:tblGrid>
      <w:tr w:rsidR="00311A64" w14:paraId="5BA939ED" w14:textId="77777777" w:rsidTr="00607909">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9353" w:type="dxa"/>
            <w:gridSpan w:val="7"/>
            <w:shd w:val="clear" w:color="auto" w:fill="auto"/>
          </w:tcPr>
          <w:p w14:paraId="6C60E11E" w14:textId="77777777" w:rsidR="00311A64" w:rsidRDefault="00EC1CAF">
            <w:pPr>
              <w:spacing w:line="240" w:lineRule="auto"/>
              <w:jc w:val="center"/>
              <w:rPr>
                <w:rFonts w:eastAsia="Calibri"/>
              </w:rPr>
            </w:pPr>
            <w:proofErr w:type="spellStart"/>
            <w:r>
              <w:rPr>
                <w:rFonts w:eastAsia="Calibri"/>
              </w:rPr>
              <w:t>Coeficientes</w:t>
            </w:r>
            <w:r>
              <w:rPr>
                <w:rFonts w:eastAsia="Calibri"/>
                <w:vertAlign w:val="superscript"/>
              </w:rPr>
              <w:t>a</w:t>
            </w:r>
            <w:proofErr w:type="spellEnd"/>
          </w:p>
        </w:tc>
      </w:tr>
      <w:tr w:rsidR="00311A64" w14:paraId="3123C81F" w14:textId="77777777" w:rsidTr="00607909">
        <w:trPr>
          <w:trHeight w:val="375"/>
        </w:trPr>
        <w:tc>
          <w:tcPr>
            <w:cnfStyle w:val="000010000000" w:firstRow="0" w:lastRow="0" w:firstColumn="0" w:lastColumn="0" w:oddVBand="1" w:evenVBand="0" w:oddHBand="0" w:evenHBand="0" w:firstRowFirstColumn="0" w:firstRowLastColumn="0" w:lastRowFirstColumn="0" w:lastRowLastColumn="0"/>
            <w:tcW w:w="2268" w:type="dxa"/>
            <w:gridSpan w:val="2"/>
            <w:vMerge w:val="restart"/>
            <w:shd w:val="clear" w:color="auto" w:fill="auto"/>
          </w:tcPr>
          <w:p w14:paraId="06202705" w14:textId="77777777" w:rsidR="00311A64" w:rsidRDefault="00EC1CAF">
            <w:pPr>
              <w:spacing w:line="240" w:lineRule="auto"/>
              <w:jc w:val="center"/>
              <w:rPr>
                <w:rFonts w:eastAsia="Calibri"/>
              </w:rPr>
            </w:pPr>
            <w:r>
              <w:rPr>
                <w:rFonts w:eastAsia="Calibri"/>
              </w:rPr>
              <w:t>Modelo</w:t>
            </w:r>
          </w:p>
        </w:tc>
        <w:tc>
          <w:tcPr>
            <w:tcW w:w="2694" w:type="dxa"/>
            <w:gridSpan w:val="2"/>
            <w:shd w:val="clear" w:color="auto" w:fill="auto"/>
          </w:tcPr>
          <w:p w14:paraId="1A85B034"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Coeficientes no estandarizados</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5C57603" w14:textId="77777777" w:rsidR="00311A64" w:rsidRDefault="00EC1CAF">
            <w:pPr>
              <w:spacing w:line="240" w:lineRule="auto"/>
              <w:jc w:val="center"/>
              <w:rPr>
                <w:rFonts w:eastAsia="Calibri"/>
              </w:rPr>
            </w:pPr>
            <w:r>
              <w:rPr>
                <w:rFonts w:eastAsia="Calibri"/>
              </w:rPr>
              <w:t>Coeficientes estandarizados</w:t>
            </w:r>
          </w:p>
        </w:tc>
        <w:tc>
          <w:tcPr>
            <w:tcW w:w="1275" w:type="dxa"/>
            <w:vMerge w:val="restart"/>
            <w:shd w:val="clear" w:color="auto" w:fill="auto"/>
          </w:tcPr>
          <w:p w14:paraId="534D10A1"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w:t>
            </w:r>
          </w:p>
        </w:tc>
        <w:tc>
          <w:tcPr>
            <w:cnfStyle w:val="000010000000" w:firstRow="0" w:lastRow="0" w:firstColumn="0" w:lastColumn="0" w:oddVBand="1" w:evenVBand="0" w:oddHBand="0" w:evenHBand="0" w:firstRowFirstColumn="0" w:firstRowLastColumn="0" w:lastRowFirstColumn="0" w:lastRowLastColumn="0"/>
            <w:tcW w:w="1274" w:type="dxa"/>
            <w:vMerge w:val="restart"/>
            <w:shd w:val="clear" w:color="auto" w:fill="auto"/>
          </w:tcPr>
          <w:p w14:paraId="4E83CB87" w14:textId="77777777" w:rsidR="00311A64" w:rsidRDefault="00EC1CAF">
            <w:pPr>
              <w:spacing w:line="240" w:lineRule="auto"/>
              <w:jc w:val="center"/>
              <w:rPr>
                <w:rFonts w:eastAsia="Calibri"/>
              </w:rPr>
            </w:pPr>
            <w:r>
              <w:rPr>
                <w:rFonts w:eastAsia="Calibri"/>
              </w:rPr>
              <w:t>Sig.</w:t>
            </w:r>
          </w:p>
        </w:tc>
      </w:tr>
      <w:tr w:rsidR="00311A64" w14:paraId="673313CC" w14:textId="77777777" w:rsidTr="00607909">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2268" w:type="dxa"/>
            <w:gridSpan w:val="2"/>
            <w:vMerge/>
            <w:shd w:val="clear" w:color="auto" w:fill="auto"/>
          </w:tcPr>
          <w:p w14:paraId="44C10B14" w14:textId="77777777" w:rsidR="00311A64" w:rsidRDefault="00311A64">
            <w:pPr>
              <w:spacing w:line="240" w:lineRule="auto"/>
              <w:jc w:val="center"/>
              <w:rPr>
                <w:rFonts w:eastAsia="Calibri"/>
              </w:rPr>
            </w:pPr>
          </w:p>
        </w:tc>
        <w:tc>
          <w:tcPr>
            <w:tcW w:w="1276" w:type="dxa"/>
            <w:shd w:val="clear" w:color="auto" w:fill="auto"/>
          </w:tcPr>
          <w:p w14:paraId="3CD2D27C"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B</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7EE1BF2D" w14:textId="77777777" w:rsidR="00311A64" w:rsidRDefault="00EC1CAF">
            <w:pPr>
              <w:spacing w:line="240" w:lineRule="auto"/>
              <w:jc w:val="center"/>
              <w:rPr>
                <w:rFonts w:eastAsia="Calibri"/>
              </w:rPr>
            </w:pPr>
            <w:proofErr w:type="spellStart"/>
            <w:r>
              <w:rPr>
                <w:rFonts w:eastAsia="Calibri"/>
              </w:rPr>
              <w:t>Desv</w:t>
            </w:r>
            <w:proofErr w:type="spellEnd"/>
            <w:r>
              <w:rPr>
                <w:rFonts w:eastAsia="Calibri"/>
              </w:rPr>
              <w:t>. Error</w:t>
            </w:r>
          </w:p>
        </w:tc>
        <w:tc>
          <w:tcPr>
            <w:tcW w:w="1842" w:type="dxa"/>
            <w:shd w:val="clear" w:color="auto" w:fill="auto"/>
          </w:tcPr>
          <w:p w14:paraId="35702346"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Beta</w:t>
            </w:r>
          </w:p>
        </w:tc>
        <w:tc>
          <w:tcPr>
            <w:cnfStyle w:val="000010000000" w:firstRow="0" w:lastRow="0" w:firstColumn="0" w:lastColumn="0" w:oddVBand="1" w:evenVBand="0" w:oddHBand="0" w:evenHBand="0" w:firstRowFirstColumn="0" w:firstRowLastColumn="0" w:lastRowFirstColumn="0" w:lastRowLastColumn="0"/>
            <w:tcW w:w="1275" w:type="dxa"/>
            <w:vMerge/>
            <w:shd w:val="clear" w:color="auto" w:fill="auto"/>
          </w:tcPr>
          <w:p w14:paraId="2A060D12" w14:textId="77777777" w:rsidR="00311A64" w:rsidRDefault="00311A64">
            <w:pPr>
              <w:spacing w:line="240" w:lineRule="auto"/>
              <w:jc w:val="center"/>
              <w:rPr>
                <w:rFonts w:eastAsia="Calibri"/>
              </w:rPr>
            </w:pPr>
          </w:p>
        </w:tc>
        <w:tc>
          <w:tcPr>
            <w:tcW w:w="1274" w:type="dxa"/>
            <w:vMerge/>
            <w:shd w:val="clear" w:color="auto" w:fill="auto"/>
          </w:tcPr>
          <w:p w14:paraId="453040CF" w14:textId="77777777" w:rsidR="00311A64" w:rsidRDefault="00311A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p>
        </w:tc>
      </w:tr>
      <w:tr w:rsidR="00311A64" w14:paraId="316D140A" w14:textId="77777777" w:rsidTr="00607909">
        <w:trPr>
          <w:trHeight w:val="197"/>
        </w:trPr>
        <w:tc>
          <w:tcPr>
            <w:cnfStyle w:val="000010000000" w:firstRow="0" w:lastRow="0" w:firstColumn="0" w:lastColumn="0" w:oddVBand="1" w:evenVBand="0" w:oddHBand="0" w:evenHBand="0" w:firstRowFirstColumn="0" w:firstRowLastColumn="0" w:lastRowFirstColumn="0" w:lastRowLastColumn="0"/>
            <w:tcW w:w="711" w:type="dxa"/>
            <w:vMerge w:val="restart"/>
            <w:shd w:val="clear" w:color="auto" w:fill="auto"/>
          </w:tcPr>
          <w:p w14:paraId="2D8B67B4" w14:textId="77777777" w:rsidR="00311A64" w:rsidRDefault="00EC1CAF">
            <w:pPr>
              <w:spacing w:line="240" w:lineRule="auto"/>
              <w:jc w:val="center"/>
              <w:rPr>
                <w:rFonts w:eastAsia="Calibri"/>
              </w:rPr>
            </w:pPr>
            <w:r>
              <w:rPr>
                <w:rFonts w:eastAsia="Calibri"/>
              </w:rPr>
              <w:t>1</w:t>
            </w:r>
          </w:p>
        </w:tc>
        <w:tc>
          <w:tcPr>
            <w:tcW w:w="1557" w:type="dxa"/>
            <w:shd w:val="clear" w:color="auto" w:fill="auto"/>
          </w:tcPr>
          <w:p w14:paraId="58164220"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(Constante)</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8F3A861" w14:textId="77777777" w:rsidR="00311A64" w:rsidRDefault="00EC1CAF">
            <w:pPr>
              <w:spacing w:line="240" w:lineRule="auto"/>
              <w:jc w:val="center"/>
              <w:rPr>
                <w:rFonts w:eastAsia="Calibri"/>
              </w:rPr>
            </w:pPr>
            <w:r>
              <w:rPr>
                <w:rFonts w:eastAsia="Calibri"/>
              </w:rPr>
              <w:t>1.370</w:t>
            </w:r>
          </w:p>
        </w:tc>
        <w:tc>
          <w:tcPr>
            <w:tcW w:w="1418" w:type="dxa"/>
            <w:shd w:val="clear" w:color="auto" w:fill="auto"/>
          </w:tcPr>
          <w:p w14:paraId="668F7A83"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.055</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295BD54C" w14:textId="77777777" w:rsidR="00311A64" w:rsidRDefault="00311A64">
            <w:pPr>
              <w:spacing w:line="240" w:lineRule="auto"/>
              <w:jc w:val="center"/>
              <w:rPr>
                <w:rFonts w:eastAsia="Calibri"/>
              </w:rPr>
            </w:pPr>
          </w:p>
        </w:tc>
        <w:tc>
          <w:tcPr>
            <w:tcW w:w="1275" w:type="dxa"/>
            <w:shd w:val="clear" w:color="auto" w:fill="auto"/>
          </w:tcPr>
          <w:p w14:paraId="4312990E" w14:textId="77777777" w:rsidR="00311A64" w:rsidRDefault="00EC1CA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24.788</w:t>
            </w:r>
          </w:p>
        </w:tc>
        <w:tc>
          <w:tcPr>
            <w:cnfStyle w:val="000010000000" w:firstRow="0" w:lastRow="0" w:firstColumn="0" w:lastColumn="0" w:oddVBand="1" w:evenVBand="0" w:oddHBand="0" w:evenHBand="0" w:firstRowFirstColumn="0" w:firstRowLastColumn="0" w:lastRowFirstColumn="0" w:lastRowLastColumn="0"/>
            <w:tcW w:w="1274" w:type="dxa"/>
            <w:shd w:val="clear" w:color="auto" w:fill="auto"/>
          </w:tcPr>
          <w:p w14:paraId="3B867CC3" w14:textId="77777777" w:rsidR="00311A64" w:rsidRDefault="00EC1CAF">
            <w:pPr>
              <w:spacing w:line="240" w:lineRule="auto"/>
              <w:jc w:val="center"/>
              <w:rPr>
                <w:rFonts w:eastAsia="Calibri"/>
              </w:rPr>
            </w:pPr>
            <w:r>
              <w:rPr>
                <w:rFonts w:eastAsia="Calibri"/>
              </w:rPr>
              <w:t>.000</w:t>
            </w:r>
          </w:p>
        </w:tc>
      </w:tr>
      <w:tr w:rsidR="00311A64" w14:paraId="4E8468B6" w14:textId="77777777" w:rsidTr="0060790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711" w:type="dxa"/>
            <w:vMerge/>
            <w:shd w:val="clear" w:color="auto" w:fill="auto"/>
          </w:tcPr>
          <w:p w14:paraId="40A69D3F" w14:textId="77777777" w:rsidR="00311A64" w:rsidRDefault="00311A64">
            <w:pPr>
              <w:spacing w:line="240" w:lineRule="auto"/>
              <w:jc w:val="center"/>
              <w:rPr>
                <w:rFonts w:eastAsia="Calibri"/>
              </w:rPr>
            </w:pPr>
          </w:p>
        </w:tc>
        <w:tc>
          <w:tcPr>
            <w:tcW w:w="1557" w:type="dxa"/>
            <w:shd w:val="clear" w:color="auto" w:fill="auto"/>
          </w:tcPr>
          <w:p w14:paraId="52EB5D04"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Operación</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2A5C4835" w14:textId="77777777" w:rsidR="00311A64" w:rsidRDefault="00EC1CAF">
            <w:pPr>
              <w:spacing w:line="240" w:lineRule="auto"/>
              <w:jc w:val="center"/>
              <w:rPr>
                <w:rFonts w:eastAsia="Calibri"/>
              </w:rPr>
            </w:pPr>
            <w:r>
              <w:rPr>
                <w:rFonts w:eastAsia="Calibri"/>
              </w:rPr>
              <w:t>.649</w:t>
            </w:r>
          </w:p>
        </w:tc>
        <w:tc>
          <w:tcPr>
            <w:tcW w:w="1418" w:type="dxa"/>
            <w:shd w:val="clear" w:color="auto" w:fill="auto"/>
          </w:tcPr>
          <w:p w14:paraId="314AE65B"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.014</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21740761" w14:textId="77777777" w:rsidR="00311A64" w:rsidRDefault="00EC1CAF">
            <w:pPr>
              <w:spacing w:line="240" w:lineRule="auto"/>
              <w:jc w:val="center"/>
              <w:rPr>
                <w:rFonts w:eastAsia="Calibri"/>
              </w:rPr>
            </w:pPr>
            <w:r>
              <w:rPr>
                <w:rFonts w:eastAsia="Calibri"/>
              </w:rPr>
              <w:t>.884</w:t>
            </w:r>
          </w:p>
        </w:tc>
        <w:tc>
          <w:tcPr>
            <w:tcW w:w="1275" w:type="dxa"/>
            <w:shd w:val="clear" w:color="auto" w:fill="auto"/>
          </w:tcPr>
          <w:p w14:paraId="7B4BD14D" w14:textId="77777777" w:rsidR="00311A64" w:rsidRDefault="00EC1CA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46.555</w:t>
            </w:r>
          </w:p>
        </w:tc>
        <w:tc>
          <w:tcPr>
            <w:cnfStyle w:val="000010000000" w:firstRow="0" w:lastRow="0" w:firstColumn="0" w:lastColumn="0" w:oddVBand="1" w:evenVBand="0" w:oddHBand="0" w:evenHBand="0" w:firstRowFirstColumn="0" w:firstRowLastColumn="0" w:lastRowFirstColumn="0" w:lastRowLastColumn="0"/>
            <w:tcW w:w="1274" w:type="dxa"/>
            <w:shd w:val="clear" w:color="auto" w:fill="auto"/>
          </w:tcPr>
          <w:p w14:paraId="26A9789A" w14:textId="77777777" w:rsidR="00311A64" w:rsidRDefault="00EC1CAF">
            <w:pPr>
              <w:spacing w:line="240" w:lineRule="auto"/>
              <w:jc w:val="center"/>
              <w:rPr>
                <w:rFonts w:eastAsia="Calibri"/>
              </w:rPr>
            </w:pPr>
            <w:r>
              <w:rPr>
                <w:rFonts w:eastAsia="Calibri"/>
              </w:rPr>
              <w:t>.000</w:t>
            </w:r>
          </w:p>
        </w:tc>
      </w:tr>
      <w:tr w:rsidR="00311A64" w14:paraId="6DE57F1C" w14:textId="77777777" w:rsidTr="00607909">
        <w:trPr>
          <w:trHeight w:val="187"/>
        </w:trPr>
        <w:tc>
          <w:tcPr>
            <w:cnfStyle w:val="000010000000" w:firstRow="0" w:lastRow="0" w:firstColumn="0" w:lastColumn="0" w:oddVBand="1" w:evenVBand="0" w:oddHBand="0" w:evenHBand="0" w:firstRowFirstColumn="0" w:firstRowLastColumn="0" w:lastRowFirstColumn="0" w:lastRowLastColumn="0"/>
            <w:tcW w:w="9353" w:type="dxa"/>
            <w:gridSpan w:val="7"/>
            <w:shd w:val="clear" w:color="auto" w:fill="auto"/>
          </w:tcPr>
          <w:p w14:paraId="48B1F3DF" w14:textId="77777777" w:rsidR="00311A64" w:rsidRDefault="00EC1CAF">
            <w:pPr>
              <w:spacing w:line="240" w:lineRule="auto"/>
              <w:rPr>
                <w:rFonts w:eastAsia="Calibri"/>
              </w:rPr>
            </w:pPr>
            <w:r>
              <w:rPr>
                <w:rFonts w:eastAsia="Calibri"/>
              </w:rPr>
              <w:t>a. Variable dependiente: Calidad en un Sistema de Gestión (CSG)</w:t>
            </w:r>
          </w:p>
        </w:tc>
      </w:tr>
    </w:tbl>
    <w:p w14:paraId="184A51DB" w14:textId="107247B1" w:rsidR="00311A64" w:rsidRDefault="00EC1CAF" w:rsidP="00607909">
      <w:pPr>
        <w:spacing w:line="360" w:lineRule="auto"/>
        <w:jc w:val="center"/>
      </w:pPr>
      <w:r>
        <w:t>Fuente: Elaboración propia</w:t>
      </w:r>
      <w:bookmarkStart w:id="17" w:name="_Hlk107542655"/>
      <w:bookmarkStart w:id="18" w:name="_Hlk90265040"/>
      <w:bookmarkEnd w:id="17"/>
      <w:bookmarkEnd w:id="18"/>
    </w:p>
    <w:p w14:paraId="7632FB9F" w14:textId="77777777" w:rsidR="00311A64" w:rsidRDefault="00EC1CAF">
      <w:pPr>
        <w:spacing w:line="360" w:lineRule="auto"/>
      </w:pPr>
      <w:r>
        <w:t>A través de los datos mostrados en la tabla 7, se obtuvo la ecuación de regresión, en donde se verifican los parámetros b</w:t>
      </w:r>
      <w:r>
        <w:rPr>
          <w:rFonts w:ascii="Calibri" w:hAnsi="Calibri" w:cs="Calibri"/>
        </w:rPr>
        <w:t>₀</w:t>
      </w:r>
      <w:r>
        <w:t xml:space="preserve"> = 1.370 y b₁= .649, se propone la siguiente ecuación:</w:t>
      </w:r>
    </w:p>
    <w:p w14:paraId="1CEC0464" w14:textId="77777777" w:rsidR="00311A64" w:rsidRDefault="00EC1CAF">
      <w:pPr>
        <w:pStyle w:val="Prrafodelista"/>
        <w:numPr>
          <w:ilvl w:val="0"/>
          <w:numId w:val="3"/>
        </w:numPr>
        <w:spacing w:line="360" w:lineRule="auto"/>
      </w:pPr>
      <w:r>
        <w:t>y = 1.370 + .649x</w:t>
      </w:r>
    </w:p>
    <w:p w14:paraId="25712D19" w14:textId="77777777" w:rsidR="00311A64" w:rsidRDefault="00EC1CAF">
      <w:pPr>
        <w:spacing w:line="360" w:lineRule="auto"/>
        <w:ind w:firstLine="644"/>
      </w:pPr>
      <w:r>
        <w:t>Esta ecuación equivale a una pendiente positiva en su representación gráfica (ver figura 4), lo que indica que la OSGC es un elemento que incide en la CSG de la institución objeto de estudio.</w:t>
      </w:r>
    </w:p>
    <w:p w14:paraId="01DBD77A" w14:textId="77777777" w:rsidR="00311A64" w:rsidRDefault="00EC1CAF">
      <w:pPr>
        <w:spacing w:line="360" w:lineRule="auto"/>
        <w:ind w:firstLine="644"/>
      </w:pPr>
      <w:r>
        <w:t>Por último, para verificar el cumplimiento del tercer supuesto (de normalidad), se muestra en la figura 3 el histograma y en la figura 4 el gráfico P-P.</w:t>
      </w:r>
    </w:p>
    <w:p w14:paraId="0F802FE1" w14:textId="77777777" w:rsidR="00607909" w:rsidRDefault="00607909">
      <w:pPr>
        <w:spacing w:line="360" w:lineRule="auto"/>
        <w:ind w:firstLine="644"/>
      </w:pPr>
    </w:p>
    <w:p w14:paraId="2A8651D5" w14:textId="77777777" w:rsidR="00EC6DFC" w:rsidRDefault="00EC6DFC">
      <w:pPr>
        <w:spacing w:line="360" w:lineRule="auto"/>
        <w:ind w:firstLine="644"/>
      </w:pPr>
    </w:p>
    <w:p w14:paraId="1A18F431" w14:textId="77777777" w:rsidR="00EC6DFC" w:rsidRDefault="00EC6DFC">
      <w:pPr>
        <w:spacing w:line="360" w:lineRule="auto"/>
        <w:ind w:firstLine="644"/>
      </w:pPr>
    </w:p>
    <w:p w14:paraId="650CD6CD" w14:textId="77777777" w:rsidR="00EC6DFC" w:rsidRDefault="00EC6DFC">
      <w:pPr>
        <w:spacing w:line="360" w:lineRule="auto"/>
        <w:ind w:firstLine="644"/>
      </w:pPr>
    </w:p>
    <w:p w14:paraId="70E96DD9" w14:textId="77777777" w:rsidR="00EC6DFC" w:rsidRDefault="00EC6DFC">
      <w:pPr>
        <w:spacing w:line="360" w:lineRule="auto"/>
        <w:ind w:firstLine="644"/>
      </w:pPr>
    </w:p>
    <w:p w14:paraId="0888B9E3" w14:textId="77777777" w:rsidR="00EC6DFC" w:rsidRDefault="00EC6DFC">
      <w:pPr>
        <w:spacing w:line="360" w:lineRule="auto"/>
        <w:ind w:firstLine="644"/>
      </w:pPr>
    </w:p>
    <w:p w14:paraId="15EB4398" w14:textId="77777777" w:rsidR="00EC6DFC" w:rsidRDefault="00EC6DFC">
      <w:pPr>
        <w:spacing w:line="360" w:lineRule="auto"/>
        <w:ind w:firstLine="644"/>
      </w:pPr>
    </w:p>
    <w:p w14:paraId="2212AEA4" w14:textId="77777777" w:rsidR="00EC6DFC" w:rsidRDefault="00EC6DFC">
      <w:pPr>
        <w:spacing w:line="360" w:lineRule="auto"/>
        <w:ind w:firstLine="644"/>
      </w:pPr>
    </w:p>
    <w:p w14:paraId="5EF94019" w14:textId="77777777" w:rsidR="00EC6DFC" w:rsidRDefault="00EC6DFC">
      <w:pPr>
        <w:spacing w:line="360" w:lineRule="auto"/>
        <w:ind w:firstLine="644"/>
      </w:pPr>
    </w:p>
    <w:p w14:paraId="40863BB2" w14:textId="77777777" w:rsidR="00EC6DFC" w:rsidRDefault="00EC6DFC">
      <w:pPr>
        <w:spacing w:line="360" w:lineRule="auto"/>
        <w:ind w:firstLine="644"/>
      </w:pPr>
    </w:p>
    <w:p w14:paraId="1C7BBCBF" w14:textId="77777777" w:rsidR="00EC6DFC" w:rsidRDefault="00EC6DFC">
      <w:pPr>
        <w:spacing w:line="360" w:lineRule="auto"/>
        <w:ind w:firstLine="644"/>
      </w:pPr>
    </w:p>
    <w:p w14:paraId="19D02D9C" w14:textId="77777777" w:rsidR="00EC6DFC" w:rsidRDefault="00EC6DFC">
      <w:pPr>
        <w:spacing w:line="360" w:lineRule="auto"/>
        <w:ind w:firstLine="644"/>
      </w:pPr>
    </w:p>
    <w:p w14:paraId="5D89BD2E" w14:textId="77777777" w:rsidR="00EC6DFC" w:rsidRDefault="00EC6DFC">
      <w:pPr>
        <w:spacing w:line="360" w:lineRule="auto"/>
        <w:ind w:firstLine="644"/>
      </w:pPr>
    </w:p>
    <w:p w14:paraId="69E60A0E" w14:textId="77777777" w:rsidR="00311A64" w:rsidRDefault="00EC1CAF">
      <w:pPr>
        <w:pStyle w:val="Descripcin"/>
        <w:spacing w:line="360" w:lineRule="auto"/>
        <w:jc w:val="center"/>
        <w:rPr>
          <w:b/>
          <w:bCs/>
          <w:i w:val="0"/>
          <w:iCs w:val="0"/>
          <w:color w:val="auto"/>
          <w:sz w:val="24"/>
          <w:szCs w:val="24"/>
        </w:rPr>
      </w:pPr>
      <w:r>
        <w:rPr>
          <w:b/>
          <w:bCs/>
          <w:i w:val="0"/>
          <w:iCs w:val="0"/>
          <w:color w:val="auto"/>
          <w:sz w:val="24"/>
          <w:szCs w:val="24"/>
        </w:rPr>
        <w:lastRenderedPageBreak/>
        <w:t xml:space="preserve">Figura </w:t>
      </w:r>
      <w:r>
        <w:rPr>
          <w:b/>
          <w:bCs/>
          <w:i w:val="0"/>
          <w:iCs w:val="0"/>
          <w:color w:val="auto"/>
          <w:sz w:val="24"/>
          <w:szCs w:val="24"/>
        </w:rPr>
        <w:fldChar w:fldCharType="begin"/>
      </w:r>
      <w:r>
        <w:rPr>
          <w:b/>
          <w:bCs/>
          <w:i w:val="0"/>
          <w:iCs w:val="0"/>
          <w:color w:val="auto"/>
          <w:sz w:val="24"/>
          <w:szCs w:val="24"/>
        </w:rPr>
        <w:instrText>SEQ Figura \* ARABIC</w:instrText>
      </w:r>
      <w:r>
        <w:rPr>
          <w:b/>
          <w:bCs/>
          <w:i w:val="0"/>
          <w:iCs w:val="0"/>
          <w:color w:val="auto"/>
          <w:sz w:val="24"/>
          <w:szCs w:val="24"/>
        </w:rPr>
        <w:fldChar w:fldCharType="separate"/>
      </w:r>
      <w:r>
        <w:rPr>
          <w:b/>
          <w:bCs/>
          <w:i w:val="0"/>
          <w:iCs w:val="0"/>
          <w:color w:val="auto"/>
          <w:sz w:val="24"/>
          <w:szCs w:val="24"/>
        </w:rPr>
        <w:t>3</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Histograma</w:t>
      </w:r>
    </w:p>
    <w:p w14:paraId="391CB7C5" w14:textId="77777777" w:rsidR="00311A64" w:rsidRDefault="00EC1CAF">
      <w:pPr>
        <w:spacing w:line="360" w:lineRule="auto"/>
        <w:jc w:val="center"/>
      </w:pPr>
      <w:bookmarkStart w:id="19" w:name="_Hlk92792739"/>
      <w:r>
        <w:rPr>
          <w:noProof/>
          <w:lang w:eastAsia="es-MX"/>
        </w:rPr>
        <w:drawing>
          <wp:inline distT="0" distB="0" distL="0" distR="0" wp14:anchorId="48F7918B" wp14:editId="5C97562A">
            <wp:extent cx="5895975" cy="434721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10"/>
                    <a:srcRect t="7875"/>
                    <a:stretch>
                      <a:fillRect/>
                    </a:stretch>
                  </pic:blipFill>
                  <pic:spPr bwMode="auto">
                    <a:xfrm>
                      <a:off x="0" y="0"/>
                      <a:ext cx="5895975" cy="4347210"/>
                    </a:xfrm>
                    <a:prstGeom prst="rect">
                      <a:avLst/>
                    </a:prstGeom>
                  </pic:spPr>
                </pic:pic>
              </a:graphicData>
            </a:graphic>
          </wp:inline>
        </w:drawing>
      </w:r>
      <w:bookmarkEnd w:id="19"/>
    </w:p>
    <w:p w14:paraId="1DC2D4A3" w14:textId="43B9723A" w:rsidR="00311A64" w:rsidRDefault="00EC1CAF" w:rsidP="00607909">
      <w:pPr>
        <w:spacing w:line="360" w:lineRule="auto"/>
        <w:jc w:val="center"/>
      </w:pPr>
      <w:r>
        <w:t>Fuente: Elaboración propia</w:t>
      </w:r>
      <w:bookmarkStart w:id="20" w:name="_Hlk107542672"/>
      <w:bookmarkEnd w:id="20"/>
    </w:p>
    <w:p w14:paraId="56644369" w14:textId="77777777" w:rsidR="00311A64" w:rsidRDefault="00EC1CAF">
      <w:pPr>
        <w:spacing w:line="360" w:lineRule="auto"/>
      </w:pPr>
      <w:r>
        <w:t>La curva de distribución normal reflejada en el comportamiento de las barras de la figura 3, muestra una media en -2.31, en el intervalo de valores entre el -5 y el 3, por lo que la variable de CSG es aceptable dentro del modelo, teniendo en cuenta un 0.99 de desviación con respecto de la media en una población de 610 trabajadores de una IES.</w:t>
      </w:r>
    </w:p>
    <w:p w14:paraId="5F7AF6F3" w14:textId="77777777" w:rsidR="00311A64" w:rsidRDefault="00EC1CAF">
      <w:pPr>
        <w:spacing w:line="360" w:lineRule="auto"/>
        <w:ind w:firstLine="708"/>
      </w:pPr>
      <w:r>
        <w:t>En el gráfico P-P (figura 4) se verifica el segundo elemento para validar la normalidad del análisis del tercer supuesto.</w:t>
      </w:r>
    </w:p>
    <w:p w14:paraId="46AE128D" w14:textId="77777777" w:rsidR="00607909" w:rsidRDefault="00607909">
      <w:pPr>
        <w:spacing w:line="360" w:lineRule="auto"/>
        <w:ind w:firstLine="708"/>
      </w:pPr>
    </w:p>
    <w:p w14:paraId="7265DF8F" w14:textId="77777777" w:rsidR="00607909" w:rsidRDefault="00607909">
      <w:pPr>
        <w:spacing w:line="360" w:lineRule="auto"/>
        <w:ind w:firstLine="708"/>
      </w:pPr>
    </w:p>
    <w:p w14:paraId="0424DE6A" w14:textId="77777777" w:rsidR="00EC6DFC" w:rsidRDefault="00EC6DFC">
      <w:pPr>
        <w:spacing w:line="360" w:lineRule="auto"/>
        <w:ind w:firstLine="708"/>
      </w:pPr>
    </w:p>
    <w:p w14:paraId="4FF2288B" w14:textId="77777777" w:rsidR="00EC6DFC" w:rsidRDefault="00EC6DFC">
      <w:pPr>
        <w:spacing w:line="360" w:lineRule="auto"/>
        <w:ind w:firstLine="708"/>
      </w:pPr>
    </w:p>
    <w:p w14:paraId="5AD352EA" w14:textId="77777777" w:rsidR="00EC6DFC" w:rsidRDefault="00EC6DFC">
      <w:pPr>
        <w:spacing w:line="360" w:lineRule="auto"/>
        <w:ind w:firstLine="708"/>
      </w:pPr>
    </w:p>
    <w:p w14:paraId="19B57B48" w14:textId="77777777" w:rsidR="00EC6DFC" w:rsidRDefault="00EC6DFC">
      <w:pPr>
        <w:spacing w:line="360" w:lineRule="auto"/>
        <w:ind w:firstLine="708"/>
      </w:pPr>
    </w:p>
    <w:p w14:paraId="632B6A9F" w14:textId="77777777" w:rsidR="00EC6DFC" w:rsidRDefault="00EC6DFC">
      <w:pPr>
        <w:spacing w:line="360" w:lineRule="auto"/>
        <w:ind w:firstLine="708"/>
      </w:pPr>
    </w:p>
    <w:p w14:paraId="6A8B2C75" w14:textId="77777777" w:rsidR="00EC6DFC" w:rsidRDefault="00EC6DFC">
      <w:pPr>
        <w:spacing w:line="360" w:lineRule="auto"/>
        <w:ind w:firstLine="708"/>
      </w:pPr>
    </w:p>
    <w:p w14:paraId="0B60A006" w14:textId="77777777" w:rsidR="00311A64" w:rsidRDefault="00EC1CAF">
      <w:pPr>
        <w:pStyle w:val="Descripcin"/>
        <w:spacing w:line="360" w:lineRule="auto"/>
        <w:jc w:val="center"/>
        <w:rPr>
          <w:b/>
          <w:bCs/>
          <w:i w:val="0"/>
          <w:iCs w:val="0"/>
          <w:color w:val="auto"/>
          <w:sz w:val="24"/>
          <w:szCs w:val="24"/>
        </w:rPr>
      </w:pPr>
      <w:r>
        <w:rPr>
          <w:b/>
          <w:bCs/>
          <w:i w:val="0"/>
          <w:iCs w:val="0"/>
          <w:color w:val="auto"/>
          <w:sz w:val="24"/>
          <w:szCs w:val="24"/>
        </w:rPr>
        <w:lastRenderedPageBreak/>
        <w:t xml:space="preserve">Figura </w:t>
      </w:r>
      <w:r>
        <w:rPr>
          <w:b/>
          <w:bCs/>
          <w:i w:val="0"/>
          <w:iCs w:val="0"/>
          <w:color w:val="auto"/>
          <w:sz w:val="24"/>
          <w:szCs w:val="24"/>
        </w:rPr>
        <w:fldChar w:fldCharType="begin"/>
      </w:r>
      <w:r>
        <w:rPr>
          <w:b/>
          <w:bCs/>
          <w:i w:val="0"/>
          <w:iCs w:val="0"/>
          <w:color w:val="auto"/>
          <w:sz w:val="24"/>
          <w:szCs w:val="24"/>
        </w:rPr>
        <w:instrText>SEQ Figura \* ARABIC</w:instrText>
      </w:r>
      <w:r>
        <w:rPr>
          <w:b/>
          <w:bCs/>
          <w:i w:val="0"/>
          <w:iCs w:val="0"/>
          <w:color w:val="auto"/>
          <w:sz w:val="24"/>
          <w:szCs w:val="24"/>
        </w:rPr>
        <w:fldChar w:fldCharType="separate"/>
      </w:r>
      <w:r>
        <w:rPr>
          <w:b/>
          <w:bCs/>
          <w:i w:val="0"/>
          <w:iCs w:val="0"/>
          <w:color w:val="auto"/>
          <w:sz w:val="24"/>
          <w:szCs w:val="24"/>
        </w:rPr>
        <w:t>4</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Gráfico P-P</w:t>
      </w:r>
    </w:p>
    <w:p w14:paraId="14E7AE32" w14:textId="77777777" w:rsidR="00311A64" w:rsidRDefault="00EC1CAF">
      <w:pPr>
        <w:spacing w:line="360" w:lineRule="auto"/>
        <w:jc w:val="center"/>
      </w:pPr>
      <w:r>
        <w:rPr>
          <w:noProof/>
          <w:lang w:eastAsia="es-MX"/>
        </w:rPr>
        <w:drawing>
          <wp:inline distT="0" distB="0" distL="0" distR="0" wp14:anchorId="34D16CD7" wp14:editId="614936F1">
            <wp:extent cx="5923915" cy="4400550"/>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pic:cNvPicPr>
                      <a:picLocks noChangeAspect="1" noChangeArrowheads="1"/>
                    </pic:cNvPicPr>
                  </pic:nvPicPr>
                  <pic:blipFill>
                    <a:blip r:embed="rId11"/>
                    <a:srcRect t="8342"/>
                    <a:stretch>
                      <a:fillRect/>
                    </a:stretch>
                  </pic:blipFill>
                  <pic:spPr bwMode="auto">
                    <a:xfrm>
                      <a:off x="0" y="0"/>
                      <a:ext cx="5923915" cy="4400550"/>
                    </a:xfrm>
                    <a:prstGeom prst="rect">
                      <a:avLst/>
                    </a:prstGeom>
                  </pic:spPr>
                </pic:pic>
              </a:graphicData>
            </a:graphic>
          </wp:inline>
        </w:drawing>
      </w:r>
    </w:p>
    <w:p w14:paraId="1712677E" w14:textId="493E60E4" w:rsidR="00311A64" w:rsidRDefault="00EC1CAF" w:rsidP="00607909">
      <w:pPr>
        <w:spacing w:line="360" w:lineRule="auto"/>
        <w:jc w:val="center"/>
      </w:pPr>
      <w:r>
        <w:t>Fuente: Elaboración propia</w:t>
      </w:r>
      <w:bookmarkStart w:id="21" w:name="_Hlk107542818"/>
      <w:bookmarkEnd w:id="21"/>
    </w:p>
    <w:p w14:paraId="38191082" w14:textId="77777777" w:rsidR="00311A64" w:rsidRDefault="00EC1CAF">
      <w:pPr>
        <w:spacing w:line="360" w:lineRule="auto"/>
      </w:pPr>
      <w:r>
        <w:t>Los datos de la variable CSG (ver figura 4) muestran un comportamiento estrechamente ligado a la pendiente que resultó de la ecuación de regresión, en donde se proyectan en su mayoría con una distribución normal por lo que se acepta este supuesto. En la figura 5 se puede observar el diagrama de dispersión, que muestra la relación que vincula las variables pertenecientes a una población de un mismo conjunto de individuos.</w:t>
      </w:r>
    </w:p>
    <w:p w14:paraId="26D42CF7" w14:textId="77777777" w:rsidR="00607909" w:rsidRDefault="00607909">
      <w:pPr>
        <w:spacing w:line="360" w:lineRule="auto"/>
      </w:pPr>
    </w:p>
    <w:p w14:paraId="378FECAB" w14:textId="77777777" w:rsidR="00EC6DFC" w:rsidRDefault="00EC6DFC">
      <w:pPr>
        <w:spacing w:line="360" w:lineRule="auto"/>
      </w:pPr>
    </w:p>
    <w:p w14:paraId="23696F86" w14:textId="77777777" w:rsidR="00EC6DFC" w:rsidRDefault="00EC6DFC">
      <w:pPr>
        <w:spacing w:line="360" w:lineRule="auto"/>
      </w:pPr>
    </w:p>
    <w:p w14:paraId="4C9CBA37" w14:textId="77777777" w:rsidR="00EC6DFC" w:rsidRDefault="00EC6DFC">
      <w:pPr>
        <w:spacing w:line="360" w:lineRule="auto"/>
      </w:pPr>
    </w:p>
    <w:p w14:paraId="37269D60" w14:textId="77777777" w:rsidR="00EC6DFC" w:rsidRDefault="00EC6DFC">
      <w:pPr>
        <w:spacing w:line="360" w:lineRule="auto"/>
      </w:pPr>
    </w:p>
    <w:p w14:paraId="6D9D3847" w14:textId="77777777" w:rsidR="00EC6DFC" w:rsidRDefault="00EC6DFC">
      <w:pPr>
        <w:spacing w:line="360" w:lineRule="auto"/>
      </w:pPr>
    </w:p>
    <w:p w14:paraId="5ADEEFC5" w14:textId="77777777" w:rsidR="00EC6DFC" w:rsidRDefault="00EC6DFC">
      <w:pPr>
        <w:spacing w:line="360" w:lineRule="auto"/>
      </w:pPr>
    </w:p>
    <w:p w14:paraId="04203112" w14:textId="77777777" w:rsidR="00EC6DFC" w:rsidRDefault="00EC6DFC">
      <w:pPr>
        <w:spacing w:line="360" w:lineRule="auto"/>
      </w:pPr>
    </w:p>
    <w:p w14:paraId="4751683D" w14:textId="77777777" w:rsidR="00EC6DFC" w:rsidRDefault="00EC6DFC">
      <w:pPr>
        <w:spacing w:line="360" w:lineRule="auto"/>
      </w:pPr>
    </w:p>
    <w:p w14:paraId="349B2CDC" w14:textId="77777777" w:rsidR="00311A64" w:rsidRDefault="00EC1CAF">
      <w:pPr>
        <w:pStyle w:val="Descripcin"/>
        <w:spacing w:line="360" w:lineRule="auto"/>
        <w:jc w:val="center"/>
        <w:rPr>
          <w:b/>
          <w:bCs/>
          <w:i w:val="0"/>
          <w:iCs w:val="0"/>
          <w:color w:val="auto"/>
          <w:sz w:val="24"/>
          <w:szCs w:val="24"/>
        </w:rPr>
      </w:pPr>
      <w:r>
        <w:rPr>
          <w:b/>
          <w:bCs/>
          <w:i w:val="0"/>
          <w:iCs w:val="0"/>
          <w:color w:val="auto"/>
          <w:sz w:val="24"/>
          <w:szCs w:val="24"/>
        </w:rPr>
        <w:lastRenderedPageBreak/>
        <w:t xml:space="preserve">Figura </w:t>
      </w:r>
      <w:r>
        <w:rPr>
          <w:b/>
          <w:bCs/>
          <w:i w:val="0"/>
          <w:iCs w:val="0"/>
          <w:color w:val="auto"/>
          <w:sz w:val="24"/>
          <w:szCs w:val="24"/>
        </w:rPr>
        <w:fldChar w:fldCharType="begin"/>
      </w:r>
      <w:r>
        <w:rPr>
          <w:b/>
          <w:bCs/>
          <w:i w:val="0"/>
          <w:iCs w:val="0"/>
          <w:color w:val="auto"/>
          <w:sz w:val="24"/>
          <w:szCs w:val="24"/>
        </w:rPr>
        <w:instrText>SEQ Figura \* ARABIC</w:instrText>
      </w:r>
      <w:r>
        <w:rPr>
          <w:b/>
          <w:bCs/>
          <w:i w:val="0"/>
          <w:iCs w:val="0"/>
          <w:color w:val="auto"/>
          <w:sz w:val="24"/>
          <w:szCs w:val="24"/>
        </w:rPr>
        <w:fldChar w:fldCharType="separate"/>
      </w:r>
      <w:r>
        <w:rPr>
          <w:b/>
          <w:bCs/>
          <w:i w:val="0"/>
          <w:iCs w:val="0"/>
          <w:color w:val="auto"/>
          <w:sz w:val="24"/>
          <w:szCs w:val="24"/>
        </w:rPr>
        <w:t>5</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Gráfico de dispersión</w:t>
      </w:r>
    </w:p>
    <w:p w14:paraId="4014C166" w14:textId="77777777" w:rsidR="00311A64" w:rsidRDefault="00EC1CAF">
      <w:pPr>
        <w:spacing w:line="360" w:lineRule="auto"/>
        <w:jc w:val="center"/>
      </w:pPr>
      <w:r>
        <w:rPr>
          <w:noProof/>
          <w:lang w:eastAsia="es-MX"/>
        </w:rPr>
        <w:drawing>
          <wp:inline distT="0" distB="0" distL="0" distR="0" wp14:anchorId="50CD964A" wp14:editId="7A0B6D72">
            <wp:extent cx="5901055" cy="4409440"/>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pic:cNvPicPr>
                      <a:picLocks noChangeAspect="1" noChangeArrowheads="1"/>
                    </pic:cNvPicPr>
                  </pic:nvPicPr>
                  <pic:blipFill>
                    <a:blip r:embed="rId12"/>
                    <a:srcRect t="6656"/>
                    <a:stretch>
                      <a:fillRect/>
                    </a:stretch>
                  </pic:blipFill>
                  <pic:spPr bwMode="auto">
                    <a:xfrm>
                      <a:off x="0" y="0"/>
                      <a:ext cx="5901055" cy="4409440"/>
                    </a:xfrm>
                    <a:prstGeom prst="rect">
                      <a:avLst/>
                    </a:prstGeom>
                  </pic:spPr>
                </pic:pic>
              </a:graphicData>
            </a:graphic>
          </wp:inline>
        </w:drawing>
      </w:r>
    </w:p>
    <w:p w14:paraId="774C38D9" w14:textId="34CDC14B" w:rsidR="00311A64" w:rsidRDefault="00EC1CAF" w:rsidP="00607909">
      <w:pPr>
        <w:spacing w:line="360" w:lineRule="auto"/>
        <w:jc w:val="center"/>
      </w:pPr>
      <w:r>
        <w:t>Fuente: Elaboración propia</w:t>
      </w:r>
      <w:bookmarkStart w:id="22" w:name="_Hlk107542858"/>
      <w:bookmarkEnd w:id="22"/>
    </w:p>
    <w:p w14:paraId="422DD205" w14:textId="77777777" w:rsidR="00311A64" w:rsidRDefault="00EC1CAF">
      <w:pPr>
        <w:spacing w:line="360" w:lineRule="auto"/>
      </w:pPr>
      <w:r>
        <w:tab/>
        <w:t xml:space="preserve">El supuesto de homocedasticidad se verifica y acepta, ya que observamos (en la figura5) una óptima distribución de los datos, además de la ausencia de aglomeraciones en donde la mayoría de los datos de agrupen. </w:t>
      </w:r>
    </w:p>
    <w:p w14:paraId="61E525EE" w14:textId="77777777" w:rsidR="00607909" w:rsidRDefault="00607909">
      <w:pPr>
        <w:spacing w:line="360" w:lineRule="auto"/>
      </w:pPr>
    </w:p>
    <w:p w14:paraId="72DEE6F3" w14:textId="77777777" w:rsidR="00311A64" w:rsidRPr="00607909" w:rsidRDefault="00EC1CAF" w:rsidP="00607909">
      <w:pPr>
        <w:pStyle w:val="Ttulo1"/>
        <w:spacing w:line="360" w:lineRule="auto"/>
        <w:jc w:val="center"/>
        <w:rPr>
          <w:i/>
          <w:iCs/>
          <w:sz w:val="32"/>
          <w:szCs w:val="32"/>
        </w:rPr>
      </w:pPr>
      <w:r w:rsidRPr="00607909">
        <w:rPr>
          <w:sz w:val="32"/>
          <w:szCs w:val="32"/>
        </w:rPr>
        <w:t>Análisis y discusión</w:t>
      </w:r>
    </w:p>
    <w:p w14:paraId="6C4EF003" w14:textId="77777777" w:rsidR="00311A64" w:rsidRDefault="00EC1CAF">
      <w:pPr>
        <w:spacing w:line="360" w:lineRule="auto"/>
      </w:pPr>
      <w:r>
        <w:t xml:space="preserve">Para mejorar los procesos de calidad en las organizaciones es importante conocerlos y saber cómo se relacionan (Cervantes et al., 2018). Como señalan Fonseca y </w:t>
      </w:r>
      <w:proofErr w:type="spellStart"/>
      <w:r>
        <w:t>Domingues</w:t>
      </w:r>
      <w:proofErr w:type="spellEnd"/>
      <w:r>
        <w:t xml:space="preserve"> (2017: 924):</w:t>
      </w:r>
    </w:p>
    <w:p w14:paraId="2B5A871F" w14:textId="77777777" w:rsidR="00311A64" w:rsidRDefault="00EC1CAF">
      <w:pPr>
        <w:spacing w:line="360" w:lineRule="auto"/>
        <w:ind w:left="709"/>
      </w:pPr>
      <w:r>
        <w:t xml:space="preserve">El uso de enfoques de mejora, como el cambio radical, la innovación, la reorganización, la corrección y la mejora continua, son enfoques relevantes para que las organizaciones logren la excelencia empresarial. Las organizaciones deben adoptar modelos de negocio adecuados y asegurarse de tener el conocimiento organizativo adecuado para gestionar con éxito el cambio y lograr mejoras, ya que necesitan responder a los desafíos del entorno interno y externo y fomentar la excelencia empresarial para lograr resultados superiores. </w:t>
      </w:r>
    </w:p>
    <w:p w14:paraId="4AFE769E" w14:textId="77777777" w:rsidR="00311A64" w:rsidRDefault="00EC1CAF">
      <w:pPr>
        <w:spacing w:line="360" w:lineRule="auto"/>
        <w:ind w:firstLine="708"/>
      </w:pPr>
      <w:r>
        <w:lastRenderedPageBreak/>
        <w:t>A partir de lo anterior, del Castillo et al. (2018) enfatizan el análisis de la influencia de los factores internos y externos sobre el desempeño de un SGC, mientras que Martínez y Arellano (2018) se centran en los factores endógenos (amenazas y oportunidades) para la organización.</w:t>
      </w:r>
    </w:p>
    <w:p w14:paraId="1F197ABF" w14:textId="77777777" w:rsidR="00311A64" w:rsidRDefault="00EC1CAF">
      <w:pPr>
        <w:spacing w:line="360" w:lineRule="auto"/>
        <w:ind w:firstLine="708"/>
      </w:pPr>
      <w:r>
        <w:t xml:space="preserve">En la presente investigación, se describe objetivamente la relación entre la OSGC y la CSG en una IES en el Estado de Durango. Para ello, se calculó un índice para cada variable mediante la técnica de la encuesta con una escala de Likert (1932) que va de uno a cinco a 610 trabajadores. Luego, se usaron técnicas de estadística </w:t>
      </w:r>
      <w:proofErr w:type="spellStart"/>
      <w:r>
        <w:t>bivariada</w:t>
      </w:r>
      <w:proofErr w:type="spellEnd"/>
      <w:r>
        <w:t>, específicamente el coeficiente lineal de Pearson, para proponer un modelo de regresión lineal simple (</w:t>
      </w:r>
      <w:proofErr w:type="spellStart"/>
      <w:r>
        <w:t>Ñaupas</w:t>
      </w:r>
      <w:proofErr w:type="spellEnd"/>
      <w:r>
        <w:t>, 2018) y verificar supuestos de validez. En los siguientes párrafos, se presenta un análisis de los resultados.</w:t>
      </w:r>
    </w:p>
    <w:p w14:paraId="2F86A1B8" w14:textId="77777777" w:rsidR="00311A64" w:rsidRDefault="00EC1CAF">
      <w:pPr>
        <w:spacing w:line="360" w:lineRule="auto"/>
        <w:ind w:firstLine="708"/>
      </w:pPr>
      <w:r>
        <w:t xml:space="preserve">Para la interpretación del coeficiente de correlación lineal de Pearson, es necesaria información adicional, más allá del cálculo de R y de la p asociada. Un coeficiente, como el que se encontró de 0.884 entre la variable de OSGC y la variable CSG, puede ser importante o no, dependiendo de las circunstancias. Por lo tanto, aclaramos que la correlación significativa y fuerte de 0.884 no es prueba de causalidad (Van </w:t>
      </w:r>
      <w:proofErr w:type="spellStart"/>
      <w:r>
        <w:t>Stralen</w:t>
      </w:r>
      <w:proofErr w:type="spellEnd"/>
      <w:r>
        <w:t xml:space="preserve"> et al., 2008).</w:t>
      </w:r>
    </w:p>
    <w:p w14:paraId="5AF6C963" w14:textId="77777777" w:rsidR="00311A64" w:rsidRDefault="00EC1CAF">
      <w:pPr>
        <w:spacing w:line="360" w:lineRule="auto"/>
        <w:ind w:firstLine="708"/>
      </w:pPr>
      <w:r>
        <w:t>No se debe utilizar el valor de R como argumento para indicar que existe una relación de causa-efecto. Teniendo en cuenta que una correlación baja podría llevar a la conclusión de que no existe asociación cuando esta puede ser fuerte, aunque no lineal, se analizó la nube de puntos. Al observar una tendencia lineal, se decidió usar la técnica estadística de regresión lineal simple y se verificó que no existieran valores extremos, ya que estos pueden alterar el valor de R cuando el tamaño de la muestra es pequeño. Esto se tiene controlado porque las modalidades de cada ítem asociado a cada dimensión, y estas a cada variable estudiada (OSGC y CSG), se encuentran en una escala de Likert (Fabila et al., 2012) que va de uno a cinco.</w:t>
      </w:r>
    </w:p>
    <w:p w14:paraId="4898C7FC" w14:textId="77777777" w:rsidR="00311A64" w:rsidRDefault="00EC1CAF">
      <w:pPr>
        <w:spacing w:line="360" w:lineRule="auto"/>
        <w:ind w:firstLine="708"/>
      </w:pPr>
      <w:bookmarkStart w:id="23" w:name="_Hlk106657655"/>
      <w:bookmarkEnd w:id="23"/>
      <w:r>
        <w:t>Como se demostró en la sección de resultados, el modelo de regresión lineal simple cumple con los supuestos que garantizan la validez del procedimiento. Es importante aclarar que este modelo no está destinado a realizar pronósticos, ya que se construye con la medición de las variables de acuerdo con la percepción de las unidades de estudio, es decir, los trabajadores encuestados. Sirve para describir la relación entre ellas y obtener información objetiva y precisa que apoye en la toma de decisiones (</w:t>
      </w:r>
      <w:proofErr w:type="spellStart"/>
      <w:r>
        <w:t>Jimenez</w:t>
      </w:r>
      <w:proofErr w:type="spellEnd"/>
      <w:r>
        <w:t xml:space="preserve"> et al., 2020) para mejorar la operación de los procesos en la organización estudiada (Martínez, 2016). Por lo tanto, se cumplió con el objetivo del estudio, ya que se describió objetivamente la relación que existe entre la OSGC y la CSG percibida por los trabajadores de una IES en el Estado de Durango.</w:t>
      </w:r>
    </w:p>
    <w:p w14:paraId="283CF367" w14:textId="77777777" w:rsidR="00311A64" w:rsidRDefault="00311A64">
      <w:pPr>
        <w:spacing w:line="360" w:lineRule="auto"/>
        <w:ind w:firstLine="708"/>
      </w:pPr>
    </w:p>
    <w:p w14:paraId="687EC801" w14:textId="77777777" w:rsidR="00EC6DFC" w:rsidRDefault="00EC6DFC">
      <w:pPr>
        <w:spacing w:line="360" w:lineRule="auto"/>
        <w:ind w:firstLine="708"/>
      </w:pPr>
    </w:p>
    <w:p w14:paraId="45527CA0" w14:textId="77777777" w:rsidR="00311A64" w:rsidRPr="00607909" w:rsidRDefault="00EC1CAF" w:rsidP="00607909">
      <w:pPr>
        <w:spacing w:line="360" w:lineRule="auto"/>
        <w:jc w:val="center"/>
        <w:rPr>
          <w:b/>
          <w:bCs/>
          <w:sz w:val="32"/>
          <w:szCs w:val="28"/>
        </w:rPr>
      </w:pPr>
      <w:r w:rsidRPr="00607909">
        <w:rPr>
          <w:b/>
          <w:bCs/>
          <w:sz w:val="32"/>
          <w:szCs w:val="28"/>
        </w:rPr>
        <w:lastRenderedPageBreak/>
        <w:t>Conclusiones</w:t>
      </w:r>
    </w:p>
    <w:p w14:paraId="0883E789" w14:textId="77777777" w:rsidR="00311A64" w:rsidRDefault="00EC1CAF">
      <w:pPr>
        <w:spacing w:line="360" w:lineRule="auto"/>
      </w:pPr>
      <w:r>
        <w:t>Los modelos de regresión lineal permiten validar la relación entre variables. En este caso, como lo son la OSGC y la CSG, se muestra que, de acuerdo con el objetivo planteado, se puede afirmar que la correlación entre las variables analizadas es positiva. Esto significa que las operaciones (procesos) realizadas en la organización objeto de estudio tienen un alto grado de influencia en su Sistema de Gestión, contribuyendo a su mejora en distintos aspectos.</w:t>
      </w:r>
    </w:p>
    <w:p w14:paraId="47562B57" w14:textId="77777777" w:rsidR="00311A64" w:rsidRDefault="00EC1CAF">
      <w:pPr>
        <w:spacing w:line="360" w:lineRule="auto"/>
        <w:ind w:firstLine="708"/>
      </w:pPr>
      <w:r>
        <w:t xml:space="preserve">Existe una alta correlación entre la variable OSGC y la variable CSG. De acuerdo con los resultados, se muestra </w:t>
      </w:r>
      <w:proofErr w:type="gramStart"/>
      <w:r>
        <w:t>que</w:t>
      </w:r>
      <w:proofErr w:type="gramEnd"/>
      <w:r>
        <w:t xml:space="preserve"> a mejor resultado en la Operación de los procesos de un SGC, existe una mejor Calidad en el Servicio en el Sistema de Gestión. Además, el modelo de regresión lineal propuesto cumple con los supuestos mostrados, el ajuste del modelo es bueno y válido. Por tanto, se concluye que la medición de la OSGC y la CSG en las organizaciones es un factor clave para la mejora continua de las mismas. Se demostró, por medio de la metodología estadística propuesta, que existe una correlación significativa entre la OSGC y la CSG, de acuerdo con la percepción de sus trabajadores.</w:t>
      </w:r>
    </w:p>
    <w:p w14:paraId="4FC987C4" w14:textId="77777777" w:rsidR="00311A64" w:rsidRDefault="00EC1CAF">
      <w:pPr>
        <w:spacing w:line="360" w:lineRule="auto"/>
        <w:ind w:firstLine="708"/>
      </w:pPr>
      <w:r>
        <w:t>Asimismo, los resultados del presente estudio contribuirán a la óptima toma de decisiones con respecto a la OSGC en las organizaciones, con la finalidad de ofrecer Calidad en el Servicio en los Sistemas de Gestión de manera constante y mejorar continuamente sus resultados.</w:t>
      </w:r>
    </w:p>
    <w:p w14:paraId="016A37E8" w14:textId="77777777" w:rsidR="00311A64" w:rsidRDefault="00311A64" w:rsidP="00607909">
      <w:pPr>
        <w:pStyle w:val="Ttulo1"/>
        <w:spacing w:before="0" w:line="360" w:lineRule="auto"/>
        <w:jc w:val="left"/>
      </w:pPr>
    </w:p>
    <w:p w14:paraId="62EF809E" w14:textId="77777777" w:rsidR="00311A64" w:rsidRDefault="00EC1CAF" w:rsidP="00607909">
      <w:pPr>
        <w:pStyle w:val="Ttulo1"/>
        <w:spacing w:before="0" w:line="360" w:lineRule="auto"/>
        <w:jc w:val="center"/>
      </w:pPr>
      <w:r>
        <w:t>Futuras líneas de investigación</w:t>
      </w:r>
    </w:p>
    <w:p w14:paraId="1926163A" w14:textId="77777777" w:rsidR="00311A64" w:rsidRDefault="00EC1CAF">
      <w:pPr>
        <w:spacing w:line="360" w:lineRule="auto"/>
      </w:pPr>
      <w:r>
        <w:t>El presente análisis nos permite considerar la realización de estudios para desarrollar modelos que ayuden a analizar la influencia que una variable tiene sobre otra. Esto abre la posibilidad de aplicar la investigación en cualquier tipo de organización y con otras variables en cualquiera de las normas establecidas en los modelos de gestión. En la actualidad, las certificaciones para organizaciones contemplan diversas normas para la certificación integral de más de un sistema de gestión simultáneamente. El modelo propuesto en la presente investigación ejemplifica cómo abordar las distintas variables y analizar la influencia entre ellas.</w:t>
      </w:r>
    </w:p>
    <w:p w14:paraId="37A0A91B" w14:textId="77777777" w:rsidR="00607909" w:rsidRDefault="00607909">
      <w:pPr>
        <w:spacing w:line="360" w:lineRule="auto"/>
      </w:pPr>
    </w:p>
    <w:p w14:paraId="3BE66EB5" w14:textId="77777777" w:rsidR="00EC6DFC" w:rsidRDefault="00EC6DFC">
      <w:pPr>
        <w:spacing w:line="360" w:lineRule="auto"/>
      </w:pPr>
    </w:p>
    <w:p w14:paraId="1FCD16E3" w14:textId="77777777" w:rsidR="00EC6DFC" w:rsidRDefault="00EC6DFC">
      <w:pPr>
        <w:spacing w:line="360" w:lineRule="auto"/>
      </w:pPr>
    </w:p>
    <w:p w14:paraId="36470856" w14:textId="77777777" w:rsidR="00EC6DFC" w:rsidRDefault="00EC6DFC">
      <w:pPr>
        <w:spacing w:line="360" w:lineRule="auto"/>
      </w:pPr>
    </w:p>
    <w:p w14:paraId="652F726E" w14:textId="77777777" w:rsidR="00311A64" w:rsidRPr="00607909" w:rsidRDefault="00EC1CAF" w:rsidP="00607909">
      <w:pPr>
        <w:pStyle w:val="Ttulo1"/>
        <w:spacing w:before="0" w:line="360" w:lineRule="auto"/>
        <w:rPr>
          <w:rFonts w:asciiTheme="minorHAnsi" w:hAnsiTheme="minorHAnsi" w:cstheme="minorHAnsi"/>
        </w:rPr>
      </w:pPr>
      <w:r w:rsidRPr="00607909">
        <w:rPr>
          <w:rFonts w:asciiTheme="minorHAnsi" w:hAnsiTheme="minorHAnsi" w:cstheme="minorHAnsi"/>
        </w:rPr>
        <w:lastRenderedPageBreak/>
        <w:t>Referencias</w:t>
      </w:r>
    </w:p>
    <w:p w14:paraId="6845CB1D" w14:textId="77777777" w:rsidR="00311A64" w:rsidRDefault="00EC1CAF">
      <w:pPr>
        <w:spacing w:line="360" w:lineRule="auto"/>
        <w:ind w:left="709" w:hanging="709"/>
      </w:pPr>
      <w:r>
        <w:t xml:space="preserve">Amaya, Pedro, Edwin </w:t>
      </w:r>
      <w:proofErr w:type="spellStart"/>
      <w:r>
        <w:t>Felix</w:t>
      </w:r>
      <w:proofErr w:type="spellEnd"/>
      <w:r>
        <w:t xml:space="preserve">, Sofia Rojas, y Luis Diaz (2020), “Gestión de la calidad: Un estudio desde sus principios”, </w:t>
      </w:r>
      <w:r>
        <w:rPr>
          <w:i/>
          <w:iCs/>
        </w:rPr>
        <w:t>Revista Venezolana de Gerencia</w:t>
      </w:r>
      <w:r>
        <w:t xml:space="preserve">, </w:t>
      </w:r>
      <w:r>
        <w:rPr>
          <w:i/>
          <w:iCs/>
        </w:rPr>
        <w:t>25</w:t>
      </w:r>
      <w:r>
        <w:t>(90), 632-647, DOI: http://dx.doi.org/10.37960/rvg.v25i90.32406.</w:t>
      </w:r>
    </w:p>
    <w:p w14:paraId="015C713A" w14:textId="77777777" w:rsidR="00311A64" w:rsidRDefault="00EC1CAF">
      <w:pPr>
        <w:spacing w:line="360" w:lineRule="auto"/>
        <w:ind w:left="709" w:hanging="709"/>
      </w:pPr>
      <w:proofErr w:type="spellStart"/>
      <w:r>
        <w:t>Betlloch</w:t>
      </w:r>
      <w:proofErr w:type="spellEnd"/>
      <w:r>
        <w:t xml:space="preserve">, Isabel, Regina Ramón, Clara Abellán y José Pascual (2019), “Implantación y desarrollo de un sistema integrado de gestión de calidad según la norma ISO 9001:2015 en un Servicio de Dermatología”, </w:t>
      </w:r>
      <w:r>
        <w:rPr>
          <w:i/>
          <w:iCs/>
        </w:rPr>
        <w:t xml:space="preserve">Actas </w:t>
      </w:r>
      <w:proofErr w:type="spellStart"/>
      <w:r>
        <w:rPr>
          <w:i/>
          <w:iCs/>
        </w:rPr>
        <w:t>Dermo-Sifiliográficas</w:t>
      </w:r>
      <w:proofErr w:type="spellEnd"/>
      <w:r>
        <w:t xml:space="preserve">, </w:t>
      </w:r>
      <w:r>
        <w:rPr>
          <w:i/>
          <w:iCs/>
        </w:rPr>
        <w:t>110</w:t>
      </w:r>
      <w:r>
        <w:t>(2), DOI: https://doi.org/10.1016/j.ad.2018.08.003.</w:t>
      </w:r>
    </w:p>
    <w:p w14:paraId="527068C7" w14:textId="77777777" w:rsidR="00311A64" w:rsidRDefault="00EC1CAF">
      <w:pPr>
        <w:spacing w:line="360" w:lineRule="auto"/>
        <w:ind w:left="709" w:hanging="709"/>
        <w:rPr>
          <w:lang w:val="en-US"/>
        </w:rPr>
      </w:pPr>
      <w:proofErr w:type="spellStart"/>
      <w:r>
        <w:rPr>
          <w:lang w:val="en-US"/>
        </w:rPr>
        <w:t>Bravi</w:t>
      </w:r>
      <w:proofErr w:type="spellEnd"/>
      <w:r>
        <w:rPr>
          <w:lang w:val="en-US"/>
        </w:rPr>
        <w:t xml:space="preserve">, Laura and Federica </w:t>
      </w:r>
      <w:proofErr w:type="spellStart"/>
      <w:r>
        <w:rPr>
          <w:lang w:val="en-US"/>
        </w:rPr>
        <w:t>Murmura</w:t>
      </w:r>
      <w:proofErr w:type="spellEnd"/>
      <w:r>
        <w:rPr>
          <w:lang w:val="en-US"/>
        </w:rPr>
        <w:t xml:space="preserve"> (2021), “Evidences about ISO 9001:2015 and ISO 9004:2018 implementation in different-size </w:t>
      </w:r>
      <w:proofErr w:type="spellStart"/>
      <w:r>
        <w:rPr>
          <w:lang w:val="en-US"/>
        </w:rPr>
        <w:t>organisations</w:t>
      </w:r>
      <w:proofErr w:type="spellEnd"/>
      <w:r>
        <w:rPr>
          <w:lang w:val="en-US"/>
        </w:rPr>
        <w:t xml:space="preserve">”, </w:t>
      </w:r>
      <w:r>
        <w:rPr>
          <w:i/>
          <w:iCs/>
          <w:lang w:val="en-US"/>
        </w:rPr>
        <w:t>Total Quality Management &amp; Business Excellence</w:t>
      </w:r>
      <w:r>
        <w:rPr>
          <w:lang w:val="en-US"/>
        </w:rPr>
        <w:t>, 1-21, DOI: https://doi.org/10.1080/14783363.2021.1954900.</w:t>
      </w:r>
    </w:p>
    <w:p w14:paraId="3D7088AA" w14:textId="77777777" w:rsidR="00311A64" w:rsidRDefault="00EC1CAF">
      <w:pPr>
        <w:spacing w:line="360" w:lineRule="auto"/>
        <w:ind w:left="709" w:hanging="709"/>
      </w:pPr>
      <w:r>
        <w:t xml:space="preserve">Canales, Álvaro y Víctor Soler (2015), “Estudio de la implantación de la mejora continua pymes”, </w:t>
      </w:r>
      <w:r>
        <w:rPr>
          <w:i/>
          <w:iCs/>
        </w:rPr>
        <w:t>3C Tecnología</w:t>
      </w:r>
      <w:r>
        <w:t xml:space="preserve">, </w:t>
      </w:r>
      <w:r>
        <w:rPr>
          <w:i/>
          <w:iCs/>
        </w:rPr>
        <w:t>4</w:t>
      </w:r>
      <w:r>
        <w:t>(4), 189-198, DOI: http://dx.doi.org/10.17993/3ctecno.2015.v4n4e16.189-198.</w:t>
      </w:r>
    </w:p>
    <w:p w14:paraId="2137B60E" w14:textId="77777777" w:rsidR="00311A64" w:rsidRDefault="00EC1CAF">
      <w:pPr>
        <w:spacing w:line="360" w:lineRule="auto"/>
        <w:ind w:left="709" w:hanging="709"/>
        <w:rPr>
          <w:lang w:val="en-US"/>
        </w:rPr>
      </w:pPr>
      <w:r>
        <w:rPr>
          <w:lang w:val="en-US"/>
        </w:rPr>
        <w:t xml:space="preserve">Cândido, Carlos, Luis Coelho and </w:t>
      </w:r>
      <w:proofErr w:type="spellStart"/>
      <w:r>
        <w:rPr>
          <w:lang w:val="en-US"/>
        </w:rPr>
        <w:t>Rúben</w:t>
      </w:r>
      <w:proofErr w:type="spellEnd"/>
      <w:r>
        <w:rPr>
          <w:lang w:val="en-US"/>
        </w:rPr>
        <w:t xml:space="preserve"> </w:t>
      </w:r>
      <w:proofErr w:type="spellStart"/>
      <w:r>
        <w:rPr>
          <w:lang w:val="en-US"/>
        </w:rPr>
        <w:t>Peixinho</w:t>
      </w:r>
      <w:proofErr w:type="spellEnd"/>
      <w:r>
        <w:rPr>
          <w:lang w:val="en-US"/>
        </w:rPr>
        <w:t xml:space="preserve"> (2019), “Why firms lose their ISO 9001 certification: Evidence from Portugal”, </w:t>
      </w:r>
      <w:r>
        <w:rPr>
          <w:i/>
          <w:iCs/>
          <w:lang w:val="en-US"/>
        </w:rPr>
        <w:t>Total Quality Management</w:t>
      </w:r>
      <w:r>
        <w:rPr>
          <w:lang w:val="en-US"/>
        </w:rPr>
        <w:t xml:space="preserve">, </w:t>
      </w:r>
      <w:r>
        <w:rPr>
          <w:i/>
          <w:iCs/>
          <w:lang w:val="en-US"/>
        </w:rPr>
        <w:t>32</w:t>
      </w:r>
      <w:r>
        <w:rPr>
          <w:lang w:val="en-US"/>
        </w:rPr>
        <w:t>(5-6), 632-651, DOI: 10.1080/14783363.2019.1625266.</w:t>
      </w:r>
    </w:p>
    <w:p w14:paraId="714FF7D2" w14:textId="77777777" w:rsidR="00311A64" w:rsidRDefault="00EC1CAF">
      <w:pPr>
        <w:spacing w:line="360" w:lineRule="auto"/>
        <w:ind w:left="709" w:hanging="709"/>
      </w:pPr>
      <w:r>
        <w:t xml:space="preserve">Carro, Roberto y Daniel González (2012), </w:t>
      </w:r>
      <w:r>
        <w:rPr>
          <w:i/>
          <w:iCs/>
        </w:rPr>
        <w:t>Administración de la calidad total</w:t>
      </w:r>
      <w:r>
        <w:t>, Facultad de Ciencias Económicas y Sociales de la Universidad Nacional de Mar del Plata, &lt;</w:t>
      </w:r>
      <w:r>
        <w:rPr>
          <w:u w:val="single"/>
        </w:rPr>
        <w:t>http://nulan.mdp.edu.ar/1614/1/09_administracion_calidad.pdf</w:t>
      </w:r>
      <w:r>
        <w:t>&gt; [Consulta: febrero de 2019].</w:t>
      </w:r>
    </w:p>
    <w:p w14:paraId="23E33119" w14:textId="77777777" w:rsidR="00311A64" w:rsidRDefault="00EC1CAF">
      <w:pPr>
        <w:spacing w:line="360" w:lineRule="auto"/>
        <w:ind w:left="709" w:hanging="709"/>
      </w:pPr>
      <w:r>
        <w:t xml:space="preserve">Carvajal, Ana, Carlos Centeno, Roger Watson, y Mariana Martínez y Álvaro Sanz (2011), “¿Cómo validar un instrumento de medida de la salud?”, </w:t>
      </w:r>
      <w:r>
        <w:rPr>
          <w:i/>
          <w:iCs/>
        </w:rPr>
        <w:t>Anales del Sistema Sanitario de Navarra</w:t>
      </w:r>
      <w:r>
        <w:t xml:space="preserve">, </w:t>
      </w:r>
      <w:r>
        <w:rPr>
          <w:i/>
          <w:iCs/>
        </w:rPr>
        <w:t>34</w:t>
      </w:r>
      <w:r>
        <w:t>(1), 63-72, DOI: http://dx.doi.org/10.4321/S1137-66272011000100007.</w:t>
      </w:r>
    </w:p>
    <w:p w14:paraId="5DDF3EA8" w14:textId="77777777" w:rsidR="00311A64" w:rsidRDefault="00EC1CAF">
      <w:pPr>
        <w:spacing w:line="360" w:lineRule="auto"/>
        <w:ind w:left="709" w:hanging="709"/>
      </w:pPr>
      <w:r>
        <w:t xml:space="preserve">Cervantes, Viviana, Ítala </w:t>
      </w:r>
      <w:proofErr w:type="spellStart"/>
      <w:r>
        <w:t>Stefanell</w:t>
      </w:r>
      <w:proofErr w:type="spellEnd"/>
      <w:r>
        <w:t xml:space="preserve">, Pabla Peralta y Raquel Salgado (2018), “Calidad de servicio en una institución de educación superior en la ciudad de Barranquilla”, </w:t>
      </w:r>
      <w:r>
        <w:rPr>
          <w:i/>
          <w:iCs/>
        </w:rPr>
        <w:t>Ciencias Administrativas</w:t>
      </w:r>
      <w:r>
        <w:t>, (11), 27-40, &lt;</w:t>
      </w:r>
      <w:r>
        <w:rPr>
          <w:u w:val="single"/>
        </w:rPr>
        <w:t>http://www.redalyc.org/articulo.oa?id=511654337003</w:t>
      </w:r>
      <w:r>
        <w:t>&gt; [Consulta: diciembre de 2019].</w:t>
      </w:r>
    </w:p>
    <w:p w14:paraId="5873A42C" w14:textId="77777777" w:rsidR="00311A64" w:rsidRDefault="00EC1CAF">
      <w:pPr>
        <w:spacing w:line="360" w:lineRule="auto"/>
        <w:ind w:left="709" w:hanging="709"/>
        <w:rPr>
          <w:lang w:val="en-US"/>
        </w:rPr>
      </w:pPr>
      <w:proofErr w:type="spellStart"/>
      <w:r>
        <w:rPr>
          <w:lang w:val="en-US"/>
        </w:rPr>
        <w:t>Chiarini</w:t>
      </w:r>
      <w:proofErr w:type="spellEnd"/>
      <w:r>
        <w:rPr>
          <w:lang w:val="en-US"/>
        </w:rPr>
        <w:t xml:space="preserve">, Andrea (2019), “Why are manufacturing SMEs cancelling their ISO 9001 certification? Research from Italy”, </w:t>
      </w:r>
      <w:r>
        <w:rPr>
          <w:i/>
          <w:iCs/>
          <w:lang w:val="en-US"/>
        </w:rPr>
        <w:t>Production Planning &amp; Control</w:t>
      </w:r>
      <w:r>
        <w:rPr>
          <w:lang w:val="en-US"/>
        </w:rPr>
        <w:t xml:space="preserve">, </w:t>
      </w:r>
      <w:r>
        <w:rPr>
          <w:i/>
          <w:iCs/>
          <w:lang w:val="en-US"/>
        </w:rPr>
        <w:t>30</w:t>
      </w:r>
      <w:r>
        <w:rPr>
          <w:lang w:val="en-US"/>
        </w:rPr>
        <w:t>(8), 639-649, DOI: https://doi.org/10.1080/09537287.2019.1566840.</w:t>
      </w:r>
    </w:p>
    <w:p w14:paraId="676E1076" w14:textId="77777777" w:rsidR="00311A64" w:rsidRDefault="00EC1CAF">
      <w:pPr>
        <w:spacing w:line="360" w:lineRule="auto"/>
        <w:ind w:left="709" w:hanging="709"/>
        <w:rPr>
          <w:lang w:val="en-US"/>
        </w:rPr>
      </w:pPr>
      <w:proofErr w:type="spellStart"/>
      <w:r>
        <w:rPr>
          <w:lang w:val="en-US"/>
        </w:rPr>
        <w:lastRenderedPageBreak/>
        <w:t>Chountalas</w:t>
      </w:r>
      <w:proofErr w:type="spellEnd"/>
      <w:r>
        <w:rPr>
          <w:lang w:val="en-US"/>
        </w:rPr>
        <w:t xml:space="preserve">, </w:t>
      </w:r>
      <w:proofErr w:type="spellStart"/>
      <w:r>
        <w:rPr>
          <w:lang w:val="en-US"/>
        </w:rPr>
        <w:t>Panos</w:t>
      </w:r>
      <w:proofErr w:type="spellEnd"/>
      <w:r>
        <w:rPr>
          <w:lang w:val="en-US"/>
        </w:rPr>
        <w:t xml:space="preserve">, Anastasios </w:t>
      </w:r>
      <w:proofErr w:type="spellStart"/>
      <w:r>
        <w:rPr>
          <w:lang w:val="en-US"/>
        </w:rPr>
        <w:t>Magoutas</w:t>
      </w:r>
      <w:proofErr w:type="spellEnd"/>
      <w:r>
        <w:rPr>
          <w:lang w:val="en-US"/>
        </w:rPr>
        <w:t xml:space="preserve"> and Eleni </w:t>
      </w:r>
      <w:proofErr w:type="spellStart"/>
      <w:r>
        <w:rPr>
          <w:lang w:val="en-US"/>
        </w:rPr>
        <w:t>Zografaki</w:t>
      </w:r>
      <w:proofErr w:type="spellEnd"/>
      <w:r>
        <w:rPr>
          <w:lang w:val="en-US"/>
        </w:rPr>
        <w:t xml:space="preserve"> (2020), “The heterogeneous implementation of ISO 9001 in service-oriented organizations” </w:t>
      </w:r>
      <w:r>
        <w:rPr>
          <w:i/>
          <w:iCs/>
          <w:lang w:val="en-US"/>
        </w:rPr>
        <w:t>The TQM Journal</w:t>
      </w:r>
      <w:r>
        <w:rPr>
          <w:lang w:val="en-US"/>
        </w:rPr>
        <w:t xml:space="preserve">, </w:t>
      </w:r>
      <w:r>
        <w:rPr>
          <w:i/>
          <w:iCs/>
          <w:lang w:val="en-US"/>
        </w:rPr>
        <w:t>32</w:t>
      </w:r>
      <w:r>
        <w:rPr>
          <w:lang w:val="en-US"/>
        </w:rPr>
        <w:t>(1), 56-77, DOI: 10.1108/TQM-02-2019-0053.</w:t>
      </w:r>
    </w:p>
    <w:p w14:paraId="047A6EF7" w14:textId="77777777" w:rsidR="00311A64" w:rsidRDefault="00EC1CAF">
      <w:pPr>
        <w:spacing w:line="360" w:lineRule="auto"/>
        <w:ind w:left="709" w:hanging="709"/>
        <w:rPr>
          <w:lang w:val="en-US"/>
        </w:rPr>
      </w:pPr>
      <w:proofErr w:type="spellStart"/>
      <w:r>
        <w:rPr>
          <w:lang w:val="en-US"/>
        </w:rPr>
        <w:t>Ciravegna</w:t>
      </w:r>
      <w:proofErr w:type="spellEnd"/>
      <w:r>
        <w:rPr>
          <w:lang w:val="en-US"/>
        </w:rPr>
        <w:t xml:space="preserve">, Luis, José </w:t>
      </w:r>
      <w:proofErr w:type="spellStart"/>
      <w:r>
        <w:rPr>
          <w:lang w:val="en-US"/>
        </w:rPr>
        <w:t>Domingues</w:t>
      </w:r>
      <w:proofErr w:type="spellEnd"/>
      <w:r>
        <w:rPr>
          <w:lang w:val="en-US"/>
        </w:rPr>
        <w:t xml:space="preserve">, Pilar Machado and Mario Calderón (2017), “Management System Certification Benefits: Where Do We Stand?” </w:t>
      </w:r>
      <w:r>
        <w:rPr>
          <w:i/>
          <w:iCs/>
          <w:lang w:val="en-US"/>
        </w:rPr>
        <w:t>Journal of Industrial Engineering and Management</w:t>
      </w:r>
      <w:r>
        <w:rPr>
          <w:lang w:val="en-US"/>
        </w:rPr>
        <w:t xml:space="preserve">, </w:t>
      </w:r>
      <w:r>
        <w:rPr>
          <w:i/>
          <w:iCs/>
          <w:lang w:val="en-US"/>
        </w:rPr>
        <w:t>10</w:t>
      </w:r>
      <w:r>
        <w:rPr>
          <w:lang w:val="en-US"/>
        </w:rPr>
        <w:t>(3), 476-494, DOI: https://doi.org/10.3926/jiem.2350.</w:t>
      </w:r>
    </w:p>
    <w:p w14:paraId="67FFA304" w14:textId="77777777" w:rsidR="00311A64" w:rsidRDefault="00EC1CAF">
      <w:pPr>
        <w:spacing w:line="360" w:lineRule="auto"/>
        <w:ind w:left="709" w:hanging="709"/>
        <w:rPr>
          <w:lang w:val="en-US"/>
        </w:rPr>
      </w:pPr>
      <w:proofErr w:type="spellStart"/>
      <w:r>
        <w:rPr>
          <w:lang w:val="en-US"/>
        </w:rPr>
        <w:t>Ciravegna</w:t>
      </w:r>
      <w:proofErr w:type="spellEnd"/>
      <w:r>
        <w:rPr>
          <w:lang w:val="en-US"/>
        </w:rPr>
        <w:t xml:space="preserve">, Luis, José </w:t>
      </w:r>
      <w:proofErr w:type="spellStart"/>
      <w:r>
        <w:rPr>
          <w:lang w:val="en-US"/>
        </w:rPr>
        <w:t>Domingues</w:t>
      </w:r>
      <w:proofErr w:type="spellEnd"/>
      <w:r>
        <w:rPr>
          <w:lang w:val="en-US"/>
        </w:rPr>
        <w:t xml:space="preserve">, Pilar Machado and Deane Harder (2019), “ISO 9001:2015 Adoption: A Multi-Country Empirical Research”, </w:t>
      </w:r>
      <w:r>
        <w:rPr>
          <w:i/>
          <w:iCs/>
          <w:lang w:val="en-US"/>
        </w:rPr>
        <w:t>Journal of Industrial Engineering and Management</w:t>
      </w:r>
      <w:r>
        <w:rPr>
          <w:lang w:val="en-US"/>
        </w:rPr>
        <w:t xml:space="preserve">, </w:t>
      </w:r>
      <w:r>
        <w:rPr>
          <w:i/>
          <w:iCs/>
          <w:lang w:val="en-US"/>
        </w:rPr>
        <w:t>12</w:t>
      </w:r>
      <w:r>
        <w:rPr>
          <w:lang w:val="en-US"/>
        </w:rPr>
        <w:t>(1), 27-50, DOI: https://doi.org/10.3926/jiem.2745.</w:t>
      </w:r>
    </w:p>
    <w:p w14:paraId="551DAD83" w14:textId="77777777" w:rsidR="00311A64" w:rsidRDefault="00EC1CAF">
      <w:pPr>
        <w:spacing w:line="360" w:lineRule="auto"/>
        <w:ind w:left="709" w:hanging="709"/>
      </w:pPr>
      <w:r>
        <w:rPr>
          <w:lang w:val="en-US"/>
        </w:rPr>
        <w:t xml:space="preserve">Cronbach, Lee (1951), Coefficient alfa and the internal structures of tests. </w:t>
      </w:r>
      <w:proofErr w:type="spellStart"/>
      <w:r>
        <w:t>Psychometrika</w:t>
      </w:r>
      <w:proofErr w:type="spellEnd"/>
      <w:r>
        <w:t>, 16(3).</w:t>
      </w:r>
    </w:p>
    <w:p w14:paraId="6E966B5B" w14:textId="77777777" w:rsidR="00311A64" w:rsidRDefault="00EC1CAF">
      <w:pPr>
        <w:spacing w:line="360" w:lineRule="auto"/>
        <w:ind w:left="709" w:hanging="709"/>
      </w:pPr>
      <w:r>
        <w:t xml:space="preserve">Cruz, Fanny, Andrea López y Consuelo Ruiz (2017), “Sistemas de Gestión ISO 9001:2015: técnicas y herramientas de ingeniería de calidad para su implementación”, </w:t>
      </w:r>
      <w:r>
        <w:rPr>
          <w:i/>
          <w:iCs/>
        </w:rPr>
        <w:t>Revista Ingeniería, Investigación y Desarrollo</w:t>
      </w:r>
      <w:r>
        <w:t xml:space="preserve">, </w:t>
      </w:r>
      <w:r>
        <w:rPr>
          <w:i/>
          <w:iCs/>
        </w:rPr>
        <w:t>17</w:t>
      </w:r>
      <w:r>
        <w:t>(1), 59-69, DOI: https://doi.org/10.19053/1900771X.v17.n1.2017.5306.</w:t>
      </w:r>
    </w:p>
    <w:p w14:paraId="1BA16A10" w14:textId="77777777" w:rsidR="00311A64" w:rsidRDefault="00EC1CAF">
      <w:pPr>
        <w:spacing w:line="360" w:lineRule="auto"/>
        <w:ind w:left="709" w:hanging="709"/>
        <w:rPr>
          <w:lang w:val="en-US"/>
        </w:rPr>
      </w:pPr>
      <w:proofErr w:type="spellStart"/>
      <w:r>
        <w:rPr>
          <w:lang w:val="en-US"/>
        </w:rPr>
        <w:t>Ćwiklicki</w:t>
      </w:r>
      <w:proofErr w:type="spellEnd"/>
      <w:r>
        <w:rPr>
          <w:lang w:val="en-US"/>
        </w:rPr>
        <w:t xml:space="preserve">, Marek, Barbara </w:t>
      </w:r>
      <w:proofErr w:type="spellStart"/>
      <w:r>
        <w:rPr>
          <w:lang w:val="en-US"/>
        </w:rPr>
        <w:t>Pawełek</w:t>
      </w:r>
      <w:proofErr w:type="spellEnd"/>
      <w:r>
        <w:rPr>
          <w:lang w:val="en-US"/>
        </w:rPr>
        <w:t xml:space="preserve"> and Kamila Pilch (2021), “</w:t>
      </w:r>
      <w:proofErr w:type="spellStart"/>
      <w:r>
        <w:rPr>
          <w:lang w:val="en-US"/>
        </w:rPr>
        <w:t>Organisational</w:t>
      </w:r>
      <w:proofErr w:type="spellEnd"/>
      <w:r>
        <w:rPr>
          <w:lang w:val="en-US"/>
        </w:rPr>
        <w:t xml:space="preserve"> Resource Capacity and ISO 9001 QMS Implementation in the Local Government. Evidence from Poland”, </w:t>
      </w:r>
      <w:r>
        <w:rPr>
          <w:i/>
          <w:iCs/>
          <w:lang w:val="en-US"/>
        </w:rPr>
        <w:t>Public Organization Review,</w:t>
      </w:r>
      <w:r>
        <w:rPr>
          <w:lang w:val="en-US"/>
        </w:rPr>
        <w:t xml:space="preserve"> (21), 205-2019, DOI: https://doi.org/10.1007/s11115-020-00485-2.</w:t>
      </w:r>
    </w:p>
    <w:p w14:paraId="1A6E9FC9" w14:textId="77777777" w:rsidR="00311A64" w:rsidRDefault="00EC1CAF">
      <w:pPr>
        <w:spacing w:line="360" w:lineRule="auto"/>
        <w:ind w:left="709" w:hanging="709"/>
        <w:rPr>
          <w:lang w:val="en-US"/>
        </w:rPr>
      </w:pPr>
      <w:r>
        <w:rPr>
          <w:lang w:val="en-US"/>
        </w:rPr>
        <w:t xml:space="preserve">del Castillo, Carlos, Carmelo Mercado, Miguel Prado and Cristina del Castillo (2018), “The influence of motivations and other factors on the results of implementing ISO 9001 standards”, </w:t>
      </w:r>
      <w:r>
        <w:rPr>
          <w:i/>
          <w:iCs/>
          <w:lang w:val="en-US"/>
        </w:rPr>
        <w:t>European Research on Management and Business Economics</w:t>
      </w:r>
      <w:r>
        <w:rPr>
          <w:lang w:val="en-US"/>
        </w:rPr>
        <w:t xml:space="preserve">, </w:t>
      </w:r>
      <w:r>
        <w:rPr>
          <w:i/>
          <w:iCs/>
          <w:lang w:val="en-US"/>
        </w:rPr>
        <w:t>24</w:t>
      </w:r>
      <w:r>
        <w:rPr>
          <w:lang w:val="en-US"/>
        </w:rPr>
        <w:t>(1), 33-31, DOI: https://doi.org/10.1016/j.iedeen.2017.02.002.</w:t>
      </w:r>
    </w:p>
    <w:p w14:paraId="20F4AFCC" w14:textId="77777777" w:rsidR="00311A64" w:rsidRDefault="00EC1CAF">
      <w:pPr>
        <w:spacing w:line="360" w:lineRule="auto"/>
        <w:ind w:left="709" w:hanging="709"/>
      </w:pPr>
      <w:r>
        <w:t xml:space="preserve">Fabila, Angélica, </w:t>
      </w:r>
      <w:proofErr w:type="spellStart"/>
      <w:r>
        <w:t>Hiroe</w:t>
      </w:r>
      <w:proofErr w:type="spellEnd"/>
      <w:r>
        <w:t xml:space="preserve"> </w:t>
      </w:r>
      <w:proofErr w:type="spellStart"/>
      <w:r>
        <w:t>Minami</w:t>
      </w:r>
      <w:proofErr w:type="spellEnd"/>
      <w:r>
        <w:t xml:space="preserve"> y Manuel Izquierdo (2012), “La Escala de Likert en la evaluación docente: acercamiento a sus características y principios metodológicos”, </w:t>
      </w:r>
      <w:r>
        <w:rPr>
          <w:i/>
          <w:iCs/>
        </w:rPr>
        <w:t>Perspectivas docentes</w:t>
      </w:r>
      <w:r>
        <w:t>, (50), 31-40, DOI: https://doi.org/10.19136/pd.a0n50.589.</w:t>
      </w:r>
    </w:p>
    <w:p w14:paraId="6608ED6A" w14:textId="77777777" w:rsidR="00311A64" w:rsidRDefault="00EC1CAF">
      <w:pPr>
        <w:spacing w:line="360" w:lineRule="auto"/>
        <w:ind w:left="709" w:hanging="709"/>
        <w:rPr>
          <w:lang w:val="en-US"/>
        </w:rPr>
      </w:pPr>
      <w:r>
        <w:t xml:space="preserve">Fernández, Francisco, Jesús Rodríguez and Ma. </w:t>
      </w:r>
      <w:r>
        <w:rPr>
          <w:lang w:val="en-US"/>
        </w:rPr>
        <w:t xml:space="preserve">José Fernández (2020), “Impact of the application of ISO 9001 standards on the climate and satisfaction of the members of a school”, </w:t>
      </w:r>
      <w:r>
        <w:rPr>
          <w:i/>
          <w:iCs/>
          <w:lang w:val="en-US"/>
        </w:rPr>
        <w:t>International Journal of Educational Management</w:t>
      </w:r>
      <w:r>
        <w:rPr>
          <w:lang w:val="en-US"/>
        </w:rPr>
        <w:t xml:space="preserve">, </w:t>
      </w:r>
      <w:r>
        <w:rPr>
          <w:i/>
          <w:iCs/>
          <w:lang w:val="en-US"/>
        </w:rPr>
        <w:t>34</w:t>
      </w:r>
      <w:r>
        <w:rPr>
          <w:lang w:val="en-US"/>
        </w:rPr>
        <w:t>(7), 1185-1202, DOI: https://doi.org/10.1108/IJEM-10-2018-0332.</w:t>
      </w:r>
    </w:p>
    <w:p w14:paraId="7F88E035" w14:textId="77777777" w:rsidR="00311A64" w:rsidRDefault="00EC1CAF">
      <w:pPr>
        <w:spacing w:line="360" w:lineRule="auto"/>
        <w:ind w:left="709" w:hanging="709"/>
        <w:rPr>
          <w:lang w:val="en-US"/>
        </w:rPr>
      </w:pPr>
      <w:r>
        <w:rPr>
          <w:lang w:val="en-US"/>
        </w:rPr>
        <w:t xml:space="preserve">Fonseca, Luis and José </w:t>
      </w:r>
      <w:proofErr w:type="spellStart"/>
      <w:r>
        <w:rPr>
          <w:lang w:val="en-US"/>
        </w:rPr>
        <w:t>Domingues</w:t>
      </w:r>
      <w:proofErr w:type="spellEnd"/>
      <w:r>
        <w:rPr>
          <w:lang w:val="en-US"/>
        </w:rPr>
        <w:t xml:space="preserve"> (2017), “Listen to ISO 9001:2015 for organizational competitiveness: Correlation between change management and improvement”, </w:t>
      </w:r>
      <w:r>
        <w:rPr>
          <w:i/>
          <w:iCs/>
          <w:lang w:val="en-US"/>
        </w:rPr>
        <w:t>Proceedings of the International Conference on Business Excellence</w:t>
      </w:r>
      <w:r>
        <w:rPr>
          <w:lang w:val="en-US"/>
        </w:rPr>
        <w:t xml:space="preserve">, </w:t>
      </w:r>
      <w:r>
        <w:rPr>
          <w:i/>
          <w:iCs/>
          <w:lang w:val="en-US"/>
        </w:rPr>
        <w:t>11</w:t>
      </w:r>
      <w:r>
        <w:rPr>
          <w:lang w:val="en-US"/>
        </w:rPr>
        <w:t>(1), 916-926, DOI: https://doi.org/10.1515/picbe-2017-0097.</w:t>
      </w:r>
    </w:p>
    <w:p w14:paraId="410E5640" w14:textId="77777777" w:rsidR="00311A64" w:rsidRDefault="00EC1CAF">
      <w:pPr>
        <w:spacing w:line="360" w:lineRule="auto"/>
        <w:ind w:left="709" w:hanging="709"/>
        <w:rPr>
          <w:lang w:val="en-US"/>
        </w:rPr>
      </w:pPr>
      <w:r>
        <w:rPr>
          <w:lang w:val="en-US"/>
        </w:rPr>
        <w:lastRenderedPageBreak/>
        <w:t xml:space="preserve">Fonseca, Luis and Pedro </w:t>
      </w:r>
      <w:proofErr w:type="spellStart"/>
      <w:r>
        <w:rPr>
          <w:lang w:val="en-US"/>
        </w:rPr>
        <w:t>Domingues</w:t>
      </w:r>
      <w:proofErr w:type="spellEnd"/>
      <w:r>
        <w:rPr>
          <w:lang w:val="en-US"/>
        </w:rPr>
        <w:t xml:space="preserve"> (2018), “The best of both worlds? Use of Kaizen and other continuous improvement methodologies within Portuguese ISO 9001 certified organizations”, </w:t>
      </w:r>
      <w:r>
        <w:rPr>
          <w:i/>
          <w:iCs/>
          <w:lang w:val="en-US"/>
        </w:rPr>
        <w:t>The TQM Journal</w:t>
      </w:r>
      <w:r>
        <w:rPr>
          <w:lang w:val="en-US"/>
        </w:rPr>
        <w:t xml:space="preserve">, </w:t>
      </w:r>
      <w:r>
        <w:rPr>
          <w:i/>
          <w:iCs/>
          <w:lang w:val="en-US"/>
        </w:rPr>
        <w:t>30</w:t>
      </w:r>
      <w:r>
        <w:rPr>
          <w:lang w:val="en-US"/>
        </w:rPr>
        <w:t>(4), 321-334, DOI: https://doi.org/10.1108/TQM-12-2017-0173.</w:t>
      </w:r>
    </w:p>
    <w:p w14:paraId="5E0FBEF9" w14:textId="77777777" w:rsidR="00311A64" w:rsidRDefault="00EC1CAF">
      <w:pPr>
        <w:spacing w:line="360" w:lineRule="auto"/>
        <w:ind w:left="709" w:hanging="709"/>
      </w:pPr>
      <w:r>
        <w:t xml:space="preserve">Fontalvo, Tomás y Efraín De La Hoz (2018), “Diseño e Implementación de un Sistema de Gestión de la Calidad ISO 9001:2015 en una Universidad Colombiana!”, </w:t>
      </w:r>
      <w:r>
        <w:rPr>
          <w:i/>
          <w:iCs/>
        </w:rPr>
        <w:t>Formación Universitaria</w:t>
      </w:r>
      <w:r>
        <w:t xml:space="preserve">, </w:t>
      </w:r>
      <w:r>
        <w:rPr>
          <w:i/>
          <w:iCs/>
        </w:rPr>
        <w:t>11</w:t>
      </w:r>
      <w:r>
        <w:t>(1), 35-44, DOI: http://dx.doi.org/10.4067/S0718-50062018000100035.</w:t>
      </w:r>
    </w:p>
    <w:p w14:paraId="1D1E3B9D" w14:textId="77777777" w:rsidR="00311A64" w:rsidRDefault="00EC1CAF">
      <w:pPr>
        <w:spacing w:line="360" w:lineRule="auto"/>
        <w:ind w:left="709" w:hanging="709"/>
      </w:pPr>
      <w:r>
        <w:t xml:space="preserve">García, Jesús, Sonia Durán, </w:t>
      </w:r>
      <w:proofErr w:type="spellStart"/>
      <w:r>
        <w:t>Margel</w:t>
      </w:r>
      <w:proofErr w:type="spellEnd"/>
      <w:r>
        <w:t xml:space="preserve"> Parra y Ernesto García (2017), “Elementos y principios de la calidad de servicio”, En Ronald Prieto y Remberto De la Hoz (coord.), Instituciones de Educación Superior, en Marketing y competitividad en las organizaciones: enfoques y perspectivas (pp. 327-), Barranquilla: Ediciones Universidad Simón Bolívar.</w:t>
      </w:r>
    </w:p>
    <w:p w14:paraId="2BE1B1C1" w14:textId="77777777" w:rsidR="00311A64" w:rsidRDefault="00EC1CAF">
      <w:pPr>
        <w:spacing w:line="360" w:lineRule="auto"/>
        <w:ind w:left="709" w:hanging="709"/>
      </w:pPr>
      <w:r>
        <w:t xml:space="preserve">Gómez, Luis y Ester Pérez (2017), “Propuesta de un modelo de gestión para </w:t>
      </w:r>
      <w:proofErr w:type="spellStart"/>
      <w:r>
        <w:t>PYMEs</w:t>
      </w:r>
      <w:proofErr w:type="spellEnd"/>
      <w:r>
        <w:t xml:space="preserve">, centrado en la mejora continua”, </w:t>
      </w:r>
      <w:r>
        <w:rPr>
          <w:i/>
          <w:iCs/>
        </w:rPr>
        <w:t>Síntesis Tecnológica</w:t>
      </w:r>
      <w:r>
        <w:t xml:space="preserve">, </w:t>
      </w:r>
      <w:r>
        <w:rPr>
          <w:i/>
          <w:iCs/>
        </w:rPr>
        <w:t>3</w:t>
      </w:r>
      <w:r>
        <w:t>(2), 59-67, DOI: https://doi.org/10.4206/sint.tecnol.2007.v3n2-02.</w:t>
      </w:r>
    </w:p>
    <w:p w14:paraId="0C6D0A0A" w14:textId="77777777" w:rsidR="00311A64" w:rsidRDefault="00EC1CAF">
      <w:pPr>
        <w:spacing w:line="360" w:lineRule="auto"/>
        <w:ind w:left="709" w:hanging="709"/>
        <w:rPr>
          <w:lang w:val="en-US"/>
        </w:rPr>
      </w:pPr>
      <w:proofErr w:type="spellStart"/>
      <w:r>
        <w:rPr>
          <w:lang w:val="en-US"/>
        </w:rPr>
        <w:t>Gremyr</w:t>
      </w:r>
      <w:proofErr w:type="spellEnd"/>
      <w:r>
        <w:rPr>
          <w:lang w:val="en-US"/>
        </w:rPr>
        <w:t xml:space="preserve">, Ida, Mattias </w:t>
      </w:r>
      <w:proofErr w:type="spellStart"/>
      <w:r>
        <w:rPr>
          <w:lang w:val="en-US"/>
        </w:rPr>
        <w:t>Elg</w:t>
      </w:r>
      <w:proofErr w:type="spellEnd"/>
      <w:r>
        <w:rPr>
          <w:lang w:val="en-US"/>
        </w:rPr>
        <w:t xml:space="preserve">, Andreas </w:t>
      </w:r>
      <w:proofErr w:type="spellStart"/>
      <w:r>
        <w:rPr>
          <w:lang w:val="en-US"/>
        </w:rPr>
        <w:t>Hellström</w:t>
      </w:r>
      <w:proofErr w:type="spellEnd"/>
      <w:r>
        <w:rPr>
          <w:lang w:val="en-US"/>
        </w:rPr>
        <w:t xml:space="preserve">, Jason Martin and Lars </w:t>
      </w:r>
      <w:proofErr w:type="spellStart"/>
      <w:r>
        <w:rPr>
          <w:lang w:val="en-US"/>
        </w:rPr>
        <w:t>Witell</w:t>
      </w:r>
      <w:proofErr w:type="spellEnd"/>
      <w:r>
        <w:rPr>
          <w:lang w:val="en-US"/>
        </w:rPr>
        <w:t xml:space="preserve"> (2021), “The roles of quality departments and their influence on business results”, </w:t>
      </w:r>
      <w:r>
        <w:rPr>
          <w:i/>
          <w:iCs/>
          <w:lang w:val="en-US"/>
        </w:rPr>
        <w:t>Total Quality Management &amp; Business Excellence</w:t>
      </w:r>
      <w:r>
        <w:rPr>
          <w:lang w:val="en-US"/>
        </w:rPr>
        <w:t xml:space="preserve">, </w:t>
      </w:r>
      <w:r>
        <w:rPr>
          <w:i/>
          <w:iCs/>
          <w:lang w:val="en-US"/>
        </w:rPr>
        <w:t>32</w:t>
      </w:r>
      <w:r>
        <w:rPr>
          <w:lang w:val="en-US"/>
        </w:rPr>
        <w:t>(7-8), 886-897, DOI: 10.1080/14783363.2019.1643713.</w:t>
      </w:r>
    </w:p>
    <w:p w14:paraId="4E26DBB4" w14:textId="77777777" w:rsidR="00311A64" w:rsidRDefault="00EC1CAF">
      <w:pPr>
        <w:spacing w:line="360" w:lineRule="auto"/>
        <w:ind w:left="709" w:hanging="709"/>
        <w:rPr>
          <w:lang w:val="en-US"/>
        </w:rPr>
      </w:pPr>
      <w:proofErr w:type="spellStart"/>
      <w:r>
        <w:rPr>
          <w:lang w:val="en-US"/>
        </w:rPr>
        <w:t>Gremyr</w:t>
      </w:r>
      <w:proofErr w:type="spellEnd"/>
      <w:r>
        <w:rPr>
          <w:lang w:val="en-US"/>
        </w:rPr>
        <w:t xml:space="preserve">, Ida, Jan </w:t>
      </w:r>
      <w:proofErr w:type="spellStart"/>
      <w:r>
        <w:rPr>
          <w:lang w:val="en-US"/>
        </w:rPr>
        <w:t>Lenning</w:t>
      </w:r>
      <w:proofErr w:type="spellEnd"/>
      <w:r>
        <w:rPr>
          <w:lang w:val="en-US"/>
        </w:rPr>
        <w:t xml:space="preserve">, Mattias </w:t>
      </w:r>
      <w:proofErr w:type="spellStart"/>
      <w:r>
        <w:rPr>
          <w:lang w:val="en-US"/>
        </w:rPr>
        <w:t>Elg</w:t>
      </w:r>
      <w:proofErr w:type="spellEnd"/>
      <w:r>
        <w:rPr>
          <w:lang w:val="en-US"/>
        </w:rPr>
        <w:t xml:space="preserve"> y Jason Martin (2021), “Increasing the value of quality management systems”, </w:t>
      </w:r>
      <w:r>
        <w:rPr>
          <w:i/>
          <w:iCs/>
          <w:lang w:val="en-US"/>
        </w:rPr>
        <w:t>International Journal of Quality and Service Sciences</w:t>
      </w:r>
      <w:r>
        <w:rPr>
          <w:lang w:val="en-US"/>
        </w:rPr>
        <w:t xml:space="preserve">, </w:t>
      </w:r>
      <w:r>
        <w:rPr>
          <w:i/>
          <w:iCs/>
          <w:lang w:val="en-US"/>
        </w:rPr>
        <w:t>13</w:t>
      </w:r>
      <w:r>
        <w:rPr>
          <w:lang w:val="en-US"/>
        </w:rPr>
        <w:t>(3), 381-394, DOI: 10.1108/IJQSS-10-2020-0170.</w:t>
      </w:r>
    </w:p>
    <w:p w14:paraId="43C75977" w14:textId="77777777" w:rsidR="00311A64" w:rsidRDefault="00EC1CAF">
      <w:pPr>
        <w:spacing w:line="360" w:lineRule="auto"/>
        <w:ind w:left="709" w:hanging="709"/>
      </w:pPr>
      <w:r>
        <w:t xml:space="preserve">Hernández, Francisco, Carlos Moo, Lilian </w:t>
      </w:r>
      <w:proofErr w:type="spellStart"/>
      <w:r>
        <w:t>Crúz</w:t>
      </w:r>
      <w:proofErr w:type="spellEnd"/>
      <w:r>
        <w:t xml:space="preserve"> y Fredi Mex (2019), “Análisis de calidad en el servicio a través del modelo DINESERV en una pastelería de Mérida, Yucatán”, en </w:t>
      </w:r>
      <w:proofErr w:type="spellStart"/>
      <w:r>
        <w:rPr>
          <w:i/>
          <w:iCs/>
        </w:rPr>
        <w:t>Collection</w:t>
      </w:r>
      <w:proofErr w:type="spellEnd"/>
      <w:r>
        <w:rPr>
          <w:i/>
          <w:iCs/>
        </w:rPr>
        <w:t xml:space="preserve"> Ciencias Sociales TI</w:t>
      </w:r>
      <w:r>
        <w:t>, Ecatepec: ECORFAN-México, 26-37, &lt;</w:t>
      </w:r>
      <w:r>
        <w:rPr>
          <w:u w:val="single"/>
        </w:rPr>
        <w:t>https://www.ecorfan.org/collections/Collection_Ciencias_Sociales_TI/Extenso/Collection_Ciencias_Sociales_TI.pdf</w:t>
      </w:r>
      <w:r>
        <w:t>&gt; [Consulta: marzo de 2020].</w:t>
      </w:r>
    </w:p>
    <w:p w14:paraId="51BFF23C" w14:textId="77777777" w:rsidR="00311A64" w:rsidRDefault="00EC1CAF">
      <w:pPr>
        <w:spacing w:line="360" w:lineRule="auto"/>
        <w:ind w:left="709" w:hanging="709"/>
      </w:pPr>
      <w:r>
        <w:t xml:space="preserve">Hernández, Roberto, Carlos Fernández y María Baptista (2014), </w:t>
      </w:r>
      <w:r>
        <w:rPr>
          <w:i/>
          <w:iCs/>
        </w:rPr>
        <w:t>Metodología de la investigación</w:t>
      </w:r>
      <w:r>
        <w:t xml:space="preserve">, México D.F.: McGraw-Hill / Interamericana Editores S.A. de C.V. &lt; </w:t>
      </w:r>
      <w:r>
        <w:rPr>
          <w:u w:val="single"/>
        </w:rPr>
        <w:t>https://www.uca.ac.cr/wp-content/uploads/2017/10/Investigacion.pdf</w:t>
      </w:r>
      <w:r>
        <w:t>&gt; [Consulta: marzo de 2019].</w:t>
      </w:r>
    </w:p>
    <w:p w14:paraId="4BBCD6FD" w14:textId="77777777" w:rsidR="00311A64" w:rsidRDefault="00EC1CAF">
      <w:pPr>
        <w:spacing w:line="360" w:lineRule="auto"/>
        <w:ind w:left="709" w:hanging="709"/>
      </w:pPr>
      <w:r>
        <w:t>Organización Internación de Normalización [</w:t>
      </w:r>
      <w:proofErr w:type="spellStart"/>
      <w:r>
        <w:t>Iso</w:t>
      </w:r>
      <w:proofErr w:type="spellEnd"/>
      <w:r>
        <w:t xml:space="preserve">]. (2015a), </w:t>
      </w:r>
      <w:r>
        <w:rPr>
          <w:i/>
          <w:iCs/>
        </w:rPr>
        <w:t>ISO 9000:2015 Sistemas de gestión de la calidad - Fundamentos y vocabulario</w:t>
      </w:r>
      <w:r>
        <w:t xml:space="preserve">, México D.F.: </w:t>
      </w:r>
      <w:proofErr w:type="spellStart"/>
      <w:r>
        <w:t>Iso</w:t>
      </w:r>
      <w:proofErr w:type="spellEnd"/>
      <w:r>
        <w:t>.</w:t>
      </w:r>
    </w:p>
    <w:p w14:paraId="26909708" w14:textId="77777777" w:rsidR="00311A64" w:rsidRDefault="00EC1CAF">
      <w:pPr>
        <w:spacing w:line="360" w:lineRule="auto"/>
        <w:ind w:left="709" w:hanging="709"/>
      </w:pPr>
      <w:proofErr w:type="spellStart"/>
      <w:r>
        <w:t>Iso</w:t>
      </w:r>
      <w:proofErr w:type="spellEnd"/>
      <w:r>
        <w:t xml:space="preserve"> (2015b), </w:t>
      </w:r>
      <w:r>
        <w:rPr>
          <w:i/>
          <w:iCs/>
        </w:rPr>
        <w:t>ISO 9001:2015 Sistemas de gestión de la calidad – Requisitos</w:t>
      </w:r>
      <w:r>
        <w:t xml:space="preserve">, México D.F.: </w:t>
      </w:r>
      <w:proofErr w:type="spellStart"/>
      <w:r>
        <w:t>Iso</w:t>
      </w:r>
      <w:proofErr w:type="spellEnd"/>
      <w:r>
        <w:t>.</w:t>
      </w:r>
    </w:p>
    <w:p w14:paraId="13FECFB2" w14:textId="77777777" w:rsidR="00311A64" w:rsidRDefault="00EC1CAF">
      <w:pPr>
        <w:spacing w:line="360" w:lineRule="auto"/>
        <w:ind w:left="709" w:hanging="709"/>
      </w:pPr>
      <w:proofErr w:type="spellStart"/>
      <w:r>
        <w:lastRenderedPageBreak/>
        <w:t>Iso</w:t>
      </w:r>
      <w:proofErr w:type="spellEnd"/>
      <w:r>
        <w:t xml:space="preserve"> (2018), </w:t>
      </w:r>
      <w:r>
        <w:rPr>
          <w:i/>
          <w:iCs/>
        </w:rPr>
        <w:t>ISO 9004:2018 - Gestión de calidad - Calidad de un Organización - Orientación para lograr éxito sostenido</w:t>
      </w:r>
      <w:r>
        <w:t xml:space="preserve">, Bogotá: </w:t>
      </w:r>
      <w:proofErr w:type="spellStart"/>
      <w:r>
        <w:t>Iso</w:t>
      </w:r>
      <w:proofErr w:type="spellEnd"/>
      <w:r>
        <w:t>.</w:t>
      </w:r>
    </w:p>
    <w:p w14:paraId="3172A593" w14:textId="77777777" w:rsidR="00311A64" w:rsidRDefault="00EC1CAF">
      <w:pPr>
        <w:spacing w:line="360" w:lineRule="auto"/>
        <w:ind w:left="709" w:hanging="709"/>
        <w:rPr>
          <w:lang w:val="en-US"/>
        </w:rPr>
      </w:pPr>
      <w:r>
        <w:rPr>
          <w:lang w:val="en-US"/>
        </w:rPr>
        <w:t xml:space="preserve">Jimenez, José, José Medina, Luis Sanz, José Martinez and </w:t>
      </w:r>
      <w:proofErr w:type="spellStart"/>
      <w:r>
        <w:rPr>
          <w:lang w:val="en-US"/>
        </w:rPr>
        <w:t>Estefanía</w:t>
      </w:r>
      <w:proofErr w:type="spellEnd"/>
      <w:r>
        <w:rPr>
          <w:lang w:val="en-US"/>
        </w:rPr>
        <w:t xml:space="preserve"> Ruiz (2020), “An Intelligent Framework for the Evaluation of Compliance with the Requirements of ISO 9001:2015”, </w:t>
      </w:r>
      <w:r>
        <w:rPr>
          <w:i/>
          <w:iCs/>
          <w:lang w:val="en-US"/>
        </w:rPr>
        <w:t>Sustainability</w:t>
      </w:r>
      <w:r>
        <w:rPr>
          <w:lang w:val="en-US"/>
        </w:rPr>
        <w:t xml:space="preserve">, </w:t>
      </w:r>
      <w:r>
        <w:rPr>
          <w:i/>
          <w:iCs/>
          <w:lang w:val="en-US"/>
        </w:rPr>
        <w:t>12</w:t>
      </w:r>
      <w:r>
        <w:rPr>
          <w:lang w:val="en-US"/>
        </w:rPr>
        <w:t>(3), 2-23, DOI: 10.3390/su12135471.</w:t>
      </w:r>
    </w:p>
    <w:p w14:paraId="1646BDF0" w14:textId="77777777" w:rsidR="00311A64" w:rsidRDefault="00EC1CAF">
      <w:pPr>
        <w:spacing w:line="360" w:lineRule="auto"/>
        <w:ind w:left="709" w:hanging="709"/>
        <w:rPr>
          <w:lang w:val="en-US"/>
        </w:rPr>
      </w:pPr>
      <w:r>
        <w:rPr>
          <w:lang w:val="en-US"/>
        </w:rPr>
        <w:t xml:space="preserve">Likert, </w:t>
      </w:r>
      <w:proofErr w:type="spellStart"/>
      <w:r>
        <w:rPr>
          <w:lang w:val="en-US"/>
        </w:rPr>
        <w:t>Rensis</w:t>
      </w:r>
      <w:proofErr w:type="spellEnd"/>
      <w:r>
        <w:rPr>
          <w:lang w:val="en-US"/>
        </w:rPr>
        <w:t xml:space="preserve"> (1932), “A technique for the measurement of attitudes”, </w:t>
      </w:r>
      <w:r>
        <w:rPr>
          <w:i/>
          <w:iCs/>
          <w:lang w:val="en-US"/>
        </w:rPr>
        <w:t xml:space="preserve">Archives of </w:t>
      </w:r>
      <w:proofErr w:type="spellStart"/>
      <w:r>
        <w:rPr>
          <w:i/>
          <w:iCs/>
          <w:lang w:val="en-US"/>
        </w:rPr>
        <w:t>Psycology</w:t>
      </w:r>
      <w:proofErr w:type="spellEnd"/>
      <w:r>
        <w:rPr>
          <w:i/>
          <w:iCs/>
          <w:lang w:val="en-US"/>
        </w:rPr>
        <w:t>,</w:t>
      </w:r>
      <w:r>
        <w:rPr>
          <w:lang w:val="en-US"/>
        </w:rPr>
        <w:t xml:space="preserve"> </w:t>
      </w:r>
      <w:r>
        <w:rPr>
          <w:i/>
          <w:iCs/>
          <w:lang w:val="en-US"/>
        </w:rPr>
        <w:t>22</w:t>
      </w:r>
      <w:r>
        <w:rPr>
          <w:lang w:val="en-US"/>
        </w:rPr>
        <w:t>(140), 5-55.</w:t>
      </w:r>
    </w:p>
    <w:p w14:paraId="32F1693E" w14:textId="77777777" w:rsidR="00311A64" w:rsidRDefault="00EC1CAF">
      <w:pPr>
        <w:spacing w:line="360" w:lineRule="auto"/>
        <w:ind w:left="709" w:hanging="709"/>
      </w:pPr>
      <w:r>
        <w:t xml:space="preserve">López, Ernesto (2018), El método Delphi en la investigación actual en educación: una revisión teórica y metodológica. </w:t>
      </w:r>
      <w:r>
        <w:rPr>
          <w:i/>
          <w:iCs/>
        </w:rPr>
        <w:t>Educación XXI</w:t>
      </w:r>
      <w:r>
        <w:t>, 21(1), 17-40, doi:10.5944/educXX1.20169.</w:t>
      </w:r>
    </w:p>
    <w:p w14:paraId="725F4D2E" w14:textId="77777777" w:rsidR="00311A64" w:rsidRDefault="00EC1CAF">
      <w:pPr>
        <w:spacing w:line="360" w:lineRule="auto"/>
        <w:ind w:left="709" w:hanging="709"/>
      </w:pPr>
      <w:r>
        <w:t xml:space="preserve">Macas, Estela, </w:t>
      </w:r>
      <w:proofErr w:type="spellStart"/>
      <w:r>
        <w:t>Wayner</w:t>
      </w:r>
      <w:proofErr w:type="spellEnd"/>
      <w:r>
        <w:t xml:space="preserve"> Bustamante y </w:t>
      </w:r>
      <w:proofErr w:type="spellStart"/>
      <w:r>
        <w:t>Monica</w:t>
      </w:r>
      <w:proofErr w:type="spellEnd"/>
      <w:r>
        <w:t xml:space="preserve"> Romero (2018), “¿La herramienta AGIS contribuye con ISO 9001:2015; a la mejora continua de servicios en las organizaciones?”, </w:t>
      </w:r>
      <w:r>
        <w:rPr>
          <w:i/>
          <w:iCs/>
        </w:rPr>
        <w:t>Espacios</w:t>
      </w:r>
      <w:r>
        <w:t xml:space="preserve">, </w:t>
      </w:r>
      <w:r>
        <w:rPr>
          <w:i/>
          <w:iCs/>
        </w:rPr>
        <w:t>39</w:t>
      </w:r>
      <w:r>
        <w:t>(33), 1-15, &lt;</w:t>
      </w:r>
      <w:r>
        <w:rPr>
          <w:u w:val="single"/>
        </w:rPr>
        <w:t>http://www.revistaespacios.com/a18v39n33/18393317.html</w:t>
      </w:r>
      <w:r>
        <w:t>&gt; [Consulta: junio de 2021].</w:t>
      </w:r>
    </w:p>
    <w:p w14:paraId="4D20DFDC" w14:textId="77777777" w:rsidR="00311A64" w:rsidRDefault="00EC1CAF">
      <w:pPr>
        <w:spacing w:line="360" w:lineRule="auto"/>
        <w:ind w:left="709" w:hanging="709"/>
        <w:rPr>
          <w:lang w:val="en-US"/>
        </w:rPr>
      </w:pPr>
      <w:r>
        <w:rPr>
          <w:lang w:val="en-US"/>
        </w:rPr>
        <w:t xml:space="preserve">Martin, Jason, Mattias </w:t>
      </w:r>
      <w:proofErr w:type="spellStart"/>
      <w:r>
        <w:rPr>
          <w:lang w:val="en-US"/>
        </w:rPr>
        <w:t>Elg</w:t>
      </w:r>
      <w:proofErr w:type="spellEnd"/>
      <w:r>
        <w:rPr>
          <w:lang w:val="en-US"/>
        </w:rPr>
        <w:t xml:space="preserve">, Ida </w:t>
      </w:r>
      <w:proofErr w:type="spellStart"/>
      <w:r>
        <w:rPr>
          <w:lang w:val="en-US"/>
        </w:rPr>
        <w:t>Gremyr</w:t>
      </w:r>
      <w:proofErr w:type="spellEnd"/>
      <w:r>
        <w:rPr>
          <w:lang w:val="en-US"/>
        </w:rPr>
        <w:t xml:space="preserve"> y Andreas </w:t>
      </w:r>
      <w:proofErr w:type="spellStart"/>
      <w:r>
        <w:rPr>
          <w:lang w:val="en-US"/>
        </w:rPr>
        <w:t>Wallo</w:t>
      </w:r>
      <w:proofErr w:type="spellEnd"/>
      <w:r>
        <w:rPr>
          <w:lang w:val="en-US"/>
        </w:rPr>
        <w:t xml:space="preserve"> (2021), “Towards a quality management competence framework: exploring needed competencies in quality management”, </w:t>
      </w:r>
      <w:r>
        <w:rPr>
          <w:i/>
          <w:iCs/>
          <w:lang w:val="en-US"/>
        </w:rPr>
        <w:t>Total Quality Management</w:t>
      </w:r>
      <w:r>
        <w:rPr>
          <w:lang w:val="en-US"/>
        </w:rPr>
        <w:t xml:space="preserve">, </w:t>
      </w:r>
      <w:r>
        <w:rPr>
          <w:i/>
          <w:iCs/>
          <w:lang w:val="en-US"/>
        </w:rPr>
        <w:t>32</w:t>
      </w:r>
      <w:r>
        <w:rPr>
          <w:lang w:val="en-US"/>
        </w:rPr>
        <w:t>(4), 359–378, DOI: https://doi.org/10.1080/14783363.2019.1576516.</w:t>
      </w:r>
    </w:p>
    <w:p w14:paraId="0138E865" w14:textId="77777777" w:rsidR="00311A64" w:rsidRDefault="00EC1CAF">
      <w:pPr>
        <w:spacing w:line="360" w:lineRule="auto"/>
        <w:ind w:left="709" w:hanging="709"/>
      </w:pPr>
      <w:r>
        <w:t xml:space="preserve">Martínez, Cynthia y Alejandro Arellano (2018), “Las </w:t>
      </w:r>
      <w:proofErr w:type="spellStart"/>
      <w:r>
        <w:t>megatendencias</w:t>
      </w:r>
      <w:proofErr w:type="spellEnd"/>
      <w:r>
        <w:t xml:space="preserve"> y su impacto en el comportamiento de las organizaciones”, </w:t>
      </w:r>
      <w:r>
        <w:rPr>
          <w:i/>
          <w:iCs/>
        </w:rPr>
        <w:t>Revista San Gregorio</w:t>
      </w:r>
      <w:r>
        <w:t>, (28), 146-153, DOI: http://dx.doi.org/10.36097/rsan.v0i28.789.</w:t>
      </w:r>
    </w:p>
    <w:p w14:paraId="7F382CA0" w14:textId="77777777" w:rsidR="00311A64" w:rsidRDefault="00EC1CAF">
      <w:pPr>
        <w:spacing w:line="360" w:lineRule="auto"/>
        <w:ind w:left="709" w:hanging="709"/>
      </w:pPr>
      <w:r>
        <w:t xml:space="preserve">Martínez, Olimpia (2016), “Ensayo sobre la Administración Pública”, </w:t>
      </w:r>
      <w:r>
        <w:rPr>
          <w:i/>
          <w:iCs/>
        </w:rPr>
        <w:t>Revista electrónica del Centro de Estudios en la Administración Pública</w:t>
      </w:r>
      <w:r>
        <w:t>, (22), 1-17, DOI: http://dx.doi.org/10.22201/fcpys.20071949e.2016.22.57654.</w:t>
      </w:r>
    </w:p>
    <w:p w14:paraId="2914F056" w14:textId="77777777" w:rsidR="00311A64" w:rsidRDefault="00EC1CAF">
      <w:pPr>
        <w:spacing w:line="360" w:lineRule="auto"/>
        <w:ind w:left="709" w:hanging="709"/>
      </w:pPr>
      <w:r>
        <w:t xml:space="preserve">Monroy, Mauro (2019), “Evaluación de la calidad en el servicio y su impacto en la lealtad en Bancomer” </w:t>
      </w:r>
      <w:r>
        <w:rPr>
          <w:i/>
          <w:iCs/>
        </w:rPr>
        <w:t>Revista de Estudios Empresariales, Segunda Época</w:t>
      </w:r>
      <w:r>
        <w:t>, (2), 190-211, DOI: https://doi.org/10.17561//ree.v2019n2.11.</w:t>
      </w:r>
    </w:p>
    <w:p w14:paraId="2354DC26" w14:textId="77777777" w:rsidR="00311A64" w:rsidRDefault="00EC1CAF">
      <w:pPr>
        <w:spacing w:line="360" w:lineRule="auto"/>
        <w:ind w:left="709" w:hanging="709"/>
      </w:pPr>
      <w:proofErr w:type="spellStart"/>
      <w:r>
        <w:t>Ñaupas</w:t>
      </w:r>
      <w:proofErr w:type="spellEnd"/>
      <w:r>
        <w:t xml:space="preserve">, Humberto (2018), “Otras técnicas cuantitativas: varianza y covarianza, regresión lineal”, en </w:t>
      </w:r>
      <w:r>
        <w:rPr>
          <w:i/>
          <w:iCs/>
        </w:rPr>
        <w:t>Metodología de la Investigación Cuantitativa - Cualitativa y de Redacción de Tesis</w:t>
      </w:r>
      <w:r>
        <w:t>, Bogotá: Ediciones de la U, 461-476.</w:t>
      </w:r>
    </w:p>
    <w:p w14:paraId="098E6D88" w14:textId="77777777" w:rsidR="00311A64" w:rsidRDefault="00EC1CAF">
      <w:pPr>
        <w:spacing w:line="360" w:lineRule="auto"/>
        <w:ind w:left="709" w:hanging="709"/>
      </w:pPr>
      <w:r>
        <w:t xml:space="preserve">Rodríguez, Lucas (2022), Modelos de Gestión Universitaria: Contexto Latinoamericano y Retos de la Universidad Especializada de las Américas, </w:t>
      </w:r>
      <w:r>
        <w:rPr>
          <w:i/>
          <w:iCs/>
        </w:rPr>
        <w:t>Investigación Y Pensamiento Crítico</w:t>
      </w:r>
      <w:r>
        <w:t>, 10(3), 04-17, https://doi.org/10.37387/ipc.v10i3.322.</w:t>
      </w:r>
    </w:p>
    <w:p w14:paraId="380CB813" w14:textId="77777777" w:rsidR="00311A64" w:rsidRDefault="00EC1CAF">
      <w:pPr>
        <w:spacing w:line="360" w:lineRule="auto"/>
        <w:ind w:left="709" w:hanging="709"/>
        <w:rPr>
          <w:lang w:val="en-US"/>
        </w:rPr>
      </w:pPr>
      <w:r>
        <w:rPr>
          <w:lang w:val="en-US"/>
        </w:rPr>
        <w:lastRenderedPageBreak/>
        <w:t xml:space="preserve">Sá, José, </w:t>
      </w:r>
      <w:proofErr w:type="spellStart"/>
      <w:r>
        <w:rPr>
          <w:lang w:val="en-US"/>
        </w:rPr>
        <w:t>Antóno</w:t>
      </w:r>
      <w:proofErr w:type="spellEnd"/>
      <w:r>
        <w:rPr>
          <w:lang w:val="en-US"/>
        </w:rPr>
        <w:t xml:space="preserve"> Amaral, Luís Barreto, Filipe Carvalho and Gilberto Santos (2019), “Perception of the importance to implement ISO 9001 in organizations related to people linked to quality - An empirical study”, </w:t>
      </w:r>
      <w:r>
        <w:rPr>
          <w:i/>
          <w:iCs/>
          <w:lang w:val="en-US"/>
        </w:rPr>
        <w:t>International Journal for Quality Research</w:t>
      </w:r>
      <w:r>
        <w:rPr>
          <w:lang w:val="en-US"/>
        </w:rPr>
        <w:t xml:space="preserve">, </w:t>
      </w:r>
      <w:r>
        <w:rPr>
          <w:i/>
          <w:iCs/>
          <w:lang w:val="en-US"/>
        </w:rPr>
        <w:t>13</w:t>
      </w:r>
      <w:r>
        <w:rPr>
          <w:lang w:val="en-US"/>
        </w:rPr>
        <w:t>(4), 1055-1070, DOI: 10.24874/IJQR13.04-20.</w:t>
      </w:r>
    </w:p>
    <w:p w14:paraId="5AFE772F" w14:textId="77777777" w:rsidR="00311A64" w:rsidRDefault="00EC1CAF">
      <w:pPr>
        <w:spacing w:line="360" w:lineRule="auto"/>
        <w:ind w:left="709" w:hanging="709"/>
        <w:rPr>
          <w:lang w:val="en-US"/>
        </w:rPr>
      </w:pPr>
      <w:r>
        <w:rPr>
          <w:lang w:val="en-US"/>
        </w:rPr>
        <w:t xml:space="preserve">Santos, Gilberto, José Sá, Maria Félix, Luis Barreto, Filipe Carvalho, Manuel </w:t>
      </w:r>
      <w:proofErr w:type="spellStart"/>
      <w:r>
        <w:rPr>
          <w:lang w:val="en-US"/>
        </w:rPr>
        <w:t>Doiro</w:t>
      </w:r>
      <w:proofErr w:type="spellEnd"/>
      <w:r>
        <w:rPr>
          <w:lang w:val="en-US"/>
        </w:rPr>
        <w:t xml:space="preserve">, Kristina </w:t>
      </w:r>
      <w:proofErr w:type="spellStart"/>
      <w:r>
        <w:rPr>
          <w:lang w:val="en-US"/>
        </w:rPr>
        <w:t>Zgodavová</w:t>
      </w:r>
      <w:proofErr w:type="spellEnd"/>
      <w:r>
        <w:rPr>
          <w:lang w:val="en-US"/>
        </w:rPr>
        <w:t xml:space="preserve"> and </w:t>
      </w:r>
      <w:proofErr w:type="spellStart"/>
      <w:r>
        <w:rPr>
          <w:lang w:val="en-US"/>
        </w:rPr>
        <w:t>Miladin</w:t>
      </w:r>
      <w:proofErr w:type="spellEnd"/>
      <w:r>
        <w:rPr>
          <w:lang w:val="en-US"/>
        </w:rPr>
        <w:t xml:space="preserve"> Stefanović (2021), “New Needed Quality Management Skills for Quality Managers 4.0”, </w:t>
      </w:r>
      <w:r>
        <w:rPr>
          <w:i/>
          <w:iCs/>
          <w:lang w:val="en-US"/>
        </w:rPr>
        <w:t>Sustainability</w:t>
      </w:r>
      <w:r>
        <w:rPr>
          <w:lang w:val="en-US"/>
        </w:rPr>
        <w:t xml:space="preserve">, </w:t>
      </w:r>
      <w:r>
        <w:rPr>
          <w:i/>
          <w:iCs/>
          <w:lang w:val="en-US"/>
        </w:rPr>
        <w:t>13</w:t>
      </w:r>
      <w:r>
        <w:rPr>
          <w:lang w:val="en-US"/>
        </w:rPr>
        <w:t>(11), DOI: https://doi.org/10.3390/su13116149.</w:t>
      </w:r>
    </w:p>
    <w:p w14:paraId="6F2F2E72" w14:textId="77777777" w:rsidR="00311A64" w:rsidRDefault="00EC1CAF">
      <w:pPr>
        <w:spacing w:line="360" w:lineRule="auto"/>
        <w:ind w:left="709" w:hanging="709"/>
      </w:pPr>
      <w:r>
        <w:t xml:space="preserve">Santos, Guadalupe (2017), </w:t>
      </w:r>
      <w:r>
        <w:rPr>
          <w:i/>
          <w:iCs/>
        </w:rPr>
        <w:t>Validez y confiabilidad del cuestionario de calidad de vida SF-36 en mujeres con LUPUS, Puebla</w:t>
      </w:r>
      <w:r>
        <w:t>, Puebla,</w:t>
      </w:r>
      <w:r>
        <w:rPr>
          <w:i/>
          <w:iCs/>
        </w:rPr>
        <w:t xml:space="preserve"> </w:t>
      </w:r>
      <w:r>
        <w:t>(Tesis de Licenciatura): Facultad de Ciencias Físico Matemáticas. Benemérita Universidad Autónoma de Puebla, &lt;</w:t>
      </w:r>
      <w:r>
        <w:rPr>
          <w:u w:val="single"/>
        </w:rPr>
        <w:t>https://www.fcfm.buap.mx/assets/docs/docencia/tesis/ma/GuadalupeSantosSanchez.pdf</w:t>
      </w:r>
      <w:r>
        <w:t>&gt; [Consulta: abril de 2019].</w:t>
      </w:r>
    </w:p>
    <w:p w14:paraId="0015CC98" w14:textId="77777777" w:rsidR="00311A64" w:rsidRDefault="00EC1CAF">
      <w:pPr>
        <w:spacing w:line="360" w:lineRule="auto"/>
        <w:ind w:left="709" w:hanging="709"/>
        <w:rPr>
          <w:lang w:val="en-US"/>
        </w:rPr>
      </w:pPr>
      <w:proofErr w:type="spellStart"/>
      <w:r>
        <w:rPr>
          <w:lang w:val="en-US"/>
        </w:rPr>
        <w:t>Siltori</w:t>
      </w:r>
      <w:proofErr w:type="spellEnd"/>
      <w:r>
        <w:rPr>
          <w:lang w:val="en-US"/>
        </w:rPr>
        <w:t xml:space="preserve">, Patricia, Isabela </w:t>
      </w:r>
      <w:proofErr w:type="spellStart"/>
      <w:r>
        <w:rPr>
          <w:lang w:val="en-US"/>
        </w:rPr>
        <w:t>Rampasso</w:t>
      </w:r>
      <w:proofErr w:type="spellEnd"/>
      <w:r>
        <w:rPr>
          <w:lang w:val="en-US"/>
        </w:rPr>
        <w:t xml:space="preserve">, Vitor Martins, </w:t>
      </w:r>
      <w:proofErr w:type="spellStart"/>
      <w:r>
        <w:rPr>
          <w:lang w:val="en-US"/>
        </w:rPr>
        <w:t>Rosley</w:t>
      </w:r>
      <w:proofErr w:type="spellEnd"/>
      <w:r>
        <w:rPr>
          <w:lang w:val="en-US"/>
        </w:rPr>
        <w:t xml:space="preserve"> </w:t>
      </w:r>
      <w:proofErr w:type="spellStart"/>
      <w:r>
        <w:rPr>
          <w:lang w:val="en-US"/>
        </w:rPr>
        <w:t>Anholon</w:t>
      </w:r>
      <w:proofErr w:type="spellEnd"/>
      <w:r>
        <w:rPr>
          <w:lang w:val="en-US"/>
        </w:rPr>
        <w:t xml:space="preserve">, </w:t>
      </w:r>
      <w:proofErr w:type="spellStart"/>
      <w:r>
        <w:rPr>
          <w:lang w:val="en-US"/>
        </w:rPr>
        <w:t>Dirceu</w:t>
      </w:r>
      <w:proofErr w:type="spellEnd"/>
      <w:r>
        <w:rPr>
          <w:lang w:val="en-US"/>
        </w:rPr>
        <w:t xml:space="preserve"> Silva and Jefferson Souza (2020), “Analysis of ISO 9001 certification benefits in Brazilian companies”, </w:t>
      </w:r>
      <w:r>
        <w:rPr>
          <w:i/>
          <w:iCs/>
          <w:lang w:val="en-US"/>
        </w:rPr>
        <w:t>Total Quality Management &amp; Business Excellence</w:t>
      </w:r>
      <w:r>
        <w:rPr>
          <w:lang w:val="en-US"/>
        </w:rPr>
        <w:t xml:space="preserve">, </w:t>
      </w:r>
      <w:r>
        <w:rPr>
          <w:i/>
          <w:iCs/>
          <w:lang w:val="en-US"/>
        </w:rPr>
        <w:t>32</w:t>
      </w:r>
      <w:r>
        <w:rPr>
          <w:lang w:val="en-US"/>
        </w:rPr>
        <w:t>(13-14), 1614-1632, DOI: https://doi.org/10.1080/14783363.2020.1756246.</w:t>
      </w:r>
    </w:p>
    <w:p w14:paraId="5F569C63" w14:textId="77777777" w:rsidR="00311A64" w:rsidRDefault="00EC1CAF">
      <w:pPr>
        <w:spacing w:line="360" w:lineRule="auto"/>
        <w:ind w:left="709" w:hanging="709"/>
      </w:pPr>
      <w:r>
        <w:t xml:space="preserve">Soriano, Ana (2014), “Diseño y validación de instrumentos de medición”, </w:t>
      </w:r>
      <w:proofErr w:type="spellStart"/>
      <w:r>
        <w:rPr>
          <w:i/>
          <w:iCs/>
        </w:rPr>
        <w:t>Diá</w:t>
      </w:r>
      <w:proofErr w:type="spellEnd"/>
      <w:r>
        <w:rPr>
          <w:i/>
          <w:iCs/>
        </w:rPr>
        <w:t>-logos</w:t>
      </w:r>
      <w:r>
        <w:t>, (14), 19-40, DOI: https://doi.org/10.5377/dialogos.v0i14.2202.</w:t>
      </w:r>
    </w:p>
    <w:p w14:paraId="18BA7283" w14:textId="77777777" w:rsidR="00311A64" w:rsidRDefault="00EC1CAF">
      <w:pPr>
        <w:spacing w:line="360" w:lineRule="auto"/>
        <w:ind w:left="709" w:hanging="709"/>
      </w:pPr>
      <w:r>
        <w:t>Sotelo, Jesús, María Sosa y Ernesto Carreón (2021), Medición de la calidad bajo los estándares de la ISO 9001. Validación de instrumentos de acuerdo con la norma ISO 9001:2015. Ciudad de México, México: Pearson.</w:t>
      </w:r>
    </w:p>
    <w:p w14:paraId="43C7C5F6" w14:textId="77777777" w:rsidR="00311A64" w:rsidRDefault="00EC1CAF">
      <w:pPr>
        <w:spacing w:line="360" w:lineRule="auto"/>
        <w:ind w:left="709" w:hanging="709"/>
        <w:rPr>
          <w:lang w:val="en-US"/>
        </w:rPr>
      </w:pPr>
      <w:proofErr w:type="spellStart"/>
      <w:r>
        <w:rPr>
          <w:lang w:val="en-US"/>
        </w:rPr>
        <w:t>Stertz</w:t>
      </w:r>
      <w:proofErr w:type="spellEnd"/>
      <w:r>
        <w:rPr>
          <w:lang w:val="en-US"/>
        </w:rPr>
        <w:t xml:space="preserve">, Leonardo, Guilherme Borges, Gabriel Vidor and Carlos </w:t>
      </w:r>
      <w:proofErr w:type="spellStart"/>
      <w:r>
        <w:rPr>
          <w:lang w:val="en-US"/>
        </w:rPr>
        <w:t>Schuch</w:t>
      </w:r>
      <w:proofErr w:type="spellEnd"/>
      <w:r>
        <w:rPr>
          <w:lang w:val="en-US"/>
        </w:rPr>
        <w:t xml:space="preserve"> (2018), “ISO 9001 based quality management systems and </w:t>
      </w:r>
      <w:proofErr w:type="spellStart"/>
      <w:r>
        <w:rPr>
          <w:lang w:val="en-US"/>
        </w:rPr>
        <w:t>organisational</w:t>
      </w:r>
      <w:proofErr w:type="spellEnd"/>
      <w:r>
        <w:rPr>
          <w:lang w:val="en-US"/>
        </w:rPr>
        <w:t xml:space="preserve"> performance: a systematic literature review”, </w:t>
      </w:r>
      <w:r>
        <w:rPr>
          <w:i/>
          <w:iCs/>
          <w:lang w:val="en-US"/>
        </w:rPr>
        <w:t>Total Quality Management &amp; Business Excellence</w:t>
      </w:r>
      <w:r>
        <w:rPr>
          <w:lang w:val="en-US"/>
        </w:rPr>
        <w:t xml:space="preserve">, </w:t>
      </w:r>
      <w:r>
        <w:rPr>
          <w:i/>
          <w:iCs/>
          <w:lang w:val="en-US"/>
        </w:rPr>
        <w:t>32</w:t>
      </w:r>
      <w:r>
        <w:rPr>
          <w:lang w:val="en-US"/>
        </w:rPr>
        <w:t>(3-4), 389-409, DOI: 10.1080/14783363.2018.1549939.</w:t>
      </w:r>
    </w:p>
    <w:p w14:paraId="620234F3" w14:textId="77777777" w:rsidR="00311A64" w:rsidRDefault="00EC1CAF">
      <w:pPr>
        <w:spacing w:line="360" w:lineRule="auto"/>
        <w:ind w:left="709" w:hanging="709"/>
        <w:rPr>
          <w:lang w:val="en-US"/>
        </w:rPr>
      </w:pPr>
      <w:r>
        <w:rPr>
          <w:lang w:val="en-US"/>
        </w:rPr>
        <w:t xml:space="preserve">Van </w:t>
      </w:r>
      <w:proofErr w:type="spellStart"/>
      <w:r>
        <w:rPr>
          <w:lang w:val="en-US"/>
        </w:rPr>
        <w:t>Stralen</w:t>
      </w:r>
      <w:proofErr w:type="spellEnd"/>
      <w:r>
        <w:rPr>
          <w:lang w:val="en-US"/>
        </w:rPr>
        <w:t xml:space="preserve">, </w:t>
      </w:r>
      <w:proofErr w:type="spellStart"/>
      <w:r>
        <w:rPr>
          <w:lang w:val="en-US"/>
        </w:rPr>
        <w:t>Karlijin</w:t>
      </w:r>
      <w:proofErr w:type="spellEnd"/>
      <w:r>
        <w:rPr>
          <w:lang w:val="en-US"/>
        </w:rPr>
        <w:t xml:space="preserve">, Kitty Jager, Carmine Zoccali and </w:t>
      </w:r>
      <w:proofErr w:type="spellStart"/>
      <w:r>
        <w:rPr>
          <w:lang w:val="en-US"/>
        </w:rPr>
        <w:t>Friedo</w:t>
      </w:r>
      <w:proofErr w:type="spellEnd"/>
      <w:r>
        <w:rPr>
          <w:lang w:val="en-US"/>
        </w:rPr>
        <w:t xml:space="preserve"> Dekker (2008), “Agreement between methods”, </w:t>
      </w:r>
      <w:r>
        <w:rPr>
          <w:i/>
          <w:iCs/>
          <w:lang w:val="en-US"/>
        </w:rPr>
        <w:t>Kidney International</w:t>
      </w:r>
      <w:r>
        <w:rPr>
          <w:lang w:val="en-US"/>
        </w:rPr>
        <w:t xml:space="preserve">, </w:t>
      </w:r>
      <w:r>
        <w:rPr>
          <w:i/>
          <w:iCs/>
          <w:lang w:val="en-US"/>
        </w:rPr>
        <w:t>74</w:t>
      </w:r>
      <w:r>
        <w:rPr>
          <w:lang w:val="en-US"/>
        </w:rPr>
        <w:t>(9), 1116-1120, DOI: 10.1038/ki.2008.306.</w:t>
      </w:r>
    </w:p>
    <w:p w14:paraId="09B62C2B" w14:textId="77777777" w:rsidR="00311A64" w:rsidRDefault="00EC1CAF">
      <w:pPr>
        <w:spacing w:line="360" w:lineRule="auto"/>
        <w:ind w:left="709" w:hanging="709"/>
      </w:pPr>
      <w:r>
        <w:t xml:space="preserve">Vidal, Estela (2014), </w:t>
      </w:r>
      <w:r>
        <w:rPr>
          <w:i/>
          <w:iCs/>
        </w:rPr>
        <w:t>La calidad y su gestión en las organizaciones gallegas. Propuesta de un modelo de gestión de calidad total basado en el Modelo EFQM de Excelencia</w:t>
      </w:r>
      <w:r>
        <w:t xml:space="preserve">, La Coruña, (Tesis de Doctorado): </w:t>
      </w:r>
      <w:proofErr w:type="spellStart"/>
      <w:r>
        <w:t>Universidade</w:t>
      </w:r>
      <w:proofErr w:type="spellEnd"/>
      <w:r>
        <w:t xml:space="preserve"> Da Coruña, &lt;</w:t>
      </w:r>
      <w:r>
        <w:rPr>
          <w:u w:val="single"/>
        </w:rPr>
        <w:t>https://ruc.udc.es/dspace/bitstream/handle/2183/12406/VidalV%c3%a1zquez_Estrella_TD_2014.pdf?sequence=4&amp;isAllowed=y</w:t>
      </w:r>
      <w:r>
        <w:t>&gt; [Consulta: abril de 2020].</w:t>
      </w:r>
    </w:p>
    <w:p w14:paraId="2CC91197" w14:textId="77777777" w:rsidR="00311A64" w:rsidRDefault="00EC1CAF">
      <w:pPr>
        <w:spacing w:line="360" w:lineRule="auto"/>
        <w:ind w:left="709" w:hanging="709"/>
        <w:rPr>
          <w:lang w:val="en-US"/>
        </w:rPr>
      </w:pPr>
      <w:proofErr w:type="spellStart"/>
      <w:r>
        <w:rPr>
          <w:lang w:val="en-US"/>
        </w:rPr>
        <w:lastRenderedPageBreak/>
        <w:t>Wolniak</w:t>
      </w:r>
      <w:proofErr w:type="spellEnd"/>
      <w:r>
        <w:rPr>
          <w:lang w:val="en-US"/>
        </w:rPr>
        <w:t xml:space="preserve">, Radoslaw (2019), “The Level of Maturity of Quality Management Systems in Poland—Results of Empirical Research”, </w:t>
      </w:r>
      <w:r>
        <w:rPr>
          <w:i/>
          <w:iCs/>
          <w:lang w:val="en-US"/>
        </w:rPr>
        <w:t>Sustainability</w:t>
      </w:r>
      <w:r>
        <w:rPr>
          <w:lang w:val="en-US"/>
        </w:rPr>
        <w:t xml:space="preserve">, </w:t>
      </w:r>
      <w:r>
        <w:rPr>
          <w:i/>
          <w:iCs/>
          <w:lang w:val="en-US"/>
        </w:rPr>
        <w:t>11</w:t>
      </w:r>
      <w:r>
        <w:rPr>
          <w:lang w:val="en-US"/>
        </w:rPr>
        <w:t>(5), DOI: 10.3390/su11154239.</w:t>
      </w:r>
    </w:p>
    <w:p w14:paraId="38B48886" w14:textId="77777777" w:rsidR="00311A64" w:rsidRDefault="00EC1CAF">
      <w:pPr>
        <w:spacing w:line="360" w:lineRule="auto"/>
        <w:ind w:left="709" w:hanging="709"/>
      </w:pPr>
      <w:r>
        <w:t xml:space="preserve">Yánez, </w:t>
      </w:r>
      <w:proofErr w:type="spellStart"/>
      <w:r>
        <w:t>Janett</w:t>
      </w:r>
      <w:proofErr w:type="spellEnd"/>
      <w:r>
        <w:t xml:space="preserve"> y </w:t>
      </w:r>
      <w:proofErr w:type="spellStart"/>
      <w:r>
        <w:t>Raiza</w:t>
      </w:r>
      <w:proofErr w:type="spellEnd"/>
      <w:r>
        <w:t xml:space="preserve"> Yánez (2012), “Auditorías, Mejora Continua y Normas ISO: factores clave para la evolución de las organizaciones”, </w:t>
      </w:r>
      <w:r>
        <w:rPr>
          <w:i/>
          <w:iCs/>
        </w:rPr>
        <w:t>Ingeniería Industrial. Actualidad y Nuevas Tendencias</w:t>
      </w:r>
      <w:r>
        <w:t xml:space="preserve">, </w:t>
      </w:r>
      <w:r>
        <w:rPr>
          <w:i/>
          <w:iCs/>
        </w:rPr>
        <w:t>3</w:t>
      </w:r>
      <w:r>
        <w:t>(9), 83-92, &lt;</w:t>
      </w:r>
      <w:r>
        <w:rPr>
          <w:u w:val="single"/>
        </w:rPr>
        <w:t>http://www.redalyc.org/articulo.oa?id=215026158006</w:t>
      </w:r>
      <w:r>
        <w:t>&gt; [Consulta: agosto de 2017].</w:t>
      </w:r>
    </w:p>
    <w:p w14:paraId="00E65F24" w14:textId="77777777" w:rsidR="00311A64" w:rsidRDefault="00EC1CAF">
      <w:pPr>
        <w:pStyle w:val="Ttulo1"/>
      </w:pPr>
      <w:r>
        <w:t>Anexos</w:t>
      </w:r>
    </w:p>
    <w:p w14:paraId="20DC8F1E" w14:textId="553617CB" w:rsidR="00311A64" w:rsidRDefault="007E1FE0">
      <w:pPr>
        <w:pStyle w:val="Descripcin"/>
        <w:spacing w:after="0" w:line="360" w:lineRule="auto"/>
        <w:jc w:val="center"/>
      </w:pPr>
      <w:r>
        <w:rPr>
          <w:b/>
          <w:bCs/>
          <w:i w:val="0"/>
          <w:iCs w:val="0"/>
          <w:color w:val="auto"/>
          <w:sz w:val="24"/>
          <w:szCs w:val="24"/>
        </w:rPr>
        <w:t xml:space="preserve">Tabla 8.- </w:t>
      </w:r>
      <w:r w:rsidR="00EC1CAF" w:rsidRPr="00EC6DFC">
        <w:rPr>
          <w:i w:val="0"/>
          <w:iCs w:val="0"/>
          <w:color w:val="auto"/>
          <w:sz w:val="24"/>
          <w:szCs w:val="24"/>
        </w:rPr>
        <w:t>Anexo 1.</w:t>
      </w:r>
      <w:r w:rsidR="00EC1CAF">
        <w:rPr>
          <w:b/>
          <w:bCs/>
          <w:i w:val="0"/>
          <w:iCs w:val="0"/>
          <w:color w:val="auto"/>
          <w:sz w:val="24"/>
          <w:szCs w:val="24"/>
        </w:rPr>
        <w:t xml:space="preserve"> </w:t>
      </w:r>
      <w:r w:rsidR="00EC1CAF">
        <w:rPr>
          <w:i w:val="0"/>
          <w:iCs w:val="0"/>
          <w:color w:val="auto"/>
          <w:sz w:val="24"/>
          <w:szCs w:val="24"/>
        </w:rPr>
        <w:t>Instrumento para medir la operación con base en el capítulo 8 de la norma ISO 9001:2015</w:t>
      </w:r>
    </w:p>
    <w:p w14:paraId="486B3DBA" w14:textId="77777777" w:rsidR="00311A64" w:rsidRPr="00EC6DFC" w:rsidRDefault="00EC1CAF" w:rsidP="00EC6DFC">
      <w:pPr>
        <w:spacing w:line="360" w:lineRule="auto"/>
        <w:rPr>
          <w:rFonts w:eastAsia="Times New Roman"/>
          <w:color w:val="000000"/>
          <w:sz w:val="18"/>
          <w:szCs w:val="18"/>
          <w:lang w:eastAsia="es-MX"/>
        </w:rPr>
      </w:pPr>
      <w:r w:rsidRPr="00EC6DFC">
        <w:rPr>
          <w:rFonts w:eastAsia="Times New Roman"/>
          <w:color w:val="000000" w:themeColor="text1"/>
          <w:szCs w:val="24"/>
          <w:lang w:eastAsia="es-MX"/>
        </w:rPr>
        <w:t xml:space="preserve">Presentación: </w:t>
      </w:r>
      <w:r w:rsidRPr="00EC6DFC">
        <w:rPr>
          <w:rFonts w:eastAsia="Times New Roman"/>
          <w:color w:val="000000"/>
          <w:szCs w:val="24"/>
          <w:lang w:eastAsia="es-MX"/>
        </w:rPr>
        <w:t xml:space="preserve">Este cuestionario tiene como objetivo principal obtener información que apoye en el desarrollo del Instrumento </w:t>
      </w:r>
      <w:bookmarkStart w:id="24" w:name="_Hlk124327054"/>
      <w:r w:rsidRPr="00EC6DFC">
        <w:rPr>
          <w:rFonts w:eastAsia="Times New Roman"/>
          <w:color w:val="000000"/>
          <w:szCs w:val="24"/>
          <w:lang w:eastAsia="es-MX"/>
        </w:rPr>
        <w:t>para medir la operación con base en el capítulo 8 de la norma ISO 9001:2015</w:t>
      </w:r>
      <w:bookmarkEnd w:id="24"/>
      <w:r w:rsidRPr="00EC6DFC">
        <w:rPr>
          <w:rFonts w:eastAsia="Times New Roman"/>
          <w:color w:val="000000"/>
          <w:szCs w:val="24"/>
          <w:lang w:eastAsia="es-MX"/>
        </w:rPr>
        <w:t>. Este cuestionario tiene una naturaleza confidencial. Se le solicita cordialmente dar su opinión sobre la veracidad de los siguientes enunciados según su experiencia en esta institución. Le agradecemos su colaboración.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
        <w:gridCol w:w="7355"/>
        <w:gridCol w:w="311"/>
        <w:gridCol w:w="313"/>
        <w:gridCol w:w="311"/>
        <w:gridCol w:w="315"/>
        <w:gridCol w:w="312"/>
      </w:tblGrid>
      <w:tr w:rsidR="00311A64" w:rsidRPr="00607909" w14:paraId="6CB691DD" w14:textId="77777777" w:rsidTr="00607909">
        <w:trPr>
          <w:trHeight w:val="1299"/>
          <w:tblHeader/>
        </w:trPr>
        <w:tc>
          <w:tcPr>
            <w:tcW w:w="434" w:type="dxa"/>
            <w:shd w:val="clear" w:color="auto" w:fill="auto"/>
            <w:vAlign w:val="center"/>
          </w:tcPr>
          <w:p w14:paraId="552BE70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No</w:t>
            </w:r>
            <w:r w:rsidRPr="00607909">
              <w:rPr>
                <w:rFonts w:eastAsia="Times New Roman"/>
                <w:color w:val="000000"/>
                <w:szCs w:val="24"/>
                <w:lang w:eastAsia="es-MX"/>
              </w:rPr>
              <w:t>.</w:t>
            </w:r>
          </w:p>
        </w:tc>
        <w:tc>
          <w:tcPr>
            <w:tcW w:w="7354" w:type="dxa"/>
            <w:shd w:val="clear" w:color="auto" w:fill="auto"/>
            <w:vAlign w:val="center"/>
          </w:tcPr>
          <w:p w14:paraId="104A6FE7"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Ítem</w:t>
            </w:r>
          </w:p>
        </w:tc>
        <w:tc>
          <w:tcPr>
            <w:tcW w:w="311" w:type="dxa"/>
            <w:shd w:val="clear" w:color="auto" w:fill="auto"/>
            <w:textDirection w:val="btLr"/>
            <w:vAlign w:val="bottom"/>
          </w:tcPr>
          <w:p w14:paraId="12B3B68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Muy de acuerdo</w:t>
            </w:r>
          </w:p>
        </w:tc>
        <w:tc>
          <w:tcPr>
            <w:tcW w:w="313" w:type="dxa"/>
            <w:shd w:val="clear" w:color="auto" w:fill="auto"/>
            <w:textDirection w:val="btLr"/>
            <w:vAlign w:val="bottom"/>
          </w:tcPr>
          <w:p w14:paraId="136E291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De acuerdo</w:t>
            </w:r>
          </w:p>
        </w:tc>
        <w:tc>
          <w:tcPr>
            <w:tcW w:w="311" w:type="dxa"/>
            <w:shd w:val="clear" w:color="auto" w:fill="auto"/>
            <w:textDirection w:val="btLr"/>
            <w:vAlign w:val="bottom"/>
          </w:tcPr>
          <w:p w14:paraId="042A4AB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Indiferente</w:t>
            </w:r>
          </w:p>
        </w:tc>
        <w:tc>
          <w:tcPr>
            <w:tcW w:w="315" w:type="dxa"/>
            <w:shd w:val="clear" w:color="auto" w:fill="auto"/>
            <w:textDirection w:val="btLr"/>
            <w:vAlign w:val="bottom"/>
          </w:tcPr>
          <w:p w14:paraId="65812AA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En desacuerdo</w:t>
            </w:r>
          </w:p>
        </w:tc>
        <w:tc>
          <w:tcPr>
            <w:tcW w:w="312" w:type="dxa"/>
            <w:shd w:val="clear" w:color="auto" w:fill="auto"/>
            <w:textDirection w:val="btLr"/>
            <w:vAlign w:val="bottom"/>
          </w:tcPr>
          <w:p w14:paraId="274DBF7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Muy en desacuerdo</w:t>
            </w:r>
          </w:p>
        </w:tc>
      </w:tr>
      <w:tr w:rsidR="00311A64" w:rsidRPr="00607909" w14:paraId="60E211AF" w14:textId="77777777" w:rsidTr="00607909">
        <w:trPr>
          <w:trHeight w:val="285"/>
        </w:trPr>
        <w:tc>
          <w:tcPr>
            <w:tcW w:w="434" w:type="dxa"/>
            <w:shd w:val="clear" w:color="auto" w:fill="auto"/>
            <w:vAlign w:val="center"/>
          </w:tcPr>
          <w:p w14:paraId="3306CB7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w:t>
            </w:r>
          </w:p>
        </w:tc>
        <w:tc>
          <w:tcPr>
            <w:tcW w:w="7354" w:type="dxa"/>
            <w:shd w:val="clear" w:color="auto" w:fill="auto"/>
            <w:vAlign w:val="center"/>
          </w:tcPr>
          <w:p w14:paraId="26B94C2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planifica, implementa y controla los procesos necesarios para cumplir con la provisión de productos y servicios. </w:t>
            </w:r>
          </w:p>
        </w:tc>
        <w:tc>
          <w:tcPr>
            <w:tcW w:w="311" w:type="dxa"/>
            <w:shd w:val="clear" w:color="auto" w:fill="auto"/>
            <w:vAlign w:val="center"/>
          </w:tcPr>
          <w:p w14:paraId="2DAB7AE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69646E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E2C0AF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AACFB1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929BA6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A7224B5" w14:textId="77777777" w:rsidTr="00607909">
        <w:trPr>
          <w:trHeight w:val="285"/>
        </w:trPr>
        <w:tc>
          <w:tcPr>
            <w:tcW w:w="434" w:type="dxa"/>
            <w:shd w:val="clear" w:color="auto" w:fill="auto"/>
            <w:vAlign w:val="center"/>
          </w:tcPr>
          <w:p w14:paraId="5BCD4CD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w:t>
            </w:r>
          </w:p>
        </w:tc>
        <w:tc>
          <w:tcPr>
            <w:tcW w:w="7354" w:type="dxa"/>
            <w:shd w:val="clear" w:color="auto" w:fill="auto"/>
            <w:vAlign w:val="center"/>
          </w:tcPr>
          <w:p w14:paraId="6E0A1EB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planifica, implementa y controla los procesos necesarios para implementar las acciones para abordar riesgos y oportunidades.</w:t>
            </w:r>
          </w:p>
        </w:tc>
        <w:tc>
          <w:tcPr>
            <w:tcW w:w="311" w:type="dxa"/>
            <w:shd w:val="clear" w:color="auto" w:fill="auto"/>
            <w:vAlign w:val="center"/>
          </w:tcPr>
          <w:p w14:paraId="15490BF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E5C4F6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65F125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8503B8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9075C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F1E0F70" w14:textId="77777777" w:rsidTr="00607909">
        <w:trPr>
          <w:trHeight w:val="285"/>
        </w:trPr>
        <w:tc>
          <w:tcPr>
            <w:tcW w:w="434" w:type="dxa"/>
            <w:shd w:val="clear" w:color="auto" w:fill="auto"/>
            <w:vAlign w:val="center"/>
          </w:tcPr>
          <w:p w14:paraId="27F6FC70"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w:t>
            </w:r>
          </w:p>
        </w:tc>
        <w:tc>
          <w:tcPr>
            <w:tcW w:w="7354" w:type="dxa"/>
            <w:shd w:val="clear" w:color="auto" w:fill="auto"/>
            <w:vAlign w:val="center"/>
          </w:tcPr>
          <w:p w14:paraId="493F0F8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para los productos y servicios.</w:t>
            </w:r>
          </w:p>
        </w:tc>
        <w:tc>
          <w:tcPr>
            <w:tcW w:w="311" w:type="dxa"/>
            <w:shd w:val="clear" w:color="auto" w:fill="auto"/>
            <w:vAlign w:val="center"/>
          </w:tcPr>
          <w:p w14:paraId="1342B84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1A3812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89DE84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CE5512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46704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202E0DF" w14:textId="77777777" w:rsidTr="00607909">
        <w:trPr>
          <w:trHeight w:val="285"/>
        </w:trPr>
        <w:tc>
          <w:tcPr>
            <w:tcW w:w="434" w:type="dxa"/>
            <w:shd w:val="clear" w:color="auto" w:fill="auto"/>
            <w:vAlign w:val="center"/>
          </w:tcPr>
          <w:p w14:paraId="1F431E5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w:t>
            </w:r>
          </w:p>
        </w:tc>
        <w:tc>
          <w:tcPr>
            <w:tcW w:w="7354" w:type="dxa"/>
            <w:shd w:val="clear" w:color="auto" w:fill="auto"/>
            <w:vAlign w:val="center"/>
          </w:tcPr>
          <w:p w14:paraId="6CF0DE7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los procesos.</w:t>
            </w:r>
          </w:p>
        </w:tc>
        <w:tc>
          <w:tcPr>
            <w:tcW w:w="311" w:type="dxa"/>
            <w:shd w:val="clear" w:color="auto" w:fill="auto"/>
            <w:vAlign w:val="center"/>
          </w:tcPr>
          <w:p w14:paraId="6F92EDF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2C0173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E48586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87427C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B26FE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B417ED1" w14:textId="77777777" w:rsidTr="00607909">
        <w:trPr>
          <w:trHeight w:val="285"/>
        </w:trPr>
        <w:tc>
          <w:tcPr>
            <w:tcW w:w="434" w:type="dxa"/>
            <w:shd w:val="clear" w:color="auto" w:fill="auto"/>
            <w:vAlign w:val="center"/>
          </w:tcPr>
          <w:p w14:paraId="13798CF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w:t>
            </w:r>
          </w:p>
        </w:tc>
        <w:tc>
          <w:tcPr>
            <w:tcW w:w="7354" w:type="dxa"/>
            <w:shd w:val="clear" w:color="auto" w:fill="auto"/>
            <w:vAlign w:val="center"/>
          </w:tcPr>
          <w:p w14:paraId="39211A1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la aceptación de los productos y servicios.</w:t>
            </w:r>
          </w:p>
        </w:tc>
        <w:tc>
          <w:tcPr>
            <w:tcW w:w="311" w:type="dxa"/>
            <w:shd w:val="clear" w:color="auto" w:fill="auto"/>
            <w:vAlign w:val="center"/>
          </w:tcPr>
          <w:p w14:paraId="45F3FAE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BEDD32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DCB3BF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8C84BA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70BD0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4BA979A" w14:textId="77777777" w:rsidTr="00607909">
        <w:trPr>
          <w:trHeight w:val="285"/>
        </w:trPr>
        <w:tc>
          <w:tcPr>
            <w:tcW w:w="434" w:type="dxa"/>
            <w:shd w:val="clear" w:color="auto" w:fill="auto"/>
            <w:vAlign w:val="center"/>
          </w:tcPr>
          <w:p w14:paraId="2AAB080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w:t>
            </w:r>
          </w:p>
        </w:tc>
        <w:tc>
          <w:tcPr>
            <w:tcW w:w="7354" w:type="dxa"/>
            <w:shd w:val="clear" w:color="auto" w:fill="auto"/>
            <w:vAlign w:val="center"/>
          </w:tcPr>
          <w:p w14:paraId="7E5F777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la determinación de los recursos necesarios lograr la conformidad con los requisitos de los productos y servicios.</w:t>
            </w:r>
          </w:p>
        </w:tc>
        <w:tc>
          <w:tcPr>
            <w:tcW w:w="311" w:type="dxa"/>
            <w:shd w:val="clear" w:color="auto" w:fill="auto"/>
            <w:vAlign w:val="center"/>
          </w:tcPr>
          <w:p w14:paraId="2F76ED4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07A20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849280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9922A7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7737E2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5163901" w14:textId="77777777" w:rsidTr="00607909">
        <w:trPr>
          <w:trHeight w:val="285"/>
        </w:trPr>
        <w:tc>
          <w:tcPr>
            <w:tcW w:w="434" w:type="dxa"/>
            <w:shd w:val="clear" w:color="auto" w:fill="auto"/>
            <w:vAlign w:val="center"/>
          </w:tcPr>
          <w:p w14:paraId="055699B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w:t>
            </w:r>
          </w:p>
        </w:tc>
        <w:tc>
          <w:tcPr>
            <w:tcW w:w="7354" w:type="dxa"/>
            <w:shd w:val="clear" w:color="auto" w:fill="auto"/>
            <w:vAlign w:val="center"/>
          </w:tcPr>
          <w:p w14:paraId="665469E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la implementación del control de los procesos de acuerdo con los criterios.</w:t>
            </w:r>
          </w:p>
        </w:tc>
        <w:tc>
          <w:tcPr>
            <w:tcW w:w="311" w:type="dxa"/>
            <w:shd w:val="clear" w:color="auto" w:fill="auto"/>
            <w:vAlign w:val="center"/>
          </w:tcPr>
          <w:p w14:paraId="4F6FD45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032703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A06C61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0E951D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1F5930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4BA0D0D" w14:textId="77777777" w:rsidTr="00607909">
        <w:trPr>
          <w:trHeight w:val="405"/>
        </w:trPr>
        <w:tc>
          <w:tcPr>
            <w:tcW w:w="434" w:type="dxa"/>
            <w:shd w:val="clear" w:color="auto" w:fill="auto"/>
            <w:vAlign w:val="center"/>
          </w:tcPr>
          <w:p w14:paraId="40959D7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w:t>
            </w:r>
          </w:p>
        </w:tc>
        <w:tc>
          <w:tcPr>
            <w:tcW w:w="7354" w:type="dxa"/>
            <w:shd w:val="clear" w:color="auto" w:fill="auto"/>
            <w:vAlign w:val="center"/>
          </w:tcPr>
          <w:p w14:paraId="46C6268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la determinación y almacenamiento de la información documentada en la extensión necesaria para tener confianza en que los procesos se han llevado a cabo según lo planificado.</w:t>
            </w:r>
          </w:p>
        </w:tc>
        <w:tc>
          <w:tcPr>
            <w:tcW w:w="311" w:type="dxa"/>
            <w:shd w:val="clear" w:color="auto" w:fill="auto"/>
            <w:vAlign w:val="center"/>
          </w:tcPr>
          <w:p w14:paraId="3AC2175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30715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1CA7A2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FBE0C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8FE095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F86D4C1" w14:textId="77777777" w:rsidTr="00607909">
        <w:trPr>
          <w:trHeight w:val="405"/>
        </w:trPr>
        <w:tc>
          <w:tcPr>
            <w:tcW w:w="434" w:type="dxa"/>
            <w:shd w:val="clear" w:color="auto" w:fill="auto"/>
            <w:vAlign w:val="center"/>
          </w:tcPr>
          <w:p w14:paraId="0093848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w:t>
            </w:r>
          </w:p>
        </w:tc>
        <w:tc>
          <w:tcPr>
            <w:tcW w:w="7354" w:type="dxa"/>
            <w:shd w:val="clear" w:color="auto" w:fill="auto"/>
            <w:vAlign w:val="center"/>
          </w:tcPr>
          <w:p w14:paraId="364F78C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los criterios para la determinación y almacenamiento de la información documentada en la extensión necesaria para demostrar la conformidad de los productos y servicios con sus requisitos.</w:t>
            </w:r>
          </w:p>
        </w:tc>
        <w:tc>
          <w:tcPr>
            <w:tcW w:w="311" w:type="dxa"/>
            <w:shd w:val="clear" w:color="auto" w:fill="auto"/>
            <w:vAlign w:val="center"/>
          </w:tcPr>
          <w:p w14:paraId="21D9F07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0EB000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26D4E5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661FBE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809802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B91457E" w14:textId="77777777" w:rsidTr="00607909">
        <w:trPr>
          <w:trHeight w:val="285"/>
        </w:trPr>
        <w:tc>
          <w:tcPr>
            <w:tcW w:w="434" w:type="dxa"/>
            <w:shd w:val="clear" w:color="auto" w:fill="auto"/>
            <w:vAlign w:val="center"/>
          </w:tcPr>
          <w:p w14:paraId="129CAF9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w:t>
            </w:r>
          </w:p>
        </w:tc>
        <w:tc>
          <w:tcPr>
            <w:tcW w:w="7354" w:type="dxa"/>
            <w:shd w:val="clear" w:color="auto" w:fill="auto"/>
            <w:vAlign w:val="center"/>
          </w:tcPr>
          <w:p w14:paraId="200894D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salida de esta planificación es adecuada para las operaciones de la </w:t>
            </w:r>
            <w:r w:rsidRPr="00607909">
              <w:rPr>
                <w:rFonts w:eastAsia="Times New Roman"/>
                <w:color w:val="000000" w:themeColor="text1"/>
                <w:szCs w:val="24"/>
                <w:lang w:eastAsia="es-MX"/>
              </w:rPr>
              <w:lastRenderedPageBreak/>
              <w:t xml:space="preserve">organización. </w:t>
            </w:r>
          </w:p>
        </w:tc>
        <w:tc>
          <w:tcPr>
            <w:tcW w:w="311" w:type="dxa"/>
            <w:shd w:val="clear" w:color="auto" w:fill="auto"/>
            <w:vAlign w:val="center"/>
          </w:tcPr>
          <w:p w14:paraId="0442A7F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lastRenderedPageBreak/>
              <w:t> </w:t>
            </w:r>
          </w:p>
        </w:tc>
        <w:tc>
          <w:tcPr>
            <w:tcW w:w="313" w:type="dxa"/>
            <w:shd w:val="clear" w:color="auto" w:fill="auto"/>
            <w:vAlign w:val="center"/>
          </w:tcPr>
          <w:p w14:paraId="0C3185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2EE390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80E1CD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074CAB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1D3E045" w14:textId="77777777" w:rsidTr="00607909">
        <w:trPr>
          <w:trHeight w:val="405"/>
        </w:trPr>
        <w:tc>
          <w:tcPr>
            <w:tcW w:w="434" w:type="dxa"/>
            <w:shd w:val="clear" w:color="auto" w:fill="auto"/>
            <w:vAlign w:val="center"/>
          </w:tcPr>
          <w:p w14:paraId="2F23AE0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w:t>
            </w:r>
          </w:p>
        </w:tc>
        <w:tc>
          <w:tcPr>
            <w:tcW w:w="7354" w:type="dxa"/>
            <w:shd w:val="clear" w:color="auto" w:fill="auto"/>
            <w:vAlign w:val="center"/>
          </w:tcPr>
          <w:p w14:paraId="06D8B4FA"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controla los cambios planificados y revisa las consecuencias de los cambios no previstos, tomando acciones para mitigar cualquier efecto adverso, según sea necesario.</w:t>
            </w:r>
          </w:p>
        </w:tc>
        <w:tc>
          <w:tcPr>
            <w:tcW w:w="311" w:type="dxa"/>
            <w:shd w:val="clear" w:color="auto" w:fill="auto"/>
            <w:vAlign w:val="center"/>
          </w:tcPr>
          <w:p w14:paraId="42A395E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8BA8E2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7EC5E6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1EEBFB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F3E3DC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0F24BB6" w14:textId="77777777" w:rsidTr="00607909">
        <w:trPr>
          <w:trHeight w:val="285"/>
        </w:trPr>
        <w:tc>
          <w:tcPr>
            <w:tcW w:w="434" w:type="dxa"/>
            <w:shd w:val="clear" w:color="auto" w:fill="auto"/>
            <w:vAlign w:val="center"/>
          </w:tcPr>
          <w:p w14:paraId="584F71A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12</w:t>
            </w:r>
          </w:p>
        </w:tc>
        <w:tc>
          <w:tcPr>
            <w:tcW w:w="7354" w:type="dxa"/>
            <w:shd w:val="clear" w:color="auto" w:fill="auto"/>
            <w:vAlign w:val="center"/>
          </w:tcPr>
          <w:p w14:paraId="7AC83BE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los procesos contratados externamente están controlados.</w:t>
            </w:r>
          </w:p>
        </w:tc>
        <w:tc>
          <w:tcPr>
            <w:tcW w:w="311" w:type="dxa"/>
            <w:shd w:val="clear" w:color="auto" w:fill="auto"/>
            <w:vAlign w:val="center"/>
          </w:tcPr>
          <w:p w14:paraId="6EAE1E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8D9AB9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198234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48F5FA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B56186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58C9DDF" w14:textId="77777777" w:rsidTr="00607909">
        <w:trPr>
          <w:trHeight w:val="285"/>
        </w:trPr>
        <w:tc>
          <w:tcPr>
            <w:tcW w:w="434" w:type="dxa"/>
            <w:shd w:val="clear" w:color="auto" w:fill="auto"/>
            <w:vAlign w:val="center"/>
          </w:tcPr>
          <w:p w14:paraId="6A4F2C0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13</w:t>
            </w:r>
          </w:p>
        </w:tc>
        <w:tc>
          <w:tcPr>
            <w:tcW w:w="7354" w:type="dxa"/>
            <w:shd w:val="clear" w:color="auto" w:fill="auto"/>
            <w:vAlign w:val="center"/>
          </w:tcPr>
          <w:p w14:paraId="7A58069E"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incluye en la comunicación con los clientes, la información relativa a los productos y servicios.</w:t>
            </w:r>
          </w:p>
        </w:tc>
        <w:tc>
          <w:tcPr>
            <w:tcW w:w="311" w:type="dxa"/>
            <w:shd w:val="clear" w:color="auto" w:fill="auto"/>
            <w:vAlign w:val="center"/>
          </w:tcPr>
          <w:p w14:paraId="1E02C20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ADB40D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8545DC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79FD46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9A40CD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6C8B534" w14:textId="77777777" w:rsidTr="00607909">
        <w:trPr>
          <w:trHeight w:val="285"/>
        </w:trPr>
        <w:tc>
          <w:tcPr>
            <w:tcW w:w="434" w:type="dxa"/>
            <w:shd w:val="clear" w:color="auto" w:fill="auto"/>
            <w:vAlign w:val="center"/>
          </w:tcPr>
          <w:p w14:paraId="4E9135B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14</w:t>
            </w:r>
          </w:p>
        </w:tc>
        <w:tc>
          <w:tcPr>
            <w:tcW w:w="7354" w:type="dxa"/>
            <w:shd w:val="clear" w:color="auto" w:fill="auto"/>
            <w:vAlign w:val="center"/>
          </w:tcPr>
          <w:p w14:paraId="33C6DF8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incluye en la comunicación con los clientes, la atención de las consultas, los contratos o los pedidos, incluyendo los cambios.</w:t>
            </w:r>
          </w:p>
        </w:tc>
        <w:tc>
          <w:tcPr>
            <w:tcW w:w="311" w:type="dxa"/>
            <w:shd w:val="clear" w:color="auto" w:fill="auto"/>
            <w:vAlign w:val="center"/>
          </w:tcPr>
          <w:p w14:paraId="6F796E3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0872F9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D38AF0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29EB7B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DF9E4B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67A517F" w14:textId="77777777" w:rsidTr="00607909">
        <w:trPr>
          <w:trHeight w:val="285"/>
        </w:trPr>
        <w:tc>
          <w:tcPr>
            <w:tcW w:w="434" w:type="dxa"/>
            <w:shd w:val="clear" w:color="auto" w:fill="auto"/>
            <w:vAlign w:val="center"/>
          </w:tcPr>
          <w:p w14:paraId="2CDC392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15</w:t>
            </w:r>
          </w:p>
        </w:tc>
        <w:tc>
          <w:tcPr>
            <w:tcW w:w="7354" w:type="dxa"/>
            <w:shd w:val="clear" w:color="auto" w:fill="auto"/>
            <w:vAlign w:val="center"/>
          </w:tcPr>
          <w:p w14:paraId="1789358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incluye en la comunicación con los clientes, obtener la retroalimentación de los clientes relativa a los productos.</w:t>
            </w:r>
          </w:p>
        </w:tc>
        <w:tc>
          <w:tcPr>
            <w:tcW w:w="311" w:type="dxa"/>
            <w:shd w:val="clear" w:color="auto" w:fill="auto"/>
            <w:vAlign w:val="center"/>
          </w:tcPr>
          <w:p w14:paraId="05D85EC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8B7E79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23D08D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A87F5C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CED4B9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AB17696" w14:textId="77777777" w:rsidTr="00607909">
        <w:trPr>
          <w:trHeight w:val="285"/>
        </w:trPr>
        <w:tc>
          <w:tcPr>
            <w:tcW w:w="434" w:type="dxa"/>
            <w:shd w:val="clear" w:color="auto" w:fill="auto"/>
            <w:vAlign w:val="center"/>
          </w:tcPr>
          <w:p w14:paraId="7D956D6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16</w:t>
            </w:r>
          </w:p>
        </w:tc>
        <w:tc>
          <w:tcPr>
            <w:tcW w:w="7354" w:type="dxa"/>
            <w:shd w:val="clear" w:color="auto" w:fill="auto"/>
            <w:vAlign w:val="center"/>
          </w:tcPr>
          <w:p w14:paraId="6892A9F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incluye en la comunicación con los clientes, manipular o controlar la propiedad del cliente.</w:t>
            </w:r>
          </w:p>
        </w:tc>
        <w:tc>
          <w:tcPr>
            <w:tcW w:w="311" w:type="dxa"/>
            <w:shd w:val="clear" w:color="auto" w:fill="auto"/>
            <w:vAlign w:val="center"/>
          </w:tcPr>
          <w:p w14:paraId="5D9010C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AE048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955EE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0AFC68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2607D3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0FF4160" w14:textId="77777777" w:rsidTr="00607909">
        <w:trPr>
          <w:trHeight w:val="285"/>
        </w:trPr>
        <w:tc>
          <w:tcPr>
            <w:tcW w:w="434" w:type="dxa"/>
            <w:shd w:val="clear" w:color="auto" w:fill="auto"/>
            <w:vAlign w:val="center"/>
          </w:tcPr>
          <w:p w14:paraId="451F21C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17</w:t>
            </w:r>
          </w:p>
        </w:tc>
        <w:tc>
          <w:tcPr>
            <w:tcW w:w="7354" w:type="dxa"/>
            <w:shd w:val="clear" w:color="auto" w:fill="auto"/>
            <w:vAlign w:val="center"/>
          </w:tcPr>
          <w:p w14:paraId="565F752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incluye en la comunicación con los clientes, el establecimiento de los requisitos específicos para las acciones de contingencia, cuando sea pertinente.</w:t>
            </w:r>
          </w:p>
        </w:tc>
        <w:tc>
          <w:tcPr>
            <w:tcW w:w="311" w:type="dxa"/>
            <w:shd w:val="clear" w:color="auto" w:fill="auto"/>
            <w:vAlign w:val="center"/>
          </w:tcPr>
          <w:p w14:paraId="271D68C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E49627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052AC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EB2376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603206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C48CBD4" w14:textId="77777777" w:rsidTr="00607909">
        <w:trPr>
          <w:trHeight w:val="285"/>
        </w:trPr>
        <w:tc>
          <w:tcPr>
            <w:tcW w:w="434" w:type="dxa"/>
            <w:shd w:val="clear" w:color="auto" w:fill="auto"/>
            <w:vAlign w:val="center"/>
          </w:tcPr>
          <w:p w14:paraId="7B7BC28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18</w:t>
            </w:r>
          </w:p>
        </w:tc>
        <w:tc>
          <w:tcPr>
            <w:tcW w:w="7354" w:type="dxa"/>
            <w:shd w:val="clear" w:color="auto" w:fill="auto"/>
            <w:vAlign w:val="center"/>
          </w:tcPr>
          <w:p w14:paraId="55E3DB1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que se determinan los requisitos para los productos y servicios que se van a ofrecer a los clientes.</w:t>
            </w:r>
          </w:p>
        </w:tc>
        <w:tc>
          <w:tcPr>
            <w:tcW w:w="311" w:type="dxa"/>
            <w:shd w:val="clear" w:color="auto" w:fill="auto"/>
            <w:vAlign w:val="center"/>
          </w:tcPr>
          <w:p w14:paraId="2159C86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C6A856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D8C22F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426758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277E2E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844F452" w14:textId="77777777" w:rsidTr="00607909">
        <w:trPr>
          <w:trHeight w:val="285"/>
        </w:trPr>
        <w:tc>
          <w:tcPr>
            <w:tcW w:w="434" w:type="dxa"/>
            <w:shd w:val="clear" w:color="auto" w:fill="auto"/>
            <w:vAlign w:val="center"/>
          </w:tcPr>
          <w:p w14:paraId="5FC04CE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19</w:t>
            </w:r>
          </w:p>
        </w:tc>
        <w:tc>
          <w:tcPr>
            <w:tcW w:w="7354" w:type="dxa"/>
            <w:shd w:val="clear" w:color="auto" w:fill="auto"/>
            <w:vAlign w:val="center"/>
          </w:tcPr>
          <w:p w14:paraId="6F53C97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los requisitos para los productos y servicios se definen.</w:t>
            </w:r>
          </w:p>
        </w:tc>
        <w:tc>
          <w:tcPr>
            <w:tcW w:w="311" w:type="dxa"/>
            <w:shd w:val="clear" w:color="auto" w:fill="auto"/>
            <w:vAlign w:val="center"/>
          </w:tcPr>
          <w:p w14:paraId="7C64718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4645B2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908CA0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13BE5A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1E639D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C7CA04B" w14:textId="77777777" w:rsidTr="00607909">
        <w:trPr>
          <w:trHeight w:val="285"/>
        </w:trPr>
        <w:tc>
          <w:tcPr>
            <w:tcW w:w="434" w:type="dxa"/>
            <w:shd w:val="clear" w:color="auto" w:fill="auto"/>
            <w:vAlign w:val="center"/>
          </w:tcPr>
          <w:p w14:paraId="685DCF1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20</w:t>
            </w:r>
          </w:p>
        </w:tc>
        <w:tc>
          <w:tcPr>
            <w:tcW w:w="7354" w:type="dxa"/>
            <w:shd w:val="clear" w:color="auto" w:fill="auto"/>
            <w:vAlign w:val="center"/>
          </w:tcPr>
          <w:p w14:paraId="71DFB03A"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definir cualquier requisito legal y reglamentario aplicable para los productos y servicios.</w:t>
            </w:r>
          </w:p>
        </w:tc>
        <w:tc>
          <w:tcPr>
            <w:tcW w:w="311" w:type="dxa"/>
            <w:shd w:val="clear" w:color="auto" w:fill="auto"/>
            <w:vAlign w:val="center"/>
          </w:tcPr>
          <w:p w14:paraId="2D78845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37A3E1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3AD10E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16E8D9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93AB6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0156415" w14:textId="77777777" w:rsidTr="00607909">
        <w:trPr>
          <w:trHeight w:val="285"/>
        </w:trPr>
        <w:tc>
          <w:tcPr>
            <w:tcW w:w="434" w:type="dxa"/>
            <w:shd w:val="clear" w:color="auto" w:fill="auto"/>
            <w:vAlign w:val="center"/>
          </w:tcPr>
          <w:p w14:paraId="641E2F5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21</w:t>
            </w:r>
          </w:p>
        </w:tc>
        <w:tc>
          <w:tcPr>
            <w:tcW w:w="7354" w:type="dxa"/>
            <w:shd w:val="clear" w:color="auto" w:fill="auto"/>
            <w:vAlign w:val="center"/>
          </w:tcPr>
          <w:p w14:paraId="750C05F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definir los requisitos considerados necesarios para la organización.</w:t>
            </w:r>
          </w:p>
        </w:tc>
        <w:tc>
          <w:tcPr>
            <w:tcW w:w="311" w:type="dxa"/>
            <w:shd w:val="clear" w:color="auto" w:fill="auto"/>
            <w:vAlign w:val="center"/>
          </w:tcPr>
          <w:p w14:paraId="694E706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13B3A4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8383A6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02504C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735A55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1B375AF" w14:textId="77777777" w:rsidTr="00607909">
        <w:trPr>
          <w:trHeight w:val="285"/>
        </w:trPr>
        <w:tc>
          <w:tcPr>
            <w:tcW w:w="434" w:type="dxa"/>
            <w:shd w:val="clear" w:color="auto" w:fill="auto"/>
            <w:vAlign w:val="center"/>
          </w:tcPr>
          <w:p w14:paraId="5FAD618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22</w:t>
            </w:r>
          </w:p>
        </w:tc>
        <w:tc>
          <w:tcPr>
            <w:tcW w:w="7354" w:type="dxa"/>
            <w:shd w:val="clear" w:color="auto" w:fill="auto"/>
            <w:vAlign w:val="center"/>
          </w:tcPr>
          <w:p w14:paraId="19845BF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pueda cumplir con las declaraciones acerca de los productos y servicios que ofrece.</w:t>
            </w:r>
          </w:p>
        </w:tc>
        <w:tc>
          <w:tcPr>
            <w:tcW w:w="311" w:type="dxa"/>
            <w:shd w:val="clear" w:color="auto" w:fill="auto"/>
            <w:vAlign w:val="center"/>
          </w:tcPr>
          <w:p w14:paraId="05C871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5B8831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288E50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8C77D9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829ABE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F442469" w14:textId="77777777" w:rsidTr="00607909">
        <w:trPr>
          <w:trHeight w:val="285"/>
        </w:trPr>
        <w:tc>
          <w:tcPr>
            <w:tcW w:w="434" w:type="dxa"/>
            <w:shd w:val="clear" w:color="auto" w:fill="auto"/>
            <w:vAlign w:val="center"/>
          </w:tcPr>
          <w:p w14:paraId="4CB6951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23</w:t>
            </w:r>
          </w:p>
        </w:tc>
        <w:tc>
          <w:tcPr>
            <w:tcW w:w="7354" w:type="dxa"/>
            <w:shd w:val="clear" w:color="auto" w:fill="auto"/>
            <w:vAlign w:val="center"/>
          </w:tcPr>
          <w:p w14:paraId="1382570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tiene la capacidad de cumplir los requisitos para los productos y servicios que se van a ofrecer a los clientes.</w:t>
            </w:r>
          </w:p>
        </w:tc>
        <w:tc>
          <w:tcPr>
            <w:tcW w:w="311" w:type="dxa"/>
            <w:shd w:val="clear" w:color="auto" w:fill="auto"/>
            <w:vAlign w:val="center"/>
          </w:tcPr>
          <w:p w14:paraId="0A510F1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2BDC37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501B18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D058D4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90A67F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E0A4B13" w14:textId="77777777" w:rsidTr="00607909">
        <w:trPr>
          <w:trHeight w:val="405"/>
        </w:trPr>
        <w:tc>
          <w:tcPr>
            <w:tcW w:w="434" w:type="dxa"/>
            <w:shd w:val="clear" w:color="auto" w:fill="auto"/>
            <w:vAlign w:val="center"/>
          </w:tcPr>
          <w:p w14:paraId="04359F4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24</w:t>
            </w:r>
          </w:p>
        </w:tc>
        <w:tc>
          <w:tcPr>
            <w:tcW w:w="7354" w:type="dxa"/>
            <w:shd w:val="clear" w:color="auto" w:fill="auto"/>
            <w:vAlign w:val="center"/>
          </w:tcPr>
          <w:p w14:paraId="182BECB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lleva a cabo una revisión antes de comprometerse a suministrar productos y servicios a un cliente para incluir los requisitos especificados por el cliente, incluyendo los requisitos para las actividades de entrega y las posteriores a la misma.</w:t>
            </w:r>
          </w:p>
        </w:tc>
        <w:tc>
          <w:tcPr>
            <w:tcW w:w="311" w:type="dxa"/>
            <w:shd w:val="clear" w:color="auto" w:fill="auto"/>
            <w:vAlign w:val="center"/>
          </w:tcPr>
          <w:p w14:paraId="6824E9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B19A08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1302BA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00803A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E820BC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88ECE82" w14:textId="77777777" w:rsidTr="00607909">
        <w:trPr>
          <w:trHeight w:val="405"/>
        </w:trPr>
        <w:tc>
          <w:tcPr>
            <w:tcW w:w="434" w:type="dxa"/>
            <w:shd w:val="clear" w:color="auto" w:fill="auto"/>
            <w:vAlign w:val="center"/>
          </w:tcPr>
          <w:p w14:paraId="5BEEEED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25</w:t>
            </w:r>
          </w:p>
        </w:tc>
        <w:tc>
          <w:tcPr>
            <w:tcW w:w="7354" w:type="dxa"/>
            <w:shd w:val="clear" w:color="auto" w:fill="auto"/>
            <w:vAlign w:val="center"/>
          </w:tcPr>
          <w:p w14:paraId="784CBCB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lleva a cabo una revisión antes de comprometerse a suministrar productos y servicios a un cliente para incluir los requisitos no establecidos por el cliente, pero necesarios para el uso especificado o previsto, cuando sea conocido.</w:t>
            </w:r>
          </w:p>
        </w:tc>
        <w:tc>
          <w:tcPr>
            <w:tcW w:w="311" w:type="dxa"/>
            <w:shd w:val="clear" w:color="auto" w:fill="auto"/>
            <w:vAlign w:val="center"/>
          </w:tcPr>
          <w:p w14:paraId="32F17F5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5AE2C8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5F00D2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535EC7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0BE1DE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3298E02" w14:textId="77777777" w:rsidTr="00607909">
        <w:trPr>
          <w:trHeight w:val="405"/>
        </w:trPr>
        <w:tc>
          <w:tcPr>
            <w:tcW w:w="434" w:type="dxa"/>
            <w:shd w:val="clear" w:color="auto" w:fill="auto"/>
            <w:vAlign w:val="center"/>
          </w:tcPr>
          <w:p w14:paraId="4995410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26</w:t>
            </w:r>
          </w:p>
        </w:tc>
        <w:tc>
          <w:tcPr>
            <w:tcW w:w="7354" w:type="dxa"/>
            <w:shd w:val="clear" w:color="auto" w:fill="auto"/>
            <w:vAlign w:val="center"/>
          </w:tcPr>
          <w:p w14:paraId="7DEC36F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lleva a cabo una revisión antes de comprometerse a suministrar productos y servicios a un cliente para incluir los requisitos especificados por la organización.</w:t>
            </w:r>
          </w:p>
        </w:tc>
        <w:tc>
          <w:tcPr>
            <w:tcW w:w="311" w:type="dxa"/>
            <w:shd w:val="clear" w:color="auto" w:fill="auto"/>
            <w:vAlign w:val="center"/>
          </w:tcPr>
          <w:p w14:paraId="6A051C2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117267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02C8D6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83AB71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F8F9A9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8D58139" w14:textId="77777777" w:rsidTr="00607909">
        <w:trPr>
          <w:trHeight w:val="405"/>
        </w:trPr>
        <w:tc>
          <w:tcPr>
            <w:tcW w:w="434" w:type="dxa"/>
            <w:shd w:val="clear" w:color="auto" w:fill="auto"/>
            <w:vAlign w:val="center"/>
          </w:tcPr>
          <w:p w14:paraId="0C39BAB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27</w:t>
            </w:r>
          </w:p>
        </w:tc>
        <w:tc>
          <w:tcPr>
            <w:tcW w:w="7354" w:type="dxa"/>
            <w:shd w:val="clear" w:color="auto" w:fill="auto"/>
            <w:vAlign w:val="center"/>
          </w:tcPr>
          <w:p w14:paraId="1DBBFB9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lleva a cabo una revisión antes de comprometerse a suministrar productos y servicios a un cliente para incluir los requisitos legales y reglamentarios aplicables a los productos y servicios.</w:t>
            </w:r>
          </w:p>
        </w:tc>
        <w:tc>
          <w:tcPr>
            <w:tcW w:w="311" w:type="dxa"/>
            <w:shd w:val="clear" w:color="auto" w:fill="auto"/>
            <w:vAlign w:val="center"/>
          </w:tcPr>
          <w:p w14:paraId="4FAF507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3AE5D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3408F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EDB7A9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4FA7E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40E3404" w14:textId="77777777" w:rsidTr="00607909">
        <w:trPr>
          <w:trHeight w:val="405"/>
        </w:trPr>
        <w:tc>
          <w:tcPr>
            <w:tcW w:w="434" w:type="dxa"/>
            <w:shd w:val="clear" w:color="auto" w:fill="auto"/>
            <w:vAlign w:val="center"/>
          </w:tcPr>
          <w:p w14:paraId="11CB42A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28</w:t>
            </w:r>
          </w:p>
        </w:tc>
        <w:tc>
          <w:tcPr>
            <w:tcW w:w="7354" w:type="dxa"/>
            <w:shd w:val="clear" w:color="auto" w:fill="auto"/>
            <w:vAlign w:val="center"/>
          </w:tcPr>
          <w:p w14:paraId="3DC9879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lleva a cabo una revisión antes de comprometerse a </w:t>
            </w:r>
            <w:r w:rsidRPr="00607909">
              <w:rPr>
                <w:rFonts w:eastAsia="Times New Roman"/>
                <w:color w:val="000000" w:themeColor="text1"/>
                <w:szCs w:val="24"/>
                <w:lang w:eastAsia="es-MX"/>
              </w:rPr>
              <w:lastRenderedPageBreak/>
              <w:t>suministrar productos y servicios a un cliente para incluir las diferencias existentes entre los requisitos del contrato o perdido y los expresados previamente.</w:t>
            </w:r>
          </w:p>
        </w:tc>
        <w:tc>
          <w:tcPr>
            <w:tcW w:w="311" w:type="dxa"/>
            <w:shd w:val="clear" w:color="auto" w:fill="auto"/>
            <w:vAlign w:val="center"/>
          </w:tcPr>
          <w:p w14:paraId="7763942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lastRenderedPageBreak/>
              <w:t> </w:t>
            </w:r>
          </w:p>
        </w:tc>
        <w:tc>
          <w:tcPr>
            <w:tcW w:w="313" w:type="dxa"/>
            <w:shd w:val="clear" w:color="auto" w:fill="auto"/>
            <w:vAlign w:val="center"/>
          </w:tcPr>
          <w:p w14:paraId="4237966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990C49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1D33F1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027DB2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B6FC8A1" w14:textId="77777777" w:rsidTr="00607909">
        <w:trPr>
          <w:trHeight w:val="285"/>
        </w:trPr>
        <w:tc>
          <w:tcPr>
            <w:tcW w:w="434" w:type="dxa"/>
            <w:shd w:val="clear" w:color="auto" w:fill="auto"/>
            <w:vAlign w:val="center"/>
          </w:tcPr>
          <w:p w14:paraId="4FEE4BA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29</w:t>
            </w:r>
          </w:p>
        </w:tc>
        <w:tc>
          <w:tcPr>
            <w:tcW w:w="7354" w:type="dxa"/>
            <w:shd w:val="clear" w:color="auto" w:fill="auto"/>
            <w:vAlign w:val="center"/>
          </w:tcPr>
          <w:p w14:paraId="03DA1DF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los resultados de la revisión cuando es aplicable.</w:t>
            </w:r>
          </w:p>
        </w:tc>
        <w:tc>
          <w:tcPr>
            <w:tcW w:w="311" w:type="dxa"/>
            <w:shd w:val="clear" w:color="auto" w:fill="auto"/>
            <w:vAlign w:val="center"/>
          </w:tcPr>
          <w:p w14:paraId="61BC58B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1A3F8A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A8659B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F2D56F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96D26A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B6C7B5B" w14:textId="77777777" w:rsidTr="00607909">
        <w:trPr>
          <w:trHeight w:val="285"/>
        </w:trPr>
        <w:tc>
          <w:tcPr>
            <w:tcW w:w="434" w:type="dxa"/>
            <w:shd w:val="clear" w:color="auto" w:fill="auto"/>
            <w:vAlign w:val="center"/>
          </w:tcPr>
          <w:p w14:paraId="7A708FA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30</w:t>
            </w:r>
          </w:p>
        </w:tc>
        <w:tc>
          <w:tcPr>
            <w:tcW w:w="7354" w:type="dxa"/>
            <w:shd w:val="clear" w:color="auto" w:fill="auto"/>
            <w:vAlign w:val="center"/>
          </w:tcPr>
          <w:p w14:paraId="4B44826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cualquier requisito nuevo para los productos y servicios cuando es aplicable.</w:t>
            </w:r>
          </w:p>
        </w:tc>
        <w:tc>
          <w:tcPr>
            <w:tcW w:w="311" w:type="dxa"/>
            <w:shd w:val="clear" w:color="auto" w:fill="auto"/>
            <w:vAlign w:val="center"/>
          </w:tcPr>
          <w:p w14:paraId="1E4B062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F36E4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7ED904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FC5294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9CD135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00A9ECA" w14:textId="77777777" w:rsidTr="00607909">
        <w:trPr>
          <w:trHeight w:val="405"/>
        </w:trPr>
        <w:tc>
          <w:tcPr>
            <w:tcW w:w="434" w:type="dxa"/>
            <w:shd w:val="clear" w:color="auto" w:fill="auto"/>
            <w:vAlign w:val="center"/>
          </w:tcPr>
          <w:p w14:paraId="5BC4F7B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31</w:t>
            </w:r>
          </w:p>
        </w:tc>
        <w:tc>
          <w:tcPr>
            <w:tcW w:w="7354" w:type="dxa"/>
            <w:shd w:val="clear" w:color="auto" w:fill="auto"/>
            <w:vAlign w:val="center"/>
          </w:tcPr>
          <w:p w14:paraId="2E61423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cuando se cambian los requisitos para los productos y servicios, la información documentada pertinente es modificada, y de que las personas correspondientes son conscientes de los requisitos modificados.</w:t>
            </w:r>
          </w:p>
        </w:tc>
        <w:tc>
          <w:tcPr>
            <w:tcW w:w="311" w:type="dxa"/>
            <w:shd w:val="clear" w:color="auto" w:fill="auto"/>
            <w:vAlign w:val="center"/>
          </w:tcPr>
          <w:p w14:paraId="6436EE8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A6AB9F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B6D26A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5709A0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BD2C63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60319A2" w14:textId="77777777" w:rsidTr="00607909">
        <w:trPr>
          <w:trHeight w:val="285"/>
        </w:trPr>
        <w:tc>
          <w:tcPr>
            <w:tcW w:w="434" w:type="dxa"/>
            <w:shd w:val="clear" w:color="auto" w:fill="auto"/>
            <w:vAlign w:val="center"/>
          </w:tcPr>
          <w:p w14:paraId="627AACC8"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32</w:t>
            </w:r>
          </w:p>
        </w:tc>
        <w:tc>
          <w:tcPr>
            <w:tcW w:w="7354" w:type="dxa"/>
            <w:shd w:val="clear" w:color="auto" w:fill="auto"/>
            <w:vAlign w:val="center"/>
          </w:tcPr>
          <w:p w14:paraId="1743692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establece, implementa y mantiene un proceso de diseño y desarrollo que es adecuado para asegurarse de la posterior provisión de productos y servicios.</w:t>
            </w:r>
          </w:p>
        </w:tc>
        <w:tc>
          <w:tcPr>
            <w:tcW w:w="311" w:type="dxa"/>
            <w:shd w:val="clear" w:color="auto" w:fill="auto"/>
            <w:vAlign w:val="center"/>
          </w:tcPr>
          <w:p w14:paraId="102681C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04D32A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C9D844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1E7FCB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BD7EF4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6868D9B" w14:textId="77777777" w:rsidTr="00607909">
        <w:trPr>
          <w:trHeight w:val="285"/>
        </w:trPr>
        <w:tc>
          <w:tcPr>
            <w:tcW w:w="434" w:type="dxa"/>
            <w:shd w:val="clear" w:color="auto" w:fill="auto"/>
            <w:vAlign w:val="center"/>
          </w:tcPr>
          <w:p w14:paraId="7FFB477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33</w:t>
            </w:r>
          </w:p>
        </w:tc>
        <w:tc>
          <w:tcPr>
            <w:tcW w:w="7354" w:type="dxa"/>
            <w:shd w:val="clear" w:color="auto" w:fill="auto"/>
            <w:vAlign w:val="center"/>
          </w:tcPr>
          <w:p w14:paraId="65F0DA5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 naturaleza, duración y complejidad de las actividades de diseño y desarrollo.</w:t>
            </w:r>
          </w:p>
        </w:tc>
        <w:tc>
          <w:tcPr>
            <w:tcW w:w="311" w:type="dxa"/>
            <w:shd w:val="clear" w:color="auto" w:fill="auto"/>
            <w:vAlign w:val="center"/>
          </w:tcPr>
          <w:p w14:paraId="63F46A0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293AFF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6D327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DA0E6E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0C6D28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1294582" w14:textId="77777777" w:rsidTr="00607909">
        <w:trPr>
          <w:trHeight w:val="405"/>
        </w:trPr>
        <w:tc>
          <w:tcPr>
            <w:tcW w:w="434" w:type="dxa"/>
            <w:shd w:val="clear" w:color="auto" w:fill="auto"/>
            <w:vAlign w:val="center"/>
          </w:tcPr>
          <w:p w14:paraId="02F35EF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34</w:t>
            </w:r>
          </w:p>
        </w:tc>
        <w:tc>
          <w:tcPr>
            <w:tcW w:w="7354" w:type="dxa"/>
            <w:shd w:val="clear" w:color="auto" w:fill="auto"/>
            <w:vAlign w:val="center"/>
          </w:tcPr>
          <w:p w14:paraId="4D8F9DB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las etapas del proceso requeridas, incluyendo las revisiones del diseño y desarrollo aplicables.</w:t>
            </w:r>
          </w:p>
        </w:tc>
        <w:tc>
          <w:tcPr>
            <w:tcW w:w="311" w:type="dxa"/>
            <w:shd w:val="clear" w:color="auto" w:fill="auto"/>
            <w:vAlign w:val="center"/>
          </w:tcPr>
          <w:p w14:paraId="19A19F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878149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1BB46D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899795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2D143F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313C5DE" w14:textId="77777777" w:rsidTr="00607909">
        <w:trPr>
          <w:trHeight w:val="285"/>
        </w:trPr>
        <w:tc>
          <w:tcPr>
            <w:tcW w:w="434" w:type="dxa"/>
            <w:shd w:val="clear" w:color="auto" w:fill="auto"/>
            <w:vAlign w:val="center"/>
          </w:tcPr>
          <w:p w14:paraId="775C397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35</w:t>
            </w:r>
          </w:p>
        </w:tc>
        <w:tc>
          <w:tcPr>
            <w:tcW w:w="7354" w:type="dxa"/>
            <w:shd w:val="clear" w:color="auto" w:fill="auto"/>
            <w:vAlign w:val="center"/>
          </w:tcPr>
          <w:p w14:paraId="281618C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las actividades requeridas de verificación y validación del diseño y desarrollo.</w:t>
            </w:r>
          </w:p>
        </w:tc>
        <w:tc>
          <w:tcPr>
            <w:tcW w:w="311" w:type="dxa"/>
            <w:shd w:val="clear" w:color="auto" w:fill="auto"/>
            <w:vAlign w:val="center"/>
          </w:tcPr>
          <w:p w14:paraId="72C2205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C5FF92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8E6531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70D7D5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B8EDF2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1C7AD16" w14:textId="77777777" w:rsidTr="00607909">
        <w:trPr>
          <w:trHeight w:val="405"/>
        </w:trPr>
        <w:tc>
          <w:tcPr>
            <w:tcW w:w="434" w:type="dxa"/>
            <w:shd w:val="clear" w:color="auto" w:fill="auto"/>
            <w:vAlign w:val="center"/>
          </w:tcPr>
          <w:p w14:paraId="689AA24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36</w:t>
            </w:r>
          </w:p>
        </w:tc>
        <w:tc>
          <w:tcPr>
            <w:tcW w:w="7354" w:type="dxa"/>
            <w:shd w:val="clear" w:color="auto" w:fill="auto"/>
            <w:vAlign w:val="center"/>
          </w:tcPr>
          <w:p w14:paraId="0F5136D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las responsabilidades y autoridades involucradas en el proceso de diseño y desarrollo.</w:t>
            </w:r>
          </w:p>
        </w:tc>
        <w:tc>
          <w:tcPr>
            <w:tcW w:w="311" w:type="dxa"/>
            <w:shd w:val="clear" w:color="auto" w:fill="auto"/>
            <w:vAlign w:val="center"/>
          </w:tcPr>
          <w:p w14:paraId="39B1D2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5DC2D5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AC4CDC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B18384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B33802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4A37947" w14:textId="77777777" w:rsidTr="00607909">
        <w:trPr>
          <w:trHeight w:val="405"/>
        </w:trPr>
        <w:tc>
          <w:tcPr>
            <w:tcW w:w="434" w:type="dxa"/>
            <w:shd w:val="clear" w:color="auto" w:fill="auto"/>
            <w:vAlign w:val="center"/>
          </w:tcPr>
          <w:p w14:paraId="2447EDD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37</w:t>
            </w:r>
          </w:p>
        </w:tc>
        <w:tc>
          <w:tcPr>
            <w:tcW w:w="7354" w:type="dxa"/>
            <w:shd w:val="clear" w:color="auto" w:fill="auto"/>
            <w:vAlign w:val="center"/>
          </w:tcPr>
          <w:p w14:paraId="767B806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las necesidades de recursos internos y externos para el diseño y desarrollo de los productos y servicios.</w:t>
            </w:r>
          </w:p>
        </w:tc>
        <w:tc>
          <w:tcPr>
            <w:tcW w:w="311" w:type="dxa"/>
            <w:shd w:val="clear" w:color="auto" w:fill="auto"/>
            <w:vAlign w:val="center"/>
          </w:tcPr>
          <w:p w14:paraId="7AF9FDE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38F7FE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329D4A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6CFAC1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809A24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AF69C89" w14:textId="77777777" w:rsidTr="00607909">
        <w:trPr>
          <w:trHeight w:val="405"/>
        </w:trPr>
        <w:tc>
          <w:tcPr>
            <w:tcW w:w="434" w:type="dxa"/>
            <w:shd w:val="clear" w:color="auto" w:fill="auto"/>
            <w:vAlign w:val="center"/>
          </w:tcPr>
          <w:p w14:paraId="5E70597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38</w:t>
            </w:r>
          </w:p>
        </w:tc>
        <w:tc>
          <w:tcPr>
            <w:tcW w:w="7354" w:type="dxa"/>
            <w:shd w:val="clear" w:color="auto" w:fill="auto"/>
            <w:vAlign w:val="center"/>
          </w:tcPr>
          <w:p w14:paraId="1724ADF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 necesidad de controlar las interfaces entre las personas que participan activamente en el proceso de diseño y desarrollo.</w:t>
            </w:r>
          </w:p>
        </w:tc>
        <w:tc>
          <w:tcPr>
            <w:tcW w:w="311" w:type="dxa"/>
            <w:shd w:val="clear" w:color="auto" w:fill="auto"/>
            <w:vAlign w:val="center"/>
          </w:tcPr>
          <w:p w14:paraId="75332C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74AC4A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A6666F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5893C6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CDFA62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6275C96" w14:textId="77777777" w:rsidTr="00607909">
        <w:trPr>
          <w:trHeight w:val="405"/>
        </w:trPr>
        <w:tc>
          <w:tcPr>
            <w:tcW w:w="434" w:type="dxa"/>
            <w:shd w:val="clear" w:color="auto" w:fill="auto"/>
            <w:vAlign w:val="center"/>
          </w:tcPr>
          <w:p w14:paraId="31DFF03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39</w:t>
            </w:r>
          </w:p>
        </w:tc>
        <w:tc>
          <w:tcPr>
            <w:tcW w:w="7354" w:type="dxa"/>
            <w:shd w:val="clear" w:color="auto" w:fill="auto"/>
            <w:vAlign w:val="center"/>
          </w:tcPr>
          <w:p w14:paraId="77101E0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 necesidad de la participación activa de los clientes y usuarios en el proceso de diseño y desarrollo.</w:t>
            </w:r>
          </w:p>
        </w:tc>
        <w:tc>
          <w:tcPr>
            <w:tcW w:w="311" w:type="dxa"/>
            <w:shd w:val="clear" w:color="auto" w:fill="auto"/>
            <w:vAlign w:val="center"/>
          </w:tcPr>
          <w:p w14:paraId="405D43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4E8903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8F2464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17F14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355303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CFAF5B5" w14:textId="77777777" w:rsidTr="00607909">
        <w:trPr>
          <w:trHeight w:val="285"/>
        </w:trPr>
        <w:tc>
          <w:tcPr>
            <w:tcW w:w="434" w:type="dxa"/>
            <w:shd w:val="clear" w:color="auto" w:fill="auto"/>
            <w:vAlign w:val="center"/>
          </w:tcPr>
          <w:p w14:paraId="5F17CB1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40</w:t>
            </w:r>
          </w:p>
        </w:tc>
        <w:tc>
          <w:tcPr>
            <w:tcW w:w="7354" w:type="dxa"/>
            <w:shd w:val="clear" w:color="auto" w:fill="auto"/>
            <w:vAlign w:val="center"/>
          </w:tcPr>
          <w:p w14:paraId="2ED6B50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los requisitos para la posterior provisión de productos y servicios.</w:t>
            </w:r>
          </w:p>
        </w:tc>
        <w:tc>
          <w:tcPr>
            <w:tcW w:w="311" w:type="dxa"/>
            <w:shd w:val="clear" w:color="auto" w:fill="auto"/>
            <w:vAlign w:val="center"/>
          </w:tcPr>
          <w:p w14:paraId="7DEBA38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3EE92D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2853A7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C20F60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78BE5C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B1F3AC7" w14:textId="77777777" w:rsidTr="00607909">
        <w:trPr>
          <w:trHeight w:val="405"/>
        </w:trPr>
        <w:tc>
          <w:tcPr>
            <w:tcW w:w="434" w:type="dxa"/>
            <w:shd w:val="clear" w:color="auto" w:fill="auto"/>
            <w:vAlign w:val="center"/>
          </w:tcPr>
          <w:p w14:paraId="02B1089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41</w:t>
            </w:r>
          </w:p>
        </w:tc>
        <w:tc>
          <w:tcPr>
            <w:tcW w:w="7354" w:type="dxa"/>
            <w:shd w:val="clear" w:color="auto" w:fill="auto"/>
            <w:vAlign w:val="center"/>
          </w:tcPr>
          <w:p w14:paraId="5CA3F2B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el nivel de control del proceso de diseño y desarrollo esperado por los clientes y otras partes interesadas pertinentes.</w:t>
            </w:r>
          </w:p>
        </w:tc>
        <w:tc>
          <w:tcPr>
            <w:tcW w:w="311" w:type="dxa"/>
            <w:shd w:val="clear" w:color="auto" w:fill="auto"/>
            <w:vAlign w:val="center"/>
          </w:tcPr>
          <w:p w14:paraId="18A2DFC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B6F8D7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193D71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FAF6FA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85B8C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2843568" w14:textId="77777777" w:rsidTr="00607909">
        <w:trPr>
          <w:trHeight w:val="405"/>
        </w:trPr>
        <w:tc>
          <w:tcPr>
            <w:tcW w:w="434" w:type="dxa"/>
            <w:shd w:val="clear" w:color="auto" w:fill="auto"/>
            <w:vAlign w:val="center"/>
          </w:tcPr>
          <w:p w14:paraId="181EB67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42</w:t>
            </w:r>
          </w:p>
        </w:tc>
        <w:tc>
          <w:tcPr>
            <w:tcW w:w="7354" w:type="dxa"/>
            <w:shd w:val="clear" w:color="auto" w:fill="auto"/>
            <w:vAlign w:val="center"/>
          </w:tcPr>
          <w:p w14:paraId="6D4BBD3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las etapas y controles para el diseño y desarrollo, la organización considera la información documentada necesaria para demostrar que se han cumplido los requisitos del diseño y desarrollo.</w:t>
            </w:r>
          </w:p>
        </w:tc>
        <w:tc>
          <w:tcPr>
            <w:tcW w:w="311" w:type="dxa"/>
            <w:shd w:val="clear" w:color="auto" w:fill="auto"/>
            <w:vAlign w:val="center"/>
          </w:tcPr>
          <w:p w14:paraId="0DA6BEB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0EF8DA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11A46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816B3E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A00FA0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2FFD3C4" w14:textId="77777777" w:rsidTr="00607909">
        <w:trPr>
          <w:trHeight w:val="405"/>
        </w:trPr>
        <w:tc>
          <w:tcPr>
            <w:tcW w:w="434" w:type="dxa"/>
            <w:shd w:val="clear" w:color="auto" w:fill="auto"/>
            <w:vAlign w:val="center"/>
          </w:tcPr>
          <w:p w14:paraId="5501BB5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lastRenderedPageBreak/>
              <w:t>43</w:t>
            </w:r>
          </w:p>
        </w:tc>
        <w:tc>
          <w:tcPr>
            <w:tcW w:w="7354" w:type="dxa"/>
            <w:shd w:val="clear" w:color="auto" w:fill="auto"/>
            <w:vAlign w:val="center"/>
          </w:tcPr>
          <w:p w14:paraId="3E7CA31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esenciales para los tipos específicos de productos y servicios a diseñar y desarrollar, considerando los requisitos funcionales y de desempeño.</w:t>
            </w:r>
          </w:p>
        </w:tc>
        <w:tc>
          <w:tcPr>
            <w:tcW w:w="311" w:type="dxa"/>
            <w:shd w:val="clear" w:color="auto" w:fill="auto"/>
            <w:vAlign w:val="center"/>
          </w:tcPr>
          <w:p w14:paraId="4E8982D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C6C877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A9667A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7144A9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07D53A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8CF6658" w14:textId="77777777" w:rsidTr="00607909">
        <w:trPr>
          <w:trHeight w:val="405"/>
        </w:trPr>
        <w:tc>
          <w:tcPr>
            <w:tcW w:w="434" w:type="dxa"/>
            <w:shd w:val="clear" w:color="auto" w:fill="auto"/>
            <w:vAlign w:val="center"/>
          </w:tcPr>
          <w:p w14:paraId="2B6BB75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44</w:t>
            </w:r>
          </w:p>
        </w:tc>
        <w:tc>
          <w:tcPr>
            <w:tcW w:w="7354" w:type="dxa"/>
            <w:shd w:val="clear" w:color="auto" w:fill="auto"/>
            <w:vAlign w:val="center"/>
          </w:tcPr>
          <w:p w14:paraId="5E65FDE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esenciales para los tipos específicos de productos y servicios a diseñar y desarrollar, considerando la información proveniente de actividades previas de diseño y desarrollo similares.</w:t>
            </w:r>
          </w:p>
        </w:tc>
        <w:tc>
          <w:tcPr>
            <w:tcW w:w="311" w:type="dxa"/>
            <w:shd w:val="clear" w:color="auto" w:fill="auto"/>
            <w:vAlign w:val="center"/>
          </w:tcPr>
          <w:p w14:paraId="09CA10E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7F68E0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8B2CF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ED8B73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AFA8BB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089EFE7" w14:textId="77777777" w:rsidTr="00607909">
        <w:trPr>
          <w:trHeight w:val="405"/>
        </w:trPr>
        <w:tc>
          <w:tcPr>
            <w:tcW w:w="434" w:type="dxa"/>
            <w:shd w:val="clear" w:color="auto" w:fill="auto"/>
            <w:vAlign w:val="center"/>
          </w:tcPr>
          <w:p w14:paraId="6795F68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45</w:t>
            </w:r>
          </w:p>
        </w:tc>
        <w:tc>
          <w:tcPr>
            <w:tcW w:w="7354" w:type="dxa"/>
            <w:shd w:val="clear" w:color="auto" w:fill="auto"/>
            <w:vAlign w:val="center"/>
          </w:tcPr>
          <w:p w14:paraId="7F1FEB4A"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esenciales para los tipos específicos de productos y servicios a diseñar y desarrollar, considerando los requisitos legales y reglamentarios.</w:t>
            </w:r>
          </w:p>
        </w:tc>
        <w:tc>
          <w:tcPr>
            <w:tcW w:w="311" w:type="dxa"/>
            <w:shd w:val="clear" w:color="auto" w:fill="auto"/>
            <w:vAlign w:val="center"/>
          </w:tcPr>
          <w:p w14:paraId="069269F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9F750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FDF5FB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768631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AAD971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8932439" w14:textId="77777777" w:rsidTr="00607909">
        <w:trPr>
          <w:trHeight w:val="405"/>
        </w:trPr>
        <w:tc>
          <w:tcPr>
            <w:tcW w:w="434" w:type="dxa"/>
            <w:shd w:val="clear" w:color="auto" w:fill="auto"/>
            <w:vAlign w:val="center"/>
          </w:tcPr>
          <w:p w14:paraId="16C51A48"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46</w:t>
            </w:r>
          </w:p>
        </w:tc>
        <w:tc>
          <w:tcPr>
            <w:tcW w:w="7354" w:type="dxa"/>
            <w:shd w:val="clear" w:color="auto" w:fill="auto"/>
            <w:vAlign w:val="center"/>
          </w:tcPr>
          <w:p w14:paraId="228DF9D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esenciales para los tipos específicos de productos y servicios a diseñar y desarrollar, considerando Normas o códigos de prácticas que la organización se ha comprometido a implementar.</w:t>
            </w:r>
          </w:p>
        </w:tc>
        <w:tc>
          <w:tcPr>
            <w:tcW w:w="311" w:type="dxa"/>
            <w:shd w:val="clear" w:color="auto" w:fill="auto"/>
            <w:vAlign w:val="center"/>
          </w:tcPr>
          <w:p w14:paraId="3BB5D9F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A768E3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13A15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C518A2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F2D51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3BF5BDD" w14:textId="77777777" w:rsidTr="00607909">
        <w:trPr>
          <w:trHeight w:val="405"/>
        </w:trPr>
        <w:tc>
          <w:tcPr>
            <w:tcW w:w="434" w:type="dxa"/>
            <w:shd w:val="clear" w:color="auto" w:fill="auto"/>
            <w:vAlign w:val="center"/>
          </w:tcPr>
          <w:p w14:paraId="1FE170F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47</w:t>
            </w:r>
          </w:p>
        </w:tc>
        <w:tc>
          <w:tcPr>
            <w:tcW w:w="7354" w:type="dxa"/>
            <w:shd w:val="clear" w:color="auto" w:fill="auto"/>
            <w:vAlign w:val="center"/>
          </w:tcPr>
          <w:p w14:paraId="26B8119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requisitos esenciales para los tipos específicos de productos y servicios a diseñar y desarrollar, considerando las consecuencias potenciales de fallar debido a la naturaleza de los productos y servicios.</w:t>
            </w:r>
          </w:p>
        </w:tc>
        <w:tc>
          <w:tcPr>
            <w:tcW w:w="311" w:type="dxa"/>
            <w:shd w:val="clear" w:color="auto" w:fill="auto"/>
            <w:vAlign w:val="center"/>
          </w:tcPr>
          <w:p w14:paraId="7E87C7D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A0A51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8F314C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071D8E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A9C283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7CE7EC2" w14:textId="77777777" w:rsidTr="00607909">
        <w:trPr>
          <w:trHeight w:val="285"/>
        </w:trPr>
        <w:tc>
          <w:tcPr>
            <w:tcW w:w="434" w:type="dxa"/>
            <w:shd w:val="clear" w:color="auto" w:fill="auto"/>
            <w:vAlign w:val="center"/>
          </w:tcPr>
          <w:p w14:paraId="7F33E24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48</w:t>
            </w:r>
          </w:p>
        </w:tc>
        <w:tc>
          <w:tcPr>
            <w:tcW w:w="7354" w:type="dxa"/>
            <w:shd w:val="clear" w:color="auto" w:fill="auto"/>
            <w:vAlign w:val="center"/>
          </w:tcPr>
          <w:p w14:paraId="047BE7EE"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resuelve las contradicciones en las entradas del diseño y desarrollo.</w:t>
            </w:r>
          </w:p>
        </w:tc>
        <w:tc>
          <w:tcPr>
            <w:tcW w:w="311" w:type="dxa"/>
            <w:shd w:val="clear" w:color="auto" w:fill="auto"/>
            <w:vAlign w:val="center"/>
          </w:tcPr>
          <w:p w14:paraId="207D42F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07DFB3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C1AEA0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F92181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2B228A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600C824" w14:textId="77777777" w:rsidTr="00607909">
        <w:trPr>
          <w:trHeight w:val="285"/>
        </w:trPr>
        <w:tc>
          <w:tcPr>
            <w:tcW w:w="434" w:type="dxa"/>
            <w:shd w:val="clear" w:color="auto" w:fill="auto"/>
            <w:vAlign w:val="center"/>
          </w:tcPr>
          <w:p w14:paraId="27E1CE7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49</w:t>
            </w:r>
          </w:p>
        </w:tc>
        <w:tc>
          <w:tcPr>
            <w:tcW w:w="7354" w:type="dxa"/>
            <w:shd w:val="clear" w:color="auto" w:fill="auto"/>
            <w:vAlign w:val="center"/>
          </w:tcPr>
          <w:p w14:paraId="1CBB6E7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las entradas del diseño y desarrollo.</w:t>
            </w:r>
          </w:p>
        </w:tc>
        <w:tc>
          <w:tcPr>
            <w:tcW w:w="311" w:type="dxa"/>
            <w:shd w:val="clear" w:color="auto" w:fill="auto"/>
            <w:vAlign w:val="center"/>
          </w:tcPr>
          <w:p w14:paraId="5D89E25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DBDCB6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531CC9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281CAD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84E7C3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8290623" w14:textId="77777777" w:rsidTr="00607909">
        <w:trPr>
          <w:trHeight w:val="285"/>
        </w:trPr>
        <w:tc>
          <w:tcPr>
            <w:tcW w:w="434" w:type="dxa"/>
            <w:shd w:val="clear" w:color="auto" w:fill="auto"/>
            <w:vAlign w:val="center"/>
          </w:tcPr>
          <w:p w14:paraId="070AC55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50</w:t>
            </w:r>
          </w:p>
        </w:tc>
        <w:tc>
          <w:tcPr>
            <w:tcW w:w="7354" w:type="dxa"/>
            <w:shd w:val="clear" w:color="auto" w:fill="auto"/>
            <w:vAlign w:val="center"/>
          </w:tcPr>
          <w:p w14:paraId="4341D0F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definen los resultados a lograr.</w:t>
            </w:r>
          </w:p>
        </w:tc>
        <w:tc>
          <w:tcPr>
            <w:tcW w:w="311" w:type="dxa"/>
            <w:shd w:val="clear" w:color="auto" w:fill="auto"/>
            <w:vAlign w:val="center"/>
          </w:tcPr>
          <w:p w14:paraId="4EFB0B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FEFFB5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48A7C3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FCD3A7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F49400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B0057D0" w14:textId="77777777" w:rsidTr="00607909">
        <w:trPr>
          <w:trHeight w:val="405"/>
        </w:trPr>
        <w:tc>
          <w:tcPr>
            <w:tcW w:w="434" w:type="dxa"/>
            <w:shd w:val="clear" w:color="auto" w:fill="auto"/>
            <w:vAlign w:val="center"/>
          </w:tcPr>
          <w:p w14:paraId="28DD20C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51</w:t>
            </w:r>
          </w:p>
        </w:tc>
        <w:tc>
          <w:tcPr>
            <w:tcW w:w="7354" w:type="dxa"/>
            <w:shd w:val="clear" w:color="auto" w:fill="auto"/>
            <w:vAlign w:val="center"/>
          </w:tcPr>
          <w:p w14:paraId="463FC87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realizan las revisiones para evaluar la capacidad de los resultados del diseño y desarrollo para cumplir los requisitos.</w:t>
            </w:r>
          </w:p>
        </w:tc>
        <w:tc>
          <w:tcPr>
            <w:tcW w:w="311" w:type="dxa"/>
            <w:shd w:val="clear" w:color="auto" w:fill="auto"/>
            <w:vAlign w:val="center"/>
          </w:tcPr>
          <w:p w14:paraId="17F94F7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26AA62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07608A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B36D5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1ADFE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4599D99" w14:textId="77777777" w:rsidTr="00607909">
        <w:trPr>
          <w:trHeight w:val="405"/>
        </w:trPr>
        <w:tc>
          <w:tcPr>
            <w:tcW w:w="434" w:type="dxa"/>
            <w:shd w:val="clear" w:color="auto" w:fill="auto"/>
            <w:vAlign w:val="center"/>
          </w:tcPr>
          <w:p w14:paraId="173589A0"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52</w:t>
            </w:r>
          </w:p>
        </w:tc>
        <w:tc>
          <w:tcPr>
            <w:tcW w:w="7354" w:type="dxa"/>
            <w:shd w:val="clear" w:color="auto" w:fill="auto"/>
            <w:vAlign w:val="center"/>
          </w:tcPr>
          <w:p w14:paraId="7BED886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realizan actividades de verificación para asegurarse de que las salidas del diseño y desarrollo cumplen los requisitos de las entradas.</w:t>
            </w:r>
          </w:p>
        </w:tc>
        <w:tc>
          <w:tcPr>
            <w:tcW w:w="311" w:type="dxa"/>
            <w:shd w:val="clear" w:color="auto" w:fill="auto"/>
            <w:vAlign w:val="center"/>
          </w:tcPr>
          <w:p w14:paraId="6296C9F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DCF980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008D37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DA60E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68E838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D123D4B" w14:textId="77777777" w:rsidTr="00607909">
        <w:trPr>
          <w:trHeight w:val="405"/>
        </w:trPr>
        <w:tc>
          <w:tcPr>
            <w:tcW w:w="434" w:type="dxa"/>
            <w:shd w:val="clear" w:color="auto" w:fill="auto"/>
            <w:vAlign w:val="center"/>
          </w:tcPr>
          <w:p w14:paraId="5CFFED9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53</w:t>
            </w:r>
          </w:p>
        </w:tc>
        <w:tc>
          <w:tcPr>
            <w:tcW w:w="7354" w:type="dxa"/>
            <w:shd w:val="clear" w:color="auto" w:fill="auto"/>
            <w:vAlign w:val="center"/>
          </w:tcPr>
          <w:p w14:paraId="6149BE9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realizan actividades de validación para asegurarse de que los productos y servicios resultantes satisfacen los requisitos para su aplicación especificada o uso previsto.</w:t>
            </w:r>
          </w:p>
        </w:tc>
        <w:tc>
          <w:tcPr>
            <w:tcW w:w="311" w:type="dxa"/>
            <w:shd w:val="clear" w:color="auto" w:fill="auto"/>
            <w:vAlign w:val="center"/>
          </w:tcPr>
          <w:p w14:paraId="6521D52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DFA8C9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FF02D6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C0AE39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8CA1EF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378CA9D" w14:textId="77777777" w:rsidTr="00607909">
        <w:trPr>
          <w:trHeight w:val="405"/>
        </w:trPr>
        <w:tc>
          <w:tcPr>
            <w:tcW w:w="434" w:type="dxa"/>
            <w:shd w:val="clear" w:color="auto" w:fill="auto"/>
            <w:vAlign w:val="center"/>
          </w:tcPr>
          <w:p w14:paraId="3FC6718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54</w:t>
            </w:r>
          </w:p>
        </w:tc>
        <w:tc>
          <w:tcPr>
            <w:tcW w:w="7354" w:type="dxa"/>
            <w:shd w:val="clear" w:color="auto" w:fill="auto"/>
            <w:vAlign w:val="center"/>
          </w:tcPr>
          <w:p w14:paraId="3AFE886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toma cualquier acción necesaria sobre los problemas determinados durante las revisiones, o las actividades de verificación y validación.</w:t>
            </w:r>
          </w:p>
        </w:tc>
        <w:tc>
          <w:tcPr>
            <w:tcW w:w="311" w:type="dxa"/>
            <w:shd w:val="clear" w:color="auto" w:fill="auto"/>
            <w:vAlign w:val="center"/>
          </w:tcPr>
          <w:p w14:paraId="51C2FB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044DB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CAF0A6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22EC6F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794D33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B4D2815" w14:textId="77777777" w:rsidTr="00607909">
        <w:trPr>
          <w:trHeight w:val="285"/>
        </w:trPr>
        <w:tc>
          <w:tcPr>
            <w:tcW w:w="434" w:type="dxa"/>
            <w:shd w:val="clear" w:color="auto" w:fill="auto"/>
            <w:vAlign w:val="center"/>
          </w:tcPr>
          <w:p w14:paraId="5C01C1C0"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55</w:t>
            </w:r>
          </w:p>
        </w:tc>
        <w:tc>
          <w:tcPr>
            <w:tcW w:w="7354" w:type="dxa"/>
            <w:shd w:val="clear" w:color="auto" w:fill="auto"/>
            <w:vAlign w:val="center"/>
          </w:tcPr>
          <w:p w14:paraId="4A72BEF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aplica controles al proceso de diseño y desarrollo para asegurarse de que se conserva la información documentada de estas actividades.</w:t>
            </w:r>
          </w:p>
        </w:tc>
        <w:tc>
          <w:tcPr>
            <w:tcW w:w="311" w:type="dxa"/>
            <w:shd w:val="clear" w:color="auto" w:fill="auto"/>
            <w:vAlign w:val="center"/>
          </w:tcPr>
          <w:p w14:paraId="2F15BA6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F9C56E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BBFE90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C5BF2C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E7DCD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533141B" w14:textId="77777777" w:rsidTr="00607909">
        <w:trPr>
          <w:trHeight w:val="285"/>
        </w:trPr>
        <w:tc>
          <w:tcPr>
            <w:tcW w:w="434" w:type="dxa"/>
            <w:shd w:val="clear" w:color="auto" w:fill="auto"/>
            <w:vAlign w:val="center"/>
          </w:tcPr>
          <w:p w14:paraId="3A079C1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56</w:t>
            </w:r>
          </w:p>
        </w:tc>
        <w:tc>
          <w:tcPr>
            <w:tcW w:w="7354" w:type="dxa"/>
            <w:shd w:val="clear" w:color="auto" w:fill="auto"/>
            <w:vAlign w:val="center"/>
          </w:tcPr>
          <w:p w14:paraId="50FB54B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las salidas del diseño y desarrollo cumplen con los requisitos de las entradas.</w:t>
            </w:r>
          </w:p>
        </w:tc>
        <w:tc>
          <w:tcPr>
            <w:tcW w:w="311" w:type="dxa"/>
            <w:shd w:val="clear" w:color="auto" w:fill="auto"/>
            <w:vAlign w:val="center"/>
          </w:tcPr>
          <w:p w14:paraId="54ED420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D0AC8B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1C28A2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F3A5E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D432D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94A4A04" w14:textId="77777777" w:rsidTr="00607909">
        <w:trPr>
          <w:trHeight w:val="285"/>
        </w:trPr>
        <w:tc>
          <w:tcPr>
            <w:tcW w:w="434" w:type="dxa"/>
            <w:shd w:val="clear" w:color="auto" w:fill="auto"/>
            <w:vAlign w:val="center"/>
          </w:tcPr>
          <w:p w14:paraId="1397114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57</w:t>
            </w:r>
          </w:p>
        </w:tc>
        <w:tc>
          <w:tcPr>
            <w:tcW w:w="7354" w:type="dxa"/>
            <w:shd w:val="clear" w:color="auto" w:fill="auto"/>
            <w:vAlign w:val="center"/>
          </w:tcPr>
          <w:p w14:paraId="257F610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se asegura de que las salidas del diseño y desarrollo son </w:t>
            </w:r>
            <w:r w:rsidRPr="00607909">
              <w:rPr>
                <w:rFonts w:eastAsia="Times New Roman"/>
                <w:color w:val="000000" w:themeColor="text1"/>
                <w:szCs w:val="24"/>
                <w:lang w:eastAsia="es-MX"/>
              </w:rPr>
              <w:lastRenderedPageBreak/>
              <w:t>adecuadas para los procesos posteriores para la provisión de productos y servicios.</w:t>
            </w:r>
          </w:p>
        </w:tc>
        <w:tc>
          <w:tcPr>
            <w:tcW w:w="311" w:type="dxa"/>
            <w:shd w:val="clear" w:color="auto" w:fill="auto"/>
            <w:vAlign w:val="center"/>
          </w:tcPr>
          <w:p w14:paraId="22B95F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lastRenderedPageBreak/>
              <w:t> </w:t>
            </w:r>
          </w:p>
        </w:tc>
        <w:tc>
          <w:tcPr>
            <w:tcW w:w="313" w:type="dxa"/>
            <w:shd w:val="clear" w:color="auto" w:fill="auto"/>
            <w:vAlign w:val="center"/>
          </w:tcPr>
          <w:p w14:paraId="3C9AE9F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E0DAE4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DE47B1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15307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6281B15" w14:textId="77777777" w:rsidTr="00607909">
        <w:trPr>
          <w:trHeight w:val="405"/>
        </w:trPr>
        <w:tc>
          <w:tcPr>
            <w:tcW w:w="434" w:type="dxa"/>
            <w:shd w:val="clear" w:color="auto" w:fill="auto"/>
            <w:vAlign w:val="center"/>
          </w:tcPr>
          <w:p w14:paraId="72064987"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58</w:t>
            </w:r>
          </w:p>
        </w:tc>
        <w:tc>
          <w:tcPr>
            <w:tcW w:w="7354" w:type="dxa"/>
            <w:shd w:val="clear" w:color="auto" w:fill="auto"/>
            <w:vAlign w:val="center"/>
          </w:tcPr>
          <w:p w14:paraId="763FA43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las salidas del diseño y desarrollo incluyen o hacen referencia a los requisitos de seguimiento y medición, cuando sea apropiado, y a los criterios de aceptación.</w:t>
            </w:r>
          </w:p>
        </w:tc>
        <w:tc>
          <w:tcPr>
            <w:tcW w:w="311" w:type="dxa"/>
            <w:shd w:val="clear" w:color="auto" w:fill="auto"/>
            <w:vAlign w:val="center"/>
          </w:tcPr>
          <w:p w14:paraId="028BF30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DF62E2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85652C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2B1C83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95B14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F55A67A" w14:textId="77777777" w:rsidTr="00607909">
        <w:trPr>
          <w:trHeight w:val="405"/>
        </w:trPr>
        <w:tc>
          <w:tcPr>
            <w:tcW w:w="434" w:type="dxa"/>
            <w:shd w:val="clear" w:color="auto" w:fill="auto"/>
            <w:vAlign w:val="center"/>
          </w:tcPr>
          <w:p w14:paraId="5BA3C76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59</w:t>
            </w:r>
          </w:p>
        </w:tc>
        <w:tc>
          <w:tcPr>
            <w:tcW w:w="7354" w:type="dxa"/>
            <w:shd w:val="clear" w:color="auto" w:fill="auto"/>
            <w:vAlign w:val="center"/>
          </w:tcPr>
          <w:p w14:paraId="35266F6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las salidas del diseño y desarrollo especifican las características de los productos y servicios que son esenciales para su propósito previsto y su provisión segura y correcta.</w:t>
            </w:r>
          </w:p>
        </w:tc>
        <w:tc>
          <w:tcPr>
            <w:tcW w:w="311" w:type="dxa"/>
            <w:shd w:val="clear" w:color="auto" w:fill="auto"/>
            <w:vAlign w:val="center"/>
          </w:tcPr>
          <w:p w14:paraId="1E8D5F5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09090E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51311F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7A5A8E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94D23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F0C87D8" w14:textId="77777777" w:rsidTr="00607909">
        <w:trPr>
          <w:trHeight w:val="285"/>
        </w:trPr>
        <w:tc>
          <w:tcPr>
            <w:tcW w:w="434" w:type="dxa"/>
            <w:shd w:val="clear" w:color="auto" w:fill="auto"/>
            <w:vAlign w:val="center"/>
          </w:tcPr>
          <w:p w14:paraId="23E07CE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60</w:t>
            </w:r>
          </w:p>
        </w:tc>
        <w:tc>
          <w:tcPr>
            <w:tcW w:w="7354" w:type="dxa"/>
            <w:shd w:val="clear" w:color="auto" w:fill="auto"/>
            <w:vAlign w:val="center"/>
          </w:tcPr>
          <w:p w14:paraId="7624509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información documentada sobre las salidas del diseño y desarrollo.</w:t>
            </w:r>
          </w:p>
        </w:tc>
        <w:tc>
          <w:tcPr>
            <w:tcW w:w="311" w:type="dxa"/>
            <w:shd w:val="clear" w:color="auto" w:fill="auto"/>
            <w:vAlign w:val="center"/>
          </w:tcPr>
          <w:p w14:paraId="6A34337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FA7B6F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02243C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D8EBF1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845F67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C55285B" w14:textId="77777777" w:rsidTr="00607909">
        <w:trPr>
          <w:trHeight w:val="405"/>
        </w:trPr>
        <w:tc>
          <w:tcPr>
            <w:tcW w:w="434" w:type="dxa"/>
            <w:shd w:val="clear" w:color="auto" w:fill="auto"/>
            <w:vAlign w:val="center"/>
          </w:tcPr>
          <w:p w14:paraId="4EC46327"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61</w:t>
            </w:r>
          </w:p>
        </w:tc>
        <w:tc>
          <w:tcPr>
            <w:tcW w:w="7354" w:type="dxa"/>
            <w:shd w:val="clear" w:color="auto" w:fill="auto"/>
            <w:vAlign w:val="center"/>
          </w:tcPr>
          <w:p w14:paraId="5F1CA86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identifica, revisa y controla los cambios hechos durante el diseño y desarrollo de los productos y servicios, o posteriormente en la medida necesaria para asegurarse de que no haya un impacto adverso en la conformidad con los requisitos.</w:t>
            </w:r>
          </w:p>
        </w:tc>
        <w:tc>
          <w:tcPr>
            <w:tcW w:w="311" w:type="dxa"/>
            <w:shd w:val="clear" w:color="auto" w:fill="auto"/>
            <w:vAlign w:val="center"/>
          </w:tcPr>
          <w:p w14:paraId="6975846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C666A5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009970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AF35C6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52BCC9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890E08F" w14:textId="77777777" w:rsidTr="00607909">
        <w:trPr>
          <w:trHeight w:val="285"/>
        </w:trPr>
        <w:tc>
          <w:tcPr>
            <w:tcW w:w="434" w:type="dxa"/>
            <w:shd w:val="clear" w:color="auto" w:fill="auto"/>
            <w:vAlign w:val="center"/>
          </w:tcPr>
          <w:p w14:paraId="79FA00E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62</w:t>
            </w:r>
          </w:p>
        </w:tc>
        <w:tc>
          <w:tcPr>
            <w:tcW w:w="7354" w:type="dxa"/>
            <w:shd w:val="clear" w:color="auto" w:fill="auto"/>
            <w:vAlign w:val="center"/>
          </w:tcPr>
          <w:p w14:paraId="0702641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los cambios del diseño y desarrollo.</w:t>
            </w:r>
          </w:p>
        </w:tc>
        <w:tc>
          <w:tcPr>
            <w:tcW w:w="311" w:type="dxa"/>
            <w:shd w:val="clear" w:color="auto" w:fill="auto"/>
            <w:vAlign w:val="center"/>
          </w:tcPr>
          <w:p w14:paraId="01C647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EAB49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C24AB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5DFF31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B7DEA4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8F58A54" w14:textId="77777777" w:rsidTr="00607909">
        <w:trPr>
          <w:trHeight w:val="285"/>
        </w:trPr>
        <w:tc>
          <w:tcPr>
            <w:tcW w:w="434" w:type="dxa"/>
            <w:shd w:val="clear" w:color="auto" w:fill="auto"/>
            <w:vAlign w:val="center"/>
          </w:tcPr>
          <w:p w14:paraId="7903AE1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63</w:t>
            </w:r>
          </w:p>
        </w:tc>
        <w:tc>
          <w:tcPr>
            <w:tcW w:w="7354" w:type="dxa"/>
            <w:shd w:val="clear" w:color="auto" w:fill="auto"/>
            <w:vAlign w:val="center"/>
          </w:tcPr>
          <w:p w14:paraId="1D3A373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los resultados de las revisiones.</w:t>
            </w:r>
          </w:p>
        </w:tc>
        <w:tc>
          <w:tcPr>
            <w:tcW w:w="311" w:type="dxa"/>
            <w:shd w:val="clear" w:color="auto" w:fill="auto"/>
            <w:vAlign w:val="center"/>
          </w:tcPr>
          <w:p w14:paraId="5D642B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6E3635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C660F6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269378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98546B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AF1D3EC" w14:textId="77777777" w:rsidTr="00607909">
        <w:trPr>
          <w:trHeight w:val="285"/>
        </w:trPr>
        <w:tc>
          <w:tcPr>
            <w:tcW w:w="434" w:type="dxa"/>
            <w:shd w:val="clear" w:color="auto" w:fill="auto"/>
            <w:vAlign w:val="center"/>
          </w:tcPr>
          <w:p w14:paraId="5EC8A1C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64</w:t>
            </w:r>
          </w:p>
        </w:tc>
        <w:tc>
          <w:tcPr>
            <w:tcW w:w="7354" w:type="dxa"/>
            <w:shd w:val="clear" w:color="auto" w:fill="auto"/>
            <w:vAlign w:val="center"/>
          </w:tcPr>
          <w:p w14:paraId="51F3A41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la autorización de los cambios.</w:t>
            </w:r>
          </w:p>
        </w:tc>
        <w:tc>
          <w:tcPr>
            <w:tcW w:w="311" w:type="dxa"/>
            <w:shd w:val="clear" w:color="auto" w:fill="auto"/>
            <w:vAlign w:val="center"/>
          </w:tcPr>
          <w:p w14:paraId="0AEADA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ED8B92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B43B60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FAA1E0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C4FC2D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BA3C4D2" w14:textId="77777777" w:rsidTr="00607909">
        <w:trPr>
          <w:trHeight w:val="285"/>
        </w:trPr>
        <w:tc>
          <w:tcPr>
            <w:tcW w:w="434" w:type="dxa"/>
            <w:shd w:val="clear" w:color="auto" w:fill="auto"/>
            <w:vAlign w:val="center"/>
          </w:tcPr>
          <w:p w14:paraId="4A5BD24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65</w:t>
            </w:r>
          </w:p>
        </w:tc>
        <w:tc>
          <w:tcPr>
            <w:tcW w:w="7354" w:type="dxa"/>
            <w:shd w:val="clear" w:color="auto" w:fill="auto"/>
            <w:vAlign w:val="center"/>
          </w:tcPr>
          <w:p w14:paraId="3F9F144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las acciones tomadas para prevenir los impactos adversos.</w:t>
            </w:r>
          </w:p>
        </w:tc>
        <w:tc>
          <w:tcPr>
            <w:tcW w:w="311" w:type="dxa"/>
            <w:shd w:val="clear" w:color="auto" w:fill="auto"/>
            <w:vAlign w:val="center"/>
          </w:tcPr>
          <w:p w14:paraId="54D9FF3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A210B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0B8313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5441A7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0B71B6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4FFA1CD" w14:textId="77777777" w:rsidTr="00607909">
        <w:trPr>
          <w:trHeight w:val="285"/>
        </w:trPr>
        <w:tc>
          <w:tcPr>
            <w:tcW w:w="434" w:type="dxa"/>
            <w:shd w:val="clear" w:color="auto" w:fill="auto"/>
            <w:vAlign w:val="center"/>
          </w:tcPr>
          <w:p w14:paraId="24C263D0"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66</w:t>
            </w:r>
          </w:p>
        </w:tc>
        <w:tc>
          <w:tcPr>
            <w:tcW w:w="7354" w:type="dxa"/>
            <w:shd w:val="clear" w:color="auto" w:fill="auto"/>
            <w:vAlign w:val="center"/>
          </w:tcPr>
          <w:p w14:paraId="507BF86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los procesos, productos y servicios suministrados externamente son conformes a los requisitos.</w:t>
            </w:r>
          </w:p>
        </w:tc>
        <w:tc>
          <w:tcPr>
            <w:tcW w:w="311" w:type="dxa"/>
            <w:shd w:val="clear" w:color="auto" w:fill="auto"/>
            <w:vAlign w:val="center"/>
          </w:tcPr>
          <w:p w14:paraId="3EF5040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8A7A3A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23D4EB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501027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2C970F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3C0DD2D" w14:textId="77777777" w:rsidTr="00607909">
        <w:trPr>
          <w:trHeight w:val="405"/>
        </w:trPr>
        <w:tc>
          <w:tcPr>
            <w:tcW w:w="434" w:type="dxa"/>
            <w:shd w:val="clear" w:color="auto" w:fill="auto"/>
            <w:vAlign w:val="center"/>
          </w:tcPr>
          <w:p w14:paraId="1DEF08C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67</w:t>
            </w:r>
          </w:p>
        </w:tc>
        <w:tc>
          <w:tcPr>
            <w:tcW w:w="7354" w:type="dxa"/>
            <w:shd w:val="clear" w:color="auto" w:fill="auto"/>
            <w:vAlign w:val="center"/>
          </w:tcPr>
          <w:p w14:paraId="76312CFC"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controles a aplicar a los procesos, productos y servicios suministrados externamente cuando los productos y servicios de proveedores externos están destinados a incorporarse dentro de los propios productos y servicios de la organización.</w:t>
            </w:r>
          </w:p>
        </w:tc>
        <w:tc>
          <w:tcPr>
            <w:tcW w:w="311" w:type="dxa"/>
            <w:shd w:val="clear" w:color="auto" w:fill="auto"/>
            <w:vAlign w:val="center"/>
          </w:tcPr>
          <w:p w14:paraId="5797A63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FCFC6A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1058DA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D17F92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BBD99C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845F482" w14:textId="77777777" w:rsidTr="00607909">
        <w:trPr>
          <w:trHeight w:val="405"/>
        </w:trPr>
        <w:tc>
          <w:tcPr>
            <w:tcW w:w="434" w:type="dxa"/>
            <w:shd w:val="clear" w:color="auto" w:fill="auto"/>
            <w:vAlign w:val="center"/>
          </w:tcPr>
          <w:p w14:paraId="48F1F38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68</w:t>
            </w:r>
          </w:p>
        </w:tc>
        <w:tc>
          <w:tcPr>
            <w:tcW w:w="7354" w:type="dxa"/>
            <w:shd w:val="clear" w:color="auto" w:fill="auto"/>
            <w:vAlign w:val="center"/>
          </w:tcPr>
          <w:p w14:paraId="0519006E"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controles a aplicar a los procesos, productos y servicios suministrados externamente cuando los productos y servicios son proporcionados directamente a los clientes por proveedores externos en nombre de la organización.</w:t>
            </w:r>
          </w:p>
        </w:tc>
        <w:tc>
          <w:tcPr>
            <w:tcW w:w="311" w:type="dxa"/>
            <w:shd w:val="clear" w:color="auto" w:fill="auto"/>
            <w:vAlign w:val="center"/>
          </w:tcPr>
          <w:p w14:paraId="2B3222C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D6CE33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555944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F26B68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B34EBC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485E087" w14:textId="77777777" w:rsidTr="00607909">
        <w:trPr>
          <w:trHeight w:val="405"/>
        </w:trPr>
        <w:tc>
          <w:tcPr>
            <w:tcW w:w="434" w:type="dxa"/>
            <w:shd w:val="clear" w:color="auto" w:fill="auto"/>
            <w:vAlign w:val="center"/>
          </w:tcPr>
          <w:p w14:paraId="4EC1D01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69</w:t>
            </w:r>
          </w:p>
        </w:tc>
        <w:tc>
          <w:tcPr>
            <w:tcW w:w="7354" w:type="dxa"/>
            <w:shd w:val="clear" w:color="auto" w:fill="auto"/>
            <w:vAlign w:val="center"/>
          </w:tcPr>
          <w:p w14:paraId="7C587996"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los controles a aplicar a los procesos, productos y servicios suministrados externamente cuando un proceso, o una parte de un proceso, es proporcionado por un proveedor externo como resultado de una decisión de la organización.</w:t>
            </w:r>
          </w:p>
        </w:tc>
        <w:tc>
          <w:tcPr>
            <w:tcW w:w="311" w:type="dxa"/>
            <w:shd w:val="clear" w:color="auto" w:fill="auto"/>
            <w:vAlign w:val="center"/>
          </w:tcPr>
          <w:p w14:paraId="693D660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380022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0E00D7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E71E3D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23EF69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5D8A72F" w14:textId="77777777" w:rsidTr="00607909">
        <w:trPr>
          <w:trHeight w:val="405"/>
        </w:trPr>
        <w:tc>
          <w:tcPr>
            <w:tcW w:w="434" w:type="dxa"/>
            <w:shd w:val="clear" w:color="auto" w:fill="auto"/>
            <w:vAlign w:val="center"/>
          </w:tcPr>
          <w:p w14:paraId="4F03A2B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70</w:t>
            </w:r>
          </w:p>
        </w:tc>
        <w:tc>
          <w:tcPr>
            <w:tcW w:w="7354" w:type="dxa"/>
            <w:shd w:val="clear" w:color="auto" w:fill="auto"/>
            <w:vAlign w:val="center"/>
          </w:tcPr>
          <w:p w14:paraId="598704B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y aplica criterios para la evaluación, la selección, el seguimiento del desempeño y la reevaluación de los proveedores externos, basándose en su capacidad para proporcionar procesos o productos y servicios de acuerdo con los requisitos.</w:t>
            </w:r>
          </w:p>
        </w:tc>
        <w:tc>
          <w:tcPr>
            <w:tcW w:w="311" w:type="dxa"/>
            <w:shd w:val="clear" w:color="auto" w:fill="auto"/>
            <w:vAlign w:val="center"/>
          </w:tcPr>
          <w:p w14:paraId="2BCC314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38B39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F3CD73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C19EC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98CB3C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1AF2EB0" w14:textId="77777777" w:rsidTr="00607909">
        <w:trPr>
          <w:trHeight w:val="285"/>
        </w:trPr>
        <w:tc>
          <w:tcPr>
            <w:tcW w:w="434" w:type="dxa"/>
            <w:shd w:val="clear" w:color="auto" w:fill="auto"/>
            <w:vAlign w:val="center"/>
          </w:tcPr>
          <w:p w14:paraId="1392BF7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71</w:t>
            </w:r>
          </w:p>
        </w:tc>
        <w:tc>
          <w:tcPr>
            <w:tcW w:w="7354" w:type="dxa"/>
            <w:shd w:val="clear" w:color="auto" w:fill="auto"/>
            <w:vAlign w:val="center"/>
          </w:tcPr>
          <w:p w14:paraId="7FC923B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de estas actividades y de cualquier acción necesaria que surja de las evaluaciones.</w:t>
            </w:r>
          </w:p>
        </w:tc>
        <w:tc>
          <w:tcPr>
            <w:tcW w:w="311" w:type="dxa"/>
            <w:shd w:val="clear" w:color="auto" w:fill="auto"/>
            <w:vAlign w:val="center"/>
          </w:tcPr>
          <w:p w14:paraId="626BB5E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92E9F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CB78A3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83D80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A80FE7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A70C92A" w14:textId="77777777" w:rsidTr="00607909">
        <w:trPr>
          <w:trHeight w:val="405"/>
        </w:trPr>
        <w:tc>
          <w:tcPr>
            <w:tcW w:w="434" w:type="dxa"/>
            <w:shd w:val="clear" w:color="auto" w:fill="auto"/>
            <w:vAlign w:val="center"/>
          </w:tcPr>
          <w:p w14:paraId="489F01C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72</w:t>
            </w:r>
          </w:p>
        </w:tc>
        <w:tc>
          <w:tcPr>
            <w:tcW w:w="7354" w:type="dxa"/>
            <w:shd w:val="clear" w:color="auto" w:fill="auto"/>
            <w:vAlign w:val="center"/>
          </w:tcPr>
          <w:p w14:paraId="171357EE"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se asegura de que los procesos, productos y servicios suministrados externamente no afectan de manera adversa a la capacidad de </w:t>
            </w:r>
            <w:r w:rsidRPr="00607909">
              <w:rPr>
                <w:rFonts w:eastAsia="Times New Roman"/>
                <w:color w:val="000000" w:themeColor="text1"/>
                <w:szCs w:val="24"/>
                <w:lang w:eastAsia="es-MX"/>
              </w:rPr>
              <w:lastRenderedPageBreak/>
              <w:t>la organización de entregar productos y servicios conformes de manera coherente a sus clientes.</w:t>
            </w:r>
          </w:p>
        </w:tc>
        <w:tc>
          <w:tcPr>
            <w:tcW w:w="311" w:type="dxa"/>
            <w:shd w:val="clear" w:color="auto" w:fill="auto"/>
            <w:vAlign w:val="center"/>
          </w:tcPr>
          <w:p w14:paraId="5C2100E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lastRenderedPageBreak/>
              <w:t> </w:t>
            </w:r>
          </w:p>
        </w:tc>
        <w:tc>
          <w:tcPr>
            <w:tcW w:w="313" w:type="dxa"/>
            <w:shd w:val="clear" w:color="auto" w:fill="auto"/>
            <w:vAlign w:val="center"/>
          </w:tcPr>
          <w:p w14:paraId="792B932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7B909B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0B6CD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00427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7E419BD" w14:textId="77777777" w:rsidTr="00607909">
        <w:trPr>
          <w:trHeight w:val="285"/>
        </w:trPr>
        <w:tc>
          <w:tcPr>
            <w:tcW w:w="434" w:type="dxa"/>
            <w:shd w:val="clear" w:color="auto" w:fill="auto"/>
            <w:vAlign w:val="center"/>
          </w:tcPr>
          <w:p w14:paraId="03E2385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73</w:t>
            </w:r>
          </w:p>
        </w:tc>
        <w:tc>
          <w:tcPr>
            <w:tcW w:w="7354" w:type="dxa"/>
            <w:shd w:val="clear" w:color="auto" w:fill="auto"/>
            <w:vAlign w:val="center"/>
          </w:tcPr>
          <w:p w14:paraId="1897FA2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los procesos suministrados externamente permanecen dentro del control de su sistema de gestión de la calidad.</w:t>
            </w:r>
          </w:p>
        </w:tc>
        <w:tc>
          <w:tcPr>
            <w:tcW w:w="311" w:type="dxa"/>
            <w:shd w:val="clear" w:color="auto" w:fill="auto"/>
            <w:vAlign w:val="center"/>
          </w:tcPr>
          <w:p w14:paraId="1965A6B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BBA1C9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DE8943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E8AF27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383F1E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5FFD3EF" w14:textId="77777777" w:rsidTr="00607909">
        <w:trPr>
          <w:trHeight w:val="285"/>
        </w:trPr>
        <w:tc>
          <w:tcPr>
            <w:tcW w:w="434" w:type="dxa"/>
            <w:shd w:val="clear" w:color="auto" w:fill="auto"/>
            <w:vAlign w:val="center"/>
          </w:tcPr>
          <w:p w14:paraId="74BC340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74</w:t>
            </w:r>
          </w:p>
        </w:tc>
        <w:tc>
          <w:tcPr>
            <w:tcW w:w="7354" w:type="dxa"/>
            <w:shd w:val="clear" w:color="auto" w:fill="auto"/>
            <w:vAlign w:val="center"/>
          </w:tcPr>
          <w:p w14:paraId="7324347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define los controles que pretende aplicar a un proveedor externo y los que pretende aplicar a las salidas resultantes.</w:t>
            </w:r>
          </w:p>
        </w:tc>
        <w:tc>
          <w:tcPr>
            <w:tcW w:w="311" w:type="dxa"/>
            <w:shd w:val="clear" w:color="auto" w:fill="auto"/>
            <w:vAlign w:val="center"/>
          </w:tcPr>
          <w:p w14:paraId="4EFD063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BE3DE6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FD88D6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1B697A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4E450E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0737AA6" w14:textId="77777777" w:rsidTr="00607909">
        <w:trPr>
          <w:trHeight w:val="405"/>
        </w:trPr>
        <w:tc>
          <w:tcPr>
            <w:tcW w:w="434" w:type="dxa"/>
            <w:shd w:val="clear" w:color="auto" w:fill="auto"/>
            <w:vAlign w:val="center"/>
          </w:tcPr>
          <w:p w14:paraId="1272258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75</w:t>
            </w:r>
          </w:p>
        </w:tc>
        <w:tc>
          <w:tcPr>
            <w:tcW w:w="7354" w:type="dxa"/>
            <w:shd w:val="clear" w:color="auto" w:fill="auto"/>
            <w:vAlign w:val="center"/>
          </w:tcPr>
          <w:p w14:paraId="4016A49A"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tiene consideración del impacto potencial de los procesos, productos y servicios suministrados externamente en la capacidad de la organización de cumplir regularmente los requisitos del cliente y los legales y reglamentarios aplicables.</w:t>
            </w:r>
          </w:p>
        </w:tc>
        <w:tc>
          <w:tcPr>
            <w:tcW w:w="311" w:type="dxa"/>
            <w:shd w:val="clear" w:color="auto" w:fill="auto"/>
            <w:vAlign w:val="center"/>
          </w:tcPr>
          <w:p w14:paraId="3FB58BC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2BF1C7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8B4DC2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D6E777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1EB06E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E334730" w14:textId="77777777" w:rsidTr="00607909">
        <w:trPr>
          <w:trHeight w:val="285"/>
        </w:trPr>
        <w:tc>
          <w:tcPr>
            <w:tcW w:w="434" w:type="dxa"/>
            <w:shd w:val="clear" w:color="auto" w:fill="auto"/>
            <w:vAlign w:val="center"/>
          </w:tcPr>
          <w:p w14:paraId="6934D96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76</w:t>
            </w:r>
          </w:p>
        </w:tc>
        <w:tc>
          <w:tcPr>
            <w:tcW w:w="7354" w:type="dxa"/>
            <w:shd w:val="clear" w:color="auto" w:fill="auto"/>
            <w:vAlign w:val="center"/>
          </w:tcPr>
          <w:p w14:paraId="2B85B0A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tiene consideración de la eficacia de los controles aplicados por el proveedor externo.</w:t>
            </w:r>
          </w:p>
        </w:tc>
        <w:tc>
          <w:tcPr>
            <w:tcW w:w="311" w:type="dxa"/>
            <w:shd w:val="clear" w:color="auto" w:fill="auto"/>
            <w:vAlign w:val="center"/>
          </w:tcPr>
          <w:p w14:paraId="42D76A6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D1A134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C61D8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0B65E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F58D6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B3BCA7D" w14:textId="77777777" w:rsidTr="00607909">
        <w:trPr>
          <w:trHeight w:val="405"/>
        </w:trPr>
        <w:tc>
          <w:tcPr>
            <w:tcW w:w="434" w:type="dxa"/>
            <w:shd w:val="clear" w:color="auto" w:fill="auto"/>
            <w:vAlign w:val="center"/>
          </w:tcPr>
          <w:p w14:paraId="303EC23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77</w:t>
            </w:r>
          </w:p>
        </w:tc>
        <w:tc>
          <w:tcPr>
            <w:tcW w:w="7354" w:type="dxa"/>
            <w:shd w:val="clear" w:color="auto" w:fill="auto"/>
            <w:vAlign w:val="center"/>
          </w:tcPr>
          <w:p w14:paraId="72ACD61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determina la verificación, u otras actividades necesarias para asegurarse de que los procesos, productos y servicios suministrados externamente cumplen los requisitos.</w:t>
            </w:r>
          </w:p>
        </w:tc>
        <w:tc>
          <w:tcPr>
            <w:tcW w:w="311" w:type="dxa"/>
            <w:shd w:val="clear" w:color="auto" w:fill="auto"/>
            <w:vAlign w:val="center"/>
          </w:tcPr>
          <w:p w14:paraId="6B9F5AE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B6FECB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FD938B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B61B79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ECC35E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7970CD6" w14:textId="77777777" w:rsidTr="00607909">
        <w:trPr>
          <w:trHeight w:val="285"/>
        </w:trPr>
        <w:tc>
          <w:tcPr>
            <w:tcW w:w="434" w:type="dxa"/>
            <w:shd w:val="clear" w:color="auto" w:fill="auto"/>
            <w:vAlign w:val="center"/>
          </w:tcPr>
          <w:p w14:paraId="2FD3D77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78</w:t>
            </w:r>
          </w:p>
        </w:tc>
        <w:tc>
          <w:tcPr>
            <w:tcW w:w="7354" w:type="dxa"/>
            <w:shd w:val="clear" w:color="auto" w:fill="auto"/>
            <w:vAlign w:val="center"/>
          </w:tcPr>
          <w:p w14:paraId="6CFE5AC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la adecuación de los requisitos antes de su comunicación al proveedor externo.</w:t>
            </w:r>
          </w:p>
        </w:tc>
        <w:tc>
          <w:tcPr>
            <w:tcW w:w="311" w:type="dxa"/>
            <w:shd w:val="clear" w:color="auto" w:fill="auto"/>
            <w:vAlign w:val="center"/>
          </w:tcPr>
          <w:p w14:paraId="74EC8C7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1D639F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27A15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09554B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BDEA61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A76346B" w14:textId="77777777" w:rsidTr="00607909">
        <w:trPr>
          <w:trHeight w:val="285"/>
        </w:trPr>
        <w:tc>
          <w:tcPr>
            <w:tcW w:w="434" w:type="dxa"/>
            <w:shd w:val="clear" w:color="auto" w:fill="auto"/>
            <w:vAlign w:val="center"/>
          </w:tcPr>
          <w:p w14:paraId="08D43BF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79</w:t>
            </w:r>
          </w:p>
        </w:tc>
        <w:tc>
          <w:tcPr>
            <w:tcW w:w="7354" w:type="dxa"/>
            <w:shd w:val="clear" w:color="auto" w:fill="auto"/>
            <w:vAlign w:val="center"/>
          </w:tcPr>
          <w:p w14:paraId="510D64D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los procesos, productos y servicios a proporcionar.</w:t>
            </w:r>
          </w:p>
        </w:tc>
        <w:tc>
          <w:tcPr>
            <w:tcW w:w="311" w:type="dxa"/>
            <w:shd w:val="clear" w:color="auto" w:fill="auto"/>
            <w:vAlign w:val="center"/>
          </w:tcPr>
          <w:p w14:paraId="09E2A4D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6D97A1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02D4C2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4CF237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98FBDE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41AEA8A" w14:textId="77777777" w:rsidTr="00607909">
        <w:trPr>
          <w:trHeight w:val="285"/>
        </w:trPr>
        <w:tc>
          <w:tcPr>
            <w:tcW w:w="434" w:type="dxa"/>
            <w:shd w:val="clear" w:color="auto" w:fill="auto"/>
            <w:vAlign w:val="center"/>
          </w:tcPr>
          <w:p w14:paraId="33C5C85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80</w:t>
            </w:r>
          </w:p>
        </w:tc>
        <w:tc>
          <w:tcPr>
            <w:tcW w:w="7354" w:type="dxa"/>
            <w:shd w:val="clear" w:color="auto" w:fill="auto"/>
            <w:vAlign w:val="center"/>
          </w:tcPr>
          <w:p w14:paraId="45A442F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 aprobación de productos y servicios.</w:t>
            </w:r>
          </w:p>
        </w:tc>
        <w:tc>
          <w:tcPr>
            <w:tcW w:w="311" w:type="dxa"/>
            <w:shd w:val="clear" w:color="auto" w:fill="auto"/>
            <w:vAlign w:val="center"/>
          </w:tcPr>
          <w:p w14:paraId="49A909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4D9319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B51456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7E0538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3F0B34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7047F49" w14:textId="77777777" w:rsidTr="00607909">
        <w:trPr>
          <w:trHeight w:val="285"/>
        </w:trPr>
        <w:tc>
          <w:tcPr>
            <w:tcW w:w="434" w:type="dxa"/>
            <w:shd w:val="clear" w:color="auto" w:fill="auto"/>
            <w:vAlign w:val="center"/>
          </w:tcPr>
          <w:p w14:paraId="17A45CA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81</w:t>
            </w:r>
          </w:p>
        </w:tc>
        <w:tc>
          <w:tcPr>
            <w:tcW w:w="7354" w:type="dxa"/>
            <w:shd w:val="clear" w:color="auto" w:fill="auto"/>
            <w:vAlign w:val="center"/>
          </w:tcPr>
          <w:p w14:paraId="1782D56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 aprobación de métodos, proceso y equipos.</w:t>
            </w:r>
          </w:p>
        </w:tc>
        <w:tc>
          <w:tcPr>
            <w:tcW w:w="311" w:type="dxa"/>
            <w:shd w:val="clear" w:color="auto" w:fill="auto"/>
            <w:vAlign w:val="center"/>
          </w:tcPr>
          <w:p w14:paraId="1140768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10FEAC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AAF27B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C946E4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55773D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63D2BCC" w14:textId="77777777" w:rsidTr="00607909">
        <w:trPr>
          <w:trHeight w:val="285"/>
        </w:trPr>
        <w:tc>
          <w:tcPr>
            <w:tcW w:w="434" w:type="dxa"/>
            <w:shd w:val="clear" w:color="auto" w:fill="auto"/>
            <w:vAlign w:val="center"/>
          </w:tcPr>
          <w:p w14:paraId="3293EE7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82</w:t>
            </w:r>
          </w:p>
        </w:tc>
        <w:tc>
          <w:tcPr>
            <w:tcW w:w="7354" w:type="dxa"/>
            <w:shd w:val="clear" w:color="auto" w:fill="auto"/>
            <w:vAlign w:val="center"/>
          </w:tcPr>
          <w:p w14:paraId="7030D22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 aprobación de la liberación de productos y servicios.</w:t>
            </w:r>
          </w:p>
        </w:tc>
        <w:tc>
          <w:tcPr>
            <w:tcW w:w="311" w:type="dxa"/>
            <w:shd w:val="clear" w:color="auto" w:fill="auto"/>
            <w:vAlign w:val="center"/>
          </w:tcPr>
          <w:p w14:paraId="1BFB0A7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8CD71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C85B9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1242EC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423388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55FA3F2" w14:textId="77777777" w:rsidTr="00607909">
        <w:trPr>
          <w:trHeight w:val="285"/>
        </w:trPr>
        <w:tc>
          <w:tcPr>
            <w:tcW w:w="434" w:type="dxa"/>
            <w:shd w:val="clear" w:color="auto" w:fill="auto"/>
            <w:vAlign w:val="center"/>
          </w:tcPr>
          <w:p w14:paraId="23C6224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83</w:t>
            </w:r>
          </w:p>
        </w:tc>
        <w:tc>
          <w:tcPr>
            <w:tcW w:w="7354" w:type="dxa"/>
            <w:shd w:val="clear" w:color="auto" w:fill="auto"/>
            <w:vAlign w:val="center"/>
          </w:tcPr>
          <w:p w14:paraId="031CD5E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 competencia, incluyendo cualquier calificación requerida de las personas.</w:t>
            </w:r>
          </w:p>
        </w:tc>
        <w:tc>
          <w:tcPr>
            <w:tcW w:w="311" w:type="dxa"/>
            <w:shd w:val="clear" w:color="auto" w:fill="auto"/>
            <w:vAlign w:val="center"/>
          </w:tcPr>
          <w:p w14:paraId="0445F06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A248D3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7495F3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4D79EE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EF8AF0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CB0A83A" w14:textId="77777777" w:rsidTr="00607909">
        <w:trPr>
          <w:trHeight w:val="285"/>
        </w:trPr>
        <w:tc>
          <w:tcPr>
            <w:tcW w:w="434" w:type="dxa"/>
            <w:shd w:val="clear" w:color="auto" w:fill="auto"/>
            <w:vAlign w:val="center"/>
          </w:tcPr>
          <w:p w14:paraId="11212CD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84</w:t>
            </w:r>
          </w:p>
        </w:tc>
        <w:tc>
          <w:tcPr>
            <w:tcW w:w="7354" w:type="dxa"/>
            <w:shd w:val="clear" w:color="auto" w:fill="auto"/>
            <w:vAlign w:val="center"/>
          </w:tcPr>
          <w:p w14:paraId="40C126B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w:t>
            </w:r>
          </w:p>
        </w:tc>
        <w:tc>
          <w:tcPr>
            <w:tcW w:w="311" w:type="dxa"/>
            <w:shd w:val="clear" w:color="auto" w:fill="auto"/>
            <w:vAlign w:val="center"/>
          </w:tcPr>
          <w:p w14:paraId="4CF71DA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F3AAF4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963BF9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2B9DA8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F020CC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56EC766" w14:textId="77777777" w:rsidTr="00607909">
        <w:trPr>
          <w:trHeight w:val="285"/>
        </w:trPr>
        <w:tc>
          <w:tcPr>
            <w:tcW w:w="434" w:type="dxa"/>
            <w:shd w:val="clear" w:color="auto" w:fill="auto"/>
            <w:vAlign w:val="center"/>
          </w:tcPr>
          <w:p w14:paraId="703277A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85</w:t>
            </w:r>
          </w:p>
        </w:tc>
        <w:tc>
          <w:tcPr>
            <w:tcW w:w="7354" w:type="dxa"/>
            <w:shd w:val="clear" w:color="auto" w:fill="auto"/>
            <w:vAlign w:val="center"/>
          </w:tcPr>
          <w:p w14:paraId="5B247564"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las interacciones del proveedor externo con la organización.</w:t>
            </w:r>
          </w:p>
        </w:tc>
        <w:tc>
          <w:tcPr>
            <w:tcW w:w="311" w:type="dxa"/>
            <w:shd w:val="clear" w:color="auto" w:fill="auto"/>
            <w:vAlign w:val="center"/>
          </w:tcPr>
          <w:p w14:paraId="20B85AC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B7ED81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C34976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8A0912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2EE278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2F736A7" w14:textId="77777777" w:rsidTr="00607909">
        <w:trPr>
          <w:trHeight w:val="405"/>
        </w:trPr>
        <w:tc>
          <w:tcPr>
            <w:tcW w:w="434" w:type="dxa"/>
            <w:shd w:val="clear" w:color="auto" w:fill="auto"/>
            <w:vAlign w:val="center"/>
          </w:tcPr>
          <w:p w14:paraId="45E462B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86</w:t>
            </w:r>
          </w:p>
        </w:tc>
        <w:tc>
          <w:tcPr>
            <w:tcW w:w="7354" w:type="dxa"/>
            <w:shd w:val="clear" w:color="auto" w:fill="auto"/>
            <w:vAlign w:val="center"/>
          </w:tcPr>
          <w:p w14:paraId="65AC6F2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comunica a los proveedores externos sus requisitos para las actividades de verificación o validación que la organización, o su cliente, pretende llevar a cabo en las instalaciones del proveedor externo.</w:t>
            </w:r>
          </w:p>
        </w:tc>
        <w:tc>
          <w:tcPr>
            <w:tcW w:w="311" w:type="dxa"/>
            <w:shd w:val="clear" w:color="auto" w:fill="auto"/>
            <w:vAlign w:val="center"/>
          </w:tcPr>
          <w:p w14:paraId="233044F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DD29AD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38BCFA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5AAECF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950FC9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C679CAA" w14:textId="77777777" w:rsidTr="00607909">
        <w:trPr>
          <w:trHeight w:val="285"/>
        </w:trPr>
        <w:tc>
          <w:tcPr>
            <w:tcW w:w="434" w:type="dxa"/>
            <w:shd w:val="clear" w:color="auto" w:fill="auto"/>
            <w:vAlign w:val="center"/>
          </w:tcPr>
          <w:p w14:paraId="60F8599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87</w:t>
            </w:r>
          </w:p>
        </w:tc>
        <w:tc>
          <w:tcPr>
            <w:tcW w:w="7354" w:type="dxa"/>
            <w:shd w:val="clear" w:color="auto" w:fill="auto"/>
            <w:vAlign w:val="center"/>
          </w:tcPr>
          <w:p w14:paraId="3290F2A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implementa la producción y provisión del servicio bajo condiciones controladas. </w:t>
            </w:r>
          </w:p>
        </w:tc>
        <w:tc>
          <w:tcPr>
            <w:tcW w:w="311" w:type="dxa"/>
            <w:shd w:val="clear" w:color="auto" w:fill="auto"/>
            <w:vAlign w:val="center"/>
          </w:tcPr>
          <w:p w14:paraId="7DBA05D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47F487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20C208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647A07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4E410D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CD1FDCF" w14:textId="77777777" w:rsidTr="00607909">
        <w:trPr>
          <w:trHeight w:val="405"/>
        </w:trPr>
        <w:tc>
          <w:tcPr>
            <w:tcW w:w="434" w:type="dxa"/>
            <w:shd w:val="clear" w:color="auto" w:fill="auto"/>
            <w:vAlign w:val="center"/>
          </w:tcPr>
          <w:p w14:paraId="0DF2104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88</w:t>
            </w:r>
          </w:p>
        </w:tc>
        <w:tc>
          <w:tcPr>
            <w:tcW w:w="7354" w:type="dxa"/>
            <w:shd w:val="clear" w:color="auto" w:fill="auto"/>
            <w:vAlign w:val="center"/>
          </w:tcPr>
          <w:p w14:paraId="1A68656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proporcionando información documentada que define las características de los productos a producir, los servicios prestar, o las actividades a desempeñar, cuando sea aplicable.</w:t>
            </w:r>
          </w:p>
        </w:tc>
        <w:tc>
          <w:tcPr>
            <w:tcW w:w="311" w:type="dxa"/>
            <w:shd w:val="clear" w:color="auto" w:fill="auto"/>
            <w:vAlign w:val="center"/>
          </w:tcPr>
          <w:p w14:paraId="32076E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22B9EC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E7824E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22C39C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5B1B0A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4002A91" w14:textId="77777777" w:rsidTr="00607909">
        <w:trPr>
          <w:trHeight w:val="285"/>
        </w:trPr>
        <w:tc>
          <w:tcPr>
            <w:tcW w:w="434" w:type="dxa"/>
            <w:shd w:val="clear" w:color="auto" w:fill="auto"/>
            <w:vAlign w:val="center"/>
          </w:tcPr>
          <w:p w14:paraId="7F02C88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89</w:t>
            </w:r>
          </w:p>
        </w:tc>
        <w:tc>
          <w:tcPr>
            <w:tcW w:w="7354" w:type="dxa"/>
            <w:shd w:val="clear" w:color="auto" w:fill="auto"/>
            <w:vAlign w:val="center"/>
          </w:tcPr>
          <w:p w14:paraId="28D5186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proporcionando información documentada que define los resultados a alcanzar, cuando sea aplicable.</w:t>
            </w:r>
          </w:p>
        </w:tc>
        <w:tc>
          <w:tcPr>
            <w:tcW w:w="311" w:type="dxa"/>
            <w:shd w:val="clear" w:color="auto" w:fill="auto"/>
            <w:vAlign w:val="center"/>
          </w:tcPr>
          <w:p w14:paraId="1215E40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CDA051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301F2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CBAA2E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F07A98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918130B" w14:textId="77777777" w:rsidTr="00607909">
        <w:trPr>
          <w:trHeight w:val="405"/>
        </w:trPr>
        <w:tc>
          <w:tcPr>
            <w:tcW w:w="434" w:type="dxa"/>
            <w:shd w:val="clear" w:color="auto" w:fill="auto"/>
            <w:vAlign w:val="center"/>
          </w:tcPr>
          <w:p w14:paraId="156DB3D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90</w:t>
            </w:r>
          </w:p>
        </w:tc>
        <w:tc>
          <w:tcPr>
            <w:tcW w:w="7354" w:type="dxa"/>
            <w:shd w:val="clear" w:color="auto" w:fill="auto"/>
            <w:vAlign w:val="center"/>
          </w:tcPr>
          <w:p w14:paraId="2C98738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implementa la producción y provisión del servicio asegurando la disponibilidad y el uso de los recursos de seguimiento y </w:t>
            </w:r>
            <w:r w:rsidRPr="00607909">
              <w:rPr>
                <w:rFonts w:eastAsia="Times New Roman"/>
                <w:color w:val="000000" w:themeColor="text1"/>
                <w:szCs w:val="24"/>
                <w:lang w:eastAsia="es-MX"/>
              </w:rPr>
              <w:lastRenderedPageBreak/>
              <w:t>medición adecuados, cuando sea aplicable.</w:t>
            </w:r>
          </w:p>
        </w:tc>
        <w:tc>
          <w:tcPr>
            <w:tcW w:w="311" w:type="dxa"/>
            <w:shd w:val="clear" w:color="auto" w:fill="auto"/>
            <w:vAlign w:val="center"/>
          </w:tcPr>
          <w:p w14:paraId="6F93EB2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lastRenderedPageBreak/>
              <w:t> </w:t>
            </w:r>
          </w:p>
        </w:tc>
        <w:tc>
          <w:tcPr>
            <w:tcW w:w="313" w:type="dxa"/>
            <w:shd w:val="clear" w:color="auto" w:fill="auto"/>
            <w:vAlign w:val="center"/>
          </w:tcPr>
          <w:p w14:paraId="18B07E4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5EA08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E5C5B6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82B1D8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9492C10" w14:textId="77777777" w:rsidTr="00607909">
        <w:trPr>
          <w:trHeight w:val="405"/>
        </w:trPr>
        <w:tc>
          <w:tcPr>
            <w:tcW w:w="434" w:type="dxa"/>
            <w:shd w:val="clear" w:color="auto" w:fill="auto"/>
            <w:vAlign w:val="center"/>
          </w:tcPr>
          <w:p w14:paraId="1B9F4891"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91</w:t>
            </w:r>
          </w:p>
        </w:tc>
        <w:tc>
          <w:tcPr>
            <w:tcW w:w="7354" w:type="dxa"/>
            <w:shd w:val="clear" w:color="auto" w:fill="auto"/>
            <w:vAlign w:val="center"/>
          </w:tcPr>
          <w:p w14:paraId="48AFA5A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e implementa las actividades de seguimiento y medición en las etapas apropiadas para verificar que se cumplen los criterios para el control de los procesos o sus salidas, y los criterios de aceptación para los productos de servicios, cuando sea aplicable.</w:t>
            </w:r>
          </w:p>
        </w:tc>
        <w:tc>
          <w:tcPr>
            <w:tcW w:w="311" w:type="dxa"/>
            <w:shd w:val="clear" w:color="auto" w:fill="auto"/>
            <w:vAlign w:val="center"/>
          </w:tcPr>
          <w:p w14:paraId="15732D1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E94DBD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FC37C5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985BAF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A6394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89D3C29" w14:textId="77777777" w:rsidTr="00607909">
        <w:trPr>
          <w:trHeight w:val="405"/>
        </w:trPr>
        <w:tc>
          <w:tcPr>
            <w:tcW w:w="434" w:type="dxa"/>
            <w:shd w:val="clear" w:color="auto" w:fill="auto"/>
            <w:vAlign w:val="center"/>
          </w:tcPr>
          <w:p w14:paraId="072C6AA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92</w:t>
            </w:r>
          </w:p>
        </w:tc>
        <w:tc>
          <w:tcPr>
            <w:tcW w:w="7354" w:type="dxa"/>
            <w:shd w:val="clear" w:color="auto" w:fill="auto"/>
            <w:vAlign w:val="center"/>
          </w:tcPr>
          <w:p w14:paraId="4E03966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con el uso de la infraestructura y el entorno adecuados para la operación de los procesos, cuando sea aplicable.</w:t>
            </w:r>
          </w:p>
        </w:tc>
        <w:tc>
          <w:tcPr>
            <w:tcW w:w="311" w:type="dxa"/>
            <w:shd w:val="clear" w:color="auto" w:fill="auto"/>
            <w:vAlign w:val="center"/>
          </w:tcPr>
          <w:p w14:paraId="7AADC72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7BF20C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A594FE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F5A3FA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447FC0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50D476C" w14:textId="77777777" w:rsidTr="00607909">
        <w:trPr>
          <w:trHeight w:val="405"/>
        </w:trPr>
        <w:tc>
          <w:tcPr>
            <w:tcW w:w="434" w:type="dxa"/>
            <w:shd w:val="clear" w:color="auto" w:fill="auto"/>
            <w:vAlign w:val="center"/>
          </w:tcPr>
          <w:p w14:paraId="7319EEF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93</w:t>
            </w:r>
          </w:p>
        </w:tc>
        <w:tc>
          <w:tcPr>
            <w:tcW w:w="7354" w:type="dxa"/>
            <w:shd w:val="clear" w:color="auto" w:fill="auto"/>
            <w:vAlign w:val="center"/>
          </w:tcPr>
          <w:p w14:paraId="44F2A16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y la designación de personas competentes, incluyendo cualquier calificación requerida, cuando sea aplicable.</w:t>
            </w:r>
          </w:p>
        </w:tc>
        <w:tc>
          <w:tcPr>
            <w:tcW w:w="311" w:type="dxa"/>
            <w:shd w:val="clear" w:color="auto" w:fill="auto"/>
            <w:vAlign w:val="center"/>
          </w:tcPr>
          <w:p w14:paraId="2B25B9B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152732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318788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CD5D42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2398E1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DA1EEBC" w14:textId="77777777" w:rsidTr="00607909">
        <w:trPr>
          <w:trHeight w:val="607"/>
        </w:trPr>
        <w:tc>
          <w:tcPr>
            <w:tcW w:w="434" w:type="dxa"/>
            <w:shd w:val="clear" w:color="auto" w:fill="auto"/>
            <w:vAlign w:val="center"/>
          </w:tcPr>
          <w:p w14:paraId="5979DB1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94</w:t>
            </w:r>
          </w:p>
        </w:tc>
        <w:tc>
          <w:tcPr>
            <w:tcW w:w="7354" w:type="dxa"/>
            <w:shd w:val="clear" w:color="auto" w:fill="auto"/>
            <w:vAlign w:val="center"/>
          </w:tcPr>
          <w:p w14:paraId="32D7E26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así como la validación y revalidación periódica de la capacidad para alcanzar los resultados planificados de los procesos de producción y de prestación del servicio, cuando las salidas resultantes no puedan verificarse mediante actividades de seguimiento o medición posteriores, cuando sea aplicable.</w:t>
            </w:r>
          </w:p>
        </w:tc>
        <w:tc>
          <w:tcPr>
            <w:tcW w:w="311" w:type="dxa"/>
            <w:shd w:val="clear" w:color="auto" w:fill="auto"/>
            <w:vAlign w:val="center"/>
          </w:tcPr>
          <w:p w14:paraId="1F15F88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8EBAB0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40D2BE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859CFC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885BC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EEF4864" w14:textId="77777777" w:rsidTr="00607909">
        <w:trPr>
          <w:trHeight w:val="285"/>
        </w:trPr>
        <w:tc>
          <w:tcPr>
            <w:tcW w:w="434" w:type="dxa"/>
            <w:shd w:val="clear" w:color="auto" w:fill="auto"/>
            <w:vAlign w:val="center"/>
          </w:tcPr>
          <w:p w14:paraId="78508D5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95</w:t>
            </w:r>
          </w:p>
        </w:tc>
        <w:tc>
          <w:tcPr>
            <w:tcW w:w="7354" w:type="dxa"/>
            <w:shd w:val="clear" w:color="auto" w:fill="auto"/>
            <w:vAlign w:val="center"/>
          </w:tcPr>
          <w:p w14:paraId="454C3EB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e implementa acciones para prevenir los errores humanos, cuando sea aplicable.</w:t>
            </w:r>
          </w:p>
        </w:tc>
        <w:tc>
          <w:tcPr>
            <w:tcW w:w="311" w:type="dxa"/>
            <w:shd w:val="clear" w:color="auto" w:fill="auto"/>
            <w:vAlign w:val="center"/>
          </w:tcPr>
          <w:p w14:paraId="190EDE2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A6D58A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FEFF53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39FD97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666559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40B0D97" w14:textId="77777777" w:rsidTr="00607909">
        <w:trPr>
          <w:trHeight w:val="285"/>
        </w:trPr>
        <w:tc>
          <w:tcPr>
            <w:tcW w:w="434" w:type="dxa"/>
            <w:shd w:val="clear" w:color="auto" w:fill="auto"/>
            <w:vAlign w:val="center"/>
          </w:tcPr>
          <w:p w14:paraId="6CB914C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96</w:t>
            </w:r>
          </w:p>
        </w:tc>
        <w:tc>
          <w:tcPr>
            <w:tcW w:w="7354" w:type="dxa"/>
            <w:shd w:val="clear" w:color="auto" w:fill="auto"/>
            <w:vAlign w:val="center"/>
          </w:tcPr>
          <w:p w14:paraId="135FA25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 producción y provisión del servicio e implementa actividades de liberación, entrega y posteriores a la entrega, cuando sea aplicable.</w:t>
            </w:r>
          </w:p>
        </w:tc>
        <w:tc>
          <w:tcPr>
            <w:tcW w:w="311" w:type="dxa"/>
            <w:shd w:val="clear" w:color="auto" w:fill="auto"/>
            <w:vAlign w:val="center"/>
          </w:tcPr>
          <w:p w14:paraId="56E2A68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01CB17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7CFE8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E10EC2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A3F938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335E707" w14:textId="77777777" w:rsidTr="00607909">
        <w:trPr>
          <w:trHeight w:val="285"/>
        </w:trPr>
        <w:tc>
          <w:tcPr>
            <w:tcW w:w="434" w:type="dxa"/>
            <w:shd w:val="clear" w:color="auto" w:fill="auto"/>
            <w:vAlign w:val="center"/>
          </w:tcPr>
          <w:p w14:paraId="57151D2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97</w:t>
            </w:r>
          </w:p>
        </w:tc>
        <w:tc>
          <w:tcPr>
            <w:tcW w:w="7354" w:type="dxa"/>
            <w:shd w:val="clear" w:color="auto" w:fill="auto"/>
            <w:vAlign w:val="center"/>
          </w:tcPr>
          <w:p w14:paraId="600BCC4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utiliza los medios apropiados para identificar las salidas, cuando sea necesario, para asegurar la conformidad de los productos y servicios.</w:t>
            </w:r>
          </w:p>
        </w:tc>
        <w:tc>
          <w:tcPr>
            <w:tcW w:w="311" w:type="dxa"/>
            <w:shd w:val="clear" w:color="auto" w:fill="auto"/>
            <w:vAlign w:val="center"/>
          </w:tcPr>
          <w:p w14:paraId="3FA80C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CF6010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492E6F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2B2DDF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2F9C63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ECAAE95" w14:textId="77777777" w:rsidTr="00607909">
        <w:trPr>
          <w:trHeight w:val="285"/>
        </w:trPr>
        <w:tc>
          <w:tcPr>
            <w:tcW w:w="434" w:type="dxa"/>
            <w:shd w:val="clear" w:color="auto" w:fill="auto"/>
            <w:vAlign w:val="center"/>
          </w:tcPr>
          <w:p w14:paraId="65ECB01D"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98</w:t>
            </w:r>
          </w:p>
        </w:tc>
        <w:tc>
          <w:tcPr>
            <w:tcW w:w="7354" w:type="dxa"/>
            <w:shd w:val="clear" w:color="auto" w:fill="auto"/>
            <w:vAlign w:val="center"/>
          </w:tcPr>
          <w:p w14:paraId="442D27B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identifica el estado de las salidas con respecto a los requisitos de seguimiento y medición a través de la producción y prestación del servicio.</w:t>
            </w:r>
          </w:p>
        </w:tc>
        <w:tc>
          <w:tcPr>
            <w:tcW w:w="311" w:type="dxa"/>
            <w:shd w:val="clear" w:color="auto" w:fill="auto"/>
            <w:vAlign w:val="center"/>
          </w:tcPr>
          <w:p w14:paraId="1358A55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ACCC87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D3425D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49DBA4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1FFD63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A02DEFC" w14:textId="77777777" w:rsidTr="00607909">
        <w:trPr>
          <w:trHeight w:val="285"/>
        </w:trPr>
        <w:tc>
          <w:tcPr>
            <w:tcW w:w="434" w:type="dxa"/>
            <w:shd w:val="clear" w:color="auto" w:fill="auto"/>
            <w:vAlign w:val="center"/>
          </w:tcPr>
          <w:p w14:paraId="409894D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99</w:t>
            </w:r>
          </w:p>
        </w:tc>
        <w:tc>
          <w:tcPr>
            <w:tcW w:w="7354" w:type="dxa"/>
            <w:shd w:val="clear" w:color="auto" w:fill="auto"/>
            <w:vAlign w:val="center"/>
          </w:tcPr>
          <w:p w14:paraId="38921E85"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 xml:space="preserve">La organización controla la identificación única de las salidas cuando la trazabilidad sea un requisito, </w:t>
            </w:r>
          </w:p>
        </w:tc>
        <w:tc>
          <w:tcPr>
            <w:tcW w:w="311" w:type="dxa"/>
            <w:shd w:val="clear" w:color="auto" w:fill="auto"/>
            <w:vAlign w:val="center"/>
          </w:tcPr>
          <w:p w14:paraId="58A9B32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14B9D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CE788F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97DDFF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D05FE8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4892A33" w14:textId="77777777" w:rsidTr="00607909">
        <w:trPr>
          <w:trHeight w:val="285"/>
        </w:trPr>
        <w:tc>
          <w:tcPr>
            <w:tcW w:w="434" w:type="dxa"/>
            <w:shd w:val="clear" w:color="auto" w:fill="auto"/>
            <w:vAlign w:val="center"/>
          </w:tcPr>
          <w:p w14:paraId="2B311DC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100</w:t>
            </w:r>
          </w:p>
        </w:tc>
        <w:tc>
          <w:tcPr>
            <w:tcW w:w="7354" w:type="dxa"/>
            <w:shd w:val="clear" w:color="auto" w:fill="auto"/>
            <w:vAlign w:val="center"/>
          </w:tcPr>
          <w:p w14:paraId="164FFF9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necesaria de las salidas para permitir la trazabilidad.</w:t>
            </w:r>
          </w:p>
        </w:tc>
        <w:tc>
          <w:tcPr>
            <w:tcW w:w="311" w:type="dxa"/>
            <w:shd w:val="clear" w:color="auto" w:fill="auto"/>
            <w:vAlign w:val="center"/>
          </w:tcPr>
          <w:p w14:paraId="160BE77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1BC9EB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C22D44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F36D8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6213F6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39B374A" w14:textId="77777777" w:rsidTr="00607909">
        <w:trPr>
          <w:trHeight w:val="285"/>
        </w:trPr>
        <w:tc>
          <w:tcPr>
            <w:tcW w:w="434" w:type="dxa"/>
            <w:shd w:val="clear" w:color="auto" w:fill="auto"/>
            <w:vAlign w:val="center"/>
          </w:tcPr>
          <w:p w14:paraId="4D24EF1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101</w:t>
            </w:r>
          </w:p>
        </w:tc>
        <w:tc>
          <w:tcPr>
            <w:tcW w:w="7354" w:type="dxa"/>
            <w:shd w:val="clear" w:color="auto" w:fill="auto"/>
            <w:vAlign w:val="center"/>
          </w:tcPr>
          <w:p w14:paraId="1CF6573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cuida la propiedad perteneciente a los clientes o a proveedores externos mientras este bajo el control de la organización o esté siendo utilizada por la misma.</w:t>
            </w:r>
          </w:p>
        </w:tc>
        <w:tc>
          <w:tcPr>
            <w:tcW w:w="311" w:type="dxa"/>
            <w:shd w:val="clear" w:color="auto" w:fill="auto"/>
            <w:vAlign w:val="center"/>
          </w:tcPr>
          <w:p w14:paraId="317BF85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BF255D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AD473E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36F010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486D4B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50C018E" w14:textId="77777777" w:rsidTr="00607909">
        <w:trPr>
          <w:trHeight w:val="405"/>
        </w:trPr>
        <w:tc>
          <w:tcPr>
            <w:tcW w:w="434" w:type="dxa"/>
            <w:shd w:val="clear" w:color="auto" w:fill="auto"/>
            <w:vAlign w:val="center"/>
          </w:tcPr>
          <w:p w14:paraId="64A4DE4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102</w:t>
            </w:r>
          </w:p>
        </w:tc>
        <w:tc>
          <w:tcPr>
            <w:tcW w:w="7354" w:type="dxa"/>
            <w:shd w:val="clear" w:color="auto" w:fill="auto"/>
            <w:vAlign w:val="center"/>
          </w:tcPr>
          <w:p w14:paraId="23F1610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identifica, verifica, protege y salvaguarda la propiedad de los clientes o de los proveedores externos suministrada para su utilización o incorporación dentro de los productos y servicios.</w:t>
            </w:r>
          </w:p>
        </w:tc>
        <w:tc>
          <w:tcPr>
            <w:tcW w:w="311" w:type="dxa"/>
            <w:shd w:val="clear" w:color="auto" w:fill="auto"/>
            <w:vAlign w:val="center"/>
          </w:tcPr>
          <w:p w14:paraId="7E242BB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CAD49E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EF998C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86622E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1556B8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628823C" w14:textId="77777777" w:rsidTr="00607909">
        <w:trPr>
          <w:trHeight w:val="405"/>
        </w:trPr>
        <w:tc>
          <w:tcPr>
            <w:tcW w:w="434" w:type="dxa"/>
            <w:shd w:val="clear" w:color="auto" w:fill="auto"/>
            <w:vAlign w:val="center"/>
          </w:tcPr>
          <w:p w14:paraId="38A4455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103</w:t>
            </w:r>
          </w:p>
        </w:tc>
        <w:tc>
          <w:tcPr>
            <w:tcW w:w="7354" w:type="dxa"/>
            <w:shd w:val="clear" w:color="auto" w:fill="auto"/>
            <w:vAlign w:val="center"/>
          </w:tcPr>
          <w:p w14:paraId="11048FD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informa al cliente o proveedor externo cuando la propiedad de un cliente o de un proveedor externo se pierda, deteriore o de algún otro modo se considere inadecuada para su uso</w:t>
            </w:r>
          </w:p>
        </w:tc>
        <w:tc>
          <w:tcPr>
            <w:tcW w:w="311" w:type="dxa"/>
            <w:shd w:val="clear" w:color="auto" w:fill="auto"/>
            <w:vAlign w:val="center"/>
          </w:tcPr>
          <w:p w14:paraId="770E18C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2D921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0EDC51A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535A50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608AED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5889255" w14:textId="77777777" w:rsidTr="00607909">
        <w:trPr>
          <w:trHeight w:val="285"/>
        </w:trPr>
        <w:tc>
          <w:tcPr>
            <w:tcW w:w="434" w:type="dxa"/>
            <w:shd w:val="clear" w:color="auto" w:fill="auto"/>
            <w:vAlign w:val="center"/>
          </w:tcPr>
          <w:p w14:paraId="0B193BF9"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104</w:t>
            </w:r>
          </w:p>
        </w:tc>
        <w:tc>
          <w:tcPr>
            <w:tcW w:w="7354" w:type="dxa"/>
            <w:shd w:val="clear" w:color="auto" w:fill="auto"/>
            <w:vAlign w:val="center"/>
          </w:tcPr>
          <w:p w14:paraId="621E82D1"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lo ocurrido.</w:t>
            </w:r>
          </w:p>
        </w:tc>
        <w:tc>
          <w:tcPr>
            <w:tcW w:w="311" w:type="dxa"/>
            <w:shd w:val="clear" w:color="auto" w:fill="auto"/>
            <w:vAlign w:val="center"/>
          </w:tcPr>
          <w:p w14:paraId="478D711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837EE5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4BF9D4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600A70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215486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5B9CEF5" w14:textId="77777777" w:rsidTr="00607909">
        <w:trPr>
          <w:trHeight w:val="285"/>
        </w:trPr>
        <w:tc>
          <w:tcPr>
            <w:tcW w:w="434" w:type="dxa"/>
            <w:shd w:val="clear" w:color="auto" w:fill="auto"/>
            <w:vAlign w:val="center"/>
          </w:tcPr>
          <w:p w14:paraId="33628FB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lastRenderedPageBreak/>
              <w:t>105</w:t>
            </w:r>
          </w:p>
        </w:tc>
        <w:tc>
          <w:tcPr>
            <w:tcW w:w="7354" w:type="dxa"/>
            <w:shd w:val="clear" w:color="auto" w:fill="auto"/>
            <w:vAlign w:val="center"/>
          </w:tcPr>
          <w:p w14:paraId="673001D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preserva las salidas durante la producción y prestación del servicio, en la medida necesaria para asegurarse de la conformidad con los requisitos.</w:t>
            </w:r>
          </w:p>
        </w:tc>
        <w:tc>
          <w:tcPr>
            <w:tcW w:w="311" w:type="dxa"/>
            <w:shd w:val="clear" w:color="auto" w:fill="auto"/>
            <w:vAlign w:val="center"/>
          </w:tcPr>
          <w:p w14:paraId="37C4B02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FA7012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4E4942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0148B9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F3BD72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741682B" w14:textId="77777777" w:rsidTr="00607909">
        <w:trPr>
          <w:trHeight w:val="285"/>
        </w:trPr>
        <w:tc>
          <w:tcPr>
            <w:tcW w:w="434" w:type="dxa"/>
            <w:shd w:val="clear" w:color="auto" w:fill="auto"/>
            <w:vAlign w:val="center"/>
          </w:tcPr>
          <w:p w14:paraId="0445540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106</w:t>
            </w:r>
          </w:p>
        </w:tc>
        <w:tc>
          <w:tcPr>
            <w:tcW w:w="7354" w:type="dxa"/>
            <w:shd w:val="clear" w:color="auto" w:fill="auto"/>
            <w:vAlign w:val="center"/>
          </w:tcPr>
          <w:p w14:paraId="72B5BE9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cumple los requisitos para las actividades posteriores a la entrega asociadas con los productos y servicios.</w:t>
            </w:r>
          </w:p>
        </w:tc>
        <w:tc>
          <w:tcPr>
            <w:tcW w:w="311" w:type="dxa"/>
            <w:shd w:val="clear" w:color="auto" w:fill="auto"/>
            <w:vAlign w:val="center"/>
          </w:tcPr>
          <w:p w14:paraId="415DF1E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4C165B1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0B0C32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83C053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1A1CCF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9D9D6D7" w14:textId="77777777" w:rsidTr="00607909">
        <w:trPr>
          <w:trHeight w:val="285"/>
        </w:trPr>
        <w:tc>
          <w:tcPr>
            <w:tcW w:w="434" w:type="dxa"/>
            <w:shd w:val="clear" w:color="auto" w:fill="auto"/>
            <w:vAlign w:val="center"/>
          </w:tcPr>
          <w:p w14:paraId="4345E8D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107</w:t>
            </w:r>
          </w:p>
        </w:tc>
        <w:tc>
          <w:tcPr>
            <w:tcW w:w="7354" w:type="dxa"/>
            <w:shd w:val="clear" w:color="auto" w:fill="auto"/>
            <w:vAlign w:val="center"/>
          </w:tcPr>
          <w:p w14:paraId="6C01D12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el alcance de las actividades posteriores a la entrega que se requieren, la organización considera los requisitos legales y reglamentarios.</w:t>
            </w:r>
          </w:p>
        </w:tc>
        <w:tc>
          <w:tcPr>
            <w:tcW w:w="311" w:type="dxa"/>
            <w:shd w:val="clear" w:color="auto" w:fill="auto"/>
            <w:vAlign w:val="center"/>
          </w:tcPr>
          <w:p w14:paraId="1CC096B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363898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C9FFB1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06FEB7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0A9B6E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60B16E90" w14:textId="77777777" w:rsidTr="00607909">
        <w:trPr>
          <w:trHeight w:val="405"/>
        </w:trPr>
        <w:tc>
          <w:tcPr>
            <w:tcW w:w="434" w:type="dxa"/>
            <w:shd w:val="clear" w:color="auto" w:fill="auto"/>
            <w:vAlign w:val="center"/>
          </w:tcPr>
          <w:p w14:paraId="4513CEAC"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108</w:t>
            </w:r>
          </w:p>
        </w:tc>
        <w:tc>
          <w:tcPr>
            <w:tcW w:w="7354" w:type="dxa"/>
            <w:shd w:val="clear" w:color="auto" w:fill="auto"/>
            <w:vAlign w:val="center"/>
          </w:tcPr>
          <w:p w14:paraId="23EC6AC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el alcance de las actividades posteriores a la entrega que se requieren, la organización considera las consecuencias potenciales no deseadas asociadas a sus productos y servicios.</w:t>
            </w:r>
          </w:p>
        </w:tc>
        <w:tc>
          <w:tcPr>
            <w:tcW w:w="311" w:type="dxa"/>
            <w:shd w:val="clear" w:color="auto" w:fill="auto"/>
            <w:vAlign w:val="center"/>
          </w:tcPr>
          <w:p w14:paraId="3FC973B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E6A07E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4BD23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571ABEA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810344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6BFC306" w14:textId="77777777" w:rsidTr="00607909">
        <w:trPr>
          <w:trHeight w:val="285"/>
        </w:trPr>
        <w:tc>
          <w:tcPr>
            <w:tcW w:w="434" w:type="dxa"/>
            <w:shd w:val="clear" w:color="auto" w:fill="auto"/>
            <w:vAlign w:val="center"/>
          </w:tcPr>
          <w:p w14:paraId="11EB790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109</w:t>
            </w:r>
          </w:p>
        </w:tc>
        <w:tc>
          <w:tcPr>
            <w:tcW w:w="7354" w:type="dxa"/>
            <w:shd w:val="clear" w:color="auto" w:fill="auto"/>
            <w:vAlign w:val="center"/>
          </w:tcPr>
          <w:p w14:paraId="118FF9C3"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el alcance de las actividades posteriores a la entrega que se requieren, la organización considera la naturaleza, el uso y la vida útil prevista de sus productos.</w:t>
            </w:r>
          </w:p>
        </w:tc>
        <w:tc>
          <w:tcPr>
            <w:tcW w:w="311" w:type="dxa"/>
            <w:shd w:val="clear" w:color="auto" w:fill="auto"/>
            <w:vAlign w:val="center"/>
          </w:tcPr>
          <w:p w14:paraId="5B6D61F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E5510F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0777B7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2C93C0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D0FEB3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EC496F6" w14:textId="77777777" w:rsidTr="00607909">
        <w:trPr>
          <w:trHeight w:val="285"/>
        </w:trPr>
        <w:tc>
          <w:tcPr>
            <w:tcW w:w="434" w:type="dxa"/>
            <w:shd w:val="clear" w:color="auto" w:fill="auto"/>
            <w:vAlign w:val="center"/>
          </w:tcPr>
          <w:p w14:paraId="55A9846F"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110</w:t>
            </w:r>
          </w:p>
        </w:tc>
        <w:tc>
          <w:tcPr>
            <w:tcW w:w="7354" w:type="dxa"/>
            <w:shd w:val="clear" w:color="auto" w:fill="auto"/>
            <w:vAlign w:val="center"/>
          </w:tcPr>
          <w:p w14:paraId="634A8C8F"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el alcance de las actividades posteriores a la entrega que se requieren, la organización considera los requisitos del cliente.</w:t>
            </w:r>
          </w:p>
        </w:tc>
        <w:tc>
          <w:tcPr>
            <w:tcW w:w="311" w:type="dxa"/>
            <w:shd w:val="clear" w:color="auto" w:fill="auto"/>
            <w:vAlign w:val="center"/>
          </w:tcPr>
          <w:p w14:paraId="3DFF3BE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3AA646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ADAF94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D999FD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0995B16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44014B4B" w14:textId="77777777" w:rsidTr="00607909">
        <w:trPr>
          <w:trHeight w:val="285"/>
        </w:trPr>
        <w:tc>
          <w:tcPr>
            <w:tcW w:w="434" w:type="dxa"/>
            <w:shd w:val="clear" w:color="auto" w:fill="auto"/>
            <w:vAlign w:val="center"/>
          </w:tcPr>
          <w:p w14:paraId="66E03893"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111</w:t>
            </w:r>
          </w:p>
        </w:tc>
        <w:tc>
          <w:tcPr>
            <w:tcW w:w="7354" w:type="dxa"/>
            <w:shd w:val="clear" w:color="auto" w:fill="auto"/>
            <w:vAlign w:val="center"/>
          </w:tcPr>
          <w:p w14:paraId="42E75E1B"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Al determinar el alcance de las actividades posteriores a la entrega que se requieren, la organización considera la retroalimentación del cliente.</w:t>
            </w:r>
          </w:p>
        </w:tc>
        <w:tc>
          <w:tcPr>
            <w:tcW w:w="311" w:type="dxa"/>
            <w:shd w:val="clear" w:color="auto" w:fill="auto"/>
            <w:vAlign w:val="center"/>
          </w:tcPr>
          <w:p w14:paraId="4112119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D38C6C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62DED9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AFFE5D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622115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0ED257F2" w14:textId="77777777" w:rsidTr="00607909">
        <w:trPr>
          <w:trHeight w:val="405"/>
        </w:trPr>
        <w:tc>
          <w:tcPr>
            <w:tcW w:w="434" w:type="dxa"/>
            <w:shd w:val="clear" w:color="auto" w:fill="auto"/>
            <w:vAlign w:val="center"/>
          </w:tcPr>
          <w:p w14:paraId="00B257AA"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112</w:t>
            </w:r>
          </w:p>
        </w:tc>
        <w:tc>
          <w:tcPr>
            <w:tcW w:w="7354" w:type="dxa"/>
            <w:shd w:val="clear" w:color="auto" w:fill="auto"/>
            <w:vAlign w:val="center"/>
          </w:tcPr>
          <w:p w14:paraId="54D9B8F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revisa y controla los cambios para la producción o la prestación del servicio, en la extensión necesaria para asegurarse de la continuidad en la conformidad con los requisitos.</w:t>
            </w:r>
          </w:p>
        </w:tc>
        <w:tc>
          <w:tcPr>
            <w:tcW w:w="311" w:type="dxa"/>
            <w:shd w:val="clear" w:color="auto" w:fill="auto"/>
            <w:vAlign w:val="center"/>
          </w:tcPr>
          <w:p w14:paraId="3F9911D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6E4EB9C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5D38E79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B1A95C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5EFE28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28CF095" w14:textId="77777777" w:rsidTr="00607909">
        <w:trPr>
          <w:trHeight w:val="405"/>
        </w:trPr>
        <w:tc>
          <w:tcPr>
            <w:tcW w:w="434" w:type="dxa"/>
            <w:shd w:val="clear" w:color="auto" w:fill="auto"/>
            <w:vAlign w:val="center"/>
          </w:tcPr>
          <w:p w14:paraId="36849EF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113</w:t>
            </w:r>
          </w:p>
        </w:tc>
        <w:tc>
          <w:tcPr>
            <w:tcW w:w="7354" w:type="dxa"/>
            <w:shd w:val="clear" w:color="auto" w:fill="auto"/>
            <w:vAlign w:val="center"/>
          </w:tcPr>
          <w:p w14:paraId="18D3C247"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información documentada que describe los resultados de la revisión de los cambios, las personas que autorizan el cambio y de cualquier acción necesaria que surja de la revisión.</w:t>
            </w:r>
          </w:p>
        </w:tc>
        <w:tc>
          <w:tcPr>
            <w:tcW w:w="311" w:type="dxa"/>
            <w:shd w:val="clear" w:color="auto" w:fill="auto"/>
            <w:vAlign w:val="center"/>
          </w:tcPr>
          <w:p w14:paraId="0ED0CF0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BA2D99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318364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18ACD3F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394B8DD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579CF23" w14:textId="77777777" w:rsidTr="00607909">
        <w:trPr>
          <w:trHeight w:val="285"/>
        </w:trPr>
        <w:tc>
          <w:tcPr>
            <w:tcW w:w="434" w:type="dxa"/>
            <w:shd w:val="clear" w:color="auto" w:fill="auto"/>
            <w:vAlign w:val="center"/>
          </w:tcPr>
          <w:p w14:paraId="13F6538E"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114</w:t>
            </w:r>
          </w:p>
        </w:tc>
        <w:tc>
          <w:tcPr>
            <w:tcW w:w="7354" w:type="dxa"/>
            <w:shd w:val="clear" w:color="auto" w:fill="auto"/>
            <w:vAlign w:val="center"/>
          </w:tcPr>
          <w:p w14:paraId="6BF036B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implementa las disposiciones planificadas, en las etapas adecuadas, para verificar que se cumplen los requisitos de los productos y servicios.</w:t>
            </w:r>
          </w:p>
        </w:tc>
        <w:tc>
          <w:tcPr>
            <w:tcW w:w="311" w:type="dxa"/>
            <w:shd w:val="clear" w:color="auto" w:fill="auto"/>
            <w:vAlign w:val="center"/>
          </w:tcPr>
          <w:p w14:paraId="7970EDC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C5F456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6DF69D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90C73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DB14A3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161F6C12" w14:textId="77777777" w:rsidTr="00607909">
        <w:trPr>
          <w:trHeight w:val="405"/>
        </w:trPr>
        <w:tc>
          <w:tcPr>
            <w:tcW w:w="434" w:type="dxa"/>
            <w:shd w:val="clear" w:color="auto" w:fill="auto"/>
            <w:vAlign w:val="center"/>
          </w:tcPr>
          <w:p w14:paraId="5D0C6EC5"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115</w:t>
            </w:r>
          </w:p>
        </w:tc>
        <w:tc>
          <w:tcPr>
            <w:tcW w:w="7354" w:type="dxa"/>
            <w:shd w:val="clear" w:color="auto" w:fill="auto"/>
            <w:vAlign w:val="center"/>
          </w:tcPr>
          <w:p w14:paraId="41025B8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libera los productos y servicios al cliente hasta que se han completado satisfactoriamente las disposiciones planificadas, a menos que sea aprobado de otra manera por una autoridad pertinente y, cuando sea aplicable, por el cliente.</w:t>
            </w:r>
          </w:p>
        </w:tc>
        <w:tc>
          <w:tcPr>
            <w:tcW w:w="311" w:type="dxa"/>
            <w:shd w:val="clear" w:color="auto" w:fill="auto"/>
            <w:vAlign w:val="center"/>
          </w:tcPr>
          <w:p w14:paraId="127EFDDA"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CDD4E9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411BD74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41DDCDC"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8AED49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99F41C3" w14:textId="77777777" w:rsidTr="00607909">
        <w:trPr>
          <w:trHeight w:val="405"/>
        </w:trPr>
        <w:tc>
          <w:tcPr>
            <w:tcW w:w="434" w:type="dxa"/>
            <w:shd w:val="clear" w:color="auto" w:fill="auto"/>
            <w:vAlign w:val="center"/>
          </w:tcPr>
          <w:p w14:paraId="4E81AAA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116</w:t>
            </w:r>
          </w:p>
        </w:tc>
        <w:tc>
          <w:tcPr>
            <w:tcW w:w="7354" w:type="dxa"/>
            <w:shd w:val="clear" w:color="auto" w:fill="auto"/>
            <w:vAlign w:val="center"/>
          </w:tcPr>
          <w:p w14:paraId="5F7BD64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la liberación de los productos y servicios, incluyendo evidencia de la conformidad con los criterios de aceptación.</w:t>
            </w:r>
          </w:p>
        </w:tc>
        <w:tc>
          <w:tcPr>
            <w:tcW w:w="311" w:type="dxa"/>
            <w:shd w:val="clear" w:color="auto" w:fill="auto"/>
            <w:vAlign w:val="center"/>
          </w:tcPr>
          <w:p w14:paraId="2CD7477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59DC8C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D19EF6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6701F0F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0856C79"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B113634" w14:textId="77777777" w:rsidTr="00607909">
        <w:trPr>
          <w:trHeight w:val="285"/>
        </w:trPr>
        <w:tc>
          <w:tcPr>
            <w:tcW w:w="434" w:type="dxa"/>
            <w:shd w:val="clear" w:color="auto" w:fill="auto"/>
            <w:vAlign w:val="center"/>
          </w:tcPr>
          <w:p w14:paraId="5DAAAD94"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117</w:t>
            </w:r>
          </w:p>
        </w:tc>
        <w:tc>
          <w:tcPr>
            <w:tcW w:w="7354" w:type="dxa"/>
            <w:shd w:val="clear" w:color="auto" w:fill="auto"/>
            <w:vAlign w:val="center"/>
          </w:tcPr>
          <w:p w14:paraId="77D1FB80"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conserva la información documentada sobre la liberación de los productos y servicios, incluyendo trazabilidad a las personas que autorizan la liberación.</w:t>
            </w:r>
          </w:p>
        </w:tc>
        <w:tc>
          <w:tcPr>
            <w:tcW w:w="311" w:type="dxa"/>
            <w:shd w:val="clear" w:color="auto" w:fill="auto"/>
            <w:vAlign w:val="center"/>
          </w:tcPr>
          <w:p w14:paraId="4DAA5D8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1BD3D46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8880F4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06BF799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7AA8DC1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382409BB" w14:textId="77777777" w:rsidTr="00607909">
        <w:trPr>
          <w:trHeight w:val="285"/>
        </w:trPr>
        <w:tc>
          <w:tcPr>
            <w:tcW w:w="434" w:type="dxa"/>
            <w:shd w:val="clear" w:color="auto" w:fill="auto"/>
            <w:vAlign w:val="center"/>
          </w:tcPr>
          <w:p w14:paraId="1E593180"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118</w:t>
            </w:r>
          </w:p>
        </w:tc>
        <w:tc>
          <w:tcPr>
            <w:tcW w:w="7354" w:type="dxa"/>
            <w:shd w:val="clear" w:color="auto" w:fill="auto"/>
            <w:vAlign w:val="center"/>
          </w:tcPr>
          <w:p w14:paraId="5ECCAF5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se asegura de que las salidas que no sean conformes con sus requisitos se identifican y se controlan para prevenir su uso o entrega no intencionada.</w:t>
            </w:r>
          </w:p>
        </w:tc>
        <w:tc>
          <w:tcPr>
            <w:tcW w:w="311" w:type="dxa"/>
            <w:shd w:val="clear" w:color="auto" w:fill="auto"/>
            <w:vAlign w:val="center"/>
          </w:tcPr>
          <w:p w14:paraId="6D6FDDD8"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79E929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96B87A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D3FB37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1FD48CA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5B5DBB15" w14:textId="77777777" w:rsidTr="00607909">
        <w:trPr>
          <w:trHeight w:val="405"/>
        </w:trPr>
        <w:tc>
          <w:tcPr>
            <w:tcW w:w="434" w:type="dxa"/>
            <w:shd w:val="clear" w:color="auto" w:fill="auto"/>
            <w:vAlign w:val="center"/>
          </w:tcPr>
          <w:p w14:paraId="59960D78"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119</w:t>
            </w:r>
          </w:p>
        </w:tc>
        <w:tc>
          <w:tcPr>
            <w:tcW w:w="7354" w:type="dxa"/>
            <w:shd w:val="clear" w:color="auto" w:fill="auto"/>
            <w:vAlign w:val="center"/>
          </w:tcPr>
          <w:p w14:paraId="6C8F99D2"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toma las acciones adecuadas basándose en la naturaleza de la no conformidad y en su efecto sobre la conformidad de los productos y servicios (aplicando también a los productos y servicios no conformes detectados después de la entrega de los productos, durante o después de la provisión de los servicios).</w:t>
            </w:r>
          </w:p>
        </w:tc>
        <w:tc>
          <w:tcPr>
            <w:tcW w:w="311" w:type="dxa"/>
            <w:shd w:val="clear" w:color="auto" w:fill="auto"/>
            <w:vAlign w:val="center"/>
          </w:tcPr>
          <w:p w14:paraId="5C0CF656"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7853348E"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B141A5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3D42F45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4CA46FB1"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2F2ADCFD" w14:textId="77777777" w:rsidTr="00607909">
        <w:trPr>
          <w:trHeight w:val="405"/>
        </w:trPr>
        <w:tc>
          <w:tcPr>
            <w:tcW w:w="434" w:type="dxa"/>
            <w:shd w:val="clear" w:color="auto" w:fill="auto"/>
            <w:vAlign w:val="center"/>
          </w:tcPr>
          <w:p w14:paraId="35DEF00B"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lastRenderedPageBreak/>
              <w:t>120</w:t>
            </w:r>
          </w:p>
        </w:tc>
        <w:tc>
          <w:tcPr>
            <w:tcW w:w="7354" w:type="dxa"/>
            <w:shd w:val="clear" w:color="auto" w:fill="auto"/>
            <w:vAlign w:val="center"/>
          </w:tcPr>
          <w:p w14:paraId="44ABA08D"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trata las salidas no conformes de una o más de las siguientes maneras: a) Corrección, b) Separación, contención, devolución o suspensión de provisión de productos y servicios, c) Información al cliente, o d) Obtención de autorización para su aceptación bajo concesión.</w:t>
            </w:r>
          </w:p>
        </w:tc>
        <w:tc>
          <w:tcPr>
            <w:tcW w:w="311" w:type="dxa"/>
            <w:shd w:val="clear" w:color="auto" w:fill="auto"/>
            <w:vAlign w:val="center"/>
          </w:tcPr>
          <w:p w14:paraId="073B10C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00003835"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2378F16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71D2572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2D65A2FF"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A49A77C" w14:textId="77777777" w:rsidTr="00607909">
        <w:trPr>
          <w:trHeight w:val="285"/>
        </w:trPr>
        <w:tc>
          <w:tcPr>
            <w:tcW w:w="434" w:type="dxa"/>
            <w:shd w:val="clear" w:color="auto" w:fill="auto"/>
            <w:vAlign w:val="center"/>
          </w:tcPr>
          <w:p w14:paraId="1A6CB346"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121</w:t>
            </w:r>
          </w:p>
        </w:tc>
        <w:tc>
          <w:tcPr>
            <w:tcW w:w="7354" w:type="dxa"/>
            <w:shd w:val="clear" w:color="auto" w:fill="auto"/>
            <w:vAlign w:val="center"/>
          </w:tcPr>
          <w:p w14:paraId="57264458"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verifica la conformidad con los requisitos cuando se corrigen las salidas no conformes.</w:t>
            </w:r>
          </w:p>
        </w:tc>
        <w:tc>
          <w:tcPr>
            <w:tcW w:w="311" w:type="dxa"/>
            <w:shd w:val="clear" w:color="auto" w:fill="auto"/>
            <w:vAlign w:val="center"/>
          </w:tcPr>
          <w:p w14:paraId="7218BB7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39DD63E2"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7D4D94DD"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2454D23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6511E34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r w:rsidR="00311A64" w:rsidRPr="00607909" w14:paraId="7C5500C8" w14:textId="77777777" w:rsidTr="00607909">
        <w:trPr>
          <w:trHeight w:val="416"/>
        </w:trPr>
        <w:tc>
          <w:tcPr>
            <w:tcW w:w="434" w:type="dxa"/>
            <w:shd w:val="clear" w:color="auto" w:fill="auto"/>
            <w:vAlign w:val="center"/>
          </w:tcPr>
          <w:p w14:paraId="76AB27D2" w14:textId="77777777" w:rsidR="00311A64" w:rsidRPr="00607909" w:rsidRDefault="00EC1CAF">
            <w:pPr>
              <w:widowControl w:val="0"/>
              <w:spacing w:line="240" w:lineRule="auto"/>
              <w:jc w:val="center"/>
              <w:rPr>
                <w:rFonts w:eastAsia="Times New Roman"/>
                <w:color w:val="000000"/>
                <w:szCs w:val="24"/>
                <w:lang w:eastAsia="es-MX"/>
              </w:rPr>
            </w:pPr>
            <w:r w:rsidRPr="00607909">
              <w:rPr>
                <w:rFonts w:eastAsia="Times New Roman"/>
                <w:color w:val="000000" w:themeColor="text1"/>
                <w:szCs w:val="24"/>
                <w:lang w:eastAsia="es-MX"/>
              </w:rPr>
              <w:t>122</w:t>
            </w:r>
          </w:p>
        </w:tc>
        <w:tc>
          <w:tcPr>
            <w:tcW w:w="7354" w:type="dxa"/>
            <w:shd w:val="clear" w:color="auto" w:fill="auto"/>
            <w:vAlign w:val="center"/>
          </w:tcPr>
          <w:p w14:paraId="1F239329" w14:textId="77777777" w:rsidR="00311A64" w:rsidRPr="00607909" w:rsidRDefault="00EC1CAF">
            <w:pPr>
              <w:widowControl w:val="0"/>
              <w:spacing w:line="240" w:lineRule="auto"/>
              <w:rPr>
                <w:rFonts w:eastAsia="Times New Roman"/>
                <w:color w:val="000000"/>
                <w:szCs w:val="24"/>
                <w:lang w:eastAsia="es-MX"/>
              </w:rPr>
            </w:pPr>
            <w:r w:rsidRPr="00607909">
              <w:rPr>
                <w:rFonts w:eastAsia="Times New Roman"/>
                <w:color w:val="000000" w:themeColor="text1"/>
                <w:szCs w:val="24"/>
                <w:lang w:eastAsia="es-MX"/>
              </w:rPr>
              <w:t>La organización mantiene la información documentada que: a) Describa la no conformidad, b) Describa las acciones tomadas, c) Describa todas las concesiones obtenidas y d) Identifique la autoridad que decide la acción con respecto a la no conformidad.</w:t>
            </w:r>
          </w:p>
        </w:tc>
        <w:tc>
          <w:tcPr>
            <w:tcW w:w="311" w:type="dxa"/>
            <w:shd w:val="clear" w:color="auto" w:fill="auto"/>
            <w:vAlign w:val="center"/>
          </w:tcPr>
          <w:p w14:paraId="32D146B7"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3" w:type="dxa"/>
            <w:shd w:val="clear" w:color="auto" w:fill="auto"/>
            <w:vAlign w:val="center"/>
          </w:tcPr>
          <w:p w14:paraId="2192A483"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1" w:type="dxa"/>
            <w:shd w:val="clear" w:color="auto" w:fill="auto"/>
            <w:vAlign w:val="center"/>
          </w:tcPr>
          <w:p w14:paraId="11BDFAC0"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5" w:type="dxa"/>
            <w:shd w:val="clear" w:color="auto" w:fill="auto"/>
            <w:vAlign w:val="center"/>
          </w:tcPr>
          <w:p w14:paraId="40496454"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c>
          <w:tcPr>
            <w:tcW w:w="312" w:type="dxa"/>
            <w:shd w:val="clear" w:color="auto" w:fill="auto"/>
            <w:vAlign w:val="center"/>
          </w:tcPr>
          <w:p w14:paraId="5A9AB66B" w14:textId="77777777" w:rsidR="00311A64" w:rsidRPr="00607909" w:rsidRDefault="00EC1CAF">
            <w:pPr>
              <w:widowControl w:val="0"/>
              <w:spacing w:line="240" w:lineRule="auto"/>
              <w:jc w:val="left"/>
              <w:rPr>
                <w:rFonts w:eastAsia="Times New Roman"/>
                <w:color w:val="000000"/>
                <w:szCs w:val="24"/>
                <w:lang w:eastAsia="es-MX"/>
              </w:rPr>
            </w:pPr>
            <w:r w:rsidRPr="00607909">
              <w:rPr>
                <w:rFonts w:eastAsia="Times New Roman"/>
                <w:color w:val="000000" w:themeColor="text1"/>
                <w:szCs w:val="24"/>
                <w:lang w:eastAsia="es-MX"/>
              </w:rPr>
              <w:t> </w:t>
            </w:r>
          </w:p>
        </w:tc>
      </w:tr>
    </w:tbl>
    <w:p w14:paraId="640BF7A8" w14:textId="486EDFDE" w:rsidR="00311A64" w:rsidRDefault="007E1FE0" w:rsidP="007E1FE0">
      <w:pPr>
        <w:jc w:val="center"/>
      </w:pPr>
      <w:r>
        <w:t>Fuente: Elaboración propia</w:t>
      </w:r>
    </w:p>
    <w:p w14:paraId="282916A2" w14:textId="77777777" w:rsidR="00E87E79" w:rsidRDefault="00E87E79" w:rsidP="007E1FE0">
      <w:pPr>
        <w:jc w:val="center"/>
      </w:pPr>
    </w:p>
    <w:p w14:paraId="401852AA" w14:textId="77777777" w:rsidR="00E87E79" w:rsidRDefault="00E87E79" w:rsidP="007E1FE0">
      <w:pPr>
        <w:jc w:val="center"/>
      </w:pPr>
    </w:p>
    <w:p w14:paraId="1F06FC9E" w14:textId="77777777" w:rsidR="00E87E79" w:rsidRDefault="00E87E79" w:rsidP="007E1FE0">
      <w:pPr>
        <w:jc w:val="center"/>
      </w:pPr>
    </w:p>
    <w:p w14:paraId="68049839" w14:textId="77777777" w:rsidR="00E87E79" w:rsidRDefault="00E87E79" w:rsidP="007E1FE0">
      <w:pPr>
        <w:jc w:val="center"/>
      </w:pPr>
    </w:p>
    <w:p w14:paraId="17FCA83D" w14:textId="77777777" w:rsidR="00E87E79" w:rsidRDefault="00E87E79" w:rsidP="007E1FE0">
      <w:pPr>
        <w:jc w:val="center"/>
      </w:pPr>
    </w:p>
    <w:p w14:paraId="680123E2" w14:textId="77777777" w:rsidR="00E87E79" w:rsidRDefault="00E87E79" w:rsidP="007E1FE0">
      <w:pPr>
        <w:jc w:val="center"/>
      </w:pPr>
    </w:p>
    <w:p w14:paraId="0770A0D4" w14:textId="77777777" w:rsidR="00E87E79" w:rsidRDefault="00E87E79" w:rsidP="007E1FE0">
      <w:pPr>
        <w:jc w:val="center"/>
      </w:pPr>
    </w:p>
    <w:p w14:paraId="73935533" w14:textId="77777777" w:rsidR="00E87E79" w:rsidRDefault="00E87E79" w:rsidP="007E1FE0">
      <w:pPr>
        <w:jc w:val="center"/>
      </w:pPr>
    </w:p>
    <w:p w14:paraId="6EA08902" w14:textId="77777777" w:rsidR="00E87E79" w:rsidRDefault="00E87E79" w:rsidP="007E1FE0">
      <w:pPr>
        <w:jc w:val="center"/>
      </w:pPr>
    </w:p>
    <w:p w14:paraId="00A5E767" w14:textId="77777777" w:rsidR="00E87E79" w:rsidRDefault="00E87E79" w:rsidP="007E1FE0">
      <w:pPr>
        <w:jc w:val="center"/>
      </w:pPr>
    </w:p>
    <w:p w14:paraId="765551FA" w14:textId="77777777" w:rsidR="00E87E79" w:rsidRDefault="00E87E79" w:rsidP="007E1FE0">
      <w:pPr>
        <w:jc w:val="center"/>
      </w:pPr>
    </w:p>
    <w:p w14:paraId="4CE2626E" w14:textId="77777777" w:rsidR="00E87E79" w:rsidRDefault="00E87E79" w:rsidP="007E1FE0">
      <w:pPr>
        <w:jc w:val="center"/>
      </w:pPr>
    </w:p>
    <w:p w14:paraId="6CBE4653" w14:textId="77777777" w:rsidR="00E87E79" w:rsidRDefault="00E87E79" w:rsidP="007E1FE0">
      <w:pPr>
        <w:jc w:val="center"/>
      </w:pPr>
    </w:p>
    <w:p w14:paraId="4CD4D45B" w14:textId="77777777" w:rsidR="00E87E79" w:rsidRDefault="00E87E79" w:rsidP="007E1FE0">
      <w:pPr>
        <w:jc w:val="center"/>
      </w:pPr>
    </w:p>
    <w:p w14:paraId="04C8C738" w14:textId="77777777" w:rsidR="00E87E79" w:rsidRDefault="00E87E79" w:rsidP="007E1FE0">
      <w:pPr>
        <w:jc w:val="center"/>
      </w:pPr>
    </w:p>
    <w:p w14:paraId="074AD56C" w14:textId="77777777" w:rsidR="00E87E79" w:rsidRDefault="00E87E79" w:rsidP="007E1FE0">
      <w:pPr>
        <w:jc w:val="center"/>
      </w:pPr>
    </w:p>
    <w:p w14:paraId="2505EE55" w14:textId="77777777" w:rsidR="00E87E79" w:rsidRDefault="00E87E79" w:rsidP="007E1FE0">
      <w:pPr>
        <w:jc w:val="cente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87E79" w:rsidRPr="00E87E79" w14:paraId="79A1959E" w14:textId="77777777" w:rsidTr="000328D2">
        <w:tc>
          <w:tcPr>
            <w:tcW w:w="3045" w:type="dxa"/>
            <w:shd w:val="clear" w:color="auto" w:fill="auto"/>
            <w:tcMar>
              <w:top w:w="100" w:type="dxa"/>
              <w:left w:w="100" w:type="dxa"/>
              <w:bottom w:w="100" w:type="dxa"/>
              <w:right w:w="100" w:type="dxa"/>
            </w:tcMar>
          </w:tcPr>
          <w:p w14:paraId="605E9209" w14:textId="77777777" w:rsidR="00E87E79" w:rsidRPr="00E87E79" w:rsidRDefault="00E87E79" w:rsidP="00E87E79">
            <w:pPr>
              <w:pStyle w:val="Ttulo3"/>
              <w:widowControl w:val="0"/>
              <w:spacing w:before="0" w:line="240" w:lineRule="auto"/>
              <w:ind w:left="0" w:firstLine="0"/>
              <w:rPr>
                <w:b w:val="0"/>
                <w:bCs/>
                <w:i w:val="0"/>
                <w:iCs w:val="0"/>
                <w:szCs w:val="24"/>
              </w:rPr>
            </w:pPr>
            <w:r w:rsidRPr="00E87E79">
              <w:rPr>
                <w:b w:val="0"/>
                <w:bCs/>
                <w:i w:val="0"/>
                <w:iCs w:val="0"/>
                <w:szCs w:val="24"/>
              </w:rPr>
              <w:lastRenderedPageBreak/>
              <w:t>Rol de Contribución</w:t>
            </w:r>
          </w:p>
        </w:tc>
        <w:tc>
          <w:tcPr>
            <w:tcW w:w="6315" w:type="dxa"/>
            <w:shd w:val="clear" w:color="auto" w:fill="auto"/>
            <w:tcMar>
              <w:top w:w="100" w:type="dxa"/>
              <w:left w:w="100" w:type="dxa"/>
              <w:bottom w:w="100" w:type="dxa"/>
              <w:right w:w="100" w:type="dxa"/>
            </w:tcMar>
          </w:tcPr>
          <w:p w14:paraId="27155D1B" w14:textId="40970D73" w:rsidR="00E87E79" w:rsidRPr="00E87E79" w:rsidRDefault="00E87E79" w:rsidP="00E87E79">
            <w:pPr>
              <w:pStyle w:val="Ttulo3"/>
              <w:widowControl w:val="0"/>
              <w:spacing w:before="0" w:line="240" w:lineRule="auto"/>
              <w:ind w:left="0" w:firstLine="0"/>
              <w:rPr>
                <w:b w:val="0"/>
                <w:bCs/>
                <w:i w:val="0"/>
                <w:iCs w:val="0"/>
                <w:szCs w:val="24"/>
              </w:rPr>
            </w:pPr>
            <w:bookmarkStart w:id="25" w:name="_btsjgdfgjwkr" w:colFirst="0" w:colLast="0"/>
            <w:bookmarkEnd w:id="25"/>
            <w:r>
              <w:rPr>
                <w:b w:val="0"/>
                <w:bCs/>
                <w:i w:val="0"/>
                <w:iCs w:val="0"/>
                <w:szCs w:val="24"/>
              </w:rPr>
              <w:t>Autor (es)</w:t>
            </w:r>
          </w:p>
        </w:tc>
      </w:tr>
      <w:tr w:rsidR="00E87E79" w:rsidRPr="00E87E79" w14:paraId="7408B11E" w14:textId="77777777" w:rsidTr="000328D2">
        <w:tc>
          <w:tcPr>
            <w:tcW w:w="3045" w:type="dxa"/>
            <w:shd w:val="clear" w:color="auto" w:fill="auto"/>
            <w:tcMar>
              <w:top w:w="100" w:type="dxa"/>
              <w:left w:w="100" w:type="dxa"/>
              <w:bottom w:w="100" w:type="dxa"/>
              <w:right w:w="100" w:type="dxa"/>
            </w:tcMar>
          </w:tcPr>
          <w:p w14:paraId="46F5D32C" w14:textId="77777777" w:rsidR="00E87E79" w:rsidRPr="00E87E79" w:rsidRDefault="00E87E79" w:rsidP="000328D2">
            <w:pPr>
              <w:widowControl w:val="0"/>
              <w:spacing w:line="240" w:lineRule="auto"/>
              <w:rPr>
                <w:bCs/>
                <w:szCs w:val="24"/>
              </w:rPr>
            </w:pPr>
            <w:r w:rsidRPr="00E87E79">
              <w:rPr>
                <w:bCs/>
                <w:szCs w:val="24"/>
              </w:rPr>
              <w:t>Conceptualización</w:t>
            </w:r>
          </w:p>
        </w:tc>
        <w:tc>
          <w:tcPr>
            <w:tcW w:w="6315" w:type="dxa"/>
            <w:shd w:val="clear" w:color="auto" w:fill="auto"/>
            <w:tcMar>
              <w:top w:w="100" w:type="dxa"/>
              <w:left w:w="100" w:type="dxa"/>
              <w:bottom w:w="100" w:type="dxa"/>
              <w:right w:w="100" w:type="dxa"/>
            </w:tcMar>
          </w:tcPr>
          <w:p w14:paraId="5FB313BA"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 «igual»</w:t>
            </w:r>
            <w:r w:rsidRPr="00E87E79">
              <w:rPr>
                <w:bCs/>
                <w:szCs w:val="24"/>
              </w:rPr>
              <w:br/>
            </w:r>
            <w:r w:rsidRPr="00E87E79">
              <w:rPr>
                <w:bCs/>
                <w:szCs w:val="24"/>
                <w:shd w:val="clear" w:color="auto" w:fill="FFFFFF"/>
              </w:rPr>
              <w:t xml:space="preserve">Ernesto Carreón Gallegos «igual» Ernesto Geovani Figueroa </w:t>
            </w:r>
            <w:proofErr w:type="spellStart"/>
            <w:r w:rsidRPr="00E87E79">
              <w:rPr>
                <w:bCs/>
                <w:szCs w:val="24"/>
                <w:shd w:val="clear" w:color="auto" w:fill="FFFFFF"/>
              </w:rPr>
              <w:t>Gonzalez</w:t>
            </w:r>
            <w:proofErr w:type="spellEnd"/>
          </w:p>
        </w:tc>
      </w:tr>
      <w:tr w:rsidR="00E87E79" w:rsidRPr="00E87E79" w14:paraId="59B222BD" w14:textId="77777777" w:rsidTr="000328D2">
        <w:tc>
          <w:tcPr>
            <w:tcW w:w="3045" w:type="dxa"/>
            <w:shd w:val="clear" w:color="auto" w:fill="auto"/>
            <w:tcMar>
              <w:top w:w="100" w:type="dxa"/>
              <w:left w:w="100" w:type="dxa"/>
              <w:bottom w:w="100" w:type="dxa"/>
              <w:right w:w="100" w:type="dxa"/>
            </w:tcMar>
          </w:tcPr>
          <w:p w14:paraId="0C7FB0FB" w14:textId="77777777" w:rsidR="00E87E79" w:rsidRPr="00E87E79" w:rsidRDefault="00E87E79" w:rsidP="000328D2">
            <w:pPr>
              <w:widowControl w:val="0"/>
              <w:spacing w:line="240" w:lineRule="auto"/>
              <w:rPr>
                <w:bCs/>
                <w:szCs w:val="24"/>
              </w:rPr>
            </w:pPr>
            <w:r w:rsidRPr="00E87E79">
              <w:rPr>
                <w:bCs/>
                <w:szCs w:val="24"/>
              </w:rPr>
              <w:t>Metodología</w:t>
            </w:r>
          </w:p>
        </w:tc>
        <w:tc>
          <w:tcPr>
            <w:tcW w:w="6315" w:type="dxa"/>
            <w:shd w:val="clear" w:color="auto" w:fill="auto"/>
            <w:tcMar>
              <w:top w:w="100" w:type="dxa"/>
              <w:left w:w="100" w:type="dxa"/>
              <w:bottom w:w="100" w:type="dxa"/>
              <w:right w:w="100" w:type="dxa"/>
            </w:tcMar>
          </w:tcPr>
          <w:p w14:paraId="19B54203"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43413C50" w14:textId="77777777" w:rsidTr="000328D2">
        <w:tc>
          <w:tcPr>
            <w:tcW w:w="3045" w:type="dxa"/>
            <w:shd w:val="clear" w:color="auto" w:fill="auto"/>
            <w:tcMar>
              <w:top w:w="100" w:type="dxa"/>
              <w:left w:w="100" w:type="dxa"/>
              <w:bottom w:w="100" w:type="dxa"/>
              <w:right w:w="100" w:type="dxa"/>
            </w:tcMar>
          </w:tcPr>
          <w:p w14:paraId="21EB8899" w14:textId="77777777" w:rsidR="00E87E79" w:rsidRPr="00E87E79" w:rsidRDefault="00E87E79" w:rsidP="000328D2">
            <w:pPr>
              <w:widowControl w:val="0"/>
              <w:spacing w:line="240" w:lineRule="auto"/>
              <w:rPr>
                <w:bCs/>
                <w:szCs w:val="24"/>
              </w:rPr>
            </w:pPr>
            <w:r w:rsidRPr="00E87E79">
              <w:rPr>
                <w:bCs/>
                <w:szCs w:val="24"/>
              </w:rPr>
              <w:t>Software</w:t>
            </w:r>
          </w:p>
        </w:tc>
        <w:tc>
          <w:tcPr>
            <w:tcW w:w="6315" w:type="dxa"/>
            <w:shd w:val="clear" w:color="auto" w:fill="auto"/>
            <w:tcMar>
              <w:top w:w="100" w:type="dxa"/>
              <w:left w:w="100" w:type="dxa"/>
              <w:bottom w:w="100" w:type="dxa"/>
              <w:right w:w="100" w:type="dxa"/>
            </w:tcMar>
          </w:tcPr>
          <w:p w14:paraId="63E42A8D"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115CCAE3" w14:textId="77777777" w:rsidTr="000328D2">
        <w:tc>
          <w:tcPr>
            <w:tcW w:w="3045" w:type="dxa"/>
            <w:shd w:val="clear" w:color="auto" w:fill="auto"/>
            <w:tcMar>
              <w:top w:w="100" w:type="dxa"/>
              <w:left w:w="100" w:type="dxa"/>
              <w:bottom w:w="100" w:type="dxa"/>
              <w:right w:w="100" w:type="dxa"/>
            </w:tcMar>
          </w:tcPr>
          <w:p w14:paraId="38B3A1C7" w14:textId="77777777" w:rsidR="00E87E79" w:rsidRPr="00E87E79" w:rsidRDefault="00E87E79" w:rsidP="000328D2">
            <w:pPr>
              <w:widowControl w:val="0"/>
              <w:spacing w:line="240" w:lineRule="auto"/>
              <w:rPr>
                <w:bCs/>
                <w:szCs w:val="24"/>
              </w:rPr>
            </w:pPr>
            <w:r w:rsidRPr="00E87E79">
              <w:rPr>
                <w:bCs/>
                <w:szCs w:val="24"/>
              </w:rPr>
              <w:t>Validación</w:t>
            </w:r>
          </w:p>
        </w:tc>
        <w:tc>
          <w:tcPr>
            <w:tcW w:w="6315" w:type="dxa"/>
            <w:shd w:val="clear" w:color="auto" w:fill="auto"/>
            <w:tcMar>
              <w:top w:w="100" w:type="dxa"/>
              <w:left w:w="100" w:type="dxa"/>
              <w:bottom w:w="100" w:type="dxa"/>
              <w:right w:w="100" w:type="dxa"/>
            </w:tcMar>
          </w:tcPr>
          <w:p w14:paraId="5E522B87"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694F7D43" w14:textId="77777777" w:rsidTr="000328D2">
        <w:tc>
          <w:tcPr>
            <w:tcW w:w="3045" w:type="dxa"/>
            <w:shd w:val="clear" w:color="auto" w:fill="auto"/>
            <w:tcMar>
              <w:top w:w="100" w:type="dxa"/>
              <w:left w:w="100" w:type="dxa"/>
              <w:bottom w:w="100" w:type="dxa"/>
              <w:right w:w="100" w:type="dxa"/>
            </w:tcMar>
          </w:tcPr>
          <w:p w14:paraId="2FE02F12" w14:textId="77777777" w:rsidR="00E87E79" w:rsidRPr="00E87E79" w:rsidRDefault="00E87E79" w:rsidP="000328D2">
            <w:pPr>
              <w:widowControl w:val="0"/>
              <w:spacing w:line="240" w:lineRule="auto"/>
              <w:rPr>
                <w:bCs/>
                <w:szCs w:val="24"/>
              </w:rPr>
            </w:pPr>
            <w:r w:rsidRPr="00E87E79">
              <w:rPr>
                <w:bCs/>
                <w:szCs w:val="24"/>
              </w:rPr>
              <w:t>Análisis Formal</w:t>
            </w:r>
          </w:p>
        </w:tc>
        <w:tc>
          <w:tcPr>
            <w:tcW w:w="6315" w:type="dxa"/>
            <w:shd w:val="clear" w:color="auto" w:fill="auto"/>
            <w:tcMar>
              <w:top w:w="100" w:type="dxa"/>
              <w:left w:w="100" w:type="dxa"/>
              <w:bottom w:w="100" w:type="dxa"/>
              <w:right w:w="100" w:type="dxa"/>
            </w:tcMar>
          </w:tcPr>
          <w:p w14:paraId="467A9FC1"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5654A8BC" w14:textId="77777777" w:rsidTr="000328D2">
        <w:tc>
          <w:tcPr>
            <w:tcW w:w="3045" w:type="dxa"/>
            <w:shd w:val="clear" w:color="auto" w:fill="auto"/>
            <w:tcMar>
              <w:top w:w="100" w:type="dxa"/>
              <w:left w:w="100" w:type="dxa"/>
              <w:bottom w:w="100" w:type="dxa"/>
              <w:right w:w="100" w:type="dxa"/>
            </w:tcMar>
          </w:tcPr>
          <w:p w14:paraId="29855E7D" w14:textId="77777777" w:rsidR="00E87E79" w:rsidRPr="00E87E79" w:rsidRDefault="00E87E79" w:rsidP="000328D2">
            <w:pPr>
              <w:widowControl w:val="0"/>
              <w:spacing w:line="240" w:lineRule="auto"/>
              <w:rPr>
                <w:bCs/>
                <w:szCs w:val="24"/>
              </w:rPr>
            </w:pPr>
            <w:r w:rsidRPr="00E87E79">
              <w:rPr>
                <w:bCs/>
                <w:szCs w:val="24"/>
              </w:rPr>
              <w:t>Investigación</w:t>
            </w:r>
          </w:p>
        </w:tc>
        <w:tc>
          <w:tcPr>
            <w:tcW w:w="6315" w:type="dxa"/>
            <w:shd w:val="clear" w:color="auto" w:fill="auto"/>
            <w:tcMar>
              <w:top w:w="100" w:type="dxa"/>
              <w:left w:w="100" w:type="dxa"/>
              <w:bottom w:w="100" w:type="dxa"/>
              <w:right w:w="100" w:type="dxa"/>
            </w:tcMar>
          </w:tcPr>
          <w:p w14:paraId="7C86B181" w14:textId="77777777" w:rsidR="00E87E79" w:rsidRPr="00E87E79" w:rsidRDefault="00E87E79" w:rsidP="000328D2">
            <w:pPr>
              <w:widowControl w:val="0"/>
              <w:spacing w:line="240" w:lineRule="auto"/>
              <w:rPr>
                <w:bCs/>
                <w:szCs w:val="24"/>
              </w:rPr>
            </w:pPr>
            <w:r w:rsidRPr="00E87E79">
              <w:rPr>
                <w:bCs/>
                <w:szCs w:val="24"/>
                <w:shd w:val="clear" w:color="auto" w:fill="FFFFFF"/>
              </w:rPr>
              <w:t>Ernesto Carreón Gallegos «principal»</w:t>
            </w:r>
            <w:r w:rsidRPr="00E87E79">
              <w:rPr>
                <w:bCs/>
                <w:szCs w:val="24"/>
              </w:rPr>
              <w:br/>
            </w: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r w:rsidRPr="00E87E79">
              <w:rPr>
                <w:bCs/>
                <w:szCs w:val="24"/>
                <w:shd w:val="clear" w:color="auto" w:fill="FFFFFF"/>
              </w:rPr>
              <w:t xml:space="preserve"> «que apoya»</w:t>
            </w:r>
          </w:p>
        </w:tc>
      </w:tr>
      <w:tr w:rsidR="00E87E79" w:rsidRPr="00E87E79" w14:paraId="29FC8FFB" w14:textId="77777777" w:rsidTr="000328D2">
        <w:tc>
          <w:tcPr>
            <w:tcW w:w="3045" w:type="dxa"/>
            <w:shd w:val="clear" w:color="auto" w:fill="auto"/>
            <w:tcMar>
              <w:top w:w="100" w:type="dxa"/>
              <w:left w:w="100" w:type="dxa"/>
              <w:bottom w:w="100" w:type="dxa"/>
              <w:right w:w="100" w:type="dxa"/>
            </w:tcMar>
          </w:tcPr>
          <w:p w14:paraId="08DA0C57" w14:textId="77777777" w:rsidR="00E87E79" w:rsidRPr="00E87E79" w:rsidRDefault="00E87E79" w:rsidP="000328D2">
            <w:pPr>
              <w:widowControl w:val="0"/>
              <w:spacing w:line="240" w:lineRule="auto"/>
              <w:rPr>
                <w:bCs/>
                <w:szCs w:val="24"/>
              </w:rPr>
            </w:pPr>
            <w:r w:rsidRPr="00E87E79">
              <w:rPr>
                <w:bCs/>
                <w:szCs w:val="24"/>
              </w:rPr>
              <w:t>Recursos</w:t>
            </w:r>
          </w:p>
        </w:tc>
        <w:tc>
          <w:tcPr>
            <w:tcW w:w="6315" w:type="dxa"/>
            <w:shd w:val="clear" w:color="auto" w:fill="auto"/>
            <w:tcMar>
              <w:top w:w="100" w:type="dxa"/>
              <w:left w:w="100" w:type="dxa"/>
              <w:bottom w:w="100" w:type="dxa"/>
              <w:right w:w="100" w:type="dxa"/>
            </w:tcMar>
          </w:tcPr>
          <w:p w14:paraId="3018297E"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66D079A6" w14:textId="77777777" w:rsidTr="000328D2">
        <w:tc>
          <w:tcPr>
            <w:tcW w:w="3045" w:type="dxa"/>
            <w:shd w:val="clear" w:color="auto" w:fill="auto"/>
            <w:tcMar>
              <w:top w:w="100" w:type="dxa"/>
              <w:left w:w="100" w:type="dxa"/>
              <w:bottom w:w="100" w:type="dxa"/>
              <w:right w:w="100" w:type="dxa"/>
            </w:tcMar>
          </w:tcPr>
          <w:p w14:paraId="592C556B" w14:textId="77777777" w:rsidR="00E87E79" w:rsidRPr="00E87E79" w:rsidRDefault="00E87E79" w:rsidP="000328D2">
            <w:pPr>
              <w:widowControl w:val="0"/>
              <w:spacing w:line="240" w:lineRule="auto"/>
              <w:rPr>
                <w:bCs/>
                <w:szCs w:val="24"/>
              </w:rPr>
            </w:pPr>
            <w:r w:rsidRPr="00E87E79">
              <w:rPr>
                <w:bCs/>
                <w:szCs w:val="24"/>
              </w:rPr>
              <w:t>Curación de datos</w:t>
            </w:r>
          </w:p>
        </w:tc>
        <w:tc>
          <w:tcPr>
            <w:tcW w:w="6315" w:type="dxa"/>
            <w:shd w:val="clear" w:color="auto" w:fill="auto"/>
            <w:tcMar>
              <w:top w:w="100" w:type="dxa"/>
              <w:left w:w="100" w:type="dxa"/>
              <w:bottom w:w="100" w:type="dxa"/>
              <w:right w:w="100" w:type="dxa"/>
            </w:tcMar>
          </w:tcPr>
          <w:p w14:paraId="14D5BD6B"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p>
        </w:tc>
      </w:tr>
      <w:tr w:rsidR="00E87E79" w:rsidRPr="00E87E79" w14:paraId="5990A549" w14:textId="77777777" w:rsidTr="000328D2">
        <w:tc>
          <w:tcPr>
            <w:tcW w:w="3045" w:type="dxa"/>
            <w:shd w:val="clear" w:color="auto" w:fill="auto"/>
            <w:tcMar>
              <w:top w:w="100" w:type="dxa"/>
              <w:left w:w="100" w:type="dxa"/>
              <w:bottom w:w="100" w:type="dxa"/>
              <w:right w:w="100" w:type="dxa"/>
            </w:tcMar>
          </w:tcPr>
          <w:p w14:paraId="66D7D5F4" w14:textId="77777777" w:rsidR="00E87E79" w:rsidRPr="00E87E79" w:rsidRDefault="00E87E79" w:rsidP="000328D2">
            <w:pPr>
              <w:widowControl w:val="0"/>
              <w:spacing w:line="240" w:lineRule="auto"/>
              <w:rPr>
                <w:bCs/>
                <w:szCs w:val="24"/>
              </w:rPr>
            </w:pPr>
            <w:r w:rsidRPr="00E87E79">
              <w:rPr>
                <w:bCs/>
                <w:szCs w:val="24"/>
              </w:rPr>
              <w:t>Escritura - Preparación del borrador original</w:t>
            </w:r>
          </w:p>
        </w:tc>
        <w:tc>
          <w:tcPr>
            <w:tcW w:w="6315" w:type="dxa"/>
            <w:shd w:val="clear" w:color="auto" w:fill="auto"/>
            <w:tcMar>
              <w:top w:w="100" w:type="dxa"/>
              <w:left w:w="100" w:type="dxa"/>
              <w:bottom w:w="100" w:type="dxa"/>
              <w:right w:w="100" w:type="dxa"/>
            </w:tcMar>
          </w:tcPr>
          <w:p w14:paraId="0137ED20" w14:textId="77777777" w:rsidR="00E87E79" w:rsidRPr="00E87E79" w:rsidRDefault="00E87E79" w:rsidP="000328D2">
            <w:pPr>
              <w:widowControl w:val="0"/>
              <w:spacing w:line="240" w:lineRule="auto"/>
              <w:rPr>
                <w:bCs/>
                <w:szCs w:val="24"/>
              </w:rPr>
            </w:pPr>
            <w:r w:rsidRPr="00E87E79">
              <w:rPr>
                <w:bCs/>
                <w:szCs w:val="24"/>
                <w:shd w:val="clear" w:color="auto" w:fill="FFFFFF"/>
              </w:rPr>
              <w:t>Ernesto Carreón Gallegos «principal»</w:t>
            </w:r>
            <w:r w:rsidRPr="00E87E79">
              <w:rPr>
                <w:bCs/>
                <w:szCs w:val="24"/>
              </w:rPr>
              <w:br/>
            </w: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r w:rsidRPr="00E87E79">
              <w:rPr>
                <w:bCs/>
                <w:szCs w:val="24"/>
                <w:shd w:val="clear" w:color="auto" w:fill="FFFFFF"/>
              </w:rPr>
              <w:t xml:space="preserve"> «que apoya»</w:t>
            </w:r>
          </w:p>
        </w:tc>
      </w:tr>
      <w:tr w:rsidR="00E87E79" w:rsidRPr="00E87E79" w14:paraId="68717401" w14:textId="77777777" w:rsidTr="000328D2">
        <w:tc>
          <w:tcPr>
            <w:tcW w:w="3045" w:type="dxa"/>
            <w:shd w:val="clear" w:color="auto" w:fill="auto"/>
            <w:tcMar>
              <w:top w:w="100" w:type="dxa"/>
              <w:left w:w="100" w:type="dxa"/>
              <w:bottom w:w="100" w:type="dxa"/>
              <w:right w:w="100" w:type="dxa"/>
            </w:tcMar>
          </w:tcPr>
          <w:p w14:paraId="1D21D85C" w14:textId="77777777" w:rsidR="00E87E79" w:rsidRPr="00E87E79" w:rsidRDefault="00E87E79" w:rsidP="000328D2">
            <w:pPr>
              <w:widowControl w:val="0"/>
              <w:spacing w:line="240" w:lineRule="auto"/>
              <w:rPr>
                <w:bCs/>
                <w:szCs w:val="24"/>
              </w:rPr>
            </w:pPr>
            <w:r w:rsidRPr="00E87E79">
              <w:rPr>
                <w:bCs/>
                <w:szCs w:val="24"/>
              </w:rPr>
              <w:t>Escritura - Revisión y edición</w:t>
            </w:r>
          </w:p>
        </w:tc>
        <w:tc>
          <w:tcPr>
            <w:tcW w:w="6315" w:type="dxa"/>
            <w:shd w:val="clear" w:color="auto" w:fill="auto"/>
            <w:tcMar>
              <w:top w:w="100" w:type="dxa"/>
              <w:left w:w="100" w:type="dxa"/>
              <w:bottom w:w="100" w:type="dxa"/>
              <w:right w:w="100" w:type="dxa"/>
            </w:tcMar>
          </w:tcPr>
          <w:p w14:paraId="36760382" w14:textId="77777777" w:rsidR="00E87E79" w:rsidRPr="00E87E79" w:rsidRDefault="00E87E79" w:rsidP="000328D2">
            <w:pPr>
              <w:widowControl w:val="0"/>
              <w:spacing w:line="240" w:lineRule="auto"/>
              <w:rPr>
                <w:bCs/>
                <w:szCs w:val="24"/>
              </w:rPr>
            </w:pPr>
            <w:r w:rsidRPr="00E87E79">
              <w:rPr>
                <w:bCs/>
                <w:szCs w:val="24"/>
                <w:shd w:val="clear" w:color="auto" w:fill="FFFFFF"/>
              </w:rPr>
              <w:t>Ernesto Carreón Gallegos «principal»</w:t>
            </w:r>
            <w:r w:rsidRPr="00E87E79">
              <w:rPr>
                <w:bCs/>
                <w:szCs w:val="24"/>
              </w:rPr>
              <w:br/>
            </w: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r w:rsidRPr="00E87E79">
              <w:rPr>
                <w:bCs/>
                <w:szCs w:val="24"/>
                <w:shd w:val="clear" w:color="auto" w:fill="FFFFFF"/>
              </w:rPr>
              <w:t xml:space="preserve"> «que apoya»</w:t>
            </w:r>
          </w:p>
        </w:tc>
      </w:tr>
      <w:tr w:rsidR="00E87E79" w:rsidRPr="00E87E79" w14:paraId="386DD56D" w14:textId="77777777" w:rsidTr="000328D2">
        <w:tc>
          <w:tcPr>
            <w:tcW w:w="3045" w:type="dxa"/>
            <w:shd w:val="clear" w:color="auto" w:fill="auto"/>
            <w:tcMar>
              <w:top w:w="100" w:type="dxa"/>
              <w:left w:w="100" w:type="dxa"/>
              <w:bottom w:w="100" w:type="dxa"/>
              <w:right w:w="100" w:type="dxa"/>
            </w:tcMar>
          </w:tcPr>
          <w:p w14:paraId="637C4C23" w14:textId="77777777" w:rsidR="00E87E79" w:rsidRPr="00E87E79" w:rsidRDefault="00E87E79" w:rsidP="000328D2">
            <w:pPr>
              <w:widowControl w:val="0"/>
              <w:spacing w:line="240" w:lineRule="auto"/>
              <w:rPr>
                <w:bCs/>
                <w:szCs w:val="24"/>
              </w:rPr>
            </w:pPr>
            <w:r w:rsidRPr="00E87E79">
              <w:rPr>
                <w:bCs/>
                <w:szCs w:val="24"/>
              </w:rPr>
              <w:t>Visualización</w:t>
            </w:r>
          </w:p>
        </w:tc>
        <w:tc>
          <w:tcPr>
            <w:tcW w:w="6315" w:type="dxa"/>
            <w:shd w:val="clear" w:color="auto" w:fill="auto"/>
            <w:tcMar>
              <w:top w:w="100" w:type="dxa"/>
              <w:left w:w="100" w:type="dxa"/>
              <w:bottom w:w="100" w:type="dxa"/>
              <w:right w:w="100" w:type="dxa"/>
            </w:tcMar>
          </w:tcPr>
          <w:p w14:paraId="3281CBA2"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 «principal» Ernesto Carreón Gallegos «que apoya»</w:t>
            </w:r>
            <w:r w:rsidRPr="00E87E79">
              <w:rPr>
                <w:bCs/>
                <w:szCs w:val="24"/>
              </w:rPr>
              <w:br/>
            </w: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r w:rsidRPr="00E87E79">
              <w:rPr>
                <w:bCs/>
                <w:szCs w:val="24"/>
                <w:shd w:val="clear" w:color="auto" w:fill="FFFFFF"/>
              </w:rPr>
              <w:t xml:space="preserve"> «que apoya»</w:t>
            </w:r>
          </w:p>
        </w:tc>
      </w:tr>
      <w:tr w:rsidR="00E87E79" w:rsidRPr="00E87E79" w14:paraId="2E20F648" w14:textId="77777777" w:rsidTr="000328D2">
        <w:tc>
          <w:tcPr>
            <w:tcW w:w="3045" w:type="dxa"/>
            <w:shd w:val="clear" w:color="auto" w:fill="auto"/>
            <w:tcMar>
              <w:top w:w="100" w:type="dxa"/>
              <w:left w:w="100" w:type="dxa"/>
              <w:bottom w:w="100" w:type="dxa"/>
              <w:right w:w="100" w:type="dxa"/>
            </w:tcMar>
          </w:tcPr>
          <w:p w14:paraId="68A18CB0" w14:textId="77777777" w:rsidR="00E87E79" w:rsidRPr="00E87E79" w:rsidRDefault="00E87E79" w:rsidP="000328D2">
            <w:pPr>
              <w:widowControl w:val="0"/>
              <w:spacing w:line="240" w:lineRule="auto"/>
              <w:rPr>
                <w:bCs/>
                <w:szCs w:val="24"/>
              </w:rPr>
            </w:pPr>
            <w:r w:rsidRPr="00E87E79">
              <w:rPr>
                <w:bCs/>
                <w:szCs w:val="24"/>
              </w:rPr>
              <w:t>Supervisión</w:t>
            </w:r>
          </w:p>
        </w:tc>
        <w:tc>
          <w:tcPr>
            <w:tcW w:w="6315" w:type="dxa"/>
            <w:shd w:val="clear" w:color="auto" w:fill="auto"/>
            <w:tcMar>
              <w:top w:w="100" w:type="dxa"/>
              <w:left w:w="100" w:type="dxa"/>
              <w:bottom w:w="100" w:type="dxa"/>
              <w:right w:w="100" w:type="dxa"/>
            </w:tcMar>
          </w:tcPr>
          <w:p w14:paraId="189F30D4"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5927DB5E" w14:textId="77777777" w:rsidTr="000328D2">
        <w:tc>
          <w:tcPr>
            <w:tcW w:w="3045" w:type="dxa"/>
            <w:shd w:val="clear" w:color="auto" w:fill="auto"/>
            <w:tcMar>
              <w:top w:w="100" w:type="dxa"/>
              <w:left w:w="100" w:type="dxa"/>
              <w:bottom w:w="100" w:type="dxa"/>
              <w:right w:w="100" w:type="dxa"/>
            </w:tcMar>
          </w:tcPr>
          <w:p w14:paraId="4194E3A6" w14:textId="77777777" w:rsidR="00E87E79" w:rsidRPr="00E87E79" w:rsidRDefault="00E87E79" w:rsidP="000328D2">
            <w:pPr>
              <w:widowControl w:val="0"/>
              <w:spacing w:line="240" w:lineRule="auto"/>
              <w:rPr>
                <w:bCs/>
                <w:szCs w:val="24"/>
              </w:rPr>
            </w:pPr>
            <w:r w:rsidRPr="00E87E79">
              <w:rPr>
                <w:bCs/>
                <w:szCs w:val="24"/>
              </w:rPr>
              <w:t>Administración de Proyectos</w:t>
            </w:r>
          </w:p>
        </w:tc>
        <w:tc>
          <w:tcPr>
            <w:tcW w:w="6315" w:type="dxa"/>
            <w:shd w:val="clear" w:color="auto" w:fill="auto"/>
            <w:tcMar>
              <w:top w:w="100" w:type="dxa"/>
              <w:left w:w="100" w:type="dxa"/>
              <w:bottom w:w="100" w:type="dxa"/>
              <w:right w:w="100" w:type="dxa"/>
            </w:tcMar>
          </w:tcPr>
          <w:p w14:paraId="07EE39B0"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w:t>
            </w:r>
          </w:p>
        </w:tc>
      </w:tr>
      <w:tr w:rsidR="00E87E79" w:rsidRPr="00E87E79" w14:paraId="125038F9" w14:textId="77777777" w:rsidTr="000328D2">
        <w:tc>
          <w:tcPr>
            <w:tcW w:w="3045" w:type="dxa"/>
            <w:shd w:val="clear" w:color="auto" w:fill="auto"/>
            <w:tcMar>
              <w:top w:w="100" w:type="dxa"/>
              <w:left w:w="100" w:type="dxa"/>
              <w:bottom w:w="100" w:type="dxa"/>
              <w:right w:w="100" w:type="dxa"/>
            </w:tcMar>
          </w:tcPr>
          <w:p w14:paraId="69179B75" w14:textId="77777777" w:rsidR="00E87E79" w:rsidRPr="00E87E79" w:rsidRDefault="00E87E79" w:rsidP="000328D2">
            <w:pPr>
              <w:widowControl w:val="0"/>
              <w:spacing w:line="240" w:lineRule="auto"/>
              <w:rPr>
                <w:bCs/>
                <w:szCs w:val="24"/>
              </w:rPr>
            </w:pPr>
            <w:r w:rsidRPr="00E87E79">
              <w:rPr>
                <w:bCs/>
                <w:szCs w:val="24"/>
              </w:rPr>
              <w:t>Adquisición de fondos</w:t>
            </w:r>
          </w:p>
        </w:tc>
        <w:tc>
          <w:tcPr>
            <w:tcW w:w="6315" w:type="dxa"/>
            <w:shd w:val="clear" w:color="auto" w:fill="auto"/>
            <w:tcMar>
              <w:top w:w="100" w:type="dxa"/>
              <w:left w:w="100" w:type="dxa"/>
              <w:bottom w:w="100" w:type="dxa"/>
              <w:right w:w="100" w:type="dxa"/>
            </w:tcMar>
          </w:tcPr>
          <w:p w14:paraId="49B3D070" w14:textId="77777777" w:rsidR="00E87E79" w:rsidRPr="00E87E79" w:rsidRDefault="00E87E79" w:rsidP="000328D2">
            <w:pPr>
              <w:widowControl w:val="0"/>
              <w:spacing w:line="240" w:lineRule="auto"/>
              <w:rPr>
                <w:bCs/>
                <w:szCs w:val="24"/>
              </w:rPr>
            </w:pPr>
            <w:r w:rsidRPr="00E87E79">
              <w:rPr>
                <w:bCs/>
                <w:szCs w:val="24"/>
                <w:shd w:val="clear" w:color="auto" w:fill="FFFFFF"/>
              </w:rPr>
              <w:t xml:space="preserve">Jesús Guillermo Sotelo </w:t>
            </w:r>
            <w:proofErr w:type="spellStart"/>
            <w:r w:rsidRPr="00E87E79">
              <w:rPr>
                <w:bCs/>
                <w:szCs w:val="24"/>
                <w:shd w:val="clear" w:color="auto" w:fill="FFFFFF"/>
              </w:rPr>
              <w:t>Asef</w:t>
            </w:r>
            <w:proofErr w:type="spellEnd"/>
            <w:r w:rsidRPr="00E87E79">
              <w:rPr>
                <w:bCs/>
                <w:szCs w:val="24"/>
                <w:shd w:val="clear" w:color="auto" w:fill="FFFFFF"/>
              </w:rPr>
              <w:t>, «principal» Ernesto Carreón Gallegos «que apoya»</w:t>
            </w:r>
            <w:r w:rsidRPr="00E87E79">
              <w:rPr>
                <w:bCs/>
                <w:szCs w:val="24"/>
              </w:rPr>
              <w:br/>
            </w:r>
            <w:r w:rsidRPr="00E87E79">
              <w:rPr>
                <w:bCs/>
                <w:szCs w:val="24"/>
                <w:shd w:val="clear" w:color="auto" w:fill="FFFFFF"/>
              </w:rPr>
              <w:t xml:space="preserve">Ernesto Geovani Figueroa </w:t>
            </w:r>
            <w:proofErr w:type="spellStart"/>
            <w:r w:rsidRPr="00E87E79">
              <w:rPr>
                <w:bCs/>
                <w:szCs w:val="24"/>
                <w:shd w:val="clear" w:color="auto" w:fill="FFFFFF"/>
              </w:rPr>
              <w:t>Gonzalez</w:t>
            </w:r>
            <w:proofErr w:type="spellEnd"/>
            <w:r w:rsidRPr="00E87E79">
              <w:rPr>
                <w:bCs/>
                <w:szCs w:val="24"/>
                <w:shd w:val="clear" w:color="auto" w:fill="FFFFFF"/>
              </w:rPr>
              <w:t xml:space="preserve"> «que apoya»</w:t>
            </w:r>
          </w:p>
        </w:tc>
      </w:tr>
    </w:tbl>
    <w:p w14:paraId="1CFAE637" w14:textId="77777777" w:rsidR="00E87E79" w:rsidRDefault="00E87E79" w:rsidP="007E1FE0">
      <w:pPr>
        <w:jc w:val="center"/>
      </w:pPr>
    </w:p>
    <w:sectPr w:rsidR="00E87E79" w:rsidSect="006468CC">
      <w:headerReference w:type="default" r:id="rId13"/>
      <w:footerReference w:type="default" r:id="rId14"/>
      <w:pgSz w:w="12240" w:h="15840"/>
      <w:pgMar w:top="1276" w:right="1440" w:bottom="709"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AEC6" w14:textId="77777777" w:rsidR="00DD0506" w:rsidRDefault="00DD0506" w:rsidP="006468CC">
      <w:pPr>
        <w:spacing w:line="240" w:lineRule="auto"/>
      </w:pPr>
      <w:r>
        <w:separator/>
      </w:r>
    </w:p>
  </w:endnote>
  <w:endnote w:type="continuationSeparator" w:id="0">
    <w:p w14:paraId="55E03E04" w14:textId="77777777" w:rsidR="00DD0506" w:rsidRDefault="00DD0506" w:rsidP="00646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ADC" w14:textId="39D00C1B" w:rsidR="006468CC" w:rsidRDefault="006468CC">
    <w:pPr>
      <w:pStyle w:val="Piedepgina"/>
    </w:pPr>
    <w:r>
      <w:t xml:space="preserve">                 </w:t>
    </w:r>
    <w:r>
      <w:rPr>
        <w:noProof/>
        <w:lang w:eastAsia="es-MX"/>
      </w:rPr>
      <w:drawing>
        <wp:inline distT="0" distB="0" distL="0" distR="0" wp14:anchorId="14DF5F76" wp14:editId="585DEFD5">
          <wp:extent cx="1600200" cy="419100"/>
          <wp:effectExtent l="0" t="0" r="0" b="0"/>
          <wp:docPr id="811492700" name="Imagen 81149270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468CC">
      <w:rPr>
        <w:rFonts w:asciiTheme="minorHAnsi" w:hAnsiTheme="minorHAnsi" w:cstheme="minorHAnsi"/>
        <w:b/>
        <w:sz w:val="22"/>
        <w:szCs w:val="14"/>
      </w:rPr>
      <w:t xml:space="preserve">Vol. 14, Núm. 27 Julio - </w:t>
    </w:r>
    <w:proofErr w:type="gramStart"/>
    <w:r w:rsidRPr="006468CC">
      <w:rPr>
        <w:rFonts w:asciiTheme="minorHAnsi" w:hAnsiTheme="minorHAnsi" w:cstheme="minorHAnsi"/>
        <w:b/>
        <w:sz w:val="22"/>
        <w:szCs w:val="14"/>
      </w:rPr>
      <w:t>Diciembre</w:t>
    </w:r>
    <w:proofErr w:type="gramEnd"/>
    <w:r w:rsidRPr="006468CC">
      <w:rPr>
        <w:rFonts w:asciiTheme="minorHAnsi" w:hAnsiTheme="minorHAnsi" w:cstheme="minorHAnsi"/>
        <w:b/>
        <w:sz w:val="22"/>
        <w:szCs w:val="14"/>
      </w:rPr>
      <w:t xml:space="preserve"> 2023, e</w:t>
    </w:r>
    <w:r w:rsidR="00B745B0">
      <w:rPr>
        <w:rFonts w:asciiTheme="minorHAnsi" w:hAnsiTheme="minorHAnsi" w:cstheme="minorHAnsi"/>
        <w:b/>
        <w:sz w:val="22"/>
        <w:szCs w:val="14"/>
      </w:rPr>
      <w:t>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9D4A" w14:textId="77777777" w:rsidR="00DD0506" w:rsidRDefault="00DD0506" w:rsidP="006468CC">
      <w:pPr>
        <w:spacing w:line="240" w:lineRule="auto"/>
      </w:pPr>
      <w:r>
        <w:separator/>
      </w:r>
    </w:p>
  </w:footnote>
  <w:footnote w:type="continuationSeparator" w:id="0">
    <w:p w14:paraId="6F688EEF" w14:textId="77777777" w:rsidR="00DD0506" w:rsidRDefault="00DD0506" w:rsidP="00646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17E" w14:textId="60DDF6EB" w:rsidR="006468CC" w:rsidRDefault="006468CC">
    <w:pPr>
      <w:pStyle w:val="Encabezado"/>
    </w:pPr>
    <w:r>
      <w:rPr>
        <w:noProof/>
        <w:lang w:eastAsia="es-MX"/>
      </w:rPr>
      <w:drawing>
        <wp:anchor distT="0" distB="0" distL="114300" distR="0" simplePos="0" relativeHeight="251659264" behindDoc="0" locked="0" layoutInCell="0" allowOverlap="1" wp14:anchorId="3E567EDF" wp14:editId="1B499B7A">
          <wp:simplePos x="0" y="0"/>
          <wp:positionH relativeFrom="margin">
            <wp:align>center</wp:align>
          </wp:positionH>
          <wp:positionV relativeFrom="paragraph">
            <wp:posOffset>57150</wp:posOffset>
          </wp:positionV>
          <wp:extent cx="5400040" cy="632460"/>
          <wp:effectExtent l="0" t="0" r="0" b="0"/>
          <wp:wrapTight wrapText="bothSides">
            <wp:wrapPolygon edited="0">
              <wp:start x="0" y="0"/>
              <wp:lineTo x="0" y="20819"/>
              <wp:lineTo x="21488" y="20819"/>
              <wp:lineTo x="21488" y="0"/>
              <wp:lineTo x="0" y="0"/>
            </wp:wrapPolygon>
          </wp:wrapTight>
          <wp:docPr id="2134653026" name="Imagen 213465302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42F"/>
    <w:multiLevelType w:val="multilevel"/>
    <w:tmpl w:val="72988E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FC3A96"/>
    <w:multiLevelType w:val="multilevel"/>
    <w:tmpl w:val="72C6A3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F41E38"/>
    <w:multiLevelType w:val="multilevel"/>
    <w:tmpl w:val="041627F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107C37"/>
    <w:multiLevelType w:val="multilevel"/>
    <w:tmpl w:val="2578D26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0568790">
    <w:abstractNumId w:val="0"/>
  </w:num>
  <w:num w:numId="2" w16cid:durableId="1410999519">
    <w:abstractNumId w:val="2"/>
  </w:num>
  <w:num w:numId="3" w16cid:durableId="1527522746">
    <w:abstractNumId w:val="3"/>
  </w:num>
  <w:num w:numId="4" w16cid:durableId="121400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64"/>
    <w:rsid w:val="0000230A"/>
    <w:rsid w:val="00311A64"/>
    <w:rsid w:val="003F27E9"/>
    <w:rsid w:val="00607909"/>
    <w:rsid w:val="006468CC"/>
    <w:rsid w:val="007D5EC2"/>
    <w:rsid w:val="007E1FE0"/>
    <w:rsid w:val="00AF2BE6"/>
    <w:rsid w:val="00B745B0"/>
    <w:rsid w:val="00DD0506"/>
    <w:rsid w:val="00E877F9"/>
    <w:rsid w:val="00E87E79"/>
    <w:rsid w:val="00EB6CE6"/>
    <w:rsid w:val="00EC1CAF"/>
    <w:rsid w:val="00EC6DF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9A3"/>
  <w15:docId w15:val="{62247B04-1AF8-4F8F-BD1B-5C8150C9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67"/>
    <w:pPr>
      <w:spacing w:line="480" w:lineRule="auto"/>
      <w:jc w:val="both"/>
    </w:pPr>
    <w:rPr>
      <w:rFonts w:ascii="Times New Roman" w:hAnsi="Times New Roman" w:cs="Times New Roman"/>
      <w:sz w:val="24"/>
    </w:rPr>
  </w:style>
  <w:style w:type="paragraph" w:styleId="Ttulo1">
    <w:name w:val="heading 1"/>
    <w:basedOn w:val="Ttulo2"/>
    <w:next w:val="Normal"/>
    <w:link w:val="Ttulo1Car"/>
    <w:uiPriority w:val="9"/>
    <w:qFormat/>
    <w:rsid w:val="00AA0A66"/>
    <w:pPr>
      <w:ind w:left="0"/>
      <w:outlineLvl w:val="0"/>
    </w:pPr>
    <w:rPr>
      <w:i w:val="0"/>
      <w:iCs w:val="0"/>
      <w:sz w:val="28"/>
      <w:szCs w:val="28"/>
    </w:rPr>
  </w:style>
  <w:style w:type="paragraph" w:styleId="Ttulo2">
    <w:name w:val="heading 2"/>
    <w:basedOn w:val="Normal"/>
    <w:next w:val="Normal"/>
    <w:link w:val="Ttulo2Car"/>
    <w:uiPriority w:val="9"/>
    <w:unhideWhenUsed/>
    <w:qFormat/>
    <w:rsid w:val="00E8732D"/>
    <w:pPr>
      <w:keepNext/>
      <w:keepLines/>
      <w:spacing w:before="40"/>
      <w:ind w:left="432"/>
      <w:outlineLvl w:val="1"/>
    </w:pPr>
    <w:rPr>
      <w:rFonts w:eastAsiaTheme="majorEastAsia"/>
      <w:b/>
      <w:i/>
      <w:iCs/>
      <w:szCs w:val="26"/>
    </w:rPr>
  </w:style>
  <w:style w:type="paragraph" w:styleId="Ttulo3">
    <w:name w:val="heading 3"/>
    <w:basedOn w:val="Ttulo2"/>
    <w:next w:val="Normal"/>
    <w:link w:val="Ttulo3Car"/>
    <w:uiPriority w:val="9"/>
    <w:unhideWhenUsed/>
    <w:qFormat/>
    <w:rsid w:val="00E8732D"/>
    <w:pPr>
      <w:ind w:firstLine="276"/>
      <w:outlineLvl w:val="2"/>
    </w:pPr>
  </w:style>
  <w:style w:type="paragraph" w:styleId="Ttulo4">
    <w:name w:val="heading 4"/>
    <w:basedOn w:val="Normal"/>
    <w:next w:val="Normal"/>
    <w:link w:val="Ttulo4Car"/>
    <w:uiPriority w:val="9"/>
    <w:unhideWhenUsed/>
    <w:qFormat/>
    <w:rsid w:val="00DD138A"/>
    <w:pPr>
      <w:keepNext/>
      <w:keepLines/>
      <w:spacing w:before="40"/>
      <w:outlineLvl w:val="3"/>
    </w:pPr>
    <w:rPr>
      <w:rFonts w:eastAsiaTheme="majorEastAsia"/>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E8732D"/>
    <w:rPr>
      <w:rFonts w:ascii="Times New Roman" w:eastAsiaTheme="majorEastAsia" w:hAnsi="Times New Roman" w:cs="Times New Roman"/>
      <w:b/>
      <w:i/>
      <w:iCs/>
      <w:sz w:val="24"/>
      <w:szCs w:val="26"/>
    </w:rPr>
  </w:style>
  <w:style w:type="character" w:customStyle="1" w:styleId="Ttulo1Car">
    <w:name w:val="Título 1 Car"/>
    <w:basedOn w:val="Fuentedeprrafopredeter"/>
    <w:link w:val="Ttulo1"/>
    <w:uiPriority w:val="9"/>
    <w:qFormat/>
    <w:rsid w:val="00AA0A66"/>
    <w:rPr>
      <w:rFonts w:ascii="Times New Roman" w:eastAsiaTheme="majorEastAsia" w:hAnsi="Times New Roman" w:cs="Times New Roman"/>
      <w:b/>
      <w:sz w:val="28"/>
      <w:szCs w:val="28"/>
    </w:rPr>
  </w:style>
  <w:style w:type="character" w:customStyle="1" w:styleId="Ttulo3Car">
    <w:name w:val="Título 3 Car"/>
    <w:basedOn w:val="Fuentedeprrafopredeter"/>
    <w:link w:val="Ttulo3"/>
    <w:uiPriority w:val="9"/>
    <w:qFormat/>
    <w:rsid w:val="00E8732D"/>
    <w:rPr>
      <w:rFonts w:ascii="Times New Roman" w:eastAsiaTheme="majorEastAsia" w:hAnsi="Times New Roman" w:cs="Times New Roman"/>
      <w:b/>
      <w:i/>
      <w:iCs/>
      <w:sz w:val="24"/>
      <w:szCs w:val="26"/>
    </w:rPr>
  </w:style>
  <w:style w:type="character" w:customStyle="1" w:styleId="Ttulo4Car">
    <w:name w:val="Título 4 Car"/>
    <w:basedOn w:val="Fuentedeprrafopredeter"/>
    <w:link w:val="Ttulo4"/>
    <w:uiPriority w:val="9"/>
    <w:qFormat/>
    <w:rsid w:val="00DD138A"/>
    <w:rPr>
      <w:rFonts w:ascii="Times New Roman" w:eastAsiaTheme="majorEastAsia" w:hAnsi="Times New Roman" w:cs="Times New Roman"/>
      <w:b/>
      <w:bCs/>
      <w:i/>
      <w:iCs/>
      <w:sz w:val="24"/>
    </w:rPr>
  </w:style>
  <w:style w:type="character" w:customStyle="1" w:styleId="TextocomentarioCar">
    <w:name w:val="Texto comentario Car"/>
    <w:basedOn w:val="Fuentedeprrafopredeter"/>
    <w:link w:val="Textocomentario"/>
    <w:uiPriority w:val="99"/>
    <w:qFormat/>
    <w:rsid w:val="000D20FC"/>
    <w:rPr>
      <w:rFonts w:ascii="Times New Roman" w:hAnsi="Times New Roman" w:cs="Times New Roman"/>
      <w:sz w:val="20"/>
      <w:szCs w:val="20"/>
    </w:rPr>
  </w:style>
  <w:style w:type="character" w:customStyle="1" w:styleId="EncabezadoCar">
    <w:name w:val="Encabezado Car"/>
    <w:basedOn w:val="Fuentedeprrafopredeter"/>
    <w:link w:val="Encabezado"/>
    <w:uiPriority w:val="99"/>
    <w:qFormat/>
    <w:rsid w:val="002273FC"/>
    <w:rPr>
      <w:rFonts w:ascii="Times New Roman" w:hAnsi="Times New Roman" w:cs="Times New Roman"/>
      <w:sz w:val="24"/>
    </w:rPr>
  </w:style>
  <w:style w:type="character" w:customStyle="1" w:styleId="PiedepginaCar">
    <w:name w:val="Pie de página Car"/>
    <w:basedOn w:val="Fuentedeprrafopredeter"/>
    <w:link w:val="Piedepgina"/>
    <w:uiPriority w:val="99"/>
    <w:qFormat/>
    <w:rsid w:val="002273FC"/>
    <w:rPr>
      <w:rFonts w:ascii="Times New Roman" w:hAnsi="Times New Roman" w:cs="Times New Roman"/>
      <w:sz w:val="24"/>
    </w:rPr>
  </w:style>
  <w:style w:type="character" w:customStyle="1" w:styleId="TextodegloboCar">
    <w:name w:val="Texto de globo Car"/>
    <w:basedOn w:val="Fuentedeprrafopredeter"/>
    <w:link w:val="Textodeglobo"/>
    <w:uiPriority w:val="99"/>
    <w:semiHidden/>
    <w:qFormat/>
    <w:rsid w:val="00A04A95"/>
    <w:rPr>
      <w:rFonts w:ascii="Tahoma" w:hAnsi="Tahoma" w:cs="Tahoma"/>
      <w:sz w:val="16"/>
      <w:szCs w:val="16"/>
    </w:rPr>
  </w:style>
  <w:style w:type="character" w:styleId="Refdecomentario">
    <w:name w:val="annotation reference"/>
    <w:basedOn w:val="Fuentedeprrafopredeter"/>
    <w:uiPriority w:val="99"/>
    <w:semiHidden/>
    <w:unhideWhenUsed/>
    <w:qFormat/>
    <w:rsid w:val="00872AF8"/>
    <w:rPr>
      <w:sz w:val="16"/>
      <w:szCs w:val="16"/>
    </w:rPr>
  </w:style>
  <w:style w:type="character" w:customStyle="1" w:styleId="AsuntodelcomentarioCar">
    <w:name w:val="Asunto del comentario Car"/>
    <w:basedOn w:val="TextocomentarioCar"/>
    <w:link w:val="Asuntodelcomentario"/>
    <w:uiPriority w:val="99"/>
    <w:semiHidden/>
    <w:qFormat/>
    <w:rsid w:val="00872AF8"/>
    <w:rPr>
      <w:rFonts w:ascii="Times New Roman" w:hAnsi="Times New Roman" w:cs="Times New Roman"/>
      <w:b/>
      <w:bCs/>
      <w:sz w:val="20"/>
      <w:szCs w:val="20"/>
    </w:rPr>
  </w:style>
  <w:style w:type="character" w:customStyle="1" w:styleId="EnlacedeInternet">
    <w:name w:val="Enlace de Internet"/>
    <w:basedOn w:val="Fuentedeprrafopredeter"/>
    <w:uiPriority w:val="99"/>
    <w:unhideWhenUsed/>
    <w:rsid w:val="00A46D8C"/>
    <w:rPr>
      <w:color w:val="0563C1" w:themeColor="hyperlink"/>
      <w:u w:val="single"/>
    </w:rPr>
  </w:style>
  <w:style w:type="character" w:customStyle="1" w:styleId="TextonotapieCar">
    <w:name w:val="Texto nota pie Car"/>
    <w:basedOn w:val="Fuentedeprrafopredeter"/>
    <w:link w:val="Textonotapie"/>
    <w:uiPriority w:val="99"/>
    <w:qFormat/>
    <w:rsid w:val="00AB3F1E"/>
    <w:rPr>
      <w:rFonts w:ascii="Times New Roman" w:hAnsi="Times New Roman" w:cs="Times New Roman"/>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AB3F1E"/>
    <w:rPr>
      <w:vertAlign w:val="superscript"/>
    </w:rPr>
  </w:style>
  <w:style w:type="character" w:customStyle="1" w:styleId="Mencinsinresolver1">
    <w:name w:val="Mención sin resolver1"/>
    <w:basedOn w:val="Fuentedeprrafopredeter"/>
    <w:uiPriority w:val="99"/>
    <w:semiHidden/>
    <w:unhideWhenUsed/>
    <w:qFormat/>
    <w:rsid w:val="006B2875"/>
    <w:rPr>
      <w:color w:val="605E5C"/>
      <w:shd w:val="clear" w:color="auto" w:fill="E1DFDD"/>
    </w:rPr>
  </w:style>
  <w:style w:type="character" w:customStyle="1" w:styleId="TABLAYESTCar">
    <w:name w:val="TABLA Y EST Car"/>
    <w:basedOn w:val="Fuentedeprrafopredeter"/>
    <w:link w:val="TABLAYEST"/>
    <w:qFormat/>
    <w:rsid w:val="002C6A6D"/>
    <w:rPr>
      <w:rFonts w:ascii="Arial" w:eastAsia="Times New Roman" w:hAnsi="Arial" w:cs="Arial"/>
      <w:b/>
      <w:bCs/>
      <w:lang w:val="es" w:eastAsia="es-MX"/>
    </w:rPr>
  </w:style>
  <w:style w:type="character" w:customStyle="1" w:styleId="cf01">
    <w:name w:val="cf01"/>
    <w:basedOn w:val="Fuentedeprrafopredeter"/>
    <w:qFormat/>
    <w:rsid w:val="008B0EE9"/>
    <w:rPr>
      <w:rFonts w:ascii="Segoe UI" w:hAnsi="Segoe UI" w:cs="Segoe UI"/>
      <w:sz w:val="18"/>
      <w:szCs w:val="18"/>
    </w:rPr>
  </w:style>
  <w:style w:type="character" w:customStyle="1" w:styleId="Mencinsinresolver2">
    <w:name w:val="Mención sin resolver2"/>
    <w:basedOn w:val="Fuentedeprrafopredeter"/>
    <w:uiPriority w:val="99"/>
    <w:semiHidden/>
    <w:unhideWhenUsed/>
    <w:qFormat/>
    <w:rsid w:val="003C263A"/>
    <w:rPr>
      <w:color w:val="605E5C"/>
      <w:shd w:val="clear" w:color="auto" w:fill="E1DFDD"/>
    </w:rPr>
  </w:style>
  <w:style w:type="character" w:customStyle="1" w:styleId="EnlacedeInternetvisitado">
    <w:name w:val="Enlace de Internet visitado"/>
    <w:basedOn w:val="Fuentedeprrafopredeter"/>
    <w:uiPriority w:val="99"/>
    <w:semiHidden/>
    <w:unhideWhenUsed/>
    <w:rsid w:val="006C5C37"/>
    <w:rPr>
      <w:color w:val="954F72" w:themeColor="followedHyperlink"/>
      <w:u w:val="single"/>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next w:val="Normal"/>
    <w:uiPriority w:val="35"/>
    <w:unhideWhenUsed/>
    <w:qFormat/>
    <w:rsid w:val="000D20FC"/>
    <w:pPr>
      <w:spacing w:after="200" w:line="240" w:lineRule="auto"/>
    </w:pPr>
    <w:rPr>
      <w:i/>
      <w:iCs/>
      <w:color w:val="44546A" w:themeColor="text2"/>
      <w:sz w:val="18"/>
      <w:szCs w:val="18"/>
    </w:rPr>
  </w:style>
  <w:style w:type="paragraph" w:customStyle="1" w:styleId="ndice">
    <w:name w:val="Índice"/>
    <w:basedOn w:val="Normal"/>
    <w:qFormat/>
    <w:pPr>
      <w:suppressLineNumbers/>
    </w:pPr>
    <w:rPr>
      <w:rFonts w:cs="Noto Sans Devanagari"/>
    </w:rPr>
  </w:style>
  <w:style w:type="paragraph" w:styleId="Textocomentario">
    <w:name w:val="annotation text"/>
    <w:basedOn w:val="Normal"/>
    <w:link w:val="TextocomentarioCar"/>
    <w:uiPriority w:val="99"/>
    <w:unhideWhenUsed/>
    <w:qFormat/>
    <w:rsid w:val="000D20FC"/>
    <w:pPr>
      <w:spacing w:line="240" w:lineRule="auto"/>
    </w:pPr>
    <w:rPr>
      <w:sz w:val="20"/>
      <w:szCs w:val="20"/>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273FC"/>
    <w:pPr>
      <w:tabs>
        <w:tab w:val="center" w:pos="4419"/>
        <w:tab w:val="right" w:pos="8838"/>
      </w:tabs>
      <w:spacing w:line="240" w:lineRule="auto"/>
    </w:pPr>
  </w:style>
  <w:style w:type="paragraph" w:styleId="Piedepgina">
    <w:name w:val="footer"/>
    <w:basedOn w:val="Normal"/>
    <w:link w:val="PiedepginaCar"/>
    <w:uiPriority w:val="99"/>
    <w:unhideWhenUsed/>
    <w:rsid w:val="002273FC"/>
    <w:pPr>
      <w:tabs>
        <w:tab w:val="center" w:pos="4419"/>
        <w:tab w:val="right" w:pos="8838"/>
      </w:tabs>
      <w:spacing w:line="240" w:lineRule="auto"/>
    </w:pPr>
  </w:style>
  <w:style w:type="paragraph" w:styleId="Prrafodelista">
    <w:name w:val="List Paragraph"/>
    <w:basedOn w:val="Normal"/>
    <w:uiPriority w:val="34"/>
    <w:qFormat/>
    <w:rsid w:val="00303D17"/>
    <w:pPr>
      <w:ind w:left="720"/>
      <w:contextualSpacing/>
    </w:pPr>
  </w:style>
  <w:style w:type="paragraph" w:styleId="Textodeglobo">
    <w:name w:val="Balloon Text"/>
    <w:basedOn w:val="Normal"/>
    <w:link w:val="TextodegloboCar"/>
    <w:uiPriority w:val="99"/>
    <w:semiHidden/>
    <w:unhideWhenUsed/>
    <w:qFormat/>
    <w:rsid w:val="00A04A95"/>
    <w:pPr>
      <w:spacing w:line="240" w:lineRule="auto"/>
    </w:pPr>
    <w:rPr>
      <w:rFonts w:ascii="Tahoma" w:hAnsi="Tahoma" w:cs="Tahoma"/>
      <w:sz w:val="16"/>
      <w:szCs w:val="16"/>
    </w:rPr>
  </w:style>
  <w:style w:type="paragraph" w:styleId="Bibliografa">
    <w:name w:val="Bibliography"/>
    <w:basedOn w:val="Normal"/>
    <w:next w:val="Normal"/>
    <w:uiPriority w:val="37"/>
    <w:unhideWhenUsed/>
    <w:qFormat/>
    <w:rsid w:val="00A04A95"/>
  </w:style>
  <w:style w:type="paragraph" w:styleId="Asuntodelcomentario">
    <w:name w:val="annotation subject"/>
    <w:basedOn w:val="Textocomentario"/>
    <w:next w:val="Textocomentario"/>
    <w:link w:val="AsuntodelcomentarioCar"/>
    <w:uiPriority w:val="99"/>
    <w:semiHidden/>
    <w:unhideWhenUsed/>
    <w:qFormat/>
    <w:rsid w:val="00872AF8"/>
    <w:rPr>
      <w:b/>
      <w:bCs/>
    </w:rPr>
  </w:style>
  <w:style w:type="paragraph" w:styleId="Sinespaciado">
    <w:name w:val="No Spacing"/>
    <w:uiPriority w:val="1"/>
    <w:qFormat/>
    <w:rsid w:val="00A97295"/>
    <w:pPr>
      <w:jc w:val="both"/>
    </w:pPr>
    <w:rPr>
      <w:rFonts w:ascii="Times New Roman" w:hAnsi="Times New Roman" w:cs="Times New Roman"/>
      <w:sz w:val="24"/>
    </w:rPr>
  </w:style>
  <w:style w:type="paragraph" w:customStyle="1" w:styleId="Default">
    <w:name w:val="Default"/>
    <w:qFormat/>
    <w:rsid w:val="00B02A85"/>
    <w:rPr>
      <w:rFonts w:ascii="Arial Narrow" w:eastAsia="Calibri" w:hAnsi="Arial Narrow" w:cs="Arial Narrow"/>
      <w:color w:val="000000"/>
      <w:sz w:val="24"/>
      <w:szCs w:val="24"/>
    </w:rPr>
  </w:style>
  <w:style w:type="paragraph" w:styleId="Revisin">
    <w:name w:val="Revision"/>
    <w:uiPriority w:val="99"/>
    <w:semiHidden/>
    <w:qFormat/>
    <w:rsid w:val="00B02A85"/>
    <w:rPr>
      <w:rFonts w:ascii="Times New Roman" w:hAnsi="Times New Roman" w:cs="Times New Roman"/>
      <w:sz w:val="24"/>
    </w:rPr>
  </w:style>
  <w:style w:type="paragraph" w:styleId="Textonotapie">
    <w:name w:val="footnote text"/>
    <w:basedOn w:val="Normal"/>
    <w:link w:val="TextonotapieCar"/>
    <w:uiPriority w:val="99"/>
    <w:unhideWhenUsed/>
    <w:rsid w:val="00AB3F1E"/>
    <w:pPr>
      <w:spacing w:line="240" w:lineRule="auto"/>
    </w:pPr>
    <w:rPr>
      <w:sz w:val="20"/>
      <w:szCs w:val="20"/>
    </w:rPr>
  </w:style>
  <w:style w:type="paragraph" w:customStyle="1" w:styleId="commentcontentpara">
    <w:name w:val="commentcontentpara"/>
    <w:basedOn w:val="Normal"/>
    <w:qFormat/>
    <w:rsid w:val="00A7399E"/>
    <w:pPr>
      <w:spacing w:beforeAutospacing="1" w:afterAutospacing="1" w:line="240" w:lineRule="auto"/>
    </w:pPr>
    <w:rPr>
      <w:rFonts w:eastAsia="Times New Roman"/>
      <w:szCs w:val="24"/>
      <w:lang w:eastAsia="es-MX"/>
    </w:rPr>
  </w:style>
  <w:style w:type="paragraph" w:customStyle="1" w:styleId="TABLAYEST">
    <w:name w:val="TABLA Y EST"/>
    <w:basedOn w:val="Normal"/>
    <w:link w:val="TABLAYESTCar"/>
    <w:qFormat/>
    <w:rsid w:val="002C6A6D"/>
    <w:rPr>
      <w:rFonts w:ascii="Arial" w:eastAsia="Times New Roman" w:hAnsi="Arial" w:cs="Arial"/>
      <w:b/>
      <w:bCs/>
      <w:sz w:val="22"/>
      <w:lang w:val="es" w:eastAsia="es-MX"/>
    </w:rPr>
  </w:style>
  <w:style w:type="paragraph" w:customStyle="1" w:styleId="pf0">
    <w:name w:val="pf0"/>
    <w:basedOn w:val="Normal"/>
    <w:qFormat/>
    <w:rsid w:val="008B0EE9"/>
    <w:pPr>
      <w:spacing w:beforeAutospacing="1" w:afterAutospacing="1" w:line="240" w:lineRule="auto"/>
    </w:pPr>
    <w:rPr>
      <w:rFonts w:eastAsia="Times New Roman"/>
      <w:szCs w:val="24"/>
      <w:lang w:eastAsia="es-MX"/>
    </w:rPr>
  </w:style>
  <w:style w:type="table" w:customStyle="1" w:styleId="Tabladelista21">
    <w:name w:val="Tabla de lista 21"/>
    <w:basedOn w:val="Tablanormal"/>
    <w:uiPriority w:val="47"/>
    <w:rsid w:val="00D940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D940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99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99487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unhideWhenUsed/>
    <w:rsid w:val="0064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468C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Reg14</b:Tag>
    <b:SourceType>JournalArticle</b:SourceType>
    <b:Guid>{746C4EC7-7BFC-4E9D-84D5-4FB5161FD216}</b:Guid>
    <b:Title>Operacionalización de conceptos/variables.</b:Title>
    <b:Year>2014</b:Year>
    <b:Author>
      <b:Author>
        <b:NameList>
          <b:Person>
            <b:Last>Reguant</b:Last>
            <b:First>M.</b:First>
          </b:Person>
          <b:Person>
            <b:Last>Martínez</b:Last>
            <b:First>O.</b:First>
            <b:Middle>F.</b:Middle>
          </b:Person>
        </b:NameList>
      </b:Author>
    </b:Author>
    <b:RefOrder>2</b:RefOrder>
  </b:Source>
  <b:Source>
    <b:Tag>Can15</b:Tag>
    <b:SourceType>JournalArticle</b:SourceType>
    <b:Guid>{1DA91B4D-BCFF-43CA-A0FA-5640F3128A31}</b:Guid>
    <b:Title>Estudio de la implantación de la mejora continua pymes</b:Title>
    <b:JournalName>3C Tegnología glosas de innovación aplicadas a la pyme</b:JournalName>
    <b:Year>2015</b:Year>
    <b:Pages>189-198</b:Pages>
    <b:Author>
      <b:Author>
        <b:NameList>
          <b:Person>
            <b:Last>Canales</b:Last>
            <b:First>Á.</b:First>
            <b:Middle>G.</b:Middle>
          </b:Person>
          <b:Person>
            <b:Last>Soler</b:Last>
            <b:First>V.</b:First>
            <b:Middle>G.</b:Middle>
          </b:Person>
        </b:NameList>
      </b:Author>
    </b:Author>
    <b:Volume>4</b:Volume>
    <b:Issue>4</b:Issue>
    <b:DOI>http://dx.doi.org/10.17993/3ctecno.2015.v4n4e16.189-19.</b:DOI>
    <b:RefOrder>3</b:RefOrder>
  </b:Source>
  <b:Source>
    <b:Tag>Chi1</b:Tag>
    <b:SourceType>JournalArticle</b:SourceType>
    <b:Guid>{63DF4007-1C80-4318-9DEA-94BA20B21FFA}</b:Guid>
    <b:Author>
      <b:Author>
        <b:NameList>
          <b:Person>
            <b:Last>Chiarini</b:Last>
            <b:First>A.</b:First>
          </b:Person>
        </b:NameList>
      </b:Author>
    </b:Author>
    <b:Title>Why are manufacturing SMEs cancelling their ISO 9001 certification? Research from Italy</b:Title>
    <b:JournalName>Production Planning &amp; Control</b:JournalName>
    <b:Year>2019</b:Year>
    <b:Pages>639-649</b:Pages>
    <b:Volume>30</b:Volume>
    <b:Issue>8</b:Issue>
    <b:DOI>https://doi.org/10.1080/09537287.2019.1566840.</b:DOI>
    <b:RefOrder>4</b:RefOrder>
  </b:Source>
  <b:Source>
    <b:Tag>Fan17</b:Tag>
    <b:SourceType>JournalArticle</b:SourceType>
    <b:Guid>{4595E756-119B-409B-AD31-52C564E9F323}</b:Guid>
    <b:Author>
      <b:Author>
        <b:NameList>
          <b:Person>
            <b:Last>Cruz</b:Last>
            <b:Middle>F. L.</b:Middle>
            <b:First>M.</b:First>
          </b:Person>
          <b:Person>
            <b:Last>López</b:Last>
            <b:Middle>A. P.</b:Middle>
            <b:First>D.</b:First>
          </b:Person>
          <b:Person>
            <b:Last>Ruiz</b:Last>
            <b:Middle>C.</b:Middle>
            <b:First>C.</b:First>
          </b:Person>
        </b:NameList>
      </b:Author>
    </b:Author>
    <b:Title>Sistemas de Gestión ISO 9001:2015: técnicas y herramientas de ingeniería de calidad para su implementación</b:Title>
    <b:Year>2017</b:Year>
    <b:City>Sogamoso-Boyacá. Colombia</b:City>
    <b:JournalName>Revista Ingeniería, Investigación y Desarrollo</b:JournalName>
    <b:Pages>59-69</b:Pages>
    <b:Volume>17</b:Volume>
    <b:Issue>1</b:Issue>
    <b:DOI>https://doi.org/10.19053/1900771X.v17.n1.2017.5306.</b:DOI>
    <b:RefOrder>5</b:RefOrder>
  </b:Source>
  <b:Source>
    <b:Tag>del18</b:Tag>
    <b:SourceType>JournalArticle</b:SourceType>
    <b:Guid>{14C3F396-B91D-400B-A4E6-1ACC1C51C8E3}</b:Guid>
    <b:Title>The influence of motivations and other factors on the results of implementing ISO 9001 standards</b:Title>
    <b:JournalName>European Research on Management and Business Economics</b:JournalName>
    <b:Year>2018</b:Year>
    <b:Pages>33-31</b:Pages>
    <b:Author>
      <b:Author>
        <b:NameList>
          <b:Person>
            <b:Last>del Castillo</b:Last>
            <b:First>C.</b:First>
          </b:Person>
          <b:Person>
            <b:Last>Mercado</b:Last>
            <b:First>C.</b:First>
          </b:Person>
          <b:Person>
            <b:Last>Prado</b:Last>
            <b:First>M.</b:First>
          </b:Person>
          <b:Person>
            <b:Last>del Castillo</b:Last>
            <b:First>C.</b:First>
          </b:Person>
        </b:NameList>
      </b:Author>
    </b:Author>
    <b:Volume>24</b:Volume>
    <b:Issue>1</b:Issue>
    <b:DOI>https://doi.org/10.1016/j.iedeen.2017.02.002.</b:DOI>
    <b:RefOrder>6</b:RefOrder>
  </b:Source>
  <b:Source>
    <b:Tag>Fon17</b:Tag>
    <b:SourceType>JournalArticle</b:SourceType>
    <b:Guid>{9D2E418C-60B1-4CDD-896D-CC6226B8A0B8}</b:Guid>
    <b:Title>Listen to ISO 9001:2015 for organizational competitiveness: Correlation between change management and improvement</b:Title>
    <b:Year>2017</b:Year>
    <b:Pages>916-926</b:Pages>
    <b:ConferenceName>Proceedings of the International Conference on Business Excellence,11(1)</b:ConferenceName>
    <b:Author>
      <b:Author>
        <b:NameList>
          <b:Person>
            <b:Last>Fonseca</b:Last>
            <b:Middle>M.</b:Middle>
            <b:First>L.</b:First>
          </b:Person>
          <b:Person>
            <b:Last>Domingues</b:Last>
            <b:Middle>P.</b:Middle>
            <b:First>J.</b:First>
          </b:Person>
        </b:NameList>
      </b:Author>
    </b:Author>
    <b:JournalName>Proceedings of the International Conference on Business Excellence</b:JournalName>
    <b:Volume>11</b:Volume>
    <b:Issue>1</b:Issue>
    <b:DOI>https://doi.org/10.1515/picbe-2017-0097.</b:DOI>
    <b:RefOrder>7</b:RefOrder>
  </b:Source>
  <b:Source>
    <b:Tag>Fon18</b:Tag>
    <b:SourceType>JournalArticle</b:SourceType>
    <b:Guid>{0BDD5AEC-F258-45B2-83DF-45C83E444073}</b:Guid>
    <b:Title>Diseño e Implementación de un Sistema de Gestión de la Calidad ISO 9001:2015 en una Universidad Colombiana</b:Title>
    <b:JournalName>Formación Universitaria</b:JournalName>
    <b:Year>2018</b:Year>
    <b:Pages>35-44</b:Pages>
    <b:Author>
      <b:Author>
        <b:NameList>
          <b:Person>
            <b:Last>Fontalvo</b:Last>
            <b:Middle>J.</b:Middle>
            <b:First>T.</b:First>
          </b:Person>
          <b:Person>
            <b:Last>De La Hoz</b:Last>
            <b:Middle>J.</b:Middle>
            <b:First>E.</b:First>
          </b:Person>
        </b:NameList>
      </b:Author>
    </b:Author>
    <b:Volume>11</b:Volume>
    <b:Issue>1</b:Issue>
    <b:DOI>http://dx.doi.org/10.4067/S0718-50062018000100035.</b:DOI>
    <b:RefOrder>8</b:RefOrder>
  </b:Source>
  <b:Source>
    <b:Tag>Góm171</b:Tag>
    <b:SourceType>JournalArticle</b:SourceType>
    <b:Guid>{F129DEDE-7E6A-4660-BD25-15B042F9F26A}</b:Guid>
    <b:Author>
      <b:Author>
        <b:NameList>
          <b:Person>
            <b:Last>Gómez</b:Last>
            <b:First>L.</b:First>
            <b:Middle>C.</b:Middle>
          </b:Person>
          <b:Person>
            <b:Last>Pérez</b:Last>
            <b:First>E.</b:First>
            <b:Middle>F.</b:Middle>
          </b:Person>
        </b:NameList>
      </b:Author>
    </b:Author>
    <b:Title>Propuesta de un modelo de gestión para PYMEs, centrado en la mejora continua</b:Title>
    <b:JournalName>Síntesis Tecnológica</b:JournalName>
    <b:Year>2017</b:Year>
    <b:Pages>59-67</b:Pages>
    <b:Volume>3</b:Volume>
    <b:Issue>2</b:Issue>
    <b:DOI>https://doi.org/10.4206/sint.tecnol.2007.v3n2-02.</b:DOI>
    <b:RefOrder>9</b:RefOrder>
  </b:Source>
  <b:Source>
    <b:Tag>Mac18</b:Tag>
    <b:SourceType>JournalArticle</b:SourceType>
    <b:Guid>{769C2F48-5099-42C7-BD95-1BDA4779E074}</b:Guid>
    <b:Title>¿La herramienta AGIS contribuye con ISO 9001:2015; a la mejora continua de servicios en las organizaciones?</b:Title>
    <b:JournalName>Espacios</b:JournalName>
    <b:Year>2018</b:Year>
    <b:Pages>1-15</b:Pages>
    <b:Author>
      <b:Author>
        <b:NameList>
          <b:Person>
            <b:Last>Macas</b:Last>
            <b:Middle>E. M.</b:Middle>
            <b:First>R.</b:First>
          </b:Person>
          <b:Person>
            <b:Last>Bustamante</b:Last>
            <b:Middle>W. X.</b:Middle>
            <b:First>G.</b:First>
          </b:Person>
          <b:Person>
            <b:Last>Romero</b:Last>
            <b:Middle>M.</b:Middle>
            <b:First>P.</b:First>
          </b:Person>
        </b:NameList>
      </b:Author>
    </b:Author>
    <b:Volume>39</b:Volume>
    <b:Issue>33</b:Issue>
    <b:URL> http://www.revistaespacios.com/a18v39n33/18393317.html</b:URL>
    <b:RefOrder>10</b:RefOrder>
  </b:Source>
  <b:Source>
    <b:Tag>Ped16</b:Tag>
    <b:SourceType>JournalArticle</b:SourceType>
    <b:Guid>{74A507FE-0FB1-4D3B-B552-4CC1C5F7514A}</b:Guid>
    <b:Author>
      <b:Author>
        <b:NameList>
          <b:Person>
            <b:Last>Martínez</b:Last>
            <b:Middle>O.</b:Middle>
            <b:First>S.</b:First>
          </b:Person>
        </b:NameList>
      </b:Author>
    </b:Author>
    <b:Title>Ensayo sobre la Administración Pública</b:Title>
    <b:JournalName>Revista electrónica del Centro de Estudios en la Administración Pública</b:JournalName>
    <b:Year>2016</b:Year>
    <b:Pages>1-17</b:Pages>
    <b:Issue>22</b:Issue>
    <b:DOI>http://dx.doi.org/10.22201/fcpys.20071949e.2016.22.57654.</b:DOI>
    <b:RefOrder>11</b:RefOrder>
  </b:Source>
  <b:Source>
    <b:Tag>Mon191</b:Tag>
    <b:SourceType>JournalArticle</b:SourceType>
    <b:Guid>{EE29787E-1877-42CE-8663-B1DBECE1DA1F}</b:Guid>
    <b:Title>Evaluación de la calidad en el servicio y su impacto en la lealtad en bancomer</b:Title>
    <b:JournalName>Revista de Estudios Empresariales, Segunda Época</b:JournalName>
    <b:Year>2019</b:Year>
    <b:Pages>190-211</b:Pages>
    <b:Author>
      <b:Author>
        <b:NameList>
          <b:Person>
            <b:Last>Monroy</b:Last>
            <b:First>C.</b:First>
            <b:Middle>M. A.</b:Middle>
          </b:Person>
        </b:NameList>
      </b:Author>
    </b:Author>
    <b:Issue>2</b:Issue>
    <b:DOI>https://doi.org/10.17561//ree.v2019n2.11.</b:DOI>
    <b:RefOrder>12</b:RefOrder>
  </b:Source>
  <b:Source>
    <b:Tag>Sor14</b:Tag>
    <b:SourceType>JournalArticle</b:SourceType>
    <b:Guid>{D12497B6-E106-41DC-A14F-8F54CF9E266B}</b:Guid>
    <b:Title>Diseño y validación de instrumentos de medición</b:Title>
    <b:Year>2014</b:Year>
    <b:Author>
      <b:Author>
        <b:NameList>
          <b:Person>
            <b:Last>Soriano</b:Last>
            <b:First>A.M.</b:First>
          </b:Person>
        </b:NameList>
      </b:Author>
    </b:Author>
    <b:Pages>19-40</b:Pages>
    <b:JournalName>Diá-logos</b:JournalName>
    <b:Issue>14</b:Issue>
    <b:DOI>https://doi.org/10.5377/dialogos.v0i14.2202.</b:DOI>
    <b:RefOrder>13</b:RefOrder>
  </b:Source>
  <b:Source>
    <b:Tag>Tor14</b:Tag>
    <b:SourceType>JournalArticle</b:SourceType>
    <b:Guid>{739F0FFB-B34D-4E68-B05B-DCC0112E2FB2}</b:Guid>
    <b:Author>
      <b:Author>
        <b:NameList>
          <b:Person>
            <b:Last>Torres</b:Last>
            <b:First>José</b:First>
            <b:Middle>L. H.,</b:Middle>
          </b:Person>
          <b:Person>
            <b:Last>Pérez</b:Last>
            <b:First>Sonia</b:First>
            <b:Middle>M. P.,</b:Middle>
          </b:Person>
          <b:Person>
            <b:Last>Bermúdez</b:Last>
            <b:First>Jonathan</b:First>
            <b:Middle>H.</b:Middle>
          </b:Person>
        </b:NameList>
      </b:Author>
    </b:Author>
    <b:Title>Implementación del método Justo a Tiempo (JIT)</b:Title>
    <b:JournalName>Revista CIES</b:JournalName>
    <b:Year>2014</b:Year>
    <b:Pages>9-28. ISSN: 22116-0167</b:Pages>
    <b:Volume>5</b:Volume>
    <b:Issue>2</b:Issue>
    <b:RefOrder>14</b:RefOrder>
  </b:Source>
  <b:Source>
    <b:Tag>Van08</b:Tag>
    <b:SourceType>JournalArticle</b:SourceType>
    <b:Guid>{79122785-6CB3-4FD8-9CE2-FAA7F7615095}</b:Guid>
    <b:Title>Agreement between methods</b:Title>
    <b:Year>2008</b:Year>
    <b:Author>
      <b:Author>
        <b:NameList>
          <b:Person>
            <b:Last>Van Stralen</b:Last>
            <b:First>K.</b:First>
            <b:Middle>J.,</b:Middle>
          </b:Person>
          <b:Person>
            <b:Last>Jager</b:Last>
            <b:First>K.</b:First>
            <b:Middle>J.,</b:Middle>
          </b:Person>
          <b:Person>
            <b:Last>Zoccali</b:Last>
            <b:First>C.,</b:First>
          </b:Person>
          <b:Person>
            <b:Last>Dekker</b:Last>
            <b:First>F.</b:First>
            <b:Middle>W.</b:Middle>
          </b:Person>
        </b:NameList>
      </b:Author>
    </b:Author>
    <b:JournalName>Kidney International</b:JournalName>
    <b:Pages>1116-1120</b:Pages>
    <b:Volume>74</b:Volume>
    <b:Issue>9</b:Issue>
    <b:DOI>10.1038/ki.2008.306.</b:DOI>
    <b:RefOrder>15</b:RefOrder>
  </b:Source>
  <b:Source>
    <b:Tag>Yán12</b:Tag>
    <b:SourceType>JournalArticle</b:SourceType>
    <b:Guid>{06951C39-ADF0-4A00-9306-DDD93E00FD49}</b:Guid>
    <b:Author>
      <b:Author>
        <b:NameList>
          <b:Person>
            <b:Last>Yánez</b:Last>
            <b:First>J.,</b:First>
            <b:Middle>&amp; Yánez, R.</b:Middle>
          </b:Person>
        </b:NameList>
      </b:Author>
    </b:Author>
    <b:Title>Auditorías, Mejora Continua y Normas ISO: factores clave para la evolución de las organizaciones</b:Title>
    <b:JournalName>Ingeniería Industrial. Actualidad y Nuevas Tendencias</b:JournalName>
    <b:Year>2012</b:Year>
    <b:Pages>83-92</b:Pages>
    <b:Volume>3</b:Volume>
    <b:Issue>9</b:Issue>
    <b:URL>http://www.redalyc.org/articulo.oa?id=215026158006</b:URL>
    <b:RefOrder>16</b:RefOrder>
  </b:Source>
  <b:Source>
    <b:Tag>Fab13</b:Tag>
    <b:SourceType>JournalArticle</b:SourceType>
    <b:Guid>{F419BF24-9ACC-4378-91C0-C735A24F6DC8}</b:Guid>
    <b:Author>
      <b:Author>
        <b:NameList>
          <b:Person>
            <b:Last>Fabila</b:Last>
            <b:Middle>M.</b:Middle>
            <b:First>A.</b:First>
          </b:Person>
          <b:Person>
            <b:Last>Minami</b:Last>
            <b:First>H.</b:First>
          </b:Person>
          <b:Person>
            <b:Last>Izquierdo</b:Last>
            <b:First>M.</b:First>
          </b:Person>
        </b:NameList>
      </b:Author>
    </b:Author>
    <b:Title>La Escala de Likert en la evaluación docente: acercamiento a sus características y principios metodológicos</b:Title>
    <b:Year>2012</b:Year>
    <b:JournalName>Perspectivas docentes</b:JournalName>
    <b:Pages>31-40</b:Pages>
    <b:Issue>50</b:Issue>
    <b:DOI>https://doi.org/10.19136/pd.a0n50.589</b:DOI>
    <b:RefOrder>17</b:RefOrder>
  </b:Source>
  <b:Source>
    <b:Tag>Ama20</b:Tag>
    <b:SourceType>JournalArticle</b:SourceType>
    <b:Guid>{4E35C288-F158-4698-89A0-39DC02808CE0}</b:Guid>
    <b:Title>Gestión de la calidad: Un estudio desde sus principios</b:Title>
    <b:JournalName>Revista Venezolana de Gerencia</b:JournalName>
    <b:Year>2020</b:Year>
    <b:Pages>632-647</b:Pages>
    <b:Author>
      <b:Author>
        <b:NameList>
          <b:Person>
            <b:Last>Amaya</b:Last>
            <b:Middle>P. M.</b:Middle>
            <b:First>P.</b:First>
          </b:Person>
          <b:Person>
            <b:Last>Felix</b:Last>
            <b:Middle>E. C. L.</b:Middle>
            <b:First>P.</b:First>
          </b:Person>
          <b:Person>
            <b:Last>Rojas</b:Last>
            <b:Middle>S.</b:Middle>
            <b:First>V.</b:First>
          </b:Person>
          <b:Person>
            <b:Last>Diaz</b:Last>
            <b:Middle>L. P.</b:Middle>
            <b:First>T.</b:First>
          </b:Person>
        </b:NameList>
      </b:Author>
    </b:Author>
    <b:DOI>http://dx.doi.org/10.37960/rvg.v25i90.32406.</b:DOI>
    <b:Volume>25</b:Volume>
    <b:Issue>90</b:Issue>
    <b:RefOrder>18</b:RefOrder>
  </b:Source>
  <b:Source>
    <b:Tag>Car11</b:Tag>
    <b:SourceType>JournalArticle</b:SourceType>
    <b:Guid>{D10DC889-38C0-436F-B596-56FF3C1726B9}</b:Guid>
    <b:Author>
      <b:Author>
        <b:NameList>
          <b:Person>
            <b:Last>Carvajal</b:Last>
            <b:First>A.</b:First>
          </b:Person>
          <b:Person>
            <b:Last>Centeno</b:Last>
            <b:First>C.</b:First>
          </b:Person>
          <b:Person>
            <b:Last>Watson</b:Last>
            <b:First>R.</b:First>
          </b:Person>
          <b:Person>
            <b:Last>Martínez</b:Last>
            <b:First>M.,</b:First>
            <b:Middle>y Sanz Rubiales, Á.</b:Middle>
          </b:Person>
        </b:NameList>
      </b:Author>
    </b:Author>
    <b:Title>¿Cómo validar un instrumento de medida de la salud?</b:Title>
    <b:JournalName>Anales del Sistema Sanitario de Navarra</b:JournalName>
    <b:Year>2011</b:Year>
    <b:Pages>63-72</b:Pages>
    <b:Volume>34</b:Volume>
    <b:Issue>1</b:Issue>
    <b:DOI>http://dx.doi.org/10.4321/S1137-66272011000100007.</b:DOI>
    <b:RefOrder>19</b:RefOrder>
  </b:Source>
  <b:Source>
    <b:Tag>Car</b:Tag>
    <b:SourceType>JournalArticle</b:SourceType>
    <b:Guid>{A0EB0653-84EC-40C0-850B-567CE303E940}</b:Guid>
    <b:Author>
      <b:Author>
        <b:NameList>
          <b:Person>
            <b:Last>Carro</b:Last>
            <b:First>R.</b:First>
          </b:Person>
          <b:Person>
            <b:Last>González</b:Last>
            <b:First>D.</b:First>
          </b:Person>
        </b:NameList>
      </b:Author>
    </b:Author>
    <b:Title>Administración de la calidad total</b:Title>
    <b:JournalName>Facultad de Ciencias Económicas y Sociales de la Universidad Nacional de Mar del Plata</b:JournalName>
    <b:Year>2012</b:Year>
    <b:RefOrder>20</b:RefOrder>
  </b:Source>
  <b:Source>
    <b:Tag>Cer18</b:Tag>
    <b:SourceType>JournalArticle</b:SourceType>
    <b:Guid>{1403842A-980A-4FCA-9AE5-672FE88DB5CD}</b:Guid>
    <b:Author>
      <b:Author>
        <b:NameList>
          <b:Person>
            <b:Last>Cervantes</b:Last>
            <b:First>V.</b:First>
          </b:Person>
          <b:Person>
            <b:Last>Stefanell</b:Last>
            <b:First>Í.</b:First>
          </b:Person>
          <b:Person>
            <b:Last>Peralta</b:Last>
            <b:First>P.</b:First>
          </b:Person>
          <b:Person>
            <b:Last>Salgado</b:Last>
            <b:First>R.</b:First>
          </b:Person>
        </b:NameList>
      </b:Author>
    </b:Author>
    <b:Title>Calidad de servicio en una institución de educación superior en la ciudad de Barranquilla</b:Title>
    <b:JournalName>Ciencias Administrativas</b:JournalName>
    <b:Year>2018</b:Year>
    <b:Pages>27-40</b:Pages>
    <b:Issue>11</b:Issue>
    <b:URL>http://www.redalyc.org/articulo.oa?id=511654337003</b:URL>
    <b:RefOrder>21</b:RefOrder>
  </b:Source>
  <b:Source>
    <b:Tag>Her191</b:Tag>
    <b:SourceType>BookSection</b:SourceType>
    <b:Guid>{AE19E43B-2809-40AF-8006-FF7FFDB67CC5}</b:Guid>
    <b:Title>Análisis de calidad en el servicio a través del modelo DINESERV en una pastelería de Mérida, Yucatán</b:Title>
    <b:Year>2019</b:Year>
    <b:Pages>26-37</b:Pages>
    <b:BookTitle>Collection Ciencias Sociales TI</b:BookTitle>
    <b:Publisher>ECORFAN</b:Publisher>
    <b:Author>
      <b:BookAuthor>
        <b:NameList>
          <b:Person>
            <b:Last>Vargas</b:Last>
            <b:Middle>O. R.</b:Middle>
            <b:First>D.</b:First>
          </b:Person>
        </b:NameList>
      </b:BookAuthor>
      <b:Author>
        <b:NameList>
          <b:Person>
            <b:Last>Hernández</b:Last>
            <b:Middle>F. I.</b:Middle>
            <b:First>C.</b:First>
          </b:Person>
          <b:Person>
            <b:Last>Moo</b:Last>
            <b:Middle>C. A.</b:Middle>
            <b:First>N.</b:First>
          </b:Person>
          <b:Person>
            <b:Last>Crúz</b:Last>
            <b:Middle>L. M.</b:Middle>
            <b:First>U.</b:First>
          </b:Person>
          <b:Person>
            <b:Last>Mex</b:Last>
            <b:Middle>F. I.</b:Middle>
            <b:First>A.</b:First>
          </b:Person>
        </b:NameList>
      </b:Author>
    </b:Author>
    <b:RefOrder>22</b:RefOrder>
  </b:Source>
  <b:Source>
    <b:Tag>Her14</b:Tag>
    <b:SourceType>Book</b:SourceType>
    <b:Guid>{ECD53294-A2E4-412F-817B-3B6FAD44779A}</b:Guid>
    <b:Title>Metodología de la investigación.</b:Title>
    <b:Year>2014</b:Year>
    <b:Author>
      <b:Author>
        <b:NameList>
          <b:Person>
            <b:Last>Hernández</b:Last>
            <b:First>S.</b:First>
            <b:Middle>R.</b:Middle>
          </b:Person>
          <b:Person>
            <b:Last>Fernández</b:Last>
            <b:First>C.</b:First>
            <b:Middle>C.</b:Middle>
          </b:Person>
          <b:Person>
            <b:Last>Baptista</b:Last>
            <b:First>L.</b:First>
            <b:Middle>P.</b:Middle>
          </b:Person>
        </b:NameList>
      </b:Author>
    </b:Author>
    <b:Publisher>McGraw-Hill / Interamericana Editores S.A. de C.V.</b:Publisher>
    <b:Edition>6ta</b:Edition>
    <b:RefOrder>23</b:RefOrder>
  </b:Source>
  <b:Source>
    <b:Tag>Mar18</b:Tag>
    <b:SourceType>JournalArticle</b:SourceType>
    <b:Guid>{7571E1D9-45B9-4B42-BFCE-39140D2A6432}</b:Guid>
    <b:Title>Las megatendencias y su impacto en el comportamiento de las organizaciones</b:Title>
    <b:Year>2018</b:Year>
    <b:Author>
      <b:Author>
        <b:NameList>
          <b:Person>
            <b:Last>Martínez</b:Last>
            <b:First>A.C</b:First>
          </b:Person>
          <b:Person>
            <b:Last>Arellano</b:Last>
            <b:First>G.A.</b:First>
          </b:Person>
        </b:NameList>
      </b:Author>
    </b:Author>
    <b:JournalName>Revista San Gregorio</b:JournalName>
    <b:Pages>146-153</b:Pages>
    <b:Issue>28</b:Issue>
    <b:DOI>http://dx.doi.org/10.36097/rsan.v0i28.789</b:DOI>
    <b:RefOrder>24</b:RefOrder>
  </b:Source>
  <b:Source>
    <b:Tag>And17</b:Tag>
    <b:SourceType>JournalArticle</b:SourceType>
    <b:Guid>{67176EFE-AB84-4898-90B5-B37B34889586}</b:Guid>
    <b:Title>La gestión administrativa en el desarrollo empresarial</b:Title>
    <b:Year>2017</b:Year>
    <b:Author>
      <b:Author>
        <b:NameList>
          <b:Person>
            <b:Last>Ramírez</b:Last>
            <b:First>C.</b:First>
          </b:Person>
          <b:Person>
            <b:Last>Ramírez</b:Last>
            <b:First>G.</b:First>
          </b:Person>
          <b:Person>
            <b:Last>Calderón</b:Last>
            <b:First>M.</b:First>
          </b:Person>
        </b:NameList>
      </b:Author>
    </b:Author>
    <b:JournalName>CE Contribuciones a la Economía</b:JournalName>
    <b:URL>http://hdl.handle.net/20.500.11763/ce171gestion</b:URL>
    <b:RefOrder>25</b:RefOrder>
  </b:Source>
  <b:Source>
    <b:Tag>ISO151</b:Tag>
    <b:SourceType>Book</b:SourceType>
    <b:Guid>{682AC3C1-1FF6-4385-8E17-6D2FF9579630}</b:Guid>
    <b:Title>ISO 9000:2015 Sistemas de gestión de la calidad - Fundamentos y vocabulario</b:Title>
    <b:Year>2015a</b:Year>
    <b:Author>
      <b:Author>
        <b:Corporate>ISO</b:Corporate>
      </b:Author>
    </b:Author>
    <b:Publisher>ISO</b:Publisher>
    <b:RefOrder>26</b:RefOrder>
  </b:Source>
  <b:Source>
    <b:Tag>MarcadorDePosición1</b:Tag>
    <b:SourceType>Book</b:SourceType>
    <b:Guid>{2E916F02-2505-4143-B37D-E3750024F767}</b:Guid>
    <b:Author>
      <b:Author>
        <b:Corporate>ISO</b:Corporate>
      </b:Author>
    </b:Author>
    <b:Title>ISO 9001:2015 Sistemas de gestión de la calidad - Requisitos</b:Title>
    <b:Year>2015</b:Year>
    <b:Publisher>ISO</b:Publisher>
    <b:RefOrder>27</b:RefOrder>
  </b:Source>
  <b:Source>
    <b:Tag>Vid14</b:Tag>
    <b:SourceType>Book</b:SourceType>
    <b:Guid>{92B13324-BE82-479F-8198-FBA5085C8243}</b:Guid>
    <b:Title>La calidad y su gestión en las organizaciones gallegas. Propuesta de un modelo de gestión de calidad total basado en el Modelo EFQM de Excelencia</b:Title>
    <b:Year>2014</b:Year>
    <b:Publisher>(Tesis de Doctorado). Universidade Da Coruña</b:Publisher>
    <b:Author>
      <b:Author>
        <b:NameList>
          <b:Person>
            <b:Last>Vidal</b:Last>
            <b:First>E.</b:First>
          </b:Person>
        </b:NameList>
      </b:Author>
    </b:Author>
    <b:URL>https://ruc.udc.es/dspace/bitstream/handle/2183/12406/VidalV%c3%a1zquez_Estrella_TD_2014.pdf?sequence=4&amp;isAllowed=y</b:URL>
    <b:RefOrder>28</b:RefOrder>
  </b:Source>
  <b:Source>
    <b:Tag>San17</b:Tag>
    <b:SourceType>Book</b:SourceType>
    <b:Guid>{A5CA227F-217B-460F-9FF5-F9338DB94B8C}</b:Guid>
    <b:Author>
      <b:Author>
        <b:NameList>
          <b:Person>
            <b:Last>Santos</b:Last>
            <b:First>S.</b:First>
            <b:Middle>G.</b:Middle>
          </b:Person>
        </b:NameList>
      </b:Author>
    </b:Author>
    <b:Title>Validez y confiabilidad del cuestionario de calidad de vida SF-36 en mujeres con LUPUS, Puebla</b:Title>
    <b:Year>2017</b:Year>
    <b:Publisher>(Tesis de Licenciatura). Facultad de Ciencias Físico Matemáticas. Benemérita Universidad Autónoma de Puebla</b:Publisher>
    <b:URL>https://www.fcfm.buap.mx/assets/docs/docencia/tesis/ma/GuadalupeSantosSanchez.pdf</b:URL>
    <b:RefOrder>29</b:RefOrder>
  </b:Source>
  <b:Source>
    <b:Tag>Bet19</b:Tag>
    <b:SourceType>JournalArticle</b:SourceType>
    <b:Guid>{DBEBDADE-A6DA-4E7F-8CA6-663FEBDE43F2}</b:Guid>
    <b:Author>
      <b:Author>
        <b:NameList>
          <b:Person>
            <b:Last>Betlloch</b:Last>
            <b:First>M.</b:First>
            <b:Middle>I.</b:Middle>
          </b:Person>
          <b:Person>
            <b:Last>Sapena</b:Last>
            <b:Middle>R.</b:Middle>
            <b:First>R.</b:First>
          </b:Person>
          <b:Person>
            <b:Last>Abellán</b:Last>
            <b:Middle>C.</b:Middle>
            <b:First>G.</b:First>
          </b:Person>
          <b:Person>
            <b:Last>Pascual</b:Last>
            <b:Middle>J. C.</b:Middle>
            <b:First>R.</b:First>
          </b:Person>
        </b:NameList>
      </b:Author>
    </b:Author>
    <b:Title>Implantación y desarrollo de un sistema integrado de gestión de calidad según la norma ISO 9001:2015 en un Servicio de Dermatología</b:Title>
    <b:JournalName>Actas Dermo-Sifiliográficas</b:JournalName>
    <b:Year>2019</b:Year>
    <b:DOI>https://doi.org/10.1016/j.ad.2018.08.003</b:DOI>
    <b:Volume>110</b:Volume>
    <b:Issue>2</b:Issue>
    <b:RefOrder>30</b:RefOrder>
  </b:Source>
  <b:Source>
    <b:Tag>ISO183</b:Tag>
    <b:SourceType>Book</b:SourceType>
    <b:Guid>{2A0E48E5-725F-4CEF-83EC-62F889BDEA9D}</b:Guid>
    <b:Title>ISO 9004:2018 - Gestión de calidad - Calidad de un Organización - Orientación para lograr éxito sostenido</b:Title>
    <b:Year>2018</b:Year>
    <b:Author>
      <b:Author>
        <b:Corporate>ISO</b:Corporate>
      </b:Author>
    </b:Author>
    <b:Publisher>ISO</b:Publisher>
    <b:RefOrder>31</b:RefOrder>
  </b:Source>
  <b:Source>
    <b:Tag>Ñau18</b:Tag>
    <b:SourceType>BookSection</b:SourceType>
    <b:Guid>{04C628B3-D167-44D1-8A54-28431381F93E}</b:Guid>
    <b:Title>Otras técnicas cuantitativas: varianza y covarianza, regresión lineal</b:Title>
    <b:Year>2018</b:Year>
    <b:Publisher>Ediciones de la U</b:Publisher>
    <b:BookTitle>Metodología de la Investigación Cuantitativa - Cualitativa y de Redacción de Tesis</b:BookTitle>
    <b:Pages>461-476</b:Pages>
    <b:Edition>5ta</b:Edition>
    <b:Author>
      <b:Author>
        <b:NameList>
          <b:Person>
            <b:Last>Ñaupas</b:Last>
            <b:Middle>H.</b:Middle>
            <b:First>P.</b:First>
          </b:Person>
        </b:NameList>
      </b:Author>
      <b:BookAuthor>
        <b:NameList>
          <b:Person>
            <b:Last>Ñaupas</b:Last>
            <b:Middle>H.</b:Middle>
            <b:First>P.</b:First>
          </b:Person>
          <b:Person>
            <b:Last>Valdivia</b:Last>
            <b:Middle>M. R.</b:Middle>
            <b:First>D.</b:First>
          </b:Person>
          <b:Person>
            <b:Last>Palacios</b:Last>
            <b:Middle>J. J.</b:Middle>
            <b:First>V.</b:First>
          </b:Person>
          <b:Person>
            <b:Last>Romero</b:Last>
            <b:Middle>H. E.</b:Middle>
            <b:First>D.</b:First>
          </b:Person>
        </b:NameList>
      </b:BookAuthor>
    </b:Author>
    <b:RefOrder>32</b:RefOrder>
  </b:Source>
  <b:Source>
    <b:Tag>Lik32</b:Tag>
    <b:SourceType>BookSection</b:SourceType>
    <b:Guid>{B05ACEF7-F99B-4266-A06A-3F8BE49B4D8B}</b:Guid>
    <b:Author>
      <b:Author>
        <b:NameList>
          <b:Person>
            <b:Last>Likert</b:Last>
            <b:First>R.</b:First>
          </b:Person>
        </b:NameList>
      </b:Author>
    </b:Author>
    <b:Title>A technique for the measurement of attitudes</b:Title>
    <b:Year>1932</b:Year>
    <b:City>Nueva York</b:City>
    <b:BookTitle>Archives of Psycology</b:BookTitle>
    <b:Pages>5-55</b:Pages>
    <b:RefOrder>33</b:RefOrder>
  </b:Source>
  <b:Source>
    <b:Tag>Ćwi21</b:Tag>
    <b:SourceType>JournalArticle</b:SourceType>
    <b:Guid>{D57AE461-209E-4BC1-B235-FAC426A79798}</b:Guid>
    <b:Title>Organisational Resource Capacity and ISO 9001 QMS Implementation in the Local Government. Evidence from Poland</b:Title>
    <b:Year>2021</b:Year>
    <b:Pages>205-2019</b:Pages>
    <b:DOI>https://doi.org/10.1007/s11115-020-00485-2</b:DOI>
    <b:JournalName>Public Organization Review</b:JournalName>
    <b:Issue>21</b:Issue>
    <b:Author>
      <b:Author>
        <b:NameList>
          <b:Person>
            <b:Last>Ćwiklicki</b:Last>
            <b:First>M.</b:First>
          </b:Person>
          <b:Person>
            <b:Last>Pawełek</b:Last>
            <b:First>B.</b:First>
          </b:Person>
          <b:Person>
            <b:Last>Pilch</b:Last>
            <b:First>K.</b:First>
          </b:Person>
        </b:NameList>
      </b:Author>
    </b:Author>
    <b:RefOrder>34</b:RefOrder>
  </b:Source>
  <b:Source>
    <b:Tag>Bra21</b:Tag>
    <b:SourceType>JournalArticle</b:SourceType>
    <b:Guid>{E13E679F-E31E-4936-AF57-D3C4D42CCB0E}</b:Guid>
    <b:Title>Evidences about ISO 9001:2015 and ISO 9004:2018 implementation in different-size organisations</b:Title>
    <b:JournalName>Total Quality Management &amp; Business Excellence</b:JournalName>
    <b:Year>2021</b:Year>
    <b:Pages>1-21</b:Pages>
    <b:DOI>10.1080/14783363.2021.1954900</b:DOI>
    <b:Author>
      <b:Author>
        <b:NameList>
          <b:Person>
            <b:Last>Bravi</b:Last>
            <b:First>L.</b:First>
          </b:Person>
          <b:Person>
            <b:Last>Murmura</b:Last>
            <b:First>F.</b:First>
          </b:Person>
        </b:NameList>
      </b:Author>
    </b:Author>
    <b:RefOrder>35</b:RefOrder>
  </b:Source>
  <b:Source>
    <b:Tag>Fer20</b:Tag>
    <b:SourceType>JournalArticle</b:SourceType>
    <b:Guid>{DDB62586-7FCD-488D-88F3-8493E65D573A}</b:Guid>
    <b:Title>Impact of the application of ISO 9001 standards on the climate and satisfaction of the members of a school</b:Title>
    <b:JournalName>International Journal of Educational Management</b:JournalName>
    <b:Year>2020</b:Year>
    <b:Pages>1185-1202</b:Pages>
    <b:Volume>34</b:Volume>
    <b:Issue>7</b:Issue>
    <b:DOI>https://doi.org/10.1108/IJEM-10-2018-0332</b:DOI>
    <b:Author>
      <b:Author>
        <b:NameList>
          <b:Person>
            <b:Last>Fernández</b:Last>
            <b:Middle>F. J.</b:Middle>
            <b:First>C.</b:First>
          </b:Person>
          <b:Person>
            <b:Last>Rodríguez</b:Last>
            <b:Middle>J. M.</b:Middle>
            <b:First>M.</b:First>
          </b:Person>
          <b:Person>
            <b:Last>Fernández</b:Last>
            <b:Middle>M. J.</b:Middle>
            <b:First>D.</b:First>
          </b:Person>
        </b:NameList>
      </b:Author>
    </b:Author>
    <b:RefOrder>36</b:RefOrder>
  </b:Source>
  <b:Source>
    <b:Tag>Sil20</b:Tag>
    <b:SourceType>JournalArticle</b:SourceType>
    <b:Guid>{ED0467AD-857B-4C23-ABD7-641F22A07C2E}</b:Guid>
    <b:Title>Analysis of ISO 9001 certification benefits in Brazilian companies</b:Title>
    <b:JournalName>Total Quality Management &amp; Business Excellence</b:JournalName>
    <b:Year>2020</b:Year>
    <b:Pages>1614-1632</b:Pages>
    <b:Volume>32</b:Volume>
    <b:Issue>13-14</b:Issue>
    <b:DOI>https://doi.org/10.1080/14783363.2020.1756246</b:DOI>
    <b:Author>
      <b:Author>
        <b:NameList>
          <b:Person>
            <b:Last>Siltori</b:Last>
            <b:Middle>F. S.</b:Middle>
            <b:First>P.</b:First>
          </b:Person>
          <b:Person>
            <b:Last>Rampasso</b:Last>
            <b:Middle>S.</b:Middle>
            <b:First>I.</b:First>
          </b:Person>
          <b:Person>
            <b:Last>Martins</b:Last>
            <b:Middle>W. B.</b:Middle>
            <b:First>V.</b:First>
          </b:Person>
          <b:Person>
            <b:Last>Anholon</b:Last>
            <b:First>R.</b:First>
          </b:Person>
          <b:Person>
            <b:Last>Silva</b:Last>
            <b:First>D.</b:First>
          </b:Person>
          <b:Person>
            <b:Last>Souza</b:Last>
            <b:Middle>J.</b:Middle>
            <b:First>P.</b:First>
          </b:Person>
        </b:NameList>
      </b:Author>
    </b:Author>
    <b:RefOrder>37</b:RefOrder>
  </b:Source>
  <b:Source>
    <b:Tag>Jim20</b:Tag>
    <b:SourceType>JournalArticle</b:SourceType>
    <b:Guid>{29F39391-029A-4C74-B45A-87B6A286CAC1}</b:Guid>
    <b:Title>An Intelligent Framework for the Evaluation of Compliance with the Requirements of ISO 9001:2015</b:Title>
    <b:JournalName>Sustainability</b:JournalName>
    <b:Year>2020</b:Year>
    <b:Pages>2-23</b:Pages>
    <b:Volume>12</b:Volume>
    <b:Issue>3</b:Issue>
    <b:DOI>10.3390/su12135471</b:DOI>
    <b:Author>
      <b:Author>
        <b:NameList>
          <b:Person>
            <b:Last>Jimenez</b:Last>
            <b:Middle>A.</b:Middle>
            <b:First>J.</b:First>
          </b:Person>
          <b:Person>
            <b:Last>Medina</b:Last>
            <b:Middle>J. A.</b:Middle>
            <b:First>M.</b:First>
          </b:Person>
          <b:Person>
            <b:Last>Sanz</b:Last>
            <b:First>L. F.</b:First>
          </b:Person>
          <b:Person>
            <b:Last>Martinez</b:Last>
            <b:Middle>J. J.</b:Middle>
            <b:First>H.</b:First>
          </b:Person>
          <b:Person>
            <b:Last>Ruiz</b:Last>
            <b:Middle>E.</b:Middle>
            <b:First>P.</b:First>
          </b:Person>
        </b:NameList>
      </b:Author>
    </b:Author>
    <b:RefOrder>38</b:RefOrder>
  </b:Source>
  <b:Source>
    <b:Tag>Cân19</b:Tag>
    <b:SourceType>JournalArticle</b:SourceType>
    <b:Guid>{8D31A70A-A435-4673-B595-9871DFE71BB4}</b:Guid>
    <b:Title>Why firms lose their ISO 9001 certification: Evidence from Portugal</b:Title>
    <b:JournalName>Total Quality Management</b:JournalName>
    <b:Year>2019</b:Year>
    <b:Pages>632-651</b:Pages>
    <b:Volume>32</b:Volume>
    <b:Issue>5-6</b:Issue>
    <b:DOI>10.1080/14783363.2019.1625266</b:DOI>
    <b:Author>
      <b:Author>
        <b:NameList>
          <b:Person>
            <b:Last>Cândido</b:Last>
            <b:Middle>J. F.</b:Middle>
            <b:First>C.</b:First>
          </b:Person>
          <b:Person>
            <b:Last>Coelho</b:Last>
            <b:Middle>M. S.</b:Middle>
            <b:First>L.</b:First>
          </b:Person>
          <b:Person>
            <b:Last>Peixinho</b:Last>
            <b:Middle>M. T.</b:Middle>
            <b:First>R.</b:First>
          </b:Person>
        </b:NameList>
      </b:Author>
    </b:Author>
    <b:RefOrder>39</b:RefOrder>
  </b:Source>
  <b:Source>
    <b:Tag>Wol19</b:Tag>
    <b:SourceType>JournalArticle</b:SourceType>
    <b:Guid>{E6374D6A-0351-454C-9526-16AFBB530977}</b:Guid>
    <b:Title>The Level of Maturity of Quality Management Systems in Poland—Results of Empirical Research</b:Title>
    <b:JournalName>Sustainability</b:JournalName>
    <b:Year>2019</b:Year>
    <b:Volume>11</b:Volume>
    <b:Issue>5</b:Issue>
    <b:DOI>10.3390/su11154239</b:DOI>
    <b:Author>
      <b:Author>
        <b:NameList>
          <b:Person>
            <b:Last>Wolniak</b:Last>
            <b:First>R.</b:First>
          </b:Person>
        </b:NameList>
      </b:Author>
    </b:Author>
    <b:RefOrder>40</b:RefOrder>
  </b:Source>
  <b:Source>
    <b:Tag>Cho20</b:Tag>
    <b:SourceType>JournalArticle</b:SourceType>
    <b:Guid>{925213D1-9ECE-45DE-BB0B-B661D51C1A73}</b:Guid>
    <b:Title>The heterogeneous implementation of ISO 9001 in service-oriented organizations</b:Title>
    <b:JournalName>The TQM Journal</b:JournalName>
    <b:Year>2020</b:Year>
    <b:Pages>56-77</b:Pages>
    <b:Volume>32</b:Volume>
    <b:Issue>1</b:Issue>
    <b:DOI>10.1108/TQM-02-2019-0053</b:DOI>
    <b:Author>
      <b:Author>
        <b:NameList>
          <b:Person>
            <b:Last>Chountalas</b:Last>
            <b:Middle>T.</b:Middle>
            <b:First>P.</b:First>
          </b:Person>
          <b:Person>
            <b:Last>Magoutas</b:Last>
            <b:Middle>I.</b:Middle>
            <b:First>A.</b:First>
          </b:Person>
          <b:Person>
            <b:Last>Zografaki</b:Last>
            <b:First>E.</b:First>
          </b:Person>
        </b:NameList>
      </b:Author>
    </b:Author>
    <b:RefOrder>41</b:RefOrder>
  </b:Source>
  <b:Source>
    <b:Tag>SáJ19</b:Tag>
    <b:SourceType>JournalArticle</b:SourceType>
    <b:Guid>{70E5A35F-FC31-4C3B-AB88-E17B0D2F5A59}</b:Guid>
    <b:Title>Perception of the importance to implement ISO 9001 in organizations related to people linked to quality - An empirical study</b:Title>
    <b:JournalName>International Journal for Quality Reasearch</b:JournalName>
    <b:Year>2019</b:Year>
    <b:Pages>1055-1070</b:Pages>
    <b:Volume>13</b:Volume>
    <b:Issue>4</b:Issue>
    <b:DOI>10.24874/IJQR13.04-20</b:DOI>
    <b:Author>
      <b:Author>
        <b:NameList>
          <b:Person>
            <b:Last>Sá</b:Last>
            <b:Middle>C.</b:Middle>
            <b:First>J.</b:First>
          </b:Person>
          <b:Person>
            <b:Last>Amaral</b:Last>
            <b:First>A.</b:First>
          </b:Person>
          <b:Person>
            <b:Last>Barreto</b:Last>
            <b:First>L.</b:First>
          </b:Person>
          <b:Person>
            <b:Last>Carvalho</b:Last>
            <b:First>F.</b:First>
          </b:Person>
          <b:Person>
            <b:Last>Santos</b:Last>
            <b:First>G.</b:First>
          </b:Person>
        </b:NameList>
      </b:Author>
    </b:Author>
    <b:RefOrder>42</b:RefOrder>
  </b:Source>
  <b:Source>
    <b:Tag>Cir19</b:Tag>
    <b:SourceType>JournalArticle</b:SourceType>
    <b:Guid>{6E17446C-5721-4662-BF54-AD228E7B8625}</b:Guid>
    <b:Title>ISO 9001:2015 Adoption: A Multi-Country Empirical Research</b:Title>
    <b:JournalName>Journal of Industrial Engineering and Management</b:JournalName>
    <b:Year>2019</b:Year>
    <b:Pages>27-50</b:Pages>
    <b:Volume>12</b:Volume>
    <b:Issue>1</b:Issue>
    <b:DOI>https://doi.org/10.3926/jiem.2745</b:DOI>
    <b:Author>
      <b:Author>
        <b:NameList>
          <b:Person>
            <b:Last>Ciravegna</b:Last>
            <b:Middle>L. M.</b:Middle>
            <b:First>M. da F.</b:First>
          </b:Person>
          <b:Person>
            <b:Last>Domingues</b:Last>
            <b:Middle>P.</b:Middle>
            <b:First>J.</b:First>
          </b:Person>
          <b:Person>
            <b:Last>Machado</b:Last>
            <b:Middle>B.</b:Middle>
            <b:First>P.</b:First>
          </b:Person>
          <b:Person>
            <b:Last>Harder</b:Last>
            <b:First>D.</b:First>
          </b:Person>
        </b:NameList>
      </b:Author>
    </b:Author>
    <b:RefOrder>43</b:RefOrder>
  </b:Source>
  <b:Source>
    <b:Tag>The18</b:Tag>
    <b:SourceType>JournalArticle</b:SourceType>
    <b:Guid>{8AE55E88-C2D5-495E-9C25-233D9BBAA9AC}</b:Guid>
    <b:Title>The best of both worlds? Use of Kaizen and other continuous improvement methodologies within Portuguese ISO 9001 certified organizations</b:Title>
    <b:JournalName>The TQM Journal</b:JournalName>
    <b:Year>2018</b:Year>
    <b:Pages>321-334</b:Pages>
    <b:Volume>30</b:Volume>
    <b:Issue>4</b:Issue>
    <b:DOI>https://doi.org/10.1108/TQM-12-2017-0173</b:DOI>
    <b:Author>
      <b:Author>
        <b:NameList>
          <b:Person>
            <b:Last>Fonseca</b:Last>
            <b:Middle>M.</b:Middle>
            <b:First>L.</b:First>
          </b:Person>
          <b:Person>
            <b:Last>Domingues</b:Last>
            <b:Middle>P.</b:Middle>
            <b:First>J.</b:First>
          </b:Person>
        </b:NameList>
      </b:Author>
    </b:Author>
    <b:RefOrder>44</b:RefOrder>
  </b:Source>
  <b:Source>
    <b:Tag>Ste18</b:Tag>
    <b:SourceType>JournalArticle</b:SourceType>
    <b:Guid>{A24BE5EA-931B-4FF1-8326-53C9D4E29EB9}</b:Guid>
    <b:Title>ISO 9001 based quality management systems and organisational performance: a systematic literature review</b:Title>
    <b:JournalName>Total Quality Management &amp; Business Excellence</b:JournalName>
    <b:Year>2018</b:Year>
    <b:Pages>389-409</b:Pages>
    <b:Volume>32</b:Volume>
    <b:Issue>3-4</b:Issue>
    <b:DOI>10.1080/14783363.2018.1549939</b:DOI>
    <b:Author>
      <b:Author>
        <b:NameList>
          <b:Person>
            <b:Last>Stertz</b:Last>
            <b:Middle>L.</b:Middle>
            <b:First>S.</b:First>
          </b:Person>
          <b:Person>
            <b:Last>Borges</b:Last>
            <b:Middle>G. B.</b:Middle>
            <b:First>V.</b:First>
          </b:Person>
          <b:Person>
            <b:Last>Vidor</b:Last>
            <b:First>G.</b:First>
          </b:Person>
          <b:Person>
            <b:Last>Schuch</b:Last>
            <b:Middle>C. H.</b:Middle>
            <b:First>S.</b:First>
          </b:Person>
        </b:NameList>
      </b:Author>
    </b:Author>
    <b:RefOrder>45</b:RefOrder>
  </b:Source>
  <b:Source>
    <b:Tag>Arr17</b:Tag>
    <b:SourceType>JournalArticle</b:SourceType>
    <b:Guid>{FD316A83-54E6-4DDF-9083-4B85E1501303}</b:Guid>
    <b:Title>Análisis y valoración de la aplicación de sistemas de gestión de la calidad ISO 9001 y su incidencia en centros educativos</b:Title>
    <b:JournalName>Revista Complutense de Educación</b:JournalName>
    <b:Year>2017</b:Year>
    <b:Pages>1137-1154</b:Pages>
    <b:Volume>28</b:Volume>
    <b:Issue>4</b:Issue>
    <b:DOI>http://dx.doi.org/10.5209/RCED.51616</b:DOI>
    <b:Author>
      <b:Author>
        <b:NameList>
          <b:Person>
            <b:Last>Arribas</b:Last>
            <b:Middle>J. A.</b:Middle>
            <b:First>D.</b:First>
          </b:Person>
          <b:Person>
            <b:Last>Martínez</b:Last>
            <b:Middle>C.</b:Middle>
            <b:First>M.</b:First>
          </b:Person>
        </b:NameList>
      </b:Author>
    </b:Author>
    <b:RefOrder>46</b:RefOrder>
  </b:Source>
  <b:Source>
    <b:Tag>Cir17</b:Tag>
    <b:SourceType>JournalArticle</b:SourceType>
    <b:Guid>{D3A9A3AD-CA0C-472A-8699-E62FD2017B80}</b:Guid>
    <b:Title>Management System Certification Benefits: Where Do We Stand?</b:Title>
    <b:JournalName>Journal of Industrial Engineering and Management</b:JournalName>
    <b:Year>2017</b:Year>
    <b:Pages>476-494</b:Pages>
    <b:Volume>10</b:Volume>
    <b:Issue>3</b:Issue>
    <b:DOI>https://doi.org/10.3926/jiem.2350</b:DOI>
    <b:Author>
      <b:Author>
        <b:NameList>
          <b:Person>
            <b:Last>Ciravegna</b:Last>
            <b:Middle>L. M.</b:Middle>
            <b:First>M. da F.</b:First>
          </b:Person>
          <b:Person>
            <b:Last>Domingues</b:Last>
            <b:Middle>P.</b:Middle>
            <b:First>J.</b:First>
          </b:Person>
          <b:Person>
            <b:Last>Machado</b:Last>
            <b:Middle>B.</b:Middle>
            <b:First>P.</b:First>
          </b:Person>
          <b:Person>
            <b:Last>Calderón</b:Last>
            <b:First>M.</b:First>
          </b:Person>
        </b:NameList>
      </b:Author>
    </b:Author>
    <b:RefOrder>47</b:RefOrder>
  </b:Source>
  <b:Source>
    <b:Tag>Mar212</b:Tag>
    <b:SourceType>JournalArticle</b:SourceType>
    <b:Guid>{19601587-1B1D-4605-8C9E-CD79C3A80E8F}</b:Guid>
    <b:Title>Towards a quality management competence framework: exploring needed competencies in quality management</b:Title>
    <b:JournalName>Total Quality Management</b:JournalName>
    <b:Year>2021</b:Year>
    <b:Pages>359–378</b:Pages>
    <b:Volume>32</b:Volume>
    <b:Issue>4</b:Issue>
    <b:DOI>https://doi.org/10.1080/14783363.2019.1576516</b:DOI>
    <b:Author>
      <b:Author>
        <b:NameList>
          <b:Person>
            <b:Last>Martin</b:Last>
            <b:First>J.</b:First>
          </b:Person>
          <b:Person>
            <b:Last>Elg</b:Last>
            <b:First>M.</b:First>
          </b:Person>
          <b:Person>
            <b:Last>Gremyr</b:Last>
            <b:First>I.</b:First>
          </b:Person>
          <b:Person>
            <b:Last>Wallo</b:Last>
            <b:First>A.</b:First>
          </b:Person>
        </b:NameList>
      </b:Author>
    </b:Author>
    <b:RefOrder>48</b:RefOrder>
  </b:Source>
  <b:Source>
    <b:Tag>Gre21</b:Tag>
    <b:SourceType>JournalArticle</b:SourceType>
    <b:Guid>{E692AA6F-9D32-4EF0-B4E6-43BD768E9594}</b:Guid>
    <b:Title>The roles of quality departments and their influence on business results</b:Title>
    <b:JournalName>Total Quality Management &amp; Business Excellence</b:JournalName>
    <b:Year>2021</b:Year>
    <b:Pages>886-897</b:Pages>
    <b:Volume>32</b:Volume>
    <b:Issue>7-8</b:Issue>
    <b:DOI>10.1080/14783363.2019.1643713</b:DOI>
    <b:Author>
      <b:Author>
        <b:NameList>
          <b:Person>
            <b:Last>Gremyr</b:Last>
            <b:First>I.</b:First>
          </b:Person>
          <b:Person>
            <b:Last>Elg</b:Last>
            <b:First>M.</b:First>
          </b:Person>
          <b:Person>
            <b:Last>Hellström</b:Last>
            <b:First>A.</b:First>
          </b:Person>
          <b:Person>
            <b:Last>Martin</b:Last>
            <b:First>J.</b:First>
          </b:Person>
          <b:Person>
            <b:Last>Witell</b:Last>
            <b:First>L.</b:First>
          </b:Person>
        </b:NameList>
      </b:Author>
    </b:Author>
    <b:RefOrder>49</b:RefOrder>
  </b:Source>
  <b:Source>
    <b:Tag>San21</b:Tag>
    <b:SourceType>JournalArticle</b:SourceType>
    <b:Guid>{BD0D925D-1A41-488C-9A0F-07B619DC3009}</b:Guid>
    <b:Title>New Needed Quality Management Skills for Quality Managers 4.0</b:Title>
    <b:JournalName>Sustainability</b:JournalName>
    <b:Year>2021</b:Year>
    <b:Volume>13</b:Volume>
    <b:Issue>11</b:Issue>
    <b:DOI>https://doi.org/10.3390/su13116149</b:DOI>
    <b:Author>
      <b:Author>
        <b:NameList>
          <b:Person>
            <b:Last>Santos</b:Last>
            <b:First>G.</b:First>
          </b:Person>
          <b:Person>
            <b:Last>Sá</b:Last>
            <b:Middle>C.</b:Middle>
            <b:First>J.</b:First>
          </b:Person>
          <b:Person>
            <b:Last>Félix</b:Last>
            <b:Middle>J.</b:Middle>
            <b:First>M.</b:First>
          </b:Person>
          <b:Person>
            <b:Last>Barreto</b:Last>
            <b:First>L.</b:First>
          </b:Person>
          <b:Person>
            <b:Last>Carvalho</b:Last>
            <b:First>F.</b:First>
          </b:Person>
          <b:Person>
            <b:Last>Doiro</b:Last>
            <b:First>M.</b:First>
          </b:Person>
          <b:Person>
            <b:Last>Zgodavová</b:Last>
            <b:First>K.</b:First>
          </b:Person>
          <b:Person>
            <b:Last>Stefanović</b:Last>
            <b:First>M.</b:First>
          </b:Person>
        </b:NameList>
      </b:Author>
    </b:Author>
    <b:RefOrder>50</b:RefOrder>
  </b:Source>
  <b:Source>
    <b:Tag>Gre211</b:Tag>
    <b:SourceType>JournalArticle</b:SourceType>
    <b:Guid>{0A2E2D5D-8C9D-4610-9B2B-0BB4789B23CC}</b:Guid>
    <b:Title>Increasing the value of quality management systems</b:Title>
    <b:JournalName>International Journal of Quality and Service Sciences</b:JournalName>
    <b:Year>2021</b:Year>
    <b:Pages>381-394</b:Pages>
    <b:Volume>13</b:Volume>
    <b:Issue>3</b:Issue>
    <b:DOI>10.1108/IJQSS-10-2020-0170</b:DOI>
    <b:Author>
      <b:Author>
        <b:NameList>
          <b:Person>
            <b:Last>Gremyr</b:Last>
            <b:First>I.</b:First>
          </b:Person>
          <b:Person>
            <b:Last>Lenning</b:Last>
            <b:First>J.</b:First>
          </b:Person>
          <b:Person>
            <b:Last>Elg</b:Last>
            <b:First>M.</b:First>
          </b:Person>
          <b:Person>
            <b:Last>Martin</b:Last>
            <b:First>J.</b:First>
          </b:Person>
        </b:NameList>
      </b:Author>
    </b:Author>
    <b:RefOrder>51</b:RefOrder>
  </b:Source>
  <b:Source>
    <b:Tag>Rod22</b:Tag>
    <b:SourceType>JournalArticle</b:SourceType>
    <b:Guid>{0AB826CB-5A51-4B2A-8A05-7944C4BB3B61}</b:Guid>
    <b:Title>Modelos de Gestión Universitaria: Contexto Latinoamericano y Retos de la Universidad Especializada de las Américas</b:Title>
    <b:Year>2022</b:Year>
    <b:JournalName>Invest. Pens. Crit.</b:JournalName>
    <b:Pages>04-17</b:Pages>
    <b:Volume>10</b:Volume>
    <b:Issue>3</b:Issue>
    <b:DOI>https://doi.org/10.37387/ipc.v10i3.322</b:DOI>
    <b:Author>
      <b:Author>
        <b:NameList>
          <b:Person>
            <b:Last>Rodríguez</b:Last>
            <b:Middle>A.</b:Middle>
            <b:First>L.</b:First>
          </b:Person>
        </b:NameList>
      </b:Author>
    </b:Author>
    <b:RefOrder>1</b:RefOrder>
  </b:Source>
</b:Sources>
</file>

<file path=customXml/itemProps1.xml><?xml version="1.0" encoding="utf-8"?>
<ds:datastoreItem xmlns:ds="http://schemas.openxmlformats.org/officeDocument/2006/customXml" ds:itemID="{5911FBB8-769B-49CD-89B3-F92C997B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11314</Words>
  <Characters>62232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Nomina2</dc:creator>
  <dc:description/>
  <cp:lastModifiedBy>Gustavo Toledo</cp:lastModifiedBy>
  <cp:revision>7</cp:revision>
  <dcterms:created xsi:type="dcterms:W3CDTF">2023-06-29T20:11:00Z</dcterms:created>
  <dcterms:modified xsi:type="dcterms:W3CDTF">2023-06-29T21:45:00Z</dcterms:modified>
  <dc:language>es-MX</dc:language>
</cp:coreProperties>
</file>