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086D4" w14:textId="04C89642" w:rsidR="00F1530B" w:rsidRPr="008B5E36" w:rsidRDefault="008B5E36" w:rsidP="00F1530B">
      <w:pPr>
        <w:spacing w:before="240" w:after="240" w:line="360" w:lineRule="auto"/>
        <w:jc w:val="right"/>
        <w:rPr>
          <w:b/>
          <w:bCs/>
          <w:i/>
          <w:iCs/>
          <w:color w:val="000000" w:themeColor="text1"/>
          <w:lang w:val="es-MX"/>
        </w:rPr>
      </w:pPr>
      <w:r w:rsidRPr="008B5E36">
        <w:rPr>
          <w:b/>
          <w:bCs/>
          <w:i/>
          <w:iCs/>
          <w:color w:val="000000" w:themeColor="text1"/>
          <w:lang w:val="es-MX"/>
        </w:rPr>
        <w:t>https://doi.org/10.23913/ride.v14i27.1732</w:t>
      </w:r>
    </w:p>
    <w:p w14:paraId="024CE1A9" w14:textId="68F7E7C7" w:rsidR="00BA7D26" w:rsidRPr="00F1530B" w:rsidRDefault="00855435" w:rsidP="00F1530B">
      <w:pPr>
        <w:spacing w:before="240" w:after="240" w:line="360" w:lineRule="auto"/>
        <w:jc w:val="right"/>
        <w:rPr>
          <w:b/>
          <w:bCs/>
          <w:sz w:val="32"/>
          <w:szCs w:val="32"/>
          <w:lang w:val="es-ES"/>
        </w:rPr>
      </w:pPr>
      <w:r w:rsidRPr="00F1530B">
        <w:rPr>
          <w:b/>
          <w:bCs/>
          <w:sz w:val="32"/>
          <w:szCs w:val="32"/>
          <w:lang w:val="es-ES"/>
        </w:rPr>
        <w:tab/>
      </w:r>
      <w:r w:rsidR="00F1530B" w:rsidRPr="00F1530B">
        <w:rPr>
          <w:b/>
          <w:bCs/>
          <w:i/>
          <w:iCs/>
          <w:color w:val="000000" w:themeColor="text1"/>
          <w:lang w:val="es-MX"/>
        </w:rPr>
        <w:t>Artículos científicos</w:t>
      </w:r>
    </w:p>
    <w:p w14:paraId="5A79D2A1" w14:textId="50151BCA" w:rsidR="008D7859" w:rsidRPr="00F1530B" w:rsidRDefault="008D7859" w:rsidP="00F1530B">
      <w:pPr>
        <w:pStyle w:val="Sinespaciado"/>
        <w:spacing w:line="276" w:lineRule="auto"/>
        <w:jc w:val="right"/>
        <w:rPr>
          <w:rFonts w:ascii="Calibri" w:eastAsia="Times New Roman" w:hAnsi="Calibri" w:cs="Calibri"/>
          <w:b/>
          <w:color w:val="000000"/>
          <w:sz w:val="32"/>
          <w:szCs w:val="32"/>
          <w:lang w:val="es-MX" w:eastAsia="es-MX"/>
        </w:rPr>
      </w:pPr>
      <w:bookmarkStart w:id="0" w:name="_Hlk124337966"/>
      <w:r w:rsidRPr="00F1530B">
        <w:rPr>
          <w:rFonts w:ascii="Calibri" w:eastAsia="Times New Roman" w:hAnsi="Calibri" w:cs="Calibri"/>
          <w:b/>
          <w:color w:val="000000"/>
          <w:sz w:val="32"/>
          <w:szCs w:val="32"/>
          <w:lang w:val="es-MX" w:eastAsia="es-MX"/>
        </w:rPr>
        <w:t xml:space="preserve">Empleo en estudiantes universitarios </w:t>
      </w:r>
      <w:r w:rsidR="00284E7C" w:rsidRPr="00F1530B">
        <w:rPr>
          <w:rFonts w:ascii="Calibri" w:eastAsia="Times New Roman" w:hAnsi="Calibri" w:cs="Calibri"/>
          <w:b/>
          <w:color w:val="000000"/>
          <w:sz w:val="32"/>
          <w:szCs w:val="32"/>
          <w:lang w:val="es-MX" w:eastAsia="es-MX"/>
        </w:rPr>
        <w:t xml:space="preserve">de un </w:t>
      </w:r>
      <w:r w:rsidR="007067A8" w:rsidRPr="00F1530B">
        <w:rPr>
          <w:rFonts w:ascii="Calibri" w:eastAsia="Times New Roman" w:hAnsi="Calibri" w:cs="Calibri"/>
          <w:b/>
          <w:color w:val="000000"/>
          <w:sz w:val="32"/>
          <w:szCs w:val="32"/>
          <w:lang w:val="es-MX" w:eastAsia="es-MX"/>
        </w:rPr>
        <w:t xml:space="preserve">instituto tecnológico </w:t>
      </w:r>
      <w:r w:rsidRPr="00F1530B">
        <w:rPr>
          <w:rFonts w:ascii="Calibri" w:eastAsia="Times New Roman" w:hAnsi="Calibri" w:cs="Calibri"/>
          <w:b/>
          <w:color w:val="000000"/>
          <w:sz w:val="32"/>
          <w:szCs w:val="32"/>
          <w:lang w:val="es-MX" w:eastAsia="es-MX"/>
        </w:rPr>
        <w:t>y su efecto en el desempeño académico</w:t>
      </w:r>
      <w:r w:rsidR="00284E7C" w:rsidRPr="00F1530B">
        <w:rPr>
          <w:rFonts w:ascii="Calibri" w:eastAsia="Times New Roman" w:hAnsi="Calibri" w:cs="Calibri"/>
          <w:b/>
          <w:color w:val="000000"/>
          <w:sz w:val="32"/>
          <w:szCs w:val="32"/>
          <w:lang w:val="es-MX" w:eastAsia="es-MX"/>
        </w:rPr>
        <w:t xml:space="preserve"> </w:t>
      </w:r>
    </w:p>
    <w:p w14:paraId="0E925A36" w14:textId="77777777" w:rsidR="00284E7C" w:rsidRPr="00F1530B" w:rsidRDefault="00284E7C" w:rsidP="00F1530B">
      <w:pPr>
        <w:pStyle w:val="Sinespaciado"/>
        <w:spacing w:line="276" w:lineRule="auto"/>
        <w:jc w:val="right"/>
        <w:rPr>
          <w:rFonts w:ascii="Calibri" w:eastAsia="Times New Roman" w:hAnsi="Calibri" w:cs="Calibri"/>
          <w:b/>
          <w:color w:val="000000"/>
          <w:lang w:val="es-MX" w:eastAsia="es-MX"/>
        </w:rPr>
      </w:pPr>
    </w:p>
    <w:p w14:paraId="1F9B8D6E" w14:textId="6933366F" w:rsidR="000C25D6" w:rsidRPr="00F1530B" w:rsidRDefault="000C25D6" w:rsidP="00F1530B">
      <w:pPr>
        <w:spacing w:line="276" w:lineRule="auto"/>
        <w:jc w:val="right"/>
        <w:rPr>
          <w:rFonts w:ascii="Calibri" w:eastAsia="Times New Roman" w:hAnsi="Calibri" w:cs="Calibri"/>
          <w:b/>
          <w:i/>
          <w:iCs/>
          <w:color w:val="000000"/>
          <w:sz w:val="28"/>
          <w:szCs w:val="28"/>
          <w:lang w:val="es-MX" w:eastAsia="es-MX"/>
        </w:rPr>
      </w:pPr>
      <w:proofErr w:type="spellStart"/>
      <w:r w:rsidRPr="00F1530B">
        <w:rPr>
          <w:rFonts w:ascii="Calibri" w:eastAsia="Times New Roman" w:hAnsi="Calibri" w:cs="Calibri"/>
          <w:b/>
          <w:i/>
          <w:iCs/>
          <w:color w:val="000000"/>
          <w:sz w:val="28"/>
          <w:szCs w:val="28"/>
          <w:lang w:val="es-MX" w:eastAsia="es-MX"/>
        </w:rPr>
        <w:t>Employment</w:t>
      </w:r>
      <w:proofErr w:type="spellEnd"/>
      <w:r w:rsidRPr="00F1530B">
        <w:rPr>
          <w:rFonts w:ascii="Calibri" w:eastAsia="Times New Roman" w:hAnsi="Calibri" w:cs="Calibri"/>
          <w:b/>
          <w:i/>
          <w:iCs/>
          <w:color w:val="000000"/>
          <w:sz w:val="28"/>
          <w:szCs w:val="28"/>
          <w:lang w:val="es-MX" w:eastAsia="es-MX"/>
        </w:rPr>
        <w:t xml:space="preserve"> in </w:t>
      </w:r>
      <w:proofErr w:type="spellStart"/>
      <w:r w:rsidRPr="00F1530B">
        <w:rPr>
          <w:rFonts w:ascii="Calibri" w:eastAsia="Times New Roman" w:hAnsi="Calibri" w:cs="Calibri"/>
          <w:b/>
          <w:i/>
          <w:iCs/>
          <w:color w:val="000000"/>
          <w:sz w:val="28"/>
          <w:szCs w:val="28"/>
          <w:lang w:val="es-MX" w:eastAsia="es-MX"/>
        </w:rPr>
        <w:t>college</w:t>
      </w:r>
      <w:proofErr w:type="spellEnd"/>
      <w:r w:rsidRPr="00F1530B">
        <w:rPr>
          <w:rFonts w:ascii="Calibri" w:eastAsia="Times New Roman" w:hAnsi="Calibri" w:cs="Calibri"/>
          <w:b/>
          <w:i/>
          <w:iCs/>
          <w:color w:val="000000"/>
          <w:sz w:val="28"/>
          <w:szCs w:val="28"/>
          <w:lang w:val="es-MX" w:eastAsia="es-MX"/>
        </w:rPr>
        <w:t xml:space="preserve"> </w:t>
      </w:r>
      <w:proofErr w:type="spellStart"/>
      <w:r w:rsidRPr="00F1530B">
        <w:rPr>
          <w:rFonts w:ascii="Calibri" w:eastAsia="Times New Roman" w:hAnsi="Calibri" w:cs="Calibri"/>
          <w:b/>
          <w:i/>
          <w:iCs/>
          <w:color w:val="000000"/>
          <w:sz w:val="28"/>
          <w:szCs w:val="28"/>
          <w:lang w:val="es-MX" w:eastAsia="es-MX"/>
        </w:rPr>
        <w:t>students</w:t>
      </w:r>
      <w:proofErr w:type="spellEnd"/>
      <w:r w:rsidRPr="00F1530B">
        <w:rPr>
          <w:rFonts w:ascii="Calibri" w:eastAsia="Times New Roman" w:hAnsi="Calibri" w:cs="Calibri"/>
          <w:b/>
          <w:i/>
          <w:iCs/>
          <w:color w:val="000000"/>
          <w:sz w:val="28"/>
          <w:szCs w:val="28"/>
          <w:lang w:val="es-MX" w:eastAsia="es-MX"/>
        </w:rPr>
        <w:t xml:space="preserve"> </w:t>
      </w:r>
      <w:proofErr w:type="spellStart"/>
      <w:r w:rsidR="00284E7C" w:rsidRPr="00F1530B">
        <w:rPr>
          <w:rFonts w:ascii="Calibri" w:eastAsia="Times New Roman" w:hAnsi="Calibri" w:cs="Calibri"/>
          <w:b/>
          <w:i/>
          <w:iCs/>
          <w:color w:val="000000"/>
          <w:sz w:val="28"/>
          <w:szCs w:val="28"/>
          <w:lang w:val="es-MX" w:eastAsia="es-MX"/>
        </w:rPr>
        <w:t>from</w:t>
      </w:r>
      <w:proofErr w:type="spellEnd"/>
      <w:r w:rsidR="00284E7C" w:rsidRPr="00F1530B">
        <w:rPr>
          <w:rFonts w:ascii="Calibri" w:eastAsia="Times New Roman" w:hAnsi="Calibri" w:cs="Calibri"/>
          <w:b/>
          <w:i/>
          <w:iCs/>
          <w:color w:val="000000"/>
          <w:sz w:val="28"/>
          <w:szCs w:val="28"/>
          <w:lang w:val="es-MX" w:eastAsia="es-MX"/>
        </w:rPr>
        <w:t xml:space="preserve"> a </w:t>
      </w:r>
      <w:proofErr w:type="spellStart"/>
      <w:r w:rsidR="00284E7C" w:rsidRPr="00F1530B">
        <w:rPr>
          <w:rFonts w:ascii="Calibri" w:eastAsia="Times New Roman" w:hAnsi="Calibri" w:cs="Calibri"/>
          <w:b/>
          <w:i/>
          <w:iCs/>
          <w:color w:val="000000"/>
          <w:sz w:val="28"/>
          <w:szCs w:val="28"/>
          <w:lang w:val="es-MX" w:eastAsia="es-MX"/>
        </w:rPr>
        <w:t>Technological</w:t>
      </w:r>
      <w:proofErr w:type="spellEnd"/>
      <w:r w:rsidR="00284E7C" w:rsidRPr="00F1530B">
        <w:rPr>
          <w:rFonts w:ascii="Calibri" w:eastAsia="Times New Roman" w:hAnsi="Calibri" w:cs="Calibri"/>
          <w:b/>
          <w:i/>
          <w:iCs/>
          <w:color w:val="000000"/>
          <w:sz w:val="28"/>
          <w:szCs w:val="28"/>
          <w:lang w:val="es-MX" w:eastAsia="es-MX"/>
        </w:rPr>
        <w:t xml:space="preserve"> </w:t>
      </w:r>
      <w:proofErr w:type="spellStart"/>
      <w:r w:rsidR="00284E7C" w:rsidRPr="00F1530B">
        <w:rPr>
          <w:rFonts w:ascii="Calibri" w:eastAsia="Times New Roman" w:hAnsi="Calibri" w:cs="Calibri"/>
          <w:b/>
          <w:i/>
          <w:iCs/>
          <w:color w:val="000000"/>
          <w:sz w:val="28"/>
          <w:szCs w:val="28"/>
          <w:lang w:val="es-MX" w:eastAsia="es-MX"/>
        </w:rPr>
        <w:t>Institute</w:t>
      </w:r>
      <w:proofErr w:type="spellEnd"/>
      <w:r w:rsidR="004318DA" w:rsidRPr="00F1530B">
        <w:rPr>
          <w:rFonts w:ascii="Calibri" w:eastAsia="Times New Roman" w:hAnsi="Calibri" w:cs="Calibri"/>
          <w:b/>
          <w:i/>
          <w:iCs/>
          <w:color w:val="000000"/>
          <w:sz w:val="28"/>
          <w:szCs w:val="28"/>
          <w:lang w:val="es-MX" w:eastAsia="es-MX"/>
        </w:rPr>
        <w:t xml:space="preserve"> </w:t>
      </w:r>
      <w:r w:rsidRPr="00F1530B">
        <w:rPr>
          <w:rFonts w:ascii="Calibri" w:eastAsia="Times New Roman" w:hAnsi="Calibri" w:cs="Calibri"/>
          <w:b/>
          <w:i/>
          <w:iCs/>
          <w:color w:val="000000"/>
          <w:sz w:val="28"/>
          <w:szCs w:val="28"/>
          <w:lang w:val="es-MX" w:eastAsia="es-MX"/>
        </w:rPr>
        <w:t xml:space="preserve">and </w:t>
      </w:r>
      <w:proofErr w:type="spellStart"/>
      <w:r w:rsidRPr="00F1530B">
        <w:rPr>
          <w:rFonts w:ascii="Calibri" w:eastAsia="Times New Roman" w:hAnsi="Calibri" w:cs="Calibri"/>
          <w:b/>
          <w:i/>
          <w:iCs/>
          <w:color w:val="000000"/>
          <w:sz w:val="28"/>
          <w:szCs w:val="28"/>
          <w:lang w:val="es-MX" w:eastAsia="es-MX"/>
        </w:rPr>
        <w:t>its</w:t>
      </w:r>
      <w:proofErr w:type="spellEnd"/>
      <w:r w:rsidRPr="00F1530B">
        <w:rPr>
          <w:rFonts w:ascii="Calibri" w:eastAsia="Times New Roman" w:hAnsi="Calibri" w:cs="Calibri"/>
          <w:b/>
          <w:i/>
          <w:iCs/>
          <w:color w:val="000000"/>
          <w:sz w:val="28"/>
          <w:szCs w:val="28"/>
          <w:lang w:val="es-MX" w:eastAsia="es-MX"/>
        </w:rPr>
        <w:t xml:space="preserve"> </w:t>
      </w:r>
      <w:proofErr w:type="spellStart"/>
      <w:r w:rsidRPr="00F1530B">
        <w:rPr>
          <w:rFonts w:ascii="Calibri" w:eastAsia="Times New Roman" w:hAnsi="Calibri" w:cs="Calibri"/>
          <w:b/>
          <w:i/>
          <w:iCs/>
          <w:color w:val="000000"/>
          <w:sz w:val="28"/>
          <w:szCs w:val="28"/>
          <w:lang w:val="es-MX" w:eastAsia="es-MX"/>
        </w:rPr>
        <w:t>effect</w:t>
      </w:r>
      <w:proofErr w:type="spellEnd"/>
      <w:r w:rsidRPr="00F1530B">
        <w:rPr>
          <w:rFonts w:ascii="Calibri" w:eastAsia="Times New Roman" w:hAnsi="Calibri" w:cs="Calibri"/>
          <w:b/>
          <w:i/>
          <w:iCs/>
          <w:color w:val="000000"/>
          <w:sz w:val="28"/>
          <w:szCs w:val="28"/>
          <w:lang w:val="es-MX" w:eastAsia="es-MX"/>
        </w:rPr>
        <w:t xml:space="preserve"> </w:t>
      </w:r>
      <w:proofErr w:type="spellStart"/>
      <w:r w:rsidRPr="00F1530B">
        <w:rPr>
          <w:rFonts w:ascii="Calibri" w:eastAsia="Times New Roman" w:hAnsi="Calibri" w:cs="Calibri"/>
          <w:b/>
          <w:i/>
          <w:iCs/>
          <w:color w:val="000000"/>
          <w:sz w:val="28"/>
          <w:szCs w:val="28"/>
          <w:lang w:val="es-MX" w:eastAsia="es-MX"/>
        </w:rPr>
        <w:t>on</w:t>
      </w:r>
      <w:proofErr w:type="spellEnd"/>
      <w:r w:rsidRPr="00F1530B">
        <w:rPr>
          <w:rFonts w:ascii="Calibri" w:eastAsia="Times New Roman" w:hAnsi="Calibri" w:cs="Calibri"/>
          <w:b/>
          <w:i/>
          <w:iCs/>
          <w:color w:val="000000"/>
          <w:sz w:val="28"/>
          <w:szCs w:val="28"/>
          <w:lang w:val="es-MX" w:eastAsia="es-MX"/>
        </w:rPr>
        <w:t xml:space="preserve"> </w:t>
      </w:r>
      <w:proofErr w:type="spellStart"/>
      <w:r w:rsidRPr="00F1530B">
        <w:rPr>
          <w:rFonts w:ascii="Calibri" w:eastAsia="Times New Roman" w:hAnsi="Calibri" w:cs="Calibri"/>
          <w:b/>
          <w:i/>
          <w:iCs/>
          <w:color w:val="000000"/>
          <w:sz w:val="28"/>
          <w:szCs w:val="28"/>
          <w:lang w:val="es-MX" w:eastAsia="es-MX"/>
        </w:rPr>
        <w:t>academic</w:t>
      </w:r>
      <w:proofErr w:type="spellEnd"/>
      <w:r w:rsidRPr="00F1530B">
        <w:rPr>
          <w:rFonts w:ascii="Calibri" w:eastAsia="Times New Roman" w:hAnsi="Calibri" w:cs="Calibri"/>
          <w:b/>
          <w:i/>
          <w:iCs/>
          <w:color w:val="000000"/>
          <w:sz w:val="28"/>
          <w:szCs w:val="28"/>
          <w:lang w:val="es-MX" w:eastAsia="es-MX"/>
        </w:rPr>
        <w:t xml:space="preserve"> performance</w:t>
      </w:r>
      <w:r w:rsidR="00F1530B">
        <w:rPr>
          <w:rFonts w:ascii="Calibri" w:eastAsia="Times New Roman" w:hAnsi="Calibri" w:cs="Calibri"/>
          <w:b/>
          <w:i/>
          <w:iCs/>
          <w:color w:val="000000"/>
          <w:sz w:val="28"/>
          <w:szCs w:val="28"/>
          <w:lang w:val="es-MX" w:eastAsia="es-MX"/>
        </w:rPr>
        <w:br/>
      </w:r>
    </w:p>
    <w:p w14:paraId="6865DF90" w14:textId="10B78EE3" w:rsidR="00F1530B" w:rsidRPr="00F1530B" w:rsidRDefault="00F1530B" w:rsidP="00F1530B">
      <w:pPr>
        <w:spacing w:line="276" w:lineRule="auto"/>
        <w:jc w:val="right"/>
        <w:rPr>
          <w:rFonts w:ascii="Calibri" w:eastAsia="Times New Roman" w:hAnsi="Calibri" w:cs="Calibri"/>
          <w:b/>
          <w:i/>
          <w:iCs/>
          <w:color w:val="000000"/>
          <w:sz w:val="28"/>
          <w:szCs w:val="28"/>
          <w:lang w:val="es-MX" w:eastAsia="es-MX"/>
        </w:rPr>
      </w:pPr>
      <w:proofErr w:type="spellStart"/>
      <w:r w:rsidRPr="00F1530B">
        <w:rPr>
          <w:rFonts w:ascii="Calibri" w:eastAsia="Times New Roman" w:hAnsi="Calibri" w:cs="Calibri"/>
          <w:b/>
          <w:i/>
          <w:iCs/>
          <w:color w:val="000000"/>
          <w:sz w:val="28"/>
          <w:szCs w:val="28"/>
          <w:lang w:val="es-MX" w:eastAsia="es-MX"/>
        </w:rPr>
        <w:t>Emprego</w:t>
      </w:r>
      <w:proofErr w:type="spellEnd"/>
      <w:r w:rsidRPr="00F1530B">
        <w:rPr>
          <w:rFonts w:ascii="Calibri" w:eastAsia="Times New Roman" w:hAnsi="Calibri" w:cs="Calibri"/>
          <w:b/>
          <w:i/>
          <w:iCs/>
          <w:color w:val="000000"/>
          <w:sz w:val="28"/>
          <w:szCs w:val="28"/>
          <w:lang w:val="es-MX" w:eastAsia="es-MX"/>
        </w:rPr>
        <w:t xml:space="preserve"> em </w:t>
      </w:r>
      <w:proofErr w:type="spellStart"/>
      <w:r w:rsidRPr="00F1530B">
        <w:rPr>
          <w:rFonts w:ascii="Calibri" w:eastAsia="Times New Roman" w:hAnsi="Calibri" w:cs="Calibri"/>
          <w:b/>
          <w:i/>
          <w:iCs/>
          <w:color w:val="000000"/>
          <w:sz w:val="28"/>
          <w:szCs w:val="28"/>
          <w:lang w:val="es-MX" w:eastAsia="es-MX"/>
        </w:rPr>
        <w:t>estudantes</w:t>
      </w:r>
      <w:proofErr w:type="spellEnd"/>
      <w:r w:rsidRPr="00F1530B">
        <w:rPr>
          <w:rFonts w:ascii="Calibri" w:eastAsia="Times New Roman" w:hAnsi="Calibri" w:cs="Calibri"/>
          <w:b/>
          <w:i/>
          <w:iCs/>
          <w:color w:val="000000"/>
          <w:sz w:val="28"/>
          <w:szCs w:val="28"/>
          <w:lang w:val="es-MX" w:eastAsia="es-MX"/>
        </w:rPr>
        <w:t xml:space="preserve"> </w:t>
      </w:r>
      <w:proofErr w:type="spellStart"/>
      <w:r w:rsidRPr="00F1530B">
        <w:rPr>
          <w:rFonts w:ascii="Calibri" w:eastAsia="Times New Roman" w:hAnsi="Calibri" w:cs="Calibri"/>
          <w:b/>
          <w:i/>
          <w:iCs/>
          <w:color w:val="000000"/>
          <w:sz w:val="28"/>
          <w:szCs w:val="28"/>
          <w:lang w:val="es-MX" w:eastAsia="es-MX"/>
        </w:rPr>
        <w:t>universitários</w:t>
      </w:r>
      <w:proofErr w:type="spellEnd"/>
      <w:r w:rsidRPr="00F1530B">
        <w:rPr>
          <w:rFonts w:ascii="Calibri" w:eastAsia="Times New Roman" w:hAnsi="Calibri" w:cs="Calibri"/>
          <w:b/>
          <w:i/>
          <w:iCs/>
          <w:color w:val="000000"/>
          <w:sz w:val="28"/>
          <w:szCs w:val="28"/>
          <w:lang w:val="es-MX" w:eastAsia="es-MX"/>
        </w:rPr>
        <w:t xml:space="preserve"> de </w:t>
      </w:r>
      <w:proofErr w:type="spellStart"/>
      <w:r w:rsidRPr="00F1530B">
        <w:rPr>
          <w:rFonts w:ascii="Calibri" w:eastAsia="Times New Roman" w:hAnsi="Calibri" w:cs="Calibri"/>
          <w:b/>
          <w:i/>
          <w:iCs/>
          <w:color w:val="000000"/>
          <w:sz w:val="28"/>
          <w:szCs w:val="28"/>
          <w:lang w:val="es-MX" w:eastAsia="es-MX"/>
        </w:rPr>
        <w:t>um</w:t>
      </w:r>
      <w:proofErr w:type="spellEnd"/>
      <w:r w:rsidRPr="00F1530B">
        <w:rPr>
          <w:rFonts w:ascii="Calibri" w:eastAsia="Times New Roman" w:hAnsi="Calibri" w:cs="Calibri"/>
          <w:b/>
          <w:i/>
          <w:iCs/>
          <w:color w:val="000000"/>
          <w:sz w:val="28"/>
          <w:szCs w:val="28"/>
          <w:lang w:val="es-MX" w:eastAsia="es-MX"/>
        </w:rPr>
        <w:t xml:space="preserve"> instituto tecnológico e </w:t>
      </w:r>
      <w:proofErr w:type="spellStart"/>
      <w:r w:rsidRPr="00F1530B">
        <w:rPr>
          <w:rFonts w:ascii="Calibri" w:eastAsia="Times New Roman" w:hAnsi="Calibri" w:cs="Calibri"/>
          <w:b/>
          <w:i/>
          <w:iCs/>
          <w:color w:val="000000"/>
          <w:sz w:val="28"/>
          <w:szCs w:val="28"/>
          <w:lang w:val="es-MX" w:eastAsia="es-MX"/>
        </w:rPr>
        <w:t>seu</w:t>
      </w:r>
      <w:proofErr w:type="spellEnd"/>
      <w:r w:rsidRPr="00F1530B">
        <w:rPr>
          <w:rFonts w:ascii="Calibri" w:eastAsia="Times New Roman" w:hAnsi="Calibri" w:cs="Calibri"/>
          <w:b/>
          <w:i/>
          <w:iCs/>
          <w:color w:val="000000"/>
          <w:sz w:val="28"/>
          <w:szCs w:val="28"/>
          <w:lang w:val="es-MX" w:eastAsia="es-MX"/>
        </w:rPr>
        <w:t xml:space="preserve"> </w:t>
      </w:r>
      <w:proofErr w:type="spellStart"/>
      <w:r w:rsidRPr="00F1530B">
        <w:rPr>
          <w:rFonts w:ascii="Calibri" w:eastAsia="Times New Roman" w:hAnsi="Calibri" w:cs="Calibri"/>
          <w:b/>
          <w:i/>
          <w:iCs/>
          <w:color w:val="000000"/>
          <w:sz w:val="28"/>
          <w:szCs w:val="28"/>
          <w:lang w:val="es-MX" w:eastAsia="es-MX"/>
        </w:rPr>
        <w:t>efeito</w:t>
      </w:r>
      <w:proofErr w:type="spellEnd"/>
      <w:r w:rsidRPr="00F1530B">
        <w:rPr>
          <w:rFonts w:ascii="Calibri" w:eastAsia="Times New Roman" w:hAnsi="Calibri" w:cs="Calibri"/>
          <w:b/>
          <w:i/>
          <w:iCs/>
          <w:color w:val="000000"/>
          <w:sz w:val="28"/>
          <w:szCs w:val="28"/>
          <w:lang w:val="es-MX" w:eastAsia="es-MX"/>
        </w:rPr>
        <w:t xml:space="preserve"> no </w:t>
      </w:r>
      <w:proofErr w:type="spellStart"/>
      <w:r w:rsidRPr="00F1530B">
        <w:rPr>
          <w:rFonts w:ascii="Calibri" w:eastAsia="Times New Roman" w:hAnsi="Calibri" w:cs="Calibri"/>
          <w:b/>
          <w:i/>
          <w:iCs/>
          <w:color w:val="000000"/>
          <w:sz w:val="28"/>
          <w:szCs w:val="28"/>
          <w:lang w:val="es-MX" w:eastAsia="es-MX"/>
        </w:rPr>
        <w:t>desempenho</w:t>
      </w:r>
      <w:proofErr w:type="spellEnd"/>
      <w:r w:rsidRPr="00F1530B">
        <w:rPr>
          <w:rFonts w:ascii="Calibri" w:eastAsia="Times New Roman" w:hAnsi="Calibri" w:cs="Calibri"/>
          <w:b/>
          <w:i/>
          <w:iCs/>
          <w:color w:val="000000"/>
          <w:sz w:val="28"/>
          <w:szCs w:val="28"/>
          <w:lang w:val="es-MX" w:eastAsia="es-MX"/>
        </w:rPr>
        <w:t xml:space="preserve"> </w:t>
      </w:r>
      <w:proofErr w:type="spellStart"/>
      <w:r w:rsidRPr="00F1530B">
        <w:rPr>
          <w:rFonts w:ascii="Calibri" w:eastAsia="Times New Roman" w:hAnsi="Calibri" w:cs="Calibri"/>
          <w:b/>
          <w:i/>
          <w:iCs/>
          <w:color w:val="000000"/>
          <w:sz w:val="28"/>
          <w:szCs w:val="28"/>
          <w:lang w:val="es-MX" w:eastAsia="es-MX"/>
        </w:rPr>
        <w:t>acadêmico</w:t>
      </w:r>
      <w:proofErr w:type="spellEnd"/>
    </w:p>
    <w:p w14:paraId="2D8D7733" w14:textId="77777777" w:rsidR="006E4670" w:rsidRPr="00DD322C" w:rsidRDefault="006E4670" w:rsidP="008B0CEF">
      <w:pPr>
        <w:pStyle w:val="Sinespaciado"/>
        <w:jc w:val="center"/>
        <w:rPr>
          <w:rFonts w:ascii="Times New Roman" w:hAnsi="Times New Roman" w:cs="Times New Roman"/>
          <w:b/>
          <w:lang w:val="es-ES"/>
        </w:rPr>
      </w:pPr>
    </w:p>
    <w:bookmarkEnd w:id="0"/>
    <w:p w14:paraId="11917DBC" w14:textId="6CBC39B5" w:rsidR="006E4670" w:rsidRDefault="006E4670" w:rsidP="00F1530B">
      <w:pPr>
        <w:spacing w:line="276" w:lineRule="auto"/>
        <w:jc w:val="right"/>
        <w:rPr>
          <w:rFonts w:asciiTheme="minorHAnsi" w:eastAsia="Times New Roman" w:hAnsiTheme="minorHAnsi" w:cstheme="minorHAnsi"/>
          <w:b/>
          <w:bCs/>
        </w:rPr>
      </w:pPr>
      <w:r w:rsidRPr="00F1530B">
        <w:rPr>
          <w:rFonts w:asciiTheme="minorHAnsi" w:eastAsia="Times New Roman" w:hAnsiTheme="minorHAnsi" w:cstheme="minorHAnsi"/>
          <w:b/>
          <w:bCs/>
        </w:rPr>
        <w:t xml:space="preserve">Carlos Miguel Amador </w:t>
      </w:r>
      <w:proofErr w:type="spellStart"/>
      <w:r w:rsidRPr="00F1530B">
        <w:rPr>
          <w:rFonts w:asciiTheme="minorHAnsi" w:eastAsia="Times New Roman" w:hAnsiTheme="minorHAnsi" w:cstheme="minorHAnsi"/>
          <w:b/>
          <w:bCs/>
        </w:rPr>
        <w:t>Ortíz</w:t>
      </w:r>
      <w:proofErr w:type="spellEnd"/>
    </w:p>
    <w:p w14:paraId="3560354F" w14:textId="46E9F596" w:rsidR="00F1530B" w:rsidRPr="00F1530B" w:rsidRDefault="00F1530B" w:rsidP="00F1530B">
      <w:pPr>
        <w:spacing w:line="276" w:lineRule="auto"/>
        <w:jc w:val="right"/>
        <w:rPr>
          <w:rFonts w:asciiTheme="minorHAnsi" w:eastAsia="Times New Roman" w:hAnsiTheme="minorHAnsi" w:cstheme="minorHAnsi"/>
          <w:b/>
          <w:bCs/>
        </w:rPr>
      </w:pPr>
      <w:r w:rsidRPr="00DD322C">
        <w:rPr>
          <w:rFonts w:eastAsia="Times New Roman"/>
        </w:rPr>
        <w:t>Tecnológico Nacional de México</w:t>
      </w:r>
      <w:r>
        <w:rPr>
          <w:rFonts w:eastAsia="Times New Roman"/>
        </w:rPr>
        <w:t xml:space="preserve">, </w:t>
      </w:r>
      <w:r w:rsidRPr="00DD322C">
        <w:rPr>
          <w:rFonts w:eastAsia="Times New Roman"/>
        </w:rPr>
        <w:t xml:space="preserve">Instituto Tecnológico José Mario Molina Pasquel y Henríquez, </w:t>
      </w:r>
      <w:r>
        <w:rPr>
          <w:rFonts w:eastAsia="Times New Roman"/>
        </w:rPr>
        <w:t>México</w:t>
      </w:r>
    </w:p>
    <w:p w14:paraId="15915DE8" w14:textId="77777777" w:rsidR="006E4670" w:rsidRDefault="00000000" w:rsidP="00F1530B">
      <w:pPr>
        <w:spacing w:line="276" w:lineRule="auto"/>
        <w:jc w:val="right"/>
        <w:rPr>
          <w:rStyle w:val="Hipervnculo"/>
          <w:rFonts w:asciiTheme="minorHAnsi" w:eastAsia="Times New Roman" w:hAnsiTheme="minorHAnsi" w:cstheme="minorHAnsi"/>
          <w:color w:val="FF0000"/>
          <w:u w:val="none"/>
        </w:rPr>
      </w:pPr>
      <w:hyperlink r:id="rId8" w:history="1">
        <w:r w:rsidR="006E4670" w:rsidRPr="00F1530B">
          <w:rPr>
            <w:rStyle w:val="Hipervnculo"/>
            <w:rFonts w:asciiTheme="minorHAnsi" w:eastAsia="Times New Roman" w:hAnsiTheme="minorHAnsi" w:cstheme="minorHAnsi"/>
            <w:color w:val="FF0000"/>
            <w:u w:val="none"/>
          </w:rPr>
          <w:t>carlos.amador@vallarta.tecmm.edu.mx</w:t>
        </w:r>
      </w:hyperlink>
    </w:p>
    <w:p w14:paraId="0ADB892A" w14:textId="6AE732E8" w:rsidR="00F80CF9" w:rsidRPr="00F56DB9" w:rsidRDefault="00EC20DA" w:rsidP="00F1530B">
      <w:pPr>
        <w:spacing w:line="276" w:lineRule="auto"/>
        <w:jc w:val="right"/>
        <w:rPr>
          <w:rFonts w:eastAsia="Times New Roman"/>
        </w:rPr>
      </w:pPr>
      <w:r w:rsidRPr="00F56DB9">
        <w:rPr>
          <w:rFonts w:eastAsia="Times New Roman"/>
        </w:rPr>
        <w:t>https://orcid.org/0000-0001-6654-8448</w:t>
      </w:r>
    </w:p>
    <w:p w14:paraId="2AEB8381" w14:textId="77777777" w:rsidR="006E4670" w:rsidRPr="00DD322C" w:rsidRDefault="006E4670" w:rsidP="00F1530B">
      <w:pPr>
        <w:spacing w:line="276" w:lineRule="auto"/>
        <w:jc w:val="right"/>
        <w:rPr>
          <w:rFonts w:eastAsia="Times New Roman"/>
        </w:rPr>
      </w:pPr>
    </w:p>
    <w:p w14:paraId="2820B0A6" w14:textId="0BFEB87D" w:rsidR="006E4670" w:rsidRDefault="006E4670" w:rsidP="00F1530B">
      <w:pPr>
        <w:spacing w:line="276" w:lineRule="auto"/>
        <w:jc w:val="right"/>
        <w:rPr>
          <w:rFonts w:asciiTheme="minorHAnsi" w:eastAsia="Times New Roman" w:hAnsiTheme="minorHAnsi" w:cstheme="minorHAnsi"/>
          <w:b/>
          <w:bCs/>
        </w:rPr>
      </w:pPr>
      <w:r w:rsidRPr="00F1530B">
        <w:rPr>
          <w:rFonts w:asciiTheme="minorHAnsi" w:eastAsia="Times New Roman" w:hAnsiTheme="minorHAnsi" w:cstheme="minorHAnsi"/>
          <w:b/>
          <w:bCs/>
        </w:rPr>
        <w:t>Leticia Velarde Peña</w:t>
      </w:r>
    </w:p>
    <w:p w14:paraId="5C202A83" w14:textId="590BCA8A" w:rsidR="00F1530B" w:rsidRPr="00F1530B" w:rsidRDefault="00F1530B" w:rsidP="00F1530B">
      <w:pPr>
        <w:spacing w:line="276" w:lineRule="auto"/>
        <w:jc w:val="right"/>
        <w:rPr>
          <w:rFonts w:asciiTheme="minorHAnsi" w:eastAsia="Times New Roman" w:hAnsiTheme="minorHAnsi" w:cstheme="minorHAnsi"/>
          <w:b/>
          <w:bCs/>
        </w:rPr>
      </w:pPr>
      <w:r w:rsidRPr="00DD322C">
        <w:rPr>
          <w:rFonts w:eastAsia="Times New Roman"/>
        </w:rPr>
        <w:t>Tecnológico Nacional de México</w:t>
      </w:r>
      <w:r>
        <w:rPr>
          <w:rFonts w:eastAsia="Times New Roman"/>
        </w:rPr>
        <w:t xml:space="preserve">, </w:t>
      </w:r>
      <w:r w:rsidRPr="00DD322C">
        <w:rPr>
          <w:rFonts w:eastAsia="Times New Roman"/>
        </w:rPr>
        <w:t xml:space="preserve">Instituto Tecnológico José Mario Molina Pasquel y Henríquez, </w:t>
      </w:r>
      <w:r>
        <w:rPr>
          <w:rFonts w:eastAsia="Times New Roman"/>
        </w:rPr>
        <w:t>México</w:t>
      </w:r>
    </w:p>
    <w:p w14:paraId="0925A068" w14:textId="77777777" w:rsidR="006E4670" w:rsidRDefault="00000000" w:rsidP="00F1530B">
      <w:pPr>
        <w:spacing w:line="276" w:lineRule="auto"/>
        <w:jc w:val="right"/>
        <w:rPr>
          <w:rStyle w:val="Hipervnculo"/>
          <w:rFonts w:asciiTheme="minorHAnsi" w:eastAsia="Times New Roman" w:hAnsiTheme="minorHAnsi" w:cstheme="minorHAnsi"/>
          <w:color w:val="FF0000"/>
          <w:u w:val="none"/>
        </w:rPr>
      </w:pPr>
      <w:hyperlink r:id="rId9" w:history="1">
        <w:r w:rsidR="006E4670" w:rsidRPr="00F1530B">
          <w:rPr>
            <w:rStyle w:val="Hipervnculo"/>
            <w:rFonts w:asciiTheme="minorHAnsi" w:eastAsia="Times New Roman" w:hAnsiTheme="minorHAnsi" w:cstheme="minorHAnsi"/>
            <w:color w:val="FF0000"/>
            <w:u w:val="none"/>
          </w:rPr>
          <w:t>leticia.velarde@vallarta.tecmm.edu.mx</w:t>
        </w:r>
      </w:hyperlink>
    </w:p>
    <w:p w14:paraId="7B30B459" w14:textId="433FBFC6" w:rsidR="00EC20DA" w:rsidRPr="00F56DB9" w:rsidRDefault="007A732A" w:rsidP="00F1530B">
      <w:pPr>
        <w:spacing w:line="276" w:lineRule="auto"/>
        <w:jc w:val="right"/>
        <w:rPr>
          <w:rFonts w:eastAsia="Times New Roman"/>
        </w:rPr>
      </w:pPr>
      <w:r w:rsidRPr="00F56DB9">
        <w:rPr>
          <w:rFonts w:eastAsia="Times New Roman"/>
        </w:rPr>
        <w:t>https://orcid.org/0000-0003-1096-1035</w:t>
      </w:r>
    </w:p>
    <w:p w14:paraId="7DDDAF23" w14:textId="77777777" w:rsidR="006E4670" w:rsidRPr="00DD322C" w:rsidRDefault="006E4670" w:rsidP="00F1530B">
      <w:pPr>
        <w:spacing w:line="276" w:lineRule="auto"/>
        <w:jc w:val="right"/>
        <w:rPr>
          <w:rFonts w:eastAsia="Times New Roman"/>
        </w:rPr>
      </w:pPr>
    </w:p>
    <w:p w14:paraId="3C94BBF7" w14:textId="45F83DE5" w:rsidR="006E4670" w:rsidRDefault="006E4670" w:rsidP="00F1530B">
      <w:pPr>
        <w:spacing w:line="276" w:lineRule="auto"/>
        <w:jc w:val="right"/>
        <w:rPr>
          <w:rFonts w:asciiTheme="minorHAnsi" w:eastAsia="Times New Roman" w:hAnsiTheme="minorHAnsi" w:cstheme="minorHAnsi"/>
          <w:b/>
          <w:bCs/>
        </w:rPr>
      </w:pPr>
      <w:r w:rsidRPr="00F1530B">
        <w:rPr>
          <w:rFonts w:asciiTheme="minorHAnsi" w:eastAsia="Times New Roman" w:hAnsiTheme="minorHAnsi" w:cstheme="minorHAnsi"/>
          <w:b/>
          <w:bCs/>
        </w:rPr>
        <w:t xml:space="preserve">María Luisa Torres </w:t>
      </w:r>
      <w:proofErr w:type="spellStart"/>
      <w:r w:rsidRPr="00F1530B">
        <w:rPr>
          <w:rFonts w:asciiTheme="minorHAnsi" w:eastAsia="Times New Roman" w:hAnsiTheme="minorHAnsi" w:cstheme="minorHAnsi"/>
          <w:b/>
          <w:bCs/>
        </w:rPr>
        <w:t>Isiordia</w:t>
      </w:r>
      <w:proofErr w:type="spellEnd"/>
    </w:p>
    <w:p w14:paraId="71156C5D" w14:textId="5DEB2C36" w:rsidR="00F1530B" w:rsidRPr="00F1530B" w:rsidRDefault="00F1530B" w:rsidP="00F1530B">
      <w:pPr>
        <w:spacing w:line="276" w:lineRule="auto"/>
        <w:jc w:val="right"/>
        <w:rPr>
          <w:rFonts w:asciiTheme="minorHAnsi" w:eastAsia="Times New Roman" w:hAnsiTheme="minorHAnsi" w:cstheme="minorHAnsi"/>
          <w:b/>
          <w:bCs/>
        </w:rPr>
      </w:pPr>
      <w:r w:rsidRPr="00DD322C">
        <w:rPr>
          <w:rFonts w:eastAsia="Times New Roman"/>
        </w:rPr>
        <w:t>Tecnológico Nacional de México</w:t>
      </w:r>
      <w:r>
        <w:rPr>
          <w:rFonts w:eastAsia="Times New Roman"/>
        </w:rPr>
        <w:t xml:space="preserve">, </w:t>
      </w:r>
      <w:r w:rsidRPr="00DD322C">
        <w:rPr>
          <w:rFonts w:eastAsia="Times New Roman"/>
        </w:rPr>
        <w:t xml:space="preserve">Instituto Tecnológico José Mario Molina Pasquel y Henríquez, </w:t>
      </w:r>
      <w:r>
        <w:rPr>
          <w:rFonts w:eastAsia="Times New Roman"/>
        </w:rPr>
        <w:t>México</w:t>
      </w:r>
    </w:p>
    <w:p w14:paraId="30FBBC16" w14:textId="77777777" w:rsidR="006E4670" w:rsidRDefault="00000000" w:rsidP="00F1530B">
      <w:pPr>
        <w:spacing w:line="276" w:lineRule="auto"/>
        <w:jc w:val="right"/>
        <w:rPr>
          <w:rStyle w:val="Hipervnculo"/>
          <w:rFonts w:asciiTheme="minorHAnsi" w:eastAsia="Times New Roman" w:hAnsiTheme="minorHAnsi" w:cstheme="minorHAnsi"/>
          <w:color w:val="FF0000"/>
          <w:u w:val="none"/>
        </w:rPr>
      </w:pPr>
      <w:hyperlink r:id="rId10" w:history="1">
        <w:r w:rsidR="006E4670" w:rsidRPr="00F1530B">
          <w:rPr>
            <w:rStyle w:val="Hipervnculo"/>
            <w:rFonts w:asciiTheme="minorHAnsi" w:eastAsia="Times New Roman" w:hAnsiTheme="minorHAnsi" w:cstheme="minorHAnsi"/>
            <w:color w:val="FF0000"/>
            <w:u w:val="none"/>
          </w:rPr>
          <w:t>maría.torres@vallarta.tecmm.edu.mx</w:t>
        </w:r>
      </w:hyperlink>
    </w:p>
    <w:p w14:paraId="69D420F0" w14:textId="4117B07D" w:rsidR="007A732A" w:rsidRPr="00F56DB9" w:rsidRDefault="00152544" w:rsidP="00F1530B">
      <w:pPr>
        <w:spacing w:line="276" w:lineRule="auto"/>
        <w:jc w:val="right"/>
        <w:rPr>
          <w:rFonts w:eastAsia="Times New Roman"/>
        </w:rPr>
      </w:pPr>
      <w:r w:rsidRPr="00F56DB9">
        <w:rPr>
          <w:rFonts w:eastAsia="Times New Roman"/>
        </w:rPr>
        <w:t>https://orcid.org/0000-0001-5125-8018</w:t>
      </w:r>
    </w:p>
    <w:p w14:paraId="67FAF58F" w14:textId="77777777" w:rsidR="006E4670" w:rsidRPr="00152544" w:rsidRDefault="006E4670" w:rsidP="00F1530B">
      <w:pPr>
        <w:spacing w:line="276" w:lineRule="auto"/>
        <w:jc w:val="right"/>
        <w:rPr>
          <w:rFonts w:eastAsia="Times New Roman"/>
        </w:rPr>
      </w:pPr>
    </w:p>
    <w:p w14:paraId="21AB5DD8" w14:textId="5F6B53A7" w:rsidR="006E4670" w:rsidRDefault="006E4670" w:rsidP="00F1530B">
      <w:pPr>
        <w:spacing w:line="276" w:lineRule="auto"/>
        <w:jc w:val="right"/>
        <w:rPr>
          <w:rFonts w:asciiTheme="minorHAnsi" w:eastAsia="Times New Roman" w:hAnsiTheme="minorHAnsi" w:cstheme="minorHAnsi"/>
          <w:b/>
          <w:bCs/>
        </w:rPr>
      </w:pPr>
      <w:r w:rsidRPr="00F1530B">
        <w:rPr>
          <w:rFonts w:asciiTheme="minorHAnsi" w:eastAsia="Times New Roman" w:hAnsiTheme="minorHAnsi" w:cstheme="minorHAnsi"/>
          <w:b/>
          <w:bCs/>
        </w:rPr>
        <w:t>Jorge Rodríguez Palomera</w:t>
      </w:r>
    </w:p>
    <w:p w14:paraId="2D770387" w14:textId="49CF21D7" w:rsidR="00F1530B" w:rsidRPr="00F1530B" w:rsidRDefault="00F1530B" w:rsidP="00F1530B">
      <w:pPr>
        <w:spacing w:line="276" w:lineRule="auto"/>
        <w:jc w:val="right"/>
        <w:rPr>
          <w:rFonts w:asciiTheme="minorHAnsi" w:eastAsia="Times New Roman" w:hAnsiTheme="minorHAnsi" w:cstheme="minorHAnsi"/>
          <w:b/>
          <w:bCs/>
        </w:rPr>
      </w:pPr>
      <w:r w:rsidRPr="00DD322C">
        <w:rPr>
          <w:rFonts w:eastAsia="Times New Roman"/>
        </w:rPr>
        <w:t>Tecnológico Nacional de México</w:t>
      </w:r>
      <w:r>
        <w:rPr>
          <w:rFonts w:eastAsia="Times New Roman"/>
        </w:rPr>
        <w:t xml:space="preserve">, </w:t>
      </w:r>
      <w:r w:rsidRPr="00DD322C">
        <w:rPr>
          <w:rFonts w:eastAsia="Times New Roman"/>
        </w:rPr>
        <w:t xml:space="preserve">Instituto Tecnológico José Mario Molina Pasquel y Henríquez, </w:t>
      </w:r>
      <w:r>
        <w:rPr>
          <w:rFonts w:eastAsia="Times New Roman"/>
        </w:rPr>
        <w:t>México</w:t>
      </w:r>
    </w:p>
    <w:p w14:paraId="463BFAB7" w14:textId="77777777" w:rsidR="006E4670" w:rsidRDefault="00000000" w:rsidP="00F1530B">
      <w:pPr>
        <w:spacing w:line="276" w:lineRule="auto"/>
        <w:jc w:val="right"/>
        <w:rPr>
          <w:rStyle w:val="Hipervnculo"/>
          <w:rFonts w:asciiTheme="minorHAnsi" w:eastAsia="Times New Roman" w:hAnsiTheme="minorHAnsi" w:cstheme="minorHAnsi"/>
          <w:color w:val="FF0000"/>
          <w:u w:val="none"/>
        </w:rPr>
      </w:pPr>
      <w:hyperlink r:id="rId11" w:history="1">
        <w:r w:rsidR="006E4670" w:rsidRPr="00F1530B">
          <w:rPr>
            <w:rStyle w:val="Hipervnculo"/>
            <w:rFonts w:asciiTheme="minorHAnsi" w:eastAsia="Times New Roman" w:hAnsiTheme="minorHAnsi" w:cstheme="minorHAnsi"/>
            <w:color w:val="FF0000"/>
            <w:u w:val="none"/>
          </w:rPr>
          <w:t>jorge.rodriguez@vallarta.tecmm.edu.mx</w:t>
        </w:r>
      </w:hyperlink>
    </w:p>
    <w:p w14:paraId="093FDFA1" w14:textId="373172B2" w:rsidR="00D03B49" w:rsidRPr="00F56DB9" w:rsidRDefault="00BC7D73" w:rsidP="00F1530B">
      <w:pPr>
        <w:spacing w:line="276" w:lineRule="auto"/>
        <w:jc w:val="right"/>
        <w:rPr>
          <w:rFonts w:eastAsia="Times New Roman"/>
        </w:rPr>
      </w:pPr>
      <w:r w:rsidRPr="00F56DB9">
        <w:rPr>
          <w:rFonts w:eastAsia="Times New Roman"/>
        </w:rPr>
        <w:t>https://orcid.org/0000-0001-8016-6067</w:t>
      </w:r>
    </w:p>
    <w:p w14:paraId="64A58085" w14:textId="77777777" w:rsidR="006E4670" w:rsidRDefault="006E4670" w:rsidP="00F1530B">
      <w:pPr>
        <w:spacing w:line="276" w:lineRule="auto"/>
        <w:jc w:val="right"/>
        <w:rPr>
          <w:rFonts w:eastAsia="Times New Roman"/>
        </w:rPr>
      </w:pPr>
    </w:p>
    <w:p w14:paraId="7183612B" w14:textId="77777777" w:rsidR="00F56DB9" w:rsidRDefault="00F56DB9" w:rsidP="00F1530B">
      <w:pPr>
        <w:spacing w:line="276" w:lineRule="auto"/>
        <w:jc w:val="right"/>
        <w:rPr>
          <w:rFonts w:eastAsia="Times New Roman"/>
        </w:rPr>
      </w:pPr>
    </w:p>
    <w:p w14:paraId="52845DDD" w14:textId="77777777" w:rsidR="00F56DB9" w:rsidRDefault="00F56DB9" w:rsidP="00F1530B">
      <w:pPr>
        <w:spacing w:line="276" w:lineRule="auto"/>
        <w:jc w:val="right"/>
        <w:rPr>
          <w:rFonts w:eastAsia="Times New Roman"/>
        </w:rPr>
      </w:pPr>
    </w:p>
    <w:p w14:paraId="10A9DA22" w14:textId="77777777" w:rsidR="008B5E36" w:rsidRPr="00DD322C" w:rsidRDefault="008B5E36" w:rsidP="00F1530B">
      <w:pPr>
        <w:spacing w:line="276" w:lineRule="auto"/>
        <w:jc w:val="right"/>
        <w:rPr>
          <w:rFonts w:eastAsia="Times New Roman"/>
        </w:rPr>
      </w:pPr>
    </w:p>
    <w:p w14:paraId="3C40684D" w14:textId="3375293A" w:rsidR="006E4670" w:rsidRDefault="00072A2D" w:rsidP="00F1530B">
      <w:pPr>
        <w:spacing w:line="276" w:lineRule="auto"/>
        <w:jc w:val="right"/>
        <w:rPr>
          <w:rFonts w:asciiTheme="minorHAnsi" w:eastAsia="Times New Roman" w:hAnsiTheme="minorHAnsi" w:cstheme="minorHAnsi"/>
          <w:b/>
          <w:bCs/>
        </w:rPr>
      </w:pPr>
      <w:r w:rsidRPr="00F1530B">
        <w:rPr>
          <w:rFonts w:asciiTheme="minorHAnsi" w:eastAsia="Times New Roman" w:hAnsiTheme="minorHAnsi" w:cstheme="minorHAnsi"/>
          <w:b/>
          <w:bCs/>
        </w:rPr>
        <w:lastRenderedPageBreak/>
        <w:t>Álvaro Sánchez</w:t>
      </w:r>
      <w:r w:rsidR="006E4670" w:rsidRPr="00F1530B">
        <w:rPr>
          <w:rFonts w:asciiTheme="minorHAnsi" w:eastAsia="Times New Roman" w:hAnsiTheme="minorHAnsi" w:cstheme="minorHAnsi"/>
          <w:b/>
          <w:bCs/>
        </w:rPr>
        <w:t xml:space="preserve"> Navarrete</w:t>
      </w:r>
    </w:p>
    <w:p w14:paraId="4217609F" w14:textId="15E2947F" w:rsidR="00F1530B" w:rsidRPr="00F1530B" w:rsidRDefault="00F1530B" w:rsidP="00F1530B">
      <w:pPr>
        <w:spacing w:line="276" w:lineRule="auto"/>
        <w:jc w:val="right"/>
        <w:rPr>
          <w:rFonts w:asciiTheme="minorHAnsi" w:eastAsia="Times New Roman" w:hAnsiTheme="minorHAnsi" w:cstheme="minorHAnsi"/>
          <w:b/>
          <w:bCs/>
        </w:rPr>
      </w:pPr>
      <w:r w:rsidRPr="00DD322C">
        <w:rPr>
          <w:rFonts w:eastAsia="Times New Roman"/>
        </w:rPr>
        <w:t>Tecnológico Nacional de México</w:t>
      </w:r>
      <w:r>
        <w:rPr>
          <w:rFonts w:eastAsia="Times New Roman"/>
        </w:rPr>
        <w:t xml:space="preserve">, </w:t>
      </w:r>
      <w:r w:rsidRPr="00DD322C">
        <w:rPr>
          <w:rFonts w:eastAsia="Times New Roman"/>
        </w:rPr>
        <w:t xml:space="preserve">Instituto Tecnológico José Mario Molina Pasquel y Henríquez, </w:t>
      </w:r>
      <w:r>
        <w:rPr>
          <w:rFonts w:eastAsia="Times New Roman"/>
        </w:rPr>
        <w:t>México</w:t>
      </w:r>
    </w:p>
    <w:p w14:paraId="0DEE20BA" w14:textId="77777777" w:rsidR="006E4670" w:rsidRDefault="00000000" w:rsidP="00F1530B">
      <w:pPr>
        <w:spacing w:line="276" w:lineRule="auto"/>
        <w:jc w:val="right"/>
        <w:rPr>
          <w:rStyle w:val="Hipervnculo"/>
          <w:rFonts w:asciiTheme="minorHAnsi" w:eastAsia="Times New Roman" w:hAnsiTheme="minorHAnsi" w:cstheme="minorHAnsi"/>
          <w:color w:val="FF0000"/>
          <w:u w:val="none"/>
        </w:rPr>
      </w:pPr>
      <w:hyperlink r:id="rId12" w:history="1">
        <w:r w:rsidR="00072A2D" w:rsidRPr="00F1530B">
          <w:rPr>
            <w:rStyle w:val="Hipervnculo"/>
            <w:rFonts w:asciiTheme="minorHAnsi" w:eastAsia="Times New Roman" w:hAnsiTheme="minorHAnsi" w:cstheme="minorHAnsi"/>
            <w:color w:val="FF0000"/>
            <w:u w:val="none"/>
          </w:rPr>
          <w:t>alvaro.sanchez@vallarta.tecmm.edu.mx</w:t>
        </w:r>
      </w:hyperlink>
    </w:p>
    <w:p w14:paraId="112908CB" w14:textId="6E43214B" w:rsidR="0044146B" w:rsidRPr="00F56DB9" w:rsidRDefault="0044146B" w:rsidP="00F1530B">
      <w:pPr>
        <w:spacing w:line="276" w:lineRule="auto"/>
        <w:jc w:val="right"/>
        <w:rPr>
          <w:rFonts w:eastAsia="Times New Roman"/>
        </w:rPr>
      </w:pPr>
      <w:r w:rsidRPr="00F56DB9">
        <w:rPr>
          <w:rFonts w:eastAsia="Times New Roman"/>
        </w:rPr>
        <w:t>https://orcid.org/0000-0002-4153-4768</w:t>
      </w:r>
    </w:p>
    <w:p w14:paraId="413D0533" w14:textId="77777777" w:rsidR="00F1530B" w:rsidRDefault="00F1530B" w:rsidP="00736A49">
      <w:pPr>
        <w:rPr>
          <w:rFonts w:asciiTheme="minorHAnsi" w:hAnsiTheme="minorHAnsi" w:cstheme="minorHAnsi"/>
          <w:b/>
          <w:bCs/>
          <w:sz w:val="28"/>
          <w:szCs w:val="28"/>
          <w:lang w:val="es-ES"/>
        </w:rPr>
      </w:pPr>
    </w:p>
    <w:p w14:paraId="66BF38B2" w14:textId="6CDEFA81" w:rsidR="00D555C6" w:rsidRPr="00F1530B" w:rsidRDefault="006868AF" w:rsidP="00F1530B">
      <w:pPr>
        <w:spacing w:line="360" w:lineRule="auto"/>
        <w:rPr>
          <w:rFonts w:asciiTheme="minorHAnsi" w:hAnsiTheme="minorHAnsi" w:cstheme="minorHAnsi"/>
          <w:b/>
          <w:bCs/>
          <w:sz w:val="28"/>
          <w:szCs w:val="28"/>
          <w:lang w:val="es-ES"/>
        </w:rPr>
      </w:pPr>
      <w:r w:rsidRPr="00F1530B">
        <w:rPr>
          <w:rFonts w:asciiTheme="minorHAnsi" w:hAnsiTheme="minorHAnsi" w:cstheme="minorHAnsi"/>
          <w:b/>
          <w:bCs/>
          <w:sz w:val="28"/>
          <w:szCs w:val="28"/>
          <w:lang w:val="es-ES"/>
        </w:rPr>
        <w:t>R</w:t>
      </w:r>
      <w:r w:rsidR="00D6581D" w:rsidRPr="00F1530B">
        <w:rPr>
          <w:rFonts w:asciiTheme="minorHAnsi" w:hAnsiTheme="minorHAnsi" w:cstheme="minorHAnsi"/>
          <w:b/>
          <w:bCs/>
          <w:sz w:val="28"/>
          <w:szCs w:val="28"/>
          <w:lang w:val="es-ES"/>
        </w:rPr>
        <w:t>esumen</w:t>
      </w:r>
    </w:p>
    <w:p w14:paraId="50EEFCD9" w14:textId="0E168749" w:rsidR="00D555C6" w:rsidRPr="00DD322C" w:rsidRDefault="007067A8" w:rsidP="00A214FD">
      <w:pPr>
        <w:spacing w:line="360" w:lineRule="auto"/>
        <w:jc w:val="both"/>
        <w:rPr>
          <w:lang w:val="es-ES"/>
        </w:rPr>
      </w:pPr>
      <w:r>
        <w:rPr>
          <w:lang w:val="es-ES"/>
        </w:rPr>
        <w:t>La investigación en torno a las ocupaciones académicas y laborales de estudiantes</w:t>
      </w:r>
      <w:r w:rsidR="000C25D6" w:rsidRPr="00DD322C">
        <w:rPr>
          <w:lang w:val="es-ES"/>
        </w:rPr>
        <w:t xml:space="preserve"> universitarios </w:t>
      </w:r>
      <w:r>
        <w:rPr>
          <w:lang w:val="es-ES"/>
        </w:rPr>
        <w:t xml:space="preserve">resulta de </w:t>
      </w:r>
      <w:r w:rsidR="000C25D6" w:rsidRPr="00DD322C">
        <w:rPr>
          <w:lang w:val="es-ES"/>
        </w:rPr>
        <w:t xml:space="preserve">especial interés </w:t>
      </w:r>
      <w:r>
        <w:rPr>
          <w:lang w:val="es-ES"/>
        </w:rPr>
        <w:t>debido a</w:t>
      </w:r>
      <w:r w:rsidR="000C25D6" w:rsidRPr="00DD322C">
        <w:rPr>
          <w:lang w:val="es-ES"/>
        </w:rPr>
        <w:t xml:space="preserve">l alto porcentaje de </w:t>
      </w:r>
      <w:r>
        <w:rPr>
          <w:lang w:val="es-ES"/>
        </w:rPr>
        <w:t>alumnos</w:t>
      </w:r>
      <w:r w:rsidR="000C25D6" w:rsidRPr="00DD322C">
        <w:rPr>
          <w:lang w:val="es-ES"/>
        </w:rPr>
        <w:t xml:space="preserve"> que </w:t>
      </w:r>
      <w:r>
        <w:rPr>
          <w:lang w:val="es-ES"/>
        </w:rPr>
        <w:t>deben estudiar y al mismo tiempo trabajar</w:t>
      </w:r>
      <w:r w:rsidR="000C25D6" w:rsidRPr="00DD322C">
        <w:rPr>
          <w:lang w:val="es-ES"/>
        </w:rPr>
        <w:t xml:space="preserve">. </w:t>
      </w:r>
      <w:r>
        <w:rPr>
          <w:lang w:val="es-ES"/>
        </w:rPr>
        <w:t>Por tanto, e</w:t>
      </w:r>
      <w:r w:rsidR="000C25D6" w:rsidRPr="00DD322C">
        <w:rPr>
          <w:lang w:val="es-ES"/>
        </w:rPr>
        <w:t>n este trabajo s</w:t>
      </w:r>
      <w:r w:rsidR="00D555C6" w:rsidRPr="00DD322C">
        <w:rPr>
          <w:lang w:val="es-ES"/>
        </w:rPr>
        <w:t>e analiz</w:t>
      </w:r>
      <w:r w:rsidR="000C25D6" w:rsidRPr="00DD322C">
        <w:rPr>
          <w:lang w:val="es-ES"/>
        </w:rPr>
        <w:t>ó</w:t>
      </w:r>
      <w:r w:rsidR="00D555C6" w:rsidRPr="00DD322C">
        <w:rPr>
          <w:lang w:val="es-ES"/>
        </w:rPr>
        <w:t xml:space="preserve"> la influencia que ejerce combinar trabajo con estudios universitarios en el desempeño académico mediante una investigación correlacional </w:t>
      </w:r>
      <w:r>
        <w:rPr>
          <w:lang w:val="es-ES"/>
        </w:rPr>
        <w:t xml:space="preserve">y </w:t>
      </w:r>
      <w:r w:rsidR="00D555C6" w:rsidRPr="00DD322C">
        <w:rPr>
          <w:lang w:val="es-ES"/>
        </w:rPr>
        <w:t>con un enfoque cuantitativo</w:t>
      </w:r>
      <w:r>
        <w:rPr>
          <w:lang w:val="es-ES"/>
        </w:rPr>
        <w:t>. Para ello,</w:t>
      </w:r>
      <w:r w:rsidR="00D555C6" w:rsidRPr="00DD322C">
        <w:rPr>
          <w:lang w:val="es-ES"/>
        </w:rPr>
        <w:t xml:space="preserve"> se utilizó como técnica la encuesta digital, y el análisis se hizo con herramientas de estadística descriptiva e inferencial</w:t>
      </w:r>
      <w:r>
        <w:rPr>
          <w:lang w:val="es-ES"/>
        </w:rPr>
        <w:t>.</w:t>
      </w:r>
      <w:r w:rsidR="00D555C6" w:rsidRPr="00DD322C">
        <w:rPr>
          <w:lang w:val="es-ES"/>
        </w:rPr>
        <w:t xml:space="preserve"> </w:t>
      </w:r>
      <w:r>
        <w:rPr>
          <w:lang w:val="es-ES"/>
        </w:rPr>
        <w:t>L</w:t>
      </w:r>
      <w:r w:rsidR="00D555C6" w:rsidRPr="00DD322C">
        <w:rPr>
          <w:lang w:val="es-ES"/>
        </w:rPr>
        <w:t>a muestra estuvo conformada por 305 estudiantes de una p</w:t>
      </w:r>
      <w:r w:rsidR="00666FE1" w:rsidRPr="00DD322C">
        <w:rPr>
          <w:lang w:val="es-ES"/>
        </w:rPr>
        <w:t>oblación de 1358 del</w:t>
      </w:r>
      <w:r w:rsidR="000C25D6" w:rsidRPr="00DD322C">
        <w:rPr>
          <w:lang w:val="es-ES"/>
        </w:rPr>
        <w:t xml:space="preserve"> Instituto Tecnológico José Mario Molina Pasquel y Henríquez</w:t>
      </w:r>
      <w:r w:rsidR="00066996" w:rsidRPr="00DD322C">
        <w:rPr>
          <w:lang w:val="es-ES"/>
        </w:rPr>
        <w:t xml:space="preserve">, </w:t>
      </w:r>
      <w:r>
        <w:rPr>
          <w:lang w:val="es-ES"/>
        </w:rPr>
        <w:t>c</w:t>
      </w:r>
      <w:r w:rsidR="00066996" w:rsidRPr="00DD322C">
        <w:rPr>
          <w:lang w:val="es-ES"/>
        </w:rPr>
        <w:t>ampus Puerto Vallarta.</w:t>
      </w:r>
      <w:r w:rsidR="00D555C6" w:rsidRPr="00DD322C">
        <w:rPr>
          <w:lang w:val="es-ES"/>
        </w:rPr>
        <w:t xml:space="preserve"> Los resultados indican que el empleo tiene un impacto negativo en el desempeño académico, </w:t>
      </w:r>
      <w:r>
        <w:rPr>
          <w:lang w:val="es-ES"/>
        </w:rPr>
        <w:t xml:space="preserve">pues </w:t>
      </w:r>
      <w:r w:rsidR="00D555C6" w:rsidRPr="00DD322C">
        <w:rPr>
          <w:lang w:val="es-ES"/>
        </w:rPr>
        <w:t xml:space="preserve">los </w:t>
      </w:r>
      <w:r>
        <w:rPr>
          <w:lang w:val="es-ES"/>
        </w:rPr>
        <w:t>universitarios</w:t>
      </w:r>
      <w:r w:rsidR="00D555C6" w:rsidRPr="00DD322C">
        <w:rPr>
          <w:lang w:val="es-ES"/>
        </w:rPr>
        <w:t xml:space="preserve"> que solo estudian tienen menor índice de reprobación y mejores resultados académicos.</w:t>
      </w:r>
    </w:p>
    <w:p w14:paraId="7B66F828" w14:textId="0A9EE0CB" w:rsidR="00D555C6" w:rsidRPr="00DD322C" w:rsidRDefault="00D555C6" w:rsidP="00A214FD">
      <w:pPr>
        <w:spacing w:line="360" w:lineRule="auto"/>
        <w:jc w:val="both"/>
        <w:rPr>
          <w:lang w:val="es-ES"/>
        </w:rPr>
      </w:pPr>
      <w:r w:rsidRPr="00F1530B">
        <w:rPr>
          <w:rFonts w:asciiTheme="minorHAnsi" w:hAnsiTheme="minorHAnsi" w:cstheme="minorHAnsi"/>
          <w:b/>
          <w:bCs/>
          <w:sz w:val="28"/>
          <w:szCs w:val="28"/>
          <w:lang w:val="es-ES"/>
        </w:rPr>
        <w:t>Palabras</w:t>
      </w:r>
      <w:r w:rsidR="00F1530B">
        <w:rPr>
          <w:rFonts w:asciiTheme="minorHAnsi" w:hAnsiTheme="minorHAnsi" w:cstheme="minorHAnsi"/>
          <w:b/>
          <w:bCs/>
          <w:sz w:val="28"/>
          <w:szCs w:val="28"/>
          <w:lang w:val="es-ES"/>
        </w:rPr>
        <w:t xml:space="preserve"> </w:t>
      </w:r>
      <w:r w:rsidRPr="00F1530B">
        <w:rPr>
          <w:rFonts w:asciiTheme="minorHAnsi" w:hAnsiTheme="minorHAnsi" w:cstheme="minorHAnsi"/>
          <w:b/>
          <w:bCs/>
          <w:sz w:val="28"/>
          <w:szCs w:val="28"/>
          <w:lang w:val="es-ES"/>
        </w:rPr>
        <w:t>clave:</w:t>
      </w:r>
      <w:r w:rsidR="007709A9" w:rsidRPr="00DD322C">
        <w:rPr>
          <w:lang w:val="es-ES"/>
        </w:rPr>
        <w:t xml:space="preserve"> </w:t>
      </w:r>
      <w:r w:rsidR="00B12D10" w:rsidRPr="00DD322C">
        <w:rPr>
          <w:lang w:val="es-ES"/>
        </w:rPr>
        <w:t>d</w:t>
      </w:r>
      <w:r w:rsidRPr="00DD322C">
        <w:rPr>
          <w:lang w:val="es-ES"/>
        </w:rPr>
        <w:t xml:space="preserve">esempeño </w:t>
      </w:r>
      <w:r w:rsidR="007709A9" w:rsidRPr="00DD322C">
        <w:rPr>
          <w:lang w:val="es-ES"/>
        </w:rPr>
        <w:t>a</w:t>
      </w:r>
      <w:r w:rsidRPr="00DD322C">
        <w:rPr>
          <w:lang w:val="es-ES"/>
        </w:rPr>
        <w:t xml:space="preserve">cadémico, </w:t>
      </w:r>
      <w:r w:rsidR="00B12D10" w:rsidRPr="00DD322C">
        <w:rPr>
          <w:lang w:val="es-ES"/>
        </w:rPr>
        <w:t>e</w:t>
      </w:r>
      <w:r w:rsidR="007709A9" w:rsidRPr="00DD322C">
        <w:rPr>
          <w:lang w:val="es-ES"/>
        </w:rPr>
        <w:t xml:space="preserve">ducación superior, </w:t>
      </w:r>
      <w:r w:rsidR="00B12D10" w:rsidRPr="00DD322C">
        <w:rPr>
          <w:lang w:val="es-ES"/>
        </w:rPr>
        <w:t>e</w:t>
      </w:r>
      <w:r w:rsidRPr="00DD322C">
        <w:rPr>
          <w:lang w:val="es-ES"/>
        </w:rPr>
        <w:t xml:space="preserve">mpleo, </w:t>
      </w:r>
      <w:r w:rsidR="00B12D10" w:rsidRPr="00DD322C">
        <w:rPr>
          <w:lang w:val="es-ES"/>
        </w:rPr>
        <w:t>e</w:t>
      </w:r>
      <w:r w:rsidRPr="00DD322C">
        <w:rPr>
          <w:lang w:val="es-ES"/>
        </w:rPr>
        <w:t>studiantes universitarios, trabajo estudiantil</w:t>
      </w:r>
      <w:r w:rsidR="00931EDF" w:rsidRPr="00DD322C">
        <w:rPr>
          <w:lang w:val="es-ES"/>
        </w:rPr>
        <w:t>.</w:t>
      </w:r>
    </w:p>
    <w:p w14:paraId="18E95B53" w14:textId="7387862A" w:rsidR="006868AF" w:rsidRPr="00F1530B" w:rsidRDefault="00F1530B" w:rsidP="00736A49">
      <w:pPr>
        <w:rPr>
          <w:rFonts w:asciiTheme="minorHAnsi" w:hAnsiTheme="minorHAnsi" w:cstheme="minorHAnsi"/>
          <w:b/>
          <w:bCs/>
          <w:sz w:val="28"/>
          <w:szCs w:val="28"/>
          <w:lang w:val="es-ES"/>
        </w:rPr>
      </w:pPr>
      <w:r>
        <w:rPr>
          <w:b/>
          <w:sz w:val="28"/>
          <w:szCs w:val="28"/>
          <w:lang w:val="en-US"/>
        </w:rPr>
        <w:br/>
      </w:r>
      <w:r w:rsidR="006868AF" w:rsidRPr="00F1530B">
        <w:rPr>
          <w:rFonts w:asciiTheme="minorHAnsi" w:hAnsiTheme="minorHAnsi" w:cstheme="minorHAnsi"/>
          <w:b/>
          <w:bCs/>
          <w:sz w:val="28"/>
          <w:szCs w:val="28"/>
          <w:lang w:val="es-ES"/>
        </w:rPr>
        <w:t>A</w:t>
      </w:r>
      <w:r w:rsidR="00D6581D" w:rsidRPr="00F1530B">
        <w:rPr>
          <w:rFonts w:asciiTheme="minorHAnsi" w:hAnsiTheme="minorHAnsi" w:cstheme="minorHAnsi"/>
          <w:b/>
          <w:bCs/>
          <w:sz w:val="28"/>
          <w:szCs w:val="28"/>
          <w:lang w:val="es-ES"/>
        </w:rPr>
        <w:t>bstract</w:t>
      </w:r>
    </w:p>
    <w:p w14:paraId="6AC35D73" w14:textId="0858376E" w:rsidR="000C25D6" w:rsidRPr="00F1530B" w:rsidRDefault="000C25D6" w:rsidP="00A214FD">
      <w:pPr>
        <w:spacing w:line="360" w:lineRule="auto"/>
        <w:jc w:val="both"/>
        <w:rPr>
          <w:b/>
          <w:lang w:val="en-US"/>
        </w:rPr>
      </w:pPr>
      <w:r w:rsidRPr="00DD322C">
        <w:rPr>
          <w:bCs/>
          <w:lang w:val="en-US"/>
        </w:rPr>
        <w:t xml:space="preserve">The work </w:t>
      </w:r>
      <w:r w:rsidR="007E5D89" w:rsidRPr="00DD322C">
        <w:rPr>
          <w:bCs/>
          <w:lang w:val="en-US"/>
        </w:rPr>
        <w:t>in</w:t>
      </w:r>
      <w:r w:rsidRPr="00DD322C">
        <w:rPr>
          <w:bCs/>
          <w:lang w:val="en-US"/>
        </w:rPr>
        <w:t xml:space="preserve"> university students is of special interest for study due to the high percentage of students who combine work and school, and understanding the impact it has on their academic development is relevant for Higher Education institutions. </w:t>
      </w:r>
      <w:r w:rsidR="008D7859" w:rsidRPr="00DD322C">
        <w:rPr>
          <w:bCs/>
          <w:lang w:val="en-US"/>
        </w:rPr>
        <w:t xml:space="preserve">The purpose of this study is to analyze the influence of combining work with university studies on academic performance through </w:t>
      </w:r>
      <w:r w:rsidR="007E5D89" w:rsidRPr="00DD322C">
        <w:rPr>
          <w:bCs/>
          <w:lang w:val="en-US"/>
        </w:rPr>
        <w:t>correlational research</w:t>
      </w:r>
      <w:r w:rsidR="008D7859" w:rsidRPr="00DD322C">
        <w:rPr>
          <w:bCs/>
          <w:lang w:val="en-US"/>
        </w:rPr>
        <w:t xml:space="preserve"> with a quantitative approach, in which the digital survey was used as a technique, and the analysis was done with descriptive and inferential statistical tools, the sample consisted of 305 students from a population of 1,358 from the</w:t>
      </w:r>
      <w:r w:rsidR="00063BE5" w:rsidRPr="00DD322C">
        <w:rPr>
          <w:bCs/>
          <w:lang w:val="en-US"/>
        </w:rPr>
        <w:t xml:space="preserve"> </w:t>
      </w:r>
      <w:r w:rsidRPr="00DD322C">
        <w:rPr>
          <w:lang w:val="es-ES"/>
        </w:rPr>
        <w:t>Instituto Tecnológico José Mario Molina Pasquel y Henríquez, Campus Puerto Vallarta</w:t>
      </w:r>
      <w:r w:rsidR="008D7859" w:rsidRPr="00DD322C">
        <w:rPr>
          <w:bCs/>
          <w:lang w:val="en-US"/>
        </w:rPr>
        <w:t xml:space="preserve">. The results indicate that employment has a negative impact on academic performance; students who only study have a </w:t>
      </w:r>
      <w:bookmarkStart w:id="1" w:name="_Hlk139631228"/>
      <w:r w:rsidR="008D7859" w:rsidRPr="00DD322C">
        <w:rPr>
          <w:bCs/>
          <w:lang w:val="en-US"/>
        </w:rPr>
        <w:t xml:space="preserve">lower failure rate </w:t>
      </w:r>
      <w:bookmarkEnd w:id="1"/>
      <w:r w:rsidR="008D7859" w:rsidRPr="00DD322C">
        <w:rPr>
          <w:bCs/>
          <w:lang w:val="en-US"/>
        </w:rPr>
        <w:t>and better academic results.</w:t>
      </w:r>
    </w:p>
    <w:p w14:paraId="63E50760" w14:textId="5C4AC68F" w:rsidR="008D7859" w:rsidRDefault="008D7859" w:rsidP="00A214FD">
      <w:pPr>
        <w:spacing w:line="360" w:lineRule="auto"/>
        <w:jc w:val="both"/>
        <w:rPr>
          <w:lang w:val="en-US"/>
        </w:rPr>
      </w:pPr>
      <w:r w:rsidRPr="00F1530B">
        <w:rPr>
          <w:rFonts w:asciiTheme="minorHAnsi" w:hAnsiTheme="minorHAnsi" w:cstheme="minorHAnsi"/>
          <w:b/>
          <w:bCs/>
          <w:sz w:val="28"/>
          <w:szCs w:val="28"/>
          <w:lang w:val="es-ES"/>
        </w:rPr>
        <w:t>Keyword</w:t>
      </w:r>
      <w:r w:rsidR="000C25D6" w:rsidRPr="00F1530B">
        <w:rPr>
          <w:rFonts w:asciiTheme="minorHAnsi" w:hAnsiTheme="minorHAnsi" w:cstheme="minorHAnsi"/>
          <w:b/>
          <w:bCs/>
          <w:sz w:val="28"/>
          <w:szCs w:val="28"/>
          <w:lang w:val="es-ES"/>
        </w:rPr>
        <w:t>s</w:t>
      </w:r>
      <w:r w:rsidRPr="00F1530B">
        <w:rPr>
          <w:rFonts w:asciiTheme="minorHAnsi" w:hAnsiTheme="minorHAnsi" w:cstheme="minorHAnsi"/>
          <w:b/>
          <w:bCs/>
          <w:sz w:val="28"/>
          <w:szCs w:val="28"/>
          <w:lang w:val="es-ES"/>
        </w:rPr>
        <w:t>:</w:t>
      </w:r>
      <w:r w:rsidRPr="00DD322C">
        <w:rPr>
          <w:lang w:val="en-US"/>
        </w:rPr>
        <w:t xml:space="preserve"> </w:t>
      </w:r>
      <w:r w:rsidR="003D73E8" w:rsidRPr="00DD322C">
        <w:rPr>
          <w:lang w:val="en-US"/>
        </w:rPr>
        <w:t>a</w:t>
      </w:r>
      <w:r w:rsidRPr="00DD322C">
        <w:rPr>
          <w:lang w:val="en-US"/>
        </w:rPr>
        <w:t xml:space="preserve">cademic </w:t>
      </w:r>
      <w:r w:rsidR="003D73E8" w:rsidRPr="00DD322C">
        <w:rPr>
          <w:lang w:val="en-US"/>
        </w:rPr>
        <w:t>p</w:t>
      </w:r>
      <w:r w:rsidRPr="00DD322C">
        <w:rPr>
          <w:lang w:val="en-US"/>
        </w:rPr>
        <w:t xml:space="preserve">erformance, </w:t>
      </w:r>
      <w:r w:rsidR="003D73E8" w:rsidRPr="00DD322C">
        <w:rPr>
          <w:lang w:val="en-US"/>
        </w:rPr>
        <w:t>h</w:t>
      </w:r>
      <w:r w:rsidR="00B12D10" w:rsidRPr="00DD322C">
        <w:rPr>
          <w:lang w:val="en-US"/>
        </w:rPr>
        <w:t xml:space="preserve">igher </w:t>
      </w:r>
      <w:r w:rsidR="003D73E8" w:rsidRPr="00DD322C">
        <w:rPr>
          <w:lang w:val="en-US"/>
        </w:rPr>
        <w:t>e</w:t>
      </w:r>
      <w:r w:rsidR="00B12D10" w:rsidRPr="00DD322C">
        <w:rPr>
          <w:lang w:val="en-US"/>
        </w:rPr>
        <w:t xml:space="preserve">ducation, </w:t>
      </w:r>
      <w:r w:rsidR="003D73E8" w:rsidRPr="00DD322C">
        <w:rPr>
          <w:lang w:val="en-US"/>
        </w:rPr>
        <w:t>e</w:t>
      </w:r>
      <w:r w:rsidR="00B12D10" w:rsidRPr="00DD322C">
        <w:rPr>
          <w:lang w:val="en-US"/>
        </w:rPr>
        <w:t xml:space="preserve">mployment, </w:t>
      </w:r>
      <w:r w:rsidR="003D73E8" w:rsidRPr="00DD322C">
        <w:rPr>
          <w:lang w:val="en-US"/>
        </w:rPr>
        <w:t>c</w:t>
      </w:r>
      <w:r w:rsidR="009B29AB" w:rsidRPr="00DD322C">
        <w:rPr>
          <w:lang w:val="en-US"/>
        </w:rPr>
        <w:t xml:space="preserve">ollege </w:t>
      </w:r>
      <w:r w:rsidR="003D73E8" w:rsidRPr="00DD322C">
        <w:rPr>
          <w:lang w:val="en-US"/>
        </w:rPr>
        <w:t>s</w:t>
      </w:r>
      <w:r w:rsidR="009B29AB" w:rsidRPr="00DD322C">
        <w:rPr>
          <w:lang w:val="en-US"/>
        </w:rPr>
        <w:t xml:space="preserve">tudents, </w:t>
      </w:r>
      <w:r w:rsidR="003D73E8" w:rsidRPr="00DD322C">
        <w:rPr>
          <w:lang w:val="en-US"/>
        </w:rPr>
        <w:t>s</w:t>
      </w:r>
      <w:r w:rsidRPr="00DD322C">
        <w:rPr>
          <w:lang w:val="en-US"/>
        </w:rPr>
        <w:t xml:space="preserve">tudent work. </w:t>
      </w:r>
    </w:p>
    <w:p w14:paraId="038105FB" w14:textId="77777777" w:rsidR="00F1530B" w:rsidRDefault="00F1530B" w:rsidP="00A214FD">
      <w:pPr>
        <w:spacing w:line="360" w:lineRule="auto"/>
        <w:jc w:val="both"/>
        <w:rPr>
          <w:lang w:val="en-US"/>
        </w:rPr>
      </w:pPr>
    </w:p>
    <w:p w14:paraId="33A094FF" w14:textId="77777777" w:rsidR="00F56DB9" w:rsidRDefault="00F56DB9" w:rsidP="00A214FD">
      <w:pPr>
        <w:spacing w:line="360" w:lineRule="auto"/>
        <w:jc w:val="both"/>
        <w:rPr>
          <w:lang w:val="en-US"/>
        </w:rPr>
      </w:pPr>
    </w:p>
    <w:p w14:paraId="3195B332" w14:textId="63689935" w:rsidR="00F1530B" w:rsidRPr="00F1530B" w:rsidRDefault="00F1530B" w:rsidP="00A214FD">
      <w:pPr>
        <w:spacing w:line="360" w:lineRule="auto"/>
        <w:jc w:val="both"/>
        <w:rPr>
          <w:rFonts w:asciiTheme="minorHAnsi" w:hAnsiTheme="minorHAnsi" w:cstheme="minorHAnsi"/>
          <w:b/>
          <w:bCs/>
          <w:sz w:val="28"/>
          <w:szCs w:val="28"/>
          <w:lang w:val="es-ES"/>
        </w:rPr>
      </w:pPr>
      <w:r w:rsidRPr="00F1530B">
        <w:rPr>
          <w:rFonts w:asciiTheme="minorHAnsi" w:hAnsiTheme="minorHAnsi" w:cstheme="minorHAnsi"/>
          <w:b/>
          <w:bCs/>
          <w:sz w:val="28"/>
          <w:szCs w:val="28"/>
          <w:lang w:val="es-ES"/>
        </w:rPr>
        <w:lastRenderedPageBreak/>
        <w:t>Resumo</w:t>
      </w:r>
    </w:p>
    <w:p w14:paraId="65744B76" w14:textId="77777777" w:rsidR="00F1530B" w:rsidRPr="00F1530B" w:rsidRDefault="00F1530B" w:rsidP="00F1530B">
      <w:pPr>
        <w:spacing w:line="360" w:lineRule="auto"/>
        <w:jc w:val="both"/>
        <w:rPr>
          <w:lang w:val="en-US"/>
        </w:rPr>
      </w:pPr>
      <w:proofErr w:type="gramStart"/>
      <w:r w:rsidRPr="00F1530B">
        <w:rPr>
          <w:lang w:val="en-US"/>
        </w:rPr>
        <w:t>A</w:t>
      </w:r>
      <w:proofErr w:type="gramEnd"/>
      <w:r w:rsidRPr="00F1530B">
        <w:rPr>
          <w:lang w:val="en-US"/>
        </w:rPr>
        <w:t xml:space="preserve"> </w:t>
      </w:r>
      <w:proofErr w:type="spellStart"/>
      <w:r w:rsidRPr="00F1530B">
        <w:rPr>
          <w:lang w:val="en-US"/>
        </w:rPr>
        <w:t>investigação</w:t>
      </w:r>
      <w:proofErr w:type="spellEnd"/>
      <w:r w:rsidRPr="00F1530B">
        <w:rPr>
          <w:lang w:val="en-US"/>
        </w:rPr>
        <w:t xml:space="preserve"> </w:t>
      </w:r>
      <w:proofErr w:type="spellStart"/>
      <w:r w:rsidRPr="00F1530B">
        <w:rPr>
          <w:lang w:val="en-US"/>
        </w:rPr>
        <w:t>sobre</w:t>
      </w:r>
      <w:proofErr w:type="spellEnd"/>
      <w:r w:rsidRPr="00F1530B">
        <w:rPr>
          <w:lang w:val="en-US"/>
        </w:rPr>
        <w:t xml:space="preserve"> as </w:t>
      </w:r>
      <w:proofErr w:type="spellStart"/>
      <w:r w:rsidRPr="00F1530B">
        <w:rPr>
          <w:lang w:val="en-US"/>
        </w:rPr>
        <w:t>ocupações</w:t>
      </w:r>
      <w:proofErr w:type="spellEnd"/>
      <w:r w:rsidRPr="00F1530B">
        <w:rPr>
          <w:lang w:val="en-US"/>
        </w:rPr>
        <w:t xml:space="preserve"> </w:t>
      </w:r>
      <w:proofErr w:type="spellStart"/>
      <w:r w:rsidRPr="00F1530B">
        <w:rPr>
          <w:lang w:val="en-US"/>
        </w:rPr>
        <w:t>académicas</w:t>
      </w:r>
      <w:proofErr w:type="spellEnd"/>
      <w:r w:rsidRPr="00F1530B">
        <w:rPr>
          <w:lang w:val="en-US"/>
        </w:rPr>
        <w:t xml:space="preserve"> e </w:t>
      </w:r>
      <w:proofErr w:type="spellStart"/>
      <w:r w:rsidRPr="00F1530B">
        <w:rPr>
          <w:lang w:val="en-US"/>
        </w:rPr>
        <w:t>laborais</w:t>
      </w:r>
      <w:proofErr w:type="spellEnd"/>
      <w:r w:rsidRPr="00F1530B">
        <w:rPr>
          <w:lang w:val="en-US"/>
        </w:rPr>
        <w:t xml:space="preserve"> dos </w:t>
      </w:r>
      <w:proofErr w:type="spellStart"/>
      <w:r w:rsidRPr="00F1530B">
        <w:rPr>
          <w:lang w:val="en-US"/>
        </w:rPr>
        <w:t>estudantes</w:t>
      </w:r>
      <w:proofErr w:type="spellEnd"/>
      <w:r w:rsidRPr="00F1530B">
        <w:rPr>
          <w:lang w:val="en-US"/>
        </w:rPr>
        <w:t xml:space="preserve"> </w:t>
      </w:r>
      <w:proofErr w:type="spellStart"/>
      <w:r w:rsidRPr="00F1530B">
        <w:rPr>
          <w:lang w:val="en-US"/>
        </w:rPr>
        <w:t>universitários</w:t>
      </w:r>
      <w:proofErr w:type="spellEnd"/>
      <w:r w:rsidRPr="00F1530B">
        <w:rPr>
          <w:lang w:val="en-US"/>
        </w:rPr>
        <w:t xml:space="preserve"> é de especial interesse </w:t>
      </w:r>
      <w:proofErr w:type="spellStart"/>
      <w:r w:rsidRPr="00F1530B">
        <w:rPr>
          <w:lang w:val="en-US"/>
        </w:rPr>
        <w:t>devido</w:t>
      </w:r>
      <w:proofErr w:type="spellEnd"/>
      <w:r w:rsidRPr="00F1530B">
        <w:rPr>
          <w:lang w:val="en-US"/>
        </w:rPr>
        <w:t xml:space="preserve"> à </w:t>
      </w:r>
      <w:proofErr w:type="spellStart"/>
      <w:r w:rsidRPr="00F1530B">
        <w:rPr>
          <w:lang w:val="en-US"/>
        </w:rPr>
        <w:t>elevada</w:t>
      </w:r>
      <w:proofErr w:type="spellEnd"/>
      <w:r w:rsidRPr="00F1530B">
        <w:rPr>
          <w:lang w:val="en-US"/>
        </w:rPr>
        <w:t xml:space="preserve"> </w:t>
      </w:r>
      <w:proofErr w:type="spellStart"/>
      <w:r w:rsidRPr="00F1530B">
        <w:rPr>
          <w:lang w:val="en-US"/>
        </w:rPr>
        <w:t>percentagem</w:t>
      </w:r>
      <w:proofErr w:type="spellEnd"/>
      <w:r w:rsidRPr="00F1530B">
        <w:rPr>
          <w:lang w:val="en-US"/>
        </w:rPr>
        <w:t xml:space="preserve"> de </w:t>
      </w:r>
      <w:proofErr w:type="spellStart"/>
      <w:r w:rsidRPr="00F1530B">
        <w:rPr>
          <w:lang w:val="en-US"/>
        </w:rPr>
        <w:t>estudantes</w:t>
      </w:r>
      <w:proofErr w:type="spellEnd"/>
      <w:r w:rsidRPr="00F1530B">
        <w:rPr>
          <w:lang w:val="en-US"/>
        </w:rPr>
        <w:t xml:space="preserve"> que </w:t>
      </w:r>
      <w:proofErr w:type="spellStart"/>
      <w:r w:rsidRPr="00F1530B">
        <w:rPr>
          <w:lang w:val="en-US"/>
        </w:rPr>
        <w:t>devem</w:t>
      </w:r>
      <w:proofErr w:type="spellEnd"/>
      <w:r w:rsidRPr="00F1530B">
        <w:rPr>
          <w:lang w:val="en-US"/>
        </w:rPr>
        <w:t xml:space="preserve"> </w:t>
      </w:r>
      <w:proofErr w:type="spellStart"/>
      <w:r w:rsidRPr="00F1530B">
        <w:rPr>
          <w:lang w:val="en-US"/>
        </w:rPr>
        <w:t>estudar</w:t>
      </w:r>
      <w:proofErr w:type="spellEnd"/>
      <w:r w:rsidRPr="00F1530B">
        <w:rPr>
          <w:lang w:val="en-US"/>
        </w:rPr>
        <w:t xml:space="preserve"> e </w:t>
      </w:r>
      <w:proofErr w:type="spellStart"/>
      <w:r w:rsidRPr="00F1530B">
        <w:rPr>
          <w:lang w:val="en-US"/>
        </w:rPr>
        <w:t>trabalhar</w:t>
      </w:r>
      <w:proofErr w:type="spellEnd"/>
      <w:r w:rsidRPr="00F1530B">
        <w:rPr>
          <w:lang w:val="en-US"/>
        </w:rPr>
        <w:t xml:space="preserve"> </w:t>
      </w:r>
      <w:proofErr w:type="spellStart"/>
      <w:r w:rsidRPr="00F1530B">
        <w:rPr>
          <w:lang w:val="en-US"/>
        </w:rPr>
        <w:t>ao</w:t>
      </w:r>
      <w:proofErr w:type="spellEnd"/>
      <w:r w:rsidRPr="00F1530B">
        <w:rPr>
          <w:lang w:val="en-US"/>
        </w:rPr>
        <w:t xml:space="preserve"> </w:t>
      </w:r>
      <w:proofErr w:type="spellStart"/>
      <w:r w:rsidRPr="00F1530B">
        <w:rPr>
          <w:lang w:val="en-US"/>
        </w:rPr>
        <w:t>mesmo</w:t>
      </w:r>
      <w:proofErr w:type="spellEnd"/>
      <w:r w:rsidRPr="00F1530B">
        <w:rPr>
          <w:lang w:val="en-US"/>
        </w:rPr>
        <w:t xml:space="preserve"> tempo. </w:t>
      </w:r>
      <w:proofErr w:type="spellStart"/>
      <w:r w:rsidRPr="00F1530B">
        <w:rPr>
          <w:lang w:val="en-US"/>
        </w:rPr>
        <w:t>Portanto</w:t>
      </w:r>
      <w:proofErr w:type="spellEnd"/>
      <w:r w:rsidRPr="00F1530B">
        <w:rPr>
          <w:lang w:val="en-US"/>
        </w:rPr>
        <w:t xml:space="preserve">, </w:t>
      </w:r>
      <w:proofErr w:type="spellStart"/>
      <w:r w:rsidRPr="00F1530B">
        <w:rPr>
          <w:lang w:val="en-US"/>
        </w:rPr>
        <w:t>neste</w:t>
      </w:r>
      <w:proofErr w:type="spellEnd"/>
      <w:r w:rsidRPr="00F1530B">
        <w:rPr>
          <w:lang w:val="en-US"/>
        </w:rPr>
        <w:t xml:space="preserve"> </w:t>
      </w:r>
      <w:proofErr w:type="spellStart"/>
      <w:r w:rsidRPr="00F1530B">
        <w:rPr>
          <w:lang w:val="en-US"/>
        </w:rPr>
        <w:t>trabalho</w:t>
      </w:r>
      <w:proofErr w:type="spellEnd"/>
      <w:r w:rsidRPr="00F1530B">
        <w:rPr>
          <w:lang w:val="en-US"/>
        </w:rPr>
        <w:t xml:space="preserve"> </w:t>
      </w:r>
      <w:proofErr w:type="spellStart"/>
      <w:r w:rsidRPr="00F1530B">
        <w:rPr>
          <w:lang w:val="en-US"/>
        </w:rPr>
        <w:t>foi</w:t>
      </w:r>
      <w:proofErr w:type="spellEnd"/>
      <w:r w:rsidRPr="00F1530B">
        <w:rPr>
          <w:lang w:val="en-US"/>
        </w:rPr>
        <w:t xml:space="preserve"> </w:t>
      </w:r>
      <w:proofErr w:type="spellStart"/>
      <w:r w:rsidRPr="00F1530B">
        <w:rPr>
          <w:lang w:val="en-US"/>
        </w:rPr>
        <w:t>analisada</w:t>
      </w:r>
      <w:proofErr w:type="spellEnd"/>
      <w:r w:rsidRPr="00F1530B">
        <w:rPr>
          <w:lang w:val="en-US"/>
        </w:rPr>
        <w:t xml:space="preserve"> </w:t>
      </w:r>
      <w:proofErr w:type="gramStart"/>
      <w:r w:rsidRPr="00F1530B">
        <w:rPr>
          <w:lang w:val="en-US"/>
        </w:rPr>
        <w:t>a</w:t>
      </w:r>
      <w:proofErr w:type="gramEnd"/>
      <w:r w:rsidRPr="00F1530B">
        <w:rPr>
          <w:lang w:val="en-US"/>
        </w:rPr>
        <w:t xml:space="preserve"> </w:t>
      </w:r>
      <w:proofErr w:type="spellStart"/>
      <w:r w:rsidRPr="00F1530B">
        <w:rPr>
          <w:lang w:val="en-US"/>
        </w:rPr>
        <w:t>influência</w:t>
      </w:r>
      <w:proofErr w:type="spellEnd"/>
      <w:r w:rsidRPr="00F1530B">
        <w:rPr>
          <w:lang w:val="en-US"/>
        </w:rPr>
        <w:t xml:space="preserve"> da </w:t>
      </w:r>
      <w:proofErr w:type="spellStart"/>
      <w:r w:rsidRPr="00F1530B">
        <w:rPr>
          <w:lang w:val="en-US"/>
        </w:rPr>
        <w:t>combinação</w:t>
      </w:r>
      <w:proofErr w:type="spellEnd"/>
      <w:r w:rsidRPr="00F1530B">
        <w:rPr>
          <w:lang w:val="en-US"/>
        </w:rPr>
        <w:t xml:space="preserve"> do </w:t>
      </w:r>
      <w:proofErr w:type="spellStart"/>
      <w:r w:rsidRPr="00F1530B">
        <w:rPr>
          <w:lang w:val="en-US"/>
        </w:rPr>
        <w:t>trabalho</w:t>
      </w:r>
      <w:proofErr w:type="spellEnd"/>
      <w:r w:rsidRPr="00F1530B">
        <w:rPr>
          <w:lang w:val="en-US"/>
        </w:rPr>
        <w:t xml:space="preserve"> com </w:t>
      </w:r>
      <w:proofErr w:type="spellStart"/>
      <w:r w:rsidRPr="00F1530B">
        <w:rPr>
          <w:lang w:val="en-US"/>
        </w:rPr>
        <w:t>os</w:t>
      </w:r>
      <w:proofErr w:type="spellEnd"/>
      <w:r w:rsidRPr="00F1530B">
        <w:rPr>
          <w:lang w:val="en-US"/>
        </w:rPr>
        <w:t xml:space="preserve"> </w:t>
      </w:r>
      <w:proofErr w:type="spellStart"/>
      <w:r w:rsidRPr="00F1530B">
        <w:rPr>
          <w:lang w:val="en-US"/>
        </w:rPr>
        <w:t>estudos</w:t>
      </w:r>
      <w:proofErr w:type="spellEnd"/>
      <w:r w:rsidRPr="00F1530B">
        <w:rPr>
          <w:lang w:val="en-US"/>
        </w:rPr>
        <w:t xml:space="preserve"> </w:t>
      </w:r>
      <w:proofErr w:type="spellStart"/>
      <w:r w:rsidRPr="00F1530B">
        <w:rPr>
          <w:lang w:val="en-US"/>
        </w:rPr>
        <w:t>universitários</w:t>
      </w:r>
      <w:proofErr w:type="spellEnd"/>
      <w:r w:rsidRPr="00F1530B">
        <w:rPr>
          <w:lang w:val="en-US"/>
        </w:rPr>
        <w:t xml:space="preserve"> no </w:t>
      </w:r>
      <w:proofErr w:type="spellStart"/>
      <w:r w:rsidRPr="00F1530B">
        <w:rPr>
          <w:lang w:val="en-US"/>
        </w:rPr>
        <w:t>desempenho</w:t>
      </w:r>
      <w:proofErr w:type="spellEnd"/>
      <w:r w:rsidRPr="00F1530B">
        <w:rPr>
          <w:lang w:val="en-US"/>
        </w:rPr>
        <w:t xml:space="preserve"> </w:t>
      </w:r>
      <w:proofErr w:type="spellStart"/>
      <w:r w:rsidRPr="00F1530B">
        <w:rPr>
          <w:lang w:val="en-US"/>
        </w:rPr>
        <w:t>acadêmico</w:t>
      </w:r>
      <w:proofErr w:type="spellEnd"/>
      <w:r w:rsidRPr="00F1530B">
        <w:rPr>
          <w:lang w:val="en-US"/>
        </w:rPr>
        <w:t xml:space="preserve"> </w:t>
      </w:r>
      <w:proofErr w:type="spellStart"/>
      <w:r w:rsidRPr="00F1530B">
        <w:rPr>
          <w:lang w:val="en-US"/>
        </w:rPr>
        <w:t>por</w:t>
      </w:r>
      <w:proofErr w:type="spellEnd"/>
      <w:r w:rsidRPr="00F1530B">
        <w:rPr>
          <w:lang w:val="en-US"/>
        </w:rPr>
        <w:t xml:space="preserve"> </w:t>
      </w:r>
      <w:proofErr w:type="spellStart"/>
      <w:r w:rsidRPr="00F1530B">
        <w:rPr>
          <w:lang w:val="en-US"/>
        </w:rPr>
        <w:t>meio</w:t>
      </w:r>
      <w:proofErr w:type="spellEnd"/>
      <w:r w:rsidRPr="00F1530B">
        <w:rPr>
          <w:lang w:val="en-US"/>
        </w:rPr>
        <w:t xml:space="preserve"> de </w:t>
      </w:r>
      <w:proofErr w:type="spellStart"/>
      <w:r w:rsidRPr="00F1530B">
        <w:rPr>
          <w:lang w:val="en-US"/>
        </w:rPr>
        <w:t>pesquisa</w:t>
      </w:r>
      <w:proofErr w:type="spellEnd"/>
      <w:r w:rsidRPr="00F1530B">
        <w:rPr>
          <w:lang w:val="en-US"/>
        </w:rPr>
        <w:t xml:space="preserve"> </w:t>
      </w:r>
      <w:proofErr w:type="spellStart"/>
      <w:r w:rsidRPr="00F1530B">
        <w:rPr>
          <w:lang w:val="en-US"/>
        </w:rPr>
        <w:t>correlacional</w:t>
      </w:r>
      <w:proofErr w:type="spellEnd"/>
      <w:r w:rsidRPr="00F1530B">
        <w:rPr>
          <w:lang w:val="en-US"/>
        </w:rPr>
        <w:t xml:space="preserve"> e </w:t>
      </w:r>
      <w:proofErr w:type="spellStart"/>
      <w:r w:rsidRPr="00F1530B">
        <w:rPr>
          <w:lang w:val="en-US"/>
        </w:rPr>
        <w:t>abordagem</w:t>
      </w:r>
      <w:proofErr w:type="spellEnd"/>
      <w:r w:rsidRPr="00F1530B">
        <w:rPr>
          <w:lang w:val="en-US"/>
        </w:rPr>
        <w:t xml:space="preserve"> </w:t>
      </w:r>
      <w:proofErr w:type="spellStart"/>
      <w:r w:rsidRPr="00F1530B">
        <w:rPr>
          <w:lang w:val="en-US"/>
        </w:rPr>
        <w:t>quantitativa</w:t>
      </w:r>
      <w:proofErr w:type="spellEnd"/>
      <w:r w:rsidRPr="00F1530B">
        <w:rPr>
          <w:lang w:val="en-US"/>
        </w:rPr>
        <w:t xml:space="preserve">. Para </w:t>
      </w:r>
      <w:proofErr w:type="spellStart"/>
      <w:r w:rsidRPr="00F1530B">
        <w:rPr>
          <w:lang w:val="en-US"/>
        </w:rPr>
        <w:t>isso</w:t>
      </w:r>
      <w:proofErr w:type="spellEnd"/>
      <w:r w:rsidRPr="00F1530B">
        <w:rPr>
          <w:lang w:val="en-US"/>
        </w:rPr>
        <w:t xml:space="preserve">, </w:t>
      </w:r>
      <w:proofErr w:type="spellStart"/>
      <w:r w:rsidRPr="00F1530B">
        <w:rPr>
          <w:lang w:val="en-US"/>
        </w:rPr>
        <w:t>utilizou</w:t>
      </w:r>
      <w:proofErr w:type="spellEnd"/>
      <w:r w:rsidRPr="00F1530B">
        <w:rPr>
          <w:lang w:val="en-US"/>
        </w:rPr>
        <w:t xml:space="preserve">-se </w:t>
      </w:r>
      <w:proofErr w:type="spellStart"/>
      <w:r w:rsidRPr="00F1530B">
        <w:rPr>
          <w:lang w:val="en-US"/>
        </w:rPr>
        <w:t>como</w:t>
      </w:r>
      <w:proofErr w:type="spellEnd"/>
      <w:r w:rsidRPr="00F1530B">
        <w:rPr>
          <w:lang w:val="en-US"/>
        </w:rPr>
        <w:t xml:space="preserve"> </w:t>
      </w:r>
      <w:proofErr w:type="spellStart"/>
      <w:r w:rsidRPr="00F1530B">
        <w:rPr>
          <w:lang w:val="en-US"/>
        </w:rPr>
        <w:t>técnica</w:t>
      </w:r>
      <w:proofErr w:type="spellEnd"/>
      <w:r w:rsidRPr="00F1530B">
        <w:rPr>
          <w:lang w:val="en-US"/>
        </w:rPr>
        <w:t xml:space="preserve"> o </w:t>
      </w:r>
      <w:proofErr w:type="spellStart"/>
      <w:r w:rsidRPr="00F1530B">
        <w:rPr>
          <w:lang w:val="en-US"/>
        </w:rPr>
        <w:t>levantamento</w:t>
      </w:r>
      <w:proofErr w:type="spellEnd"/>
      <w:r w:rsidRPr="00F1530B">
        <w:rPr>
          <w:lang w:val="en-US"/>
        </w:rPr>
        <w:t xml:space="preserve"> digital, e </w:t>
      </w:r>
      <w:proofErr w:type="gramStart"/>
      <w:r w:rsidRPr="00F1530B">
        <w:rPr>
          <w:lang w:val="en-US"/>
        </w:rPr>
        <w:t>a</w:t>
      </w:r>
      <w:proofErr w:type="gramEnd"/>
      <w:r w:rsidRPr="00F1530B">
        <w:rPr>
          <w:lang w:val="en-US"/>
        </w:rPr>
        <w:t xml:space="preserve"> </w:t>
      </w:r>
      <w:proofErr w:type="spellStart"/>
      <w:r w:rsidRPr="00F1530B">
        <w:rPr>
          <w:lang w:val="en-US"/>
        </w:rPr>
        <w:t>análise</w:t>
      </w:r>
      <w:proofErr w:type="spellEnd"/>
      <w:r w:rsidRPr="00F1530B">
        <w:rPr>
          <w:lang w:val="en-US"/>
        </w:rPr>
        <w:t xml:space="preserve"> </w:t>
      </w:r>
      <w:proofErr w:type="spellStart"/>
      <w:r w:rsidRPr="00F1530B">
        <w:rPr>
          <w:lang w:val="en-US"/>
        </w:rPr>
        <w:t>foi</w:t>
      </w:r>
      <w:proofErr w:type="spellEnd"/>
      <w:r w:rsidRPr="00F1530B">
        <w:rPr>
          <w:lang w:val="en-US"/>
        </w:rPr>
        <w:t xml:space="preserve"> </w:t>
      </w:r>
      <w:proofErr w:type="spellStart"/>
      <w:r w:rsidRPr="00F1530B">
        <w:rPr>
          <w:lang w:val="en-US"/>
        </w:rPr>
        <w:t>feita</w:t>
      </w:r>
      <w:proofErr w:type="spellEnd"/>
      <w:r w:rsidRPr="00F1530B">
        <w:rPr>
          <w:lang w:val="en-US"/>
        </w:rPr>
        <w:t xml:space="preserve"> com ferramentas de </w:t>
      </w:r>
      <w:proofErr w:type="spellStart"/>
      <w:r w:rsidRPr="00F1530B">
        <w:rPr>
          <w:lang w:val="en-US"/>
        </w:rPr>
        <w:t>estatística</w:t>
      </w:r>
      <w:proofErr w:type="spellEnd"/>
      <w:r w:rsidRPr="00F1530B">
        <w:rPr>
          <w:lang w:val="en-US"/>
        </w:rPr>
        <w:t xml:space="preserve"> </w:t>
      </w:r>
      <w:proofErr w:type="spellStart"/>
      <w:r w:rsidRPr="00F1530B">
        <w:rPr>
          <w:lang w:val="en-US"/>
        </w:rPr>
        <w:t>descritiva</w:t>
      </w:r>
      <w:proofErr w:type="spellEnd"/>
      <w:r w:rsidRPr="00F1530B">
        <w:rPr>
          <w:lang w:val="en-US"/>
        </w:rPr>
        <w:t xml:space="preserve"> e </w:t>
      </w:r>
      <w:proofErr w:type="spellStart"/>
      <w:r w:rsidRPr="00F1530B">
        <w:rPr>
          <w:lang w:val="en-US"/>
        </w:rPr>
        <w:t>inferencial</w:t>
      </w:r>
      <w:proofErr w:type="spellEnd"/>
      <w:r w:rsidRPr="00F1530B">
        <w:rPr>
          <w:lang w:val="en-US"/>
        </w:rPr>
        <w:t xml:space="preserve">. </w:t>
      </w:r>
      <w:proofErr w:type="gramStart"/>
      <w:r w:rsidRPr="00F1530B">
        <w:rPr>
          <w:lang w:val="en-US"/>
        </w:rPr>
        <w:t>A</w:t>
      </w:r>
      <w:proofErr w:type="gramEnd"/>
      <w:r w:rsidRPr="00F1530B">
        <w:rPr>
          <w:lang w:val="en-US"/>
        </w:rPr>
        <w:t xml:space="preserve"> </w:t>
      </w:r>
      <w:proofErr w:type="spellStart"/>
      <w:r w:rsidRPr="00F1530B">
        <w:rPr>
          <w:lang w:val="en-US"/>
        </w:rPr>
        <w:t>amostra</w:t>
      </w:r>
      <w:proofErr w:type="spellEnd"/>
      <w:r w:rsidRPr="00F1530B">
        <w:rPr>
          <w:lang w:val="en-US"/>
        </w:rPr>
        <w:t xml:space="preserve"> </w:t>
      </w:r>
      <w:proofErr w:type="spellStart"/>
      <w:r w:rsidRPr="00F1530B">
        <w:rPr>
          <w:lang w:val="en-US"/>
        </w:rPr>
        <w:t>foi</w:t>
      </w:r>
      <w:proofErr w:type="spellEnd"/>
      <w:r w:rsidRPr="00F1530B">
        <w:rPr>
          <w:lang w:val="en-US"/>
        </w:rPr>
        <w:t xml:space="preserve"> </w:t>
      </w:r>
      <w:proofErr w:type="spellStart"/>
      <w:r w:rsidRPr="00F1530B">
        <w:rPr>
          <w:lang w:val="en-US"/>
        </w:rPr>
        <w:t>composta</w:t>
      </w:r>
      <w:proofErr w:type="spellEnd"/>
      <w:r w:rsidRPr="00F1530B">
        <w:rPr>
          <w:lang w:val="en-US"/>
        </w:rPr>
        <w:t xml:space="preserve"> </w:t>
      </w:r>
      <w:proofErr w:type="spellStart"/>
      <w:r w:rsidRPr="00F1530B">
        <w:rPr>
          <w:lang w:val="en-US"/>
        </w:rPr>
        <w:t>por</w:t>
      </w:r>
      <w:proofErr w:type="spellEnd"/>
      <w:r w:rsidRPr="00F1530B">
        <w:rPr>
          <w:lang w:val="en-US"/>
        </w:rPr>
        <w:t xml:space="preserve"> 305 </w:t>
      </w:r>
      <w:proofErr w:type="spellStart"/>
      <w:r w:rsidRPr="00F1530B">
        <w:rPr>
          <w:lang w:val="en-US"/>
        </w:rPr>
        <w:t>estudantes</w:t>
      </w:r>
      <w:proofErr w:type="spellEnd"/>
      <w:r w:rsidRPr="00F1530B">
        <w:rPr>
          <w:lang w:val="en-US"/>
        </w:rPr>
        <w:t xml:space="preserve"> de </w:t>
      </w:r>
      <w:proofErr w:type="spellStart"/>
      <w:r w:rsidRPr="00F1530B">
        <w:rPr>
          <w:lang w:val="en-US"/>
        </w:rPr>
        <w:t>uma</w:t>
      </w:r>
      <w:proofErr w:type="spellEnd"/>
      <w:r w:rsidRPr="00F1530B">
        <w:rPr>
          <w:lang w:val="en-US"/>
        </w:rPr>
        <w:t xml:space="preserve"> </w:t>
      </w:r>
      <w:proofErr w:type="spellStart"/>
      <w:r w:rsidRPr="00F1530B">
        <w:rPr>
          <w:lang w:val="en-US"/>
        </w:rPr>
        <w:t>população</w:t>
      </w:r>
      <w:proofErr w:type="spellEnd"/>
      <w:r w:rsidRPr="00F1530B">
        <w:rPr>
          <w:lang w:val="en-US"/>
        </w:rPr>
        <w:t xml:space="preserve"> de 1.358 </w:t>
      </w:r>
      <w:proofErr w:type="spellStart"/>
      <w:r w:rsidRPr="00F1530B">
        <w:rPr>
          <w:lang w:val="en-US"/>
        </w:rPr>
        <w:t>habitantes</w:t>
      </w:r>
      <w:proofErr w:type="spellEnd"/>
      <w:r w:rsidRPr="00F1530B">
        <w:rPr>
          <w:lang w:val="en-US"/>
        </w:rPr>
        <w:t xml:space="preserve"> do Instituto </w:t>
      </w:r>
      <w:proofErr w:type="spellStart"/>
      <w:r w:rsidRPr="00F1530B">
        <w:rPr>
          <w:lang w:val="en-US"/>
        </w:rPr>
        <w:t>Tecnológico</w:t>
      </w:r>
      <w:proofErr w:type="spellEnd"/>
      <w:r w:rsidRPr="00F1530B">
        <w:rPr>
          <w:lang w:val="en-US"/>
        </w:rPr>
        <w:t xml:space="preserve"> José Mario Molina Pasquel y Henríquez, campus Puerto Vallarta. </w:t>
      </w:r>
      <w:proofErr w:type="spellStart"/>
      <w:r w:rsidRPr="00F1530B">
        <w:rPr>
          <w:lang w:val="en-US"/>
        </w:rPr>
        <w:t>Os</w:t>
      </w:r>
      <w:proofErr w:type="spellEnd"/>
      <w:r w:rsidRPr="00F1530B">
        <w:rPr>
          <w:lang w:val="en-US"/>
        </w:rPr>
        <w:t xml:space="preserve"> </w:t>
      </w:r>
      <w:proofErr w:type="spellStart"/>
      <w:r w:rsidRPr="00F1530B">
        <w:rPr>
          <w:lang w:val="en-US"/>
        </w:rPr>
        <w:t>resultados</w:t>
      </w:r>
      <w:proofErr w:type="spellEnd"/>
      <w:r w:rsidRPr="00F1530B">
        <w:rPr>
          <w:lang w:val="en-US"/>
        </w:rPr>
        <w:t xml:space="preserve"> </w:t>
      </w:r>
      <w:proofErr w:type="spellStart"/>
      <w:r w:rsidRPr="00F1530B">
        <w:rPr>
          <w:lang w:val="en-US"/>
        </w:rPr>
        <w:t>indicam</w:t>
      </w:r>
      <w:proofErr w:type="spellEnd"/>
      <w:r w:rsidRPr="00F1530B">
        <w:rPr>
          <w:lang w:val="en-US"/>
        </w:rPr>
        <w:t xml:space="preserve"> que </w:t>
      </w:r>
      <w:proofErr w:type="spellStart"/>
      <w:r w:rsidRPr="00F1530B">
        <w:rPr>
          <w:lang w:val="en-US"/>
        </w:rPr>
        <w:t>o</w:t>
      </w:r>
      <w:proofErr w:type="spellEnd"/>
      <w:r w:rsidRPr="00F1530B">
        <w:rPr>
          <w:lang w:val="en-US"/>
        </w:rPr>
        <w:t xml:space="preserve"> </w:t>
      </w:r>
      <w:proofErr w:type="spellStart"/>
      <w:r w:rsidRPr="00F1530B">
        <w:rPr>
          <w:lang w:val="en-US"/>
        </w:rPr>
        <w:t>emprego</w:t>
      </w:r>
      <w:proofErr w:type="spellEnd"/>
      <w:r w:rsidRPr="00F1530B">
        <w:rPr>
          <w:lang w:val="en-US"/>
        </w:rPr>
        <w:t xml:space="preserve"> </w:t>
      </w:r>
      <w:proofErr w:type="spellStart"/>
      <w:r w:rsidRPr="00F1530B">
        <w:rPr>
          <w:lang w:val="en-US"/>
        </w:rPr>
        <w:t>tem</w:t>
      </w:r>
      <w:proofErr w:type="spellEnd"/>
      <w:r w:rsidRPr="00F1530B">
        <w:rPr>
          <w:lang w:val="en-US"/>
        </w:rPr>
        <w:t xml:space="preserve"> um </w:t>
      </w:r>
      <w:proofErr w:type="spellStart"/>
      <w:r w:rsidRPr="00F1530B">
        <w:rPr>
          <w:lang w:val="en-US"/>
        </w:rPr>
        <w:t>impacto</w:t>
      </w:r>
      <w:proofErr w:type="spellEnd"/>
      <w:r w:rsidRPr="00F1530B">
        <w:rPr>
          <w:lang w:val="en-US"/>
        </w:rPr>
        <w:t xml:space="preserve"> </w:t>
      </w:r>
      <w:proofErr w:type="spellStart"/>
      <w:r w:rsidRPr="00F1530B">
        <w:rPr>
          <w:lang w:val="en-US"/>
        </w:rPr>
        <w:t>negativo</w:t>
      </w:r>
      <w:proofErr w:type="spellEnd"/>
      <w:r w:rsidRPr="00F1530B">
        <w:rPr>
          <w:lang w:val="en-US"/>
        </w:rPr>
        <w:t xml:space="preserve"> no </w:t>
      </w:r>
      <w:proofErr w:type="spellStart"/>
      <w:r w:rsidRPr="00F1530B">
        <w:rPr>
          <w:lang w:val="en-US"/>
        </w:rPr>
        <w:t>desempenho</w:t>
      </w:r>
      <w:proofErr w:type="spellEnd"/>
      <w:r w:rsidRPr="00F1530B">
        <w:rPr>
          <w:lang w:val="en-US"/>
        </w:rPr>
        <w:t xml:space="preserve"> </w:t>
      </w:r>
      <w:proofErr w:type="spellStart"/>
      <w:r w:rsidRPr="00F1530B">
        <w:rPr>
          <w:lang w:val="en-US"/>
        </w:rPr>
        <w:t>académico</w:t>
      </w:r>
      <w:proofErr w:type="spellEnd"/>
      <w:r w:rsidRPr="00F1530B">
        <w:rPr>
          <w:lang w:val="en-US"/>
        </w:rPr>
        <w:t xml:space="preserve">, </w:t>
      </w:r>
      <w:proofErr w:type="spellStart"/>
      <w:r w:rsidRPr="00F1530B">
        <w:rPr>
          <w:lang w:val="en-US"/>
        </w:rPr>
        <w:t>uma</w:t>
      </w:r>
      <w:proofErr w:type="spellEnd"/>
      <w:r w:rsidRPr="00F1530B">
        <w:rPr>
          <w:lang w:val="en-US"/>
        </w:rPr>
        <w:t xml:space="preserve"> </w:t>
      </w:r>
      <w:proofErr w:type="spellStart"/>
      <w:r w:rsidRPr="00F1530B">
        <w:rPr>
          <w:lang w:val="en-US"/>
        </w:rPr>
        <w:t>vez</w:t>
      </w:r>
      <w:proofErr w:type="spellEnd"/>
      <w:r w:rsidRPr="00F1530B">
        <w:rPr>
          <w:lang w:val="en-US"/>
        </w:rPr>
        <w:t xml:space="preserve"> que </w:t>
      </w:r>
      <w:proofErr w:type="spellStart"/>
      <w:r w:rsidRPr="00F1530B">
        <w:rPr>
          <w:lang w:val="en-US"/>
        </w:rPr>
        <w:t>os</w:t>
      </w:r>
      <w:proofErr w:type="spellEnd"/>
      <w:r w:rsidRPr="00F1530B">
        <w:rPr>
          <w:lang w:val="en-US"/>
        </w:rPr>
        <w:t xml:space="preserve"> </w:t>
      </w:r>
      <w:proofErr w:type="spellStart"/>
      <w:r w:rsidRPr="00F1530B">
        <w:rPr>
          <w:lang w:val="en-US"/>
        </w:rPr>
        <w:t>estudantes</w:t>
      </w:r>
      <w:proofErr w:type="spellEnd"/>
      <w:r w:rsidRPr="00F1530B">
        <w:rPr>
          <w:lang w:val="en-US"/>
        </w:rPr>
        <w:t xml:space="preserve"> </w:t>
      </w:r>
      <w:proofErr w:type="spellStart"/>
      <w:r w:rsidRPr="00F1530B">
        <w:rPr>
          <w:lang w:val="en-US"/>
        </w:rPr>
        <w:t>universitários</w:t>
      </w:r>
      <w:proofErr w:type="spellEnd"/>
      <w:r w:rsidRPr="00F1530B">
        <w:rPr>
          <w:lang w:val="en-US"/>
        </w:rPr>
        <w:t xml:space="preserve"> que </w:t>
      </w:r>
      <w:proofErr w:type="spellStart"/>
      <w:r w:rsidRPr="00F1530B">
        <w:rPr>
          <w:lang w:val="en-US"/>
        </w:rPr>
        <w:t>apenas</w:t>
      </w:r>
      <w:proofErr w:type="spellEnd"/>
      <w:r w:rsidRPr="00F1530B">
        <w:rPr>
          <w:lang w:val="en-US"/>
        </w:rPr>
        <w:t xml:space="preserve"> </w:t>
      </w:r>
      <w:proofErr w:type="spellStart"/>
      <w:r w:rsidRPr="00F1530B">
        <w:rPr>
          <w:lang w:val="en-US"/>
        </w:rPr>
        <w:t>estudam</w:t>
      </w:r>
      <w:proofErr w:type="spellEnd"/>
      <w:r w:rsidRPr="00F1530B">
        <w:rPr>
          <w:lang w:val="en-US"/>
        </w:rPr>
        <w:t xml:space="preserve"> </w:t>
      </w:r>
      <w:proofErr w:type="spellStart"/>
      <w:r w:rsidRPr="00F1530B">
        <w:rPr>
          <w:lang w:val="en-US"/>
        </w:rPr>
        <w:t>apresentam</w:t>
      </w:r>
      <w:proofErr w:type="spellEnd"/>
      <w:r w:rsidRPr="00F1530B">
        <w:rPr>
          <w:lang w:val="en-US"/>
        </w:rPr>
        <w:t xml:space="preserve"> </w:t>
      </w:r>
      <w:proofErr w:type="spellStart"/>
      <w:r w:rsidRPr="00F1530B">
        <w:rPr>
          <w:lang w:val="en-US"/>
        </w:rPr>
        <w:t>menor</w:t>
      </w:r>
      <w:proofErr w:type="spellEnd"/>
      <w:r w:rsidRPr="00F1530B">
        <w:rPr>
          <w:lang w:val="en-US"/>
        </w:rPr>
        <w:t xml:space="preserve"> taxa de </w:t>
      </w:r>
      <w:proofErr w:type="spellStart"/>
      <w:r w:rsidRPr="00F1530B">
        <w:rPr>
          <w:lang w:val="en-US"/>
        </w:rPr>
        <w:t>reprovação</w:t>
      </w:r>
      <w:proofErr w:type="spellEnd"/>
      <w:r w:rsidRPr="00F1530B">
        <w:rPr>
          <w:lang w:val="en-US"/>
        </w:rPr>
        <w:t xml:space="preserve"> e </w:t>
      </w:r>
      <w:proofErr w:type="spellStart"/>
      <w:r w:rsidRPr="00F1530B">
        <w:rPr>
          <w:lang w:val="en-US"/>
        </w:rPr>
        <w:t>melhores</w:t>
      </w:r>
      <w:proofErr w:type="spellEnd"/>
      <w:r w:rsidRPr="00F1530B">
        <w:rPr>
          <w:lang w:val="en-US"/>
        </w:rPr>
        <w:t xml:space="preserve"> </w:t>
      </w:r>
      <w:proofErr w:type="spellStart"/>
      <w:r w:rsidRPr="00F1530B">
        <w:rPr>
          <w:lang w:val="en-US"/>
        </w:rPr>
        <w:t>resultados</w:t>
      </w:r>
      <w:proofErr w:type="spellEnd"/>
      <w:r w:rsidRPr="00F1530B">
        <w:rPr>
          <w:lang w:val="en-US"/>
        </w:rPr>
        <w:t xml:space="preserve"> </w:t>
      </w:r>
      <w:proofErr w:type="spellStart"/>
      <w:r w:rsidRPr="00F1530B">
        <w:rPr>
          <w:lang w:val="en-US"/>
        </w:rPr>
        <w:t>académicos</w:t>
      </w:r>
      <w:proofErr w:type="spellEnd"/>
      <w:r w:rsidRPr="00F1530B">
        <w:rPr>
          <w:lang w:val="en-US"/>
        </w:rPr>
        <w:t>.</w:t>
      </w:r>
    </w:p>
    <w:p w14:paraId="58ED0AB1" w14:textId="397FDB43" w:rsidR="00F1530B" w:rsidRDefault="00F1530B" w:rsidP="00F1530B">
      <w:pPr>
        <w:spacing w:line="360" w:lineRule="auto"/>
        <w:jc w:val="both"/>
        <w:rPr>
          <w:lang w:val="en-US"/>
        </w:rPr>
      </w:pPr>
      <w:proofErr w:type="spellStart"/>
      <w:r w:rsidRPr="00F1530B">
        <w:rPr>
          <w:rFonts w:asciiTheme="minorHAnsi" w:hAnsiTheme="minorHAnsi" w:cstheme="minorHAnsi"/>
          <w:b/>
          <w:bCs/>
          <w:sz w:val="28"/>
          <w:szCs w:val="28"/>
          <w:lang w:val="es-ES"/>
        </w:rPr>
        <w:t>Palavras</w:t>
      </w:r>
      <w:proofErr w:type="spellEnd"/>
      <w:r w:rsidRPr="00F1530B">
        <w:rPr>
          <w:rFonts w:asciiTheme="minorHAnsi" w:hAnsiTheme="minorHAnsi" w:cstheme="minorHAnsi"/>
          <w:b/>
          <w:bCs/>
          <w:sz w:val="28"/>
          <w:szCs w:val="28"/>
          <w:lang w:val="es-ES"/>
        </w:rPr>
        <w:t>-chave:</w:t>
      </w:r>
      <w:r w:rsidRPr="00F1530B">
        <w:rPr>
          <w:lang w:val="en-US"/>
        </w:rPr>
        <w:t xml:space="preserve"> </w:t>
      </w:r>
      <w:proofErr w:type="spellStart"/>
      <w:r w:rsidRPr="00F1530B">
        <w:rPr>
          <w:lang w:val="en-US"/>
        </w:rPr>
        <w:t>desempenho</w:t>
      </w:r>
      <w:proofErr w:type="spellEnd"/>
      <w:r w:rsidRPr="00F1530B">
        <w:rPr>
          <w:lang w:val="en-US"/>
        </w:rPr>
        <w:t xml:space="preserve"> </w:t>
      </w:r>
      <w:proofErr w:type="spellStart"/>
      <w:r w:rsidRPr="00F1530B">
        <w:rPr>
          <w:lang w:val="en-US"/>
        </w:rPr>
        <w:t>acadêmico</w:t>
      </w:r>
      <w:proofErr w:type="spellEnd"/>
      <w:r w:rsidRPr="00F1530B">
        <w:rPr>
          <w:lang w:val="en-US"/>
        </w:rPr>
        <w:t xml:space="preserve">, </w:t>
      </w:r>
      <w:proofErr w:type="spellStart"/>
      <w:r w:rsidRPr="00F1530B">
        <w:rPr>
          <w:lang w:val="en-US"/>
        </w:rPr>
        <w:t>ensino</w:t>
      </w:r>
      <w:proofErr w:type="spellEnd"/>
      <w:r w:rsidRPr="00F1530B">
        <w:rPr>
          <w:lang w:val="en-US"/>
        </w:rPr>
        <w:t xml:space="preserve"> superior, </w:t>
      </w:r>
      <w:proofErr w:type="spellStart"/>
      <w:r w:rsidRPr="00F1530B">
        <w:rPr>
          <w:lang w:val="en-US"/>
        </w:rPr>
        <w:t>emprego</w:t>
      </w:r>
      <w:proofErr w:type="spellEnd"/>
      <w:r w:rsidRPr="00F1530B">
        <w:rPr>
          <w:lang w:val="en-US"/>
        </w:rPr>
        <w:t xml:space="preserve">, </w:t>
      </w:r>
      <w:proofErr w:type="spellStart"/>
      <w:r w:rsidRPr="00F1530B">
        <w:rPr>
          <w:lang w:val="en-US"/>
        </w:rPr>
        <w:t>estudantes</w:t>
      </w:r>
      <w:proofErr w:type="spellEnd"/>
      <w:r w:rsidRPr="00F1530B">
        <w:rPr>
          <w:lang w:val="en-US"/>
        </w:rPr>
        <w:t xml:space="preserve"> </w:t>
      </w:r>
      <w:proofErr w:type="spellStart"/>
      <w:r w:rsidRPr="00F1530B">
        <w:rPr>
          <w:lang w:val="en-US"/>
        </w:rPr>
        <w:t>universitários</w:t>
      </w:r>
      <w:proofErr w:type="spellEnd"/>
      <w:r w:rsidRPr="00F1530B">
        <w:rPr>
          <w:lang w:val="en-US"/>
        </w:rPr>
        <w:t xml:space="preserve">, </w:t>
      </w:r>
      <w:proofErr w:type="spellStart"/>
      <w:r w:rsidRPr="00F1530B">
        <w:rPr>
          <w:lang w:val="en-US"/>
        </w:rPr>
        <w:t>trabalho</w:t>
      </w:r>
      <w:proofErr w:type="spellEnd"/>
      <w:r w:rsidRPr="00F1530B">
        <w:rPr>
          <w:lang w:val="en-US"/>
        </w:rPr>
        <w:t xml:space="preserve"> </w:t>
      </w:r>
      <w:proofErr w:type="spellStart"/>
      <w:r w:rsidRPr="00F1530B">
        <w:rPr>
          <w:lang w:val="en-US"/>
        </w:rPr>
        <w:t>estudantil</w:t>
      </w:r>
      <w:proofErr w:type="spellEnd"/>
      <w:r w:rsidRPr="00F1530B">
        <w:rPr>
          <w:lang w:val="en-US"/>
        </w:rPr>
        <w:t>.</w:t>
      </w:r>
    </w:p>
    <w:p w14:paraId="3F57F06F" w14:textId="4735B4CE" w:rsidR="00F1530B" w:rsidRPr="004334EF" w:rsidRDefault="00F1530B" w:rsidP="00F1530B">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Julio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proofErr w:type="gramStart"/>
      <w:r>
        <w:rPr>
          <w:rFonts w:ascii="Times New Roman" w:hAnsi="Times New Roman"/>
          <w:color w:val="000000"/>
          <w:sz w:val="24"/>
        </w:rPr>
        <w:t>Noviembre</w:t>
      </w:r>
      <w:proofErr w:type="gramEnd"/>
      <w:r>
        <w:rPr>
          <w:rFonts w:ascii="Times New Roman" w:hAnsi="Times New Roman"/>
          <w:color w:val="000000"/>
          <w:sz w:val="24"/>
        </w:rPr>
        <w:t xml:space="preserve"> 2023</w:t>
      </w:r>
    </w:p>
    <w:p w14:paraId="371C0EC4" w14:textId="2BAFACC4" w:rsidR="00F1530B" w:rsidRPr="00DD322C" w:rsidRDefault="00000000" w:rsidP="00F1530B">
      <w:pPr>
        <w:spacing w:line="360" w:lineRule="auto"/>
        <w:jc w:val="both"/>
        <w:rPr>
          <w:lang w:val="en-US"/>
        </w:rPr>
      </w:pPr>
      <w:r>
        <w:rPr>
          <w:noProof/>
        </w:rPr>
        <w:pict w14:anchorId="7DCD12D2">
          <v:rect id="_x0000_i1025" style="width:441.9pt;height:.05pt" o:hralign="center" o:hrstd="t" o:hr="t" fillcolor="#a0a0a0" stroked="f"/>
        </w:pict>
      </w:r>
    </w:p>
    <w:p w14:paraId="61084AC7" w14:textId="3A4E5345" w:rsidR="007067A8" w:rsidRPr="00736A49" w:rsidRDefault="000115E2" w:rsidP="00F1530B">
      <w:pPr>
        <w:spacing w:line="360" w:lineRule="auto"/>
        <w:jc w:val="center"/>
        <w:rPr>
          <w:b/>
          <w:bCs/>
          <w:sz w:val="32"/>
          <w:szCs w:val="32"/>
          <w:lang w:val="es-ES"/>
        </w:rPr>
      </w:pPr>
      <w:r w:rsidRPr="00736A49">
        <w:rPr>
          <w:b/>
          <w:bCs/>
          <w:sz w:val="32"/>
          <w:szCs w:val="32"/>
          <w:lang w:val="es-ES"/>
        </w:rPr>
        <w:t>I</w:t>
      </w:r>
      <w:r w:rsidR="00616F03" w:rsidRPr="00736A49">
        <w:rPr>
          <w:b/>
          <w:bCs/>
          <w:sz w:val="32"/>
          <w:szCs w:val="32"/>
          <w:lang w:val="es-ES"/>
        </w:rPr>
        <w:t>ntroducción, contextualización y problematización</w:t>
      </w:r>
    </w:p>
    <w:p w14:paraId="48A4413A" w14:textId="77777777" w:rsidR="007067A8" w:rsidRDefault="007067A8" w:rsidP="007067A8">
      <w:pPr>
        <w:spacing w:line="360" w:lineRule="auto"/>
        <w:ind w:firstLine="708"/>
        <w:jc w:val="both"/>
      </w:pPr>
      <w:r w:rsidRPr="005141D7">
        <w:t>El Instituto Tecnológico José Mario Molina Pasquel y Henríquez, campus Puerto Vallarta (</w:t>
      </w:r>
      <w:proofErr w:type="spellStart"/>
      <w:r w:rsidRPr="005141D7">
        <w:t>ITJMMPyH</w:t>
      </w:r>
      <w:proofErr w:type="spellEnd"/>
      <w:r w:rsidRPr="005141D7">
        <w:t>), imparte programas académicos que incluyen carreras como Arquitectura, Turismo y Gastronomía, así como ingenierías en Electromecánica, Sistemas Computacionales y Gestión Empresarial. Puerto Vallarta, reconocido como destino turístico y considerado una ciudad de tamaño medio con una población cercana a 300</w:t>
      </w:r>
      <w:r>
        <w:t> </w:t>
      </w:r>
      <w:r w:rsidRPr="005141D7">
        <w:t>000 habitantes (López, 2020), se caracteriza por la constante demanda laboral en el sector turístico, con notables aumentos estacionales durante periodos vacacionales, especialmente en áreas como hospedaje, gastronomía y servicios de recreación.</w:t>
      </w:r>
    </w:p>
    <w:p w14:paraId="606737E6" w14:textId="77777777" w:rsidR="007067A8" w:rsidRDefault="007067A8" w:rsidP="007067A8">
      <w:pPr>
        <w:spacing w:line="360" w:lineRule="auto"/>
        <w:ind w:firstLine="708"/>
        <w:jc w:val="both"/>
      </w:pPr>
      <w:r>
        <w:t>Ahora bien, en la referida universidad, s</w:t>
      </w:r>
      <w:r w:rsidRPr="005141D7">
        <w:t>e observa un significativo porcentaje de estudiantes que gestionan simultáneamente sus responsabilidades académicas y laborales</w:t>
      </w:r>
      <w:r>
        <w:t xml:space="preserve">, lo cual es consecuencia de </w:t>
      </w:r>
      <w:r w:rsidRPr="005141D7">
        <w:t>la disponibilidad de empleos, la flexibilidad de horarios para adaptarse a las demandas turísticas, la naturaleza estacional del mercado laboral y la facilidad de movilidad en la ciudad, que permite traslados rápidos entre la escuela, el trabajo y el hogar.</w:t>
      </w:r>
    </w:p>
    <w:p w14:paraId="72D86DBC" w14:textId="77777777" w:rsidR="007067A8" w:rsidRDefault="007067A8" w:rsidP="007067A8">
      <w:pPr>
        <w:spacing w:line="360" w:lineRule="auto"/>
        <w:ind w:firstLine="708"/>
        <w:jc w:val="both"/>
      </w:pPr>
      <w:r w:rsidRPr="005141D7">
        <w:t xml:space="preserve">Considerando estas premisas, surge la necesidad de comprender la dinámica laboral de los estudiantes del </w:t>
      </w:r>
      <w:proofErr w:type="spellStart"/>
      <w:r w:rsidRPr="005141D7">
        <w:t>ITJMMPyH</w:t>
      </w:r>
      <w:proofErr w:type="spellEnd"/>
      <w:r w:rsidRPr="005141D7">
        <w:t xml:space="preserve">. </w:t>
      </w:r>
      <w:r>
        <w:t>En concreto, e</w:t>
      </w:r>
      <w:r w:rsidRPr="005141D7">
        <w:t>l objetivo principal es abordar las siguientes interrogantes de investigación: ¿</w:t>
      </w:r>
      <w:r>
        <w:t>q</w:t>
      </w:r>
      <w:r w:rsidRPr="005141D7">
        <w:t xml:space="preserve">ué proporción de estudiantes combina el trabajo con sus estudios? ¿Existen disparidades en el desempeño académico y en las tasas de reprobación entre estudiantes </w:t>
      </w:r>
      <w:r w:rsidRPr="005141D7">
        <w:lastRenderedPageBreak/>
        <w:t>universitarios que trabajan y aquellos que solo se dedican a estudiar? ¿En qué medida el número de horas dedicadas al empleo puede influir en el rendimiento académico y las tasas de reprobación en estudiantes universitarios?</w:t>
      </w:r>
    </w:p>
    <w:p w14:paraId="73F6B6CF" w14:textId="77777777" w:rsidR="007067A8" w:rsidRPr="005141D7" w:rsidRDefault="007067A8" w:rsidP="007067A8">
      <w:pPr>
        <w:spacing w:line="360" w:lineRule="auto"/>
        <w:ind w:firstLine="708"/>
        <w:jc w:val="both"/>
      </w:pPr>
      <w:r w:rsidRPr="005141D7">
        <w:t>Para responder a estas preguntas, se establecieron los siguientes objetivos en el marco de este estudio.</w:t>
      </w:r>
    </w:p>
    <w:p w14:paraId="4788AD6A" w14:textId="77777777" w:rsidR="007067A8" w:rsidRDefault="007067A8" w:rsidP="007067A8">
      <w:pPr>
        <w:spacing w:line="360" w:lineRule="auto"/>
        <w:jc w:val="both"/>
        <w:rPr>
          <w:b/>
          <w:lang w:val="es-ES" w:eastAsia="en-US"/>
        </w:rPr>
      </w:pPr>
    </w:p>
    <w:p w14:paraId="2C72B817" w14:textId="08C9FA01" w:rsidR="000115E2" w:rsidRPr="00F1530B" w:rsidRDefault="000115E2" w:rsidP="00F1530B">
      <w:pPr>
        <w:spacing w:line="360" w:lineRule="auto"/>
        <w:jc w:val="center"/>
        <w:rPr>
          <w:b/>
          <w:sz w:val="28"/>
          <w:szCs w:val="28"/>
          <w:lang w:val="es-ES" w:eastAsia="en-US"/>
        </w:rPr>
      </w:pPr>
      <w:r w:rsidRPr="00F1530B">
        <w:rPr>
          <w:b/>
          <w:sz w:val="28"/>
          <w:szCs w:val="28"/>
          <w:lang w:val="es-ES" w:eastAsia="en-US"/>
        </w:rPr>
        <w:t>Objetivo general</w:t>
      </w:r>
    </w:p>
    <w:p w14:paraId="480D11B0" w14:textId="1CAA5973" w:rsidR="000115E2" w:rsidRDefault="000115E2" w:rsidP="007067A8">
      <w:pPr>
        <w:spacing w:line="360" w:lineRule="auto"/>
        <w:jc w:val="both"/>
        <w:rPr>
          <w:lang w:val="es-ES" w:eastAsia="en-US"/>
        </w:rPr>
      </w:pPr>
      <w:r w:rsidRPr="00DD322C">
        <w:rPr>
          <w:lang w:val="es-ES" w:eastAsia="en-US"/>
        </w:rPr>
        <w:t xml:space="preserve">Analizar el impacto del empleo en el desempeño de estudiantes universitarios del </w:t>
      </w:r>
      <w:proofErr w:type="spellStart"/>
      <w:r w:rsidR="000C25D6" w:rsidRPr="00DD322C">
        <w:rPr>
          <w:lang w:val="es-ES"/>
        </w:rPr>
        <w:t>ITJMMPyH</w:t>
      </w:r>
      <w:proofErr w:type="spellEnd"/>
      <w:r w:rsidRPr="00DD322C">
        <w:rPr>
          <w:lang w:val="es-ES" w:eastAsia="en-US"/>
        </w:rPr>
        <w:t xml:space="preserve"> </w:t>
      </w:r>
      <w:r w:rsidR="007067A8">
        <w:rPr>
          <w:lang w:val="es-ES" w:eastAsia="en-US"/>
        </w:rPr>
        <w:t xml:space="preserve">con el fin de </w:t>
      </w:r>
      <w:r w:rsidRPr="00DD322C">
        <w:rPr>
          <w:lang w:val="es-ES" w:eastAsia="en-US"/>
        </w:rPr>
        <w:t xml:space="preserve">valorar sus implicaciones para proponer recomendaciones que contribuyan </w:t>
      </w:r>
      <w:r w:rsidR="007067A8" w:rsidRPr="00DD322C">
        <w:rPr>
          <w:lang w:val="es-ES" w:eastAsia="en-US"/>
        </w:rPr>
        <w:t xml:space="preserve">a la mejora de los procesos formativos </w:t>
      </w:r>
      <w:r w:rsidR="007067A8">
        <w:rPr>
          <w:lang w:val="es-ES" w:eastAsia="en-US"/>
        </w:rPr>
        <w:t xml:space="preserve">y </w:t>
      </w:r>
      <w:r w:rsidRPr="00DD322C">
        <w:rPr>
          <w:lang w:val="es-ES" w:eastAsia="en-US"/>
        </w:rPr>
        <w:t xml:space="preserve">a la permanencia en la escuela de </w:t>
      </w:r>
      <w:r w:rsidR="007067A8">
        <w:rPr>
          <w:lang w:val="es-ES" w:eastAsia="en-US"/>
        </w:rPr>
        <w:t xml:space="preserve">alumnos que se encuentren en </w:t>
      </w:r>
      <w:r w:rsidRPr="00DD322C">
        <w:rPr>
          <w:lang w:val="es-ES" w:eastAsia="en-US"/>
        </w:rPr>
        <w:t>situación de riesgo académico.</w:t>
      </w:r>
    </w:p>
    <w:p w14:paraId="01DCADA8" w14:textId="77777777" w:rsidR="007067A8" w:rsidRPr="00DD322C" w:rsidRDefault="007067A8" w:rsidP="007067A8">
      <w:pPr>
        <w:spacing w:line="360" w:lineRule="auto"/>
        <w:jc w:val="both"/>
        <w:rPr>
          <w:lang w:val="es-ES" w:eastAsia="en-US"/>
        </w:rPr>
      </w:pPr>
    </w:p>
    <w:p w14:paraId="386C63C8" w14:textId="3F815B89" w:rsidR="000115E2" w:rsidRPr="00D6581D" w:rsidRDefault="000115E2" w:rsidP="00F1530B">
      <w:pPr>
        <w:spacing w:line="360" w:lineRule="auto"/>
        <w:jc w:val="center"/>
        <w:rPr>
          <w:b/>
          <w:lang w:val="es-ES" w:eastAsia="en-US"/>
        </w:rPr>
      </w:pPr>
      <w:r w:rsidRPr="00D6581D">
        <w:rPr>
          <w:b/>
          <w:lang w:val="es-ES" w:eastAsia="en-US"/>
        </w:rPr>
        <w:t>Objetivos específicos</w:t>
      </w:r>
    </w:p>
    <w:p w14:paraId="313CB724" w14:textId="592D5790" w:rsidR="000115E2" w:rsidRPr="007067A8" w:rsidRDefault="000115E2" w:rsidP="007067A8">
      <w:pPr>
        <w:pStyle w:val="Prrafodelista"/>
        <w:numPr>
          <w:ilvl w:val="0"/>
          <w:numId w:val="7"/>
        </w:numPr>
        <w:spacing w:line="360" w:lineRule="auto"/>
        <w:jc w:val="both"/>
        <w:rPr>
          <w:rFonts w:ascii="Times New Roman" w:hAnsi="Times New Roman" w:cs="Times New Roman"/>
          <w:lang w:val="es-ES"/>
        </w:rPr>
      </w:pPr>
      <w:r w:rsidRPr="007067A8">
        <w:rPr>
          <w:rFonts w:ascii="Times New Roman" w:hAnsi="Times New Roman" w:cs="Times New Roman"/>
          <w:lang w:val="es-ES"/>
        </w:rPr>
        <w:t>Diseñar un instrumento de recolección de información dirigido a estudiantes universitarios que permita relacionar el desempeño académico y el empleo.</w:t>
      </w:r>
    </w:p>
    <w:p w14:paraId="014A9E7F" w14:textId="2149E4D0" w:rsidR="000115E2" w:rsidRPr="007067A8" w:rsidRDefault="000115E2" w:rsidP="007067A8">
      <w:pPr>
        <w:pStyle w:val="Prrafodelista"/>
        <w:numPr>
          <w:ilvl w:val="0"/>
          <w:numId w:val="7"/>
        </w:numPr>
        <w:spacing w:line="360" w:lineRule="auto"/>
        <w:jc w:val="both"/>
        <w:rPr>
          <w:rFonts w:ascii="Times New Roman" w:hAnsi="Times New Roman" w:cs="Times New Roman"/>
          <w:lang w:val="es-ES"/>
        </w:rPr>
      </w:pPr>
      <w:r w:rsidRPr="007067A8">
        <w:rPr>
          <w:rFonts w:ascii="Times New Roman" w:hAnsi="Times New Roman" w:cs="Times New Roman"/>
          <w:lang w:val="es-ES"/>
        </w:rPr>
        <w:t xml:space="preserve">Analizar la influencia del empleo en el desempeño académico de los estudiantes universitarios del </w:t>
      </w:r>
      <w:proofErr w:type="spellStart"/>
      <w:r w:rsidR="000C25D6" w:rsidRPr="007067A8">
        <w:rPr>
          <w:rFonts w:ascii="Times New Roman" w:hAnsi="Times New Roman" w:cs="Times New Roman"/>
          <w:lang w:val="es-ES"/>
        </w:rPr>
        <w:t>ITJMMPyH</w:t>
      </w:r>
      <w:proofErr w:type="spellEnd"/>
      <w:r w:rsidRPr="007067A8">
        <w:rPr>
          <w:rFonts w:ascii="Times New Roman" w:hAnsi="Times New Roman" w:cs="Times New Roman"/>
          <w:lang w:val="es-ES"/>
        </w:rPr>
        <w:t>.</w:t>
      </w:r>
    </w:p>
    <w:p w14:paraId="296CA168" w14:textId="6CA2E4CC" w:rsidR="000115E2" w:rsidRPr="00F1530B" w:rsidRDefault="000115E2" w:rsidP="00A214FD">
      <w:pPr>
        <w:pStyle w:val="Prrafodelista"/>
        <w:numPr>
          <w:ilvl w:val="0"/>
          <w:numId w:val="7"/>
        </w:numPr>
        <w:spacing w:line="360" w:lineRule="auto"/>
        <w:jc w:val="both"/>
        <w:rPr>
          <w:rFonts w:ascii="Times New Roman" w:hAnsi="Times New Roman" w:cs="Times New Roman"/>
          <w:lang w:val="es-ES"/>
        </w:rPr>
      </w:pPr>
      <w:r w:rsidRPr="007067A8">
        <w:rPr>
          <w:rFonts w:ascii="Times New Roman" w:hAnsi="Times New Roman" w:cs="Times New Roman"/>
          <w:lang w:val="es-ES"/>
        </w:rPr>
        <w:t xml:space="preserve">Formular conclusiones sobre el impacto del empleo en el desempeño académico de los estudiantes del </w:t>
      </w:r>
      <w:proofErr w:type="spellStart"/>
      <w:r w:rsidR="000C25D6" w:rsidRPr="007067A8">
        <w:rPr>
          <w:rFonts w:ascii="Times New Roman" w:hAnsi="Times New Roman" w:cs="Times New Roman"/>
          <w:lang w:val="es-ES"/>
        </w:rPr>
        <w:t>ITJMMPyH</w:t>
      </w:r>
      <w:proofErr w:type="spellEnd"/>
      <w:r w:rsidR="005334AD" w:rsidRPr="007067A8">
        <w:rPr>
          <w:rFonts w:ascii="Times New Roman" w:hAnsi="Times New Roman" w:cs="Times New Roman"/>
          <w:lang w:val="es-ES"/>
        </w:rPr>
        <w:t xml:space="preserve"> </w:t>
      </w:r>
      <w:r w:rsidRPr="007067A8">
        <w:rPr>
          <w:rFonts w:ascii="Times New Roman" w:hAnsi="Times New Roman" w:cs="Times New Roman"/>
          <w:lang w:val="es-ES"/>
        </w:rPr>
        <w:t>que permitan proponer recomendaciones orientadas hacia la mejora de la formación académica de los estudiantes con necesidad de empleo.</w:t>
      </w:r>
    </w:p>
    <w:p w14:paraId="0FA0F96B" w14:textId="77777777" w:rsidR="007067A8" w:rsidRDefault="007067A8" w:rsidP="007067A8">
      <w:pPr>
        <w:spacing w:line="360" w:lineRule="auto"/>
        <w:ind w:firstLine="708"/>
        <w:jc w:val="both"/>
      </w:pPr>
      <w:r w:rsidRPr="005141D7">
        <w:t xml:space="preserve">La temática del empleo en estudiantes universitarios ha recibido un tratamiento limitado en la investigación, ya que la mayoría de los estudios en este ámbito se centran en la inserción laboral de los egresados de educación superior. No obstante, el empleo es un factor de considerable importancia con repercusiones significativas en los estudiantes, ya que puede contribuir de manera positiva al desarrollo de habilidades y competencias vinculadas a su carrera o, en contraste, representar un desafío para el proceso formativo al exigir una inversión considerable de tiempo, </w:t>
      </w:r>
      <w:r>
        <w:t>lo cual puede</w:t>
      </w:r>
      <w:r w:rsidRPr="005141D7">
        <w:t xml:space="preserve"> poner en riesgo la continuidad y el rendimiento académico.</w:t>
      </w:r>
    </w:p>
    <w:p w14:paraId="15D17E10" w14:textId="77777777" w:rsidR="009067CC" w:rsidRDefault="009067CC" w:rsidP="00A214FD">
      <w:pPr>
        <w:spacing w:line="360" w:lineRule="auto"/>
        <w:jc w:val="both"/>
        <w:rPr>
          <w:lang w:val="es-ES" w:eastAsia="en-US"/>
        </w:rPr>
      </w:pPr>
    </w:p>
    <w:p w14:paraId="10FFD98B" w14:textId="77777777" w:rsidR="00F56DB9" w:rsidRDefault="00F56DB9" w:rsidP="00A214FD">
      <w:pPr>
        <w:spacing w:line="360" w:lineRule="auto"/>
        <w:jc w:val="both"/>
        <w:rPr>
          <w:lang w:val="es-ES" w:eastAsia="en-US"/>
        </w:rPr>
      </w:pPr>
    </w:p>
    <w:p w14:paraId="12BFF6CC" w14:textId="77777777" w:rsidR="00F56DB9" w:rsidRDefault="00F56DB9" w:rsidP="00A214FD">
      <w:pPr>
        <w:spacing w:line="360" w:lineRule="auto"/>
        <w:jc w:val="both"/>
        <w:rPr>
          <w:lang w:val="es-ES" w:eastAsia="en-US"/>
        </w:rPr>
      </w:pPr>
    </w:p>
    <w:p w14:paraId="628096E0" w14:textId="77777777" w:rsidR="00F56DB9" w:rsidRDefault="00F56DB9" w:rsidP="00A214FD">
      <w:pPr>
        <w:spacing w:line="360" w:lineRule="auto"/>
        <w:jc w:val="both"/>
        <w:rPr>
          <w:lang w:val="es-ES" w:eastAsia="en-US"/>
        </w:rPr>
      </w:pPr>
    </w:p>
    <w:p w14:paraId="130860CC" w14:textId="77777777" w:rsidR="00F56DB9" w:rsidRPr="00DD322C" w:rsidRDefault="00F56DB9" w:rsidP="00A214FD">
      <w:pPr>
        <w:spacing w:line="360" w:lineRule="auto"/>
        <w:jc w:val="both"/>
        <w:rPr>
          <w:lang w:val="es-ES" w:eastAsia="en-US"/>
        </w:rPr>
      </w:pPr>
    </w:p>
    <w:p w14:paraId="105B6AFB" w14:textId="79C787CD" w:rsidR="007067A8" w:rsidRPr="007D1874" w:rsidRDefault="008D7859" w:rsidP="00F1530B">
      <w:pPr>
        <w:spacing w:line="360" w:lineRule="auto"/>
        <w:jc w:val="center"/>
        <w:rPr>
          <w:b/>
          <w:bCs/>
          <w:sz w:val="28"/>
          <w:szCs w:val="28"/>
          <w:lang w:val="es-ES" w:eastAsia="en-US"/>
        </w:rPr>
      </w:pPr>
      <w:r w:rsidRPr="007D1874">
        <w:rPr>
          <w:b/>
          <w:bCs/>
          <w:sz w:val="28"/>
          <w:szCs w:val="28"/>
          <w:lang w:val="es-ES" w:eastAsia="en-US"/>
        </w:rPr>
        <w:lastRenderedPageBreak/>
        <w:t>Aspectos teóricos y conceptuales sobre el rendimiento académico de los estudiantes de licenciatura</w:t>
      </w:r>
    </w:p>
    <w:p w14:paraId="206CB7A6" w14:textId="77777777" w:rsidR="00C43844" w:rsidRDefault="00C43844" w:rsidP="00C43844">
      <w:pPr>
        <w:spacing w:line="360" w:lineRule="auto"/>
        <w:ind w:firstLine="708"/>
        <w:jc w:val="both"/>
      </w:pPr>
      <w:r w:rsidRPr="005141D7">
        <w:t xml:space="preserve">El rendimiento académico </w:t>
      </w:r>
      <w:r w:rsidRPr="005141D7">
        <w:rPr>
          <w:lang w:val="es-ES" w:eastAsia="en-US"/>
        </w:rPr>
        <w:t>(o desempeño académico)</w:t>
      </w:r>
      <w:r>
        <w:rPr>
          <w:lang w:val="es-ES" w:eastAsia="en-US"/>
        </w:rPr>
        <w:t xml:space="preserve"> </w:t>
      </w:r>
      <w:r w:rsidRPr="005141D7">
        <w:t xml:space="preserve">de los estudiantes constituye un área de inquietud a nivel global, abordada en diversas investigaciones que emplean distintos enfoques y consideran múltiples variables, </w:t>
      </w:r>
      <w:r>
        <w:t xml:space="preserve">como </w:t>
      </w:r>
      <w:r w:rsidRPr="005141D7">
        <w:t xml:space="preserve">la reprobación, la eficiencia terminal, las evaluaciones estandarizadas y el promedio </w:t>
      </w:r>
      <w:r>
        <w:t>(</w:t>
      </w:r>
      <w:r w:rsidRPr="005141D7">
        <w:t>este último reconocido como uno de los indicadores más prevalentes</w:t>
      </w:r>
      <w:r>
        <w:t>)</w:t>
      </w:r>
      <w:r w:rsidRPr="005141D7">
        <w:t xml:space="preserve"> (Fazio, 2004).</w:t>
      </w:r>
    </w:p>
    <w:p w14:paraId="05CE17C7" w14:textId="58803302" w:rsidR="00C43844" w:rsidRDefault="00C43844" w:rsidP="00C43844">
      <w:pPr>
        <w:spacing w:line="360" w:lineRule="auto"/>
        <w:ind w:firstLine="708"/>
        <w:jc w:val="both"/>
      </w:pPr>
      <w:r w:rsidRPr="005141D7">
        <w:t>Lerner</w:t>
      </w:r>
      <w:r>
        <w:t xml:space="preserve"> </w:t>
      </w:r>
      <w:r w:rsidRPr="00CB228E">
        <w:rPr>
          <w:i/>
          <w:iCs/>
        </w:rPr>
        <w:t>et al</w:t>
      </w:r>
      <w:r w:rsidRPr="005141D7">
        <w:t>. (201</w:t>
      </w:r>
      <w:r w:rsidR="00BF6F96">
        <w:t>2</w:t>
      </w:r>
      <w:r w:rsidRPr="005141D7">
        <w:t xml:space="preserve">) conceptualizan el rendimiento académico como </w:t>
      </w:r>
      <w:r>
        <w:t>“</w:t>
      </w:r>
      <w:r w:rsidRPr="00CB228E">
        <w:rPr>
          <w:lang w:val="es-ES" w:eastAsia="en-US"/>
        </w:rPr>
        <w:t>la manera continua de lograr conocimiento, el cual siempre será susceptible de ser ampliado, revisado, rebatido y de constituirse en objeto de nuevas interpretaciones</w:t>
      </w:r>
      <w:r>
        <w:rPr>
          <w:lang w:val="es-ES" w:eastAsia="en-US"/>
        </w:rPr>
        <w:t>”</w:t>
      </w:r>
      <w:r w:rsidRPr="005141D7">
        <w:t xml:space="preserve"> (p.</w:t>
      </w:r>
      <w:r>
        <w:t xml:space="preserve"> </w:t>
      </w:r>
      <w:r w:rsidRPr="005141D7">
        <w:t xml:space="preserve">15). Desde otra perspectiva, Espinoza (2006) lo describe como la capacidad de respuesta a estímulos e intenciones educativas, mientras que para Navarro (2003) implica el nivel de conocimientos, destrezas y habilidades de los alumnos en consonancia con factores como la edad y las situaciones contextuales, proporcionando respuestas a las evaluaciones realizadas por los docentes para evaluar el nivel de conocimiento adquirido. </w:t>
      </w:r>
    </w:p>
    <w:p w14:paraId="4E72D0CF" w14:textId="77777777" w:rsidR="00C43844" w:rsidRDefault="00C43844" w:rsidP="00C43844">
      <w:pPr>
        <w:spacing w:line="360" w:lineRule="auto"/>
        <w:ind w:firstLine="708"/>
        <w:jc w:val="both"/>
      </w:pPr>
      <w:r>
        <w:t>A partir de estas definiciones</w:t>
      </w:r>
      <w:r w:rsidRPr="005141D7">
        <w:t xml:space="preserve">, </w:t>
      </w:r>
      <w:r>
        <w:t xml:space="preserve">se puede afirmar que </w:t>
      </w:r>
      <w:r w:rsidRPr="005141D7">
        <w:t>el rendimiento académico alude al grado de competencias adquiridas, medibles en relación con un estándar predefinido.</w:t>
      </w:r>
      <w:r>
        <w:t xml:space="preserve"> Ahora bien, d</w:t>
      </w:r>
      <w:r w:rsidRPr="005141D7">
        <w:t xml:space="preserve">iversos factores, de índole social, económica, académica e individual, inciden en el rendimiento escolar y la probabilidad de reprobación. Martínez </w:t>
      </w:r>
      <w:r w:rsidRPr="00CB228E">
        <w:rPr>
          <w:i/>
          <w:iCs/>
        </w:rPr>
        <w:t>et al</w:t>
      </w:r>
      <w:r w:rsidRPr="005141D7">
        <w:t xml:space="preserve">. (1998) destacan el papel del nivel económico y educativo familiar, la configuración del currículo, la normativa e infraestructura educativa, así como las características individuales de los estudiantes. Además, </w:t>
      </w:r>
      <w:proofErr w:type="spellStart"/>
      <w:r w:rsidRPr="005141D7">
        <w:t>Enkvist</w:t>
      </w:r>
      <w:proofErr w:type="spellEnd"/>
      <w:r w:rsidRPr="005141D7">
        <w:t xml:space="preserve"> (2018) sugiere que cuatro actores </w:t>
      </w:r>
      <w:r>
        <w:t>(</w:t>
      </w:r>
      <w:r w:rsidRPr="005141D7">
        <w:t>autoridades, profesores, padres de familia y alumnos</w:t>
      </w:r>
      <w:r>
        <w:t>)</w:t>
      </w:r>
      <w:r w:rsidRPr="005141D7">
        <w:t xml:space="preserve"> ejercen influencia en el rendimiento académico.</w:t>
      </w:r>
    </w:p>
    <w:p w14:paraId="25C172C9" w14:textId="77777777" w:rsidR="00C43844" w:rsidRDefault="00C43844" w:rsidP="00C43844">
      <w:pPr>
        <w:spacing w:line="360" w:lineRule="auto"/>
        <w:ind w:firstLine="708"/>
        <w:jc w:val="both"/>
      </w:pPr>
      <w:r w:rsidRPr="005141D7">
        <w:t xml:space="preserve">Un estudio realizado en la Universidad Técnica de Machala en Ecuador empleó la regresión lineal para explorar la posible relación entre el tiempo dedicado al estudio por parte de los estudiantes y su rendimiento académico en determinadas asignaturas. Los resultados indicaron que </w:t>
      </w:r>
      <w:r>
        <w:t>“</w:t>
      </w:r>
      <w:r w:rsidRPr="00CB228E">
        <w:rPr>
          <w:lang w:val="es-ES" w:eastAsia="en-US"/>
        </w:rPr>
        <w:t>a mayor tiempo de estudio es mayor el rendimiento académico en estudiantes universitarios</w:t>
      </w:r>
      <w:r>
        <w:rPr>
          <w:lang w:val="es-ES" w:eastAsia="en-US"/>
        </w:rPr>
        <w:t>”</w:t>
      </w:r>
      <w:r w:rsidRPr="005141D7">
        <w:t xml:space="preserve"> (Jaya </w:t>
      </w:r>
      <w:r w:rsidRPr="00CB228E">
        <w:rPr>
          <w:i/>
          <w:iCs/>
        </w:rPr>
        <w:t>et al</w:t>
      </w:r>
      <w:r w:rsidRPr="005141D7">
        <w:t>., 2017, p.</w:t>
      </w:r>
      <w:r>
        <w:t xml:space="preserve"> </w:t>
      </w:r>
      <w:r w:rsidRPr="005141D7">
        <w:t xml:space="preserve">71). Además, investigaciones adicionales han observado una mayor tasa de abandono escolar en alumnos que no dedican tiempo completo a los estudios (Constante-Amores </w:t>
      </w:r>
      <w:r w:rsidRPr="00CB228E">
        <w:rPr>
          <w:i/>
          <w:iCs/>
        </w:rPr>
        <w:t>et al</w:t>
      </w:r>
      <w:r w:rsidRPr="005141D7">
        <w:t>., 2021).</w:t>
      </w:r>
    </w:p>
    <w:p w14:paraId="095D5DD8" w14:textId="77777777" w:rsidR="00C43844" w:rsidRDefault="00C43844" w:rsidP="00C43844">
      <w:pPr>
        <w:spacing w:line="360" w:lineRule="auto"/>
        <w:ind w:firstLine="708"/>
        <w:jc w:val="both"/>
      </w:pPr>
      <w:r w:rsidRPr="005141D7">
        <w:t xml:space="preserve">Cortez </w:t>
      </w:r>
      <w:r w:rsidRPr="00CB228E">
        <w:rPr>
          <w:i/>
          <w:iCs/>
        </w:rPr>
        <w:t>et al</w:t>
      </w:r>
      <w:r w:rsidRPr="005141D7">
        <w:t xml:space="preserve">. (2017), </w:t>
      </w:r>
      <w:r>
        <w:t xml:space="preserve">por su parte, </w:t>
      </w:r>
      <w:r w:rsidRPr="005141D7">
        <w:t xml:space="preserve">identificaron variables con influencia positiva en el rendimiento de los estudiantes, tales como el número de horas de estudio dentro y fuera de clases, la procedencia de una institución privada, el nivel educativo de los padres, el conocimiento de otro idioma y la participación en actividades de investigación. Por otro lado, algunas variables, como el </w:t>
      </w:r>
      <w:r w:rsidRPr="005141D7">
        <w:lastRenderedPageBreak/>
        <w:t>estado civil (estar casado), el ingreso económico familiar, la procedencia de una institución pública, el tipo de vivienda y el tipo de carrera, influyeron negativamente en el rendimiento.</w:t>
      </w:r>
    </w:p>
    <w:p w14:paraId="5DE5CC42" w14:textId="77777777" w:rsidR="00C43844" w:rsidRPr="005141D7" w:rsidRDefault="00C43844" w:rsidP="00C43844">
      <w:pPr>
        <w:spacing w:line="360" w:lineRule="auto"/>
        <w:ind w:firstLine="708"/>
        <w:jc w:val="both"/>
      </w:pPr>
      <w:r>
        <w:t>En pocas palabras, l</w:t>
      </w:r>
      <w:r w:rsidRPr="005141D7">
        <w:t xml:space="preserve">a decisión de trabajar durante los estudios universitarios, </w:t>
      </w:r>
      <w:r>
        <w:t>tema de interés en</w:t>
      </w:r>
      <w:r w:rsidRPr="005141D7">
        <w:t xml:space="preserve"> este estudio, podría vincularse con algunos de los factores mencionados por Martínez </w:t>
      </w:r>
      <w:r w:rsidRPr="00CB228E">
        <w:rPr>
          <w:i/>
          <w:iCs/>
        </w:rPr>
        <w:t>et al</w:t>
      </w:r>
      <w:r w:rsidRPr="005141D7">
        <w:t xml:space="preserve">. (1998), </w:t>
      </w:r>
      <w:r>
        <w:t xml:space="preserve">es decir, </w:t>
      </w:r>
      <w:r w:rsidRPr="005141D7">
        <w:t>aspectos económicos, académicos e individuales. Además, el número de horas de estudio podría incidir debido a la potencial reducción en estudiantes que trabajan</w:t>
      </w:r>
      <w:r>
        <w:t xml:space="preserve"> (</w:t>
      </w:r>
      <w:r w:rsidRPr="005141D7">
        <w:t xml:space="preserve">Cortez </w:t>
      </w:r>
      <w:r w:rsidRPr="00CB228E">
        <w:rPr>
          <w:i/>
          <w:iCs/>
        </w:rPr>
        <w:t>et al</w:t>
      </w:r>
      <w:r w:rsidRPr="005141D7">
        <w:t>.</w:t>
      </w:r>
      <w:r>
        <w:t>,</w:t>
      </w:r>
      <w:r w:rsidRPr="005141D7">
        <w:t xml:space="preserve"> 2017). Estos hallazgos apuntan a la posibilidad de explorar una relación entre el rendimiento académico y el empleo durante los estudios universitarios.</w:t>
      </w:r>
      <w:r>
        <w:t xml:space="preserve"> </w:t>
      </w:r>
    </w:p>
    <w:p w14:paraId="044972FB" w14:textId="77777777" w:rsidR="008D7859" w:rsidRPr="00DD322C" w:rsidRDefault="008D7859" w:rsidP="00A214FD">
      <w:pPr>
        <w:spacing w:line="360" w:lineRule="auto"/>
        <w:ind w:firstLine="708"/>
        <w:jc w:val="both"/>
        <w:rPr>
          <w:lang w:val="es-ES" w:eastAsia="en-US"/>
        </w:rPr>
      </w:pPr>
    </w:p>
    <w:p w14:paraId="10CCAFCC" w14:textId="77777777" w:rsidR="008D7859" w:rsidRDefault="008D7859" w:rsidP="00F56DB9">
      <w:pPr>
        <w:spacing w:line="360" w:lineRule="auto"/>
        <w:jc w:val="center"/>
        <w:rPr>
          <w:b/>
          <w:bCs/>
          <w:sz w:val="28"/>
          <w:szCs w:val="28"/>
          <w:lang w:val="es-ES"/>
        </w:rPr>
      </w:pPr>
      <w:r w:rsidRPr="007D1874">
        <w:rPr>
          <w:b/>
          <w:bCs/>
          <w:sz w:val="28"/>
          <w:szCs w:val="28"/>
          <w:lang w:val="es-ES"/>
        </w:rPr>
        <w:t>El trabajo durante los estudios universitarios</w:t>
      </w:r>
    </w:p>
    <w:p w14:paraId="3B160B52" w14:textId="77777777" w:rsidR="00F1018B" w:rsidRDefault="00F1018B" w:rsidP="00F1018B">
      <w:pPr>
        <w:spacing w:line="360" w:lineRule="auto"/>
        <w:ind w:firstLine="708"/>
        <w:jc w:val="both"/>
      </w:pPr>
      <w:r w:rsidRPr="00CB228E">
        <w:t>Para Weller (2003), el empleo se configura como un elemento crucial en la transición hacia la vida adulta</w:t>
      </w:r>
      <w:r>
        <w:t>, pues</w:t>
      </w:r>
      <w:r w:rsidRPr="00CB228E">
        <w:t xml:space="preserve"> </w:t>
      </w:r>
      <w:r>
        <w:t>l</w:t>
      </w:r>
      <w:r w:rsidRPr="00CB228E">
        <w:t>os ingresos económicos propios constituyen la base para emanciparse de la dependencia parental</w:t>
      </w:r>
      <w:r>
        <w:t xml:space="preserve"> y alcanzar</w:t>
      </w:r>
      <w:r w:rsidRPr="00CB228E">
        <w:t xml:space="preserve"> la supervivencia de manera autónoma. </w:t>
      </w:r>
      <w:r>
        <w:t>Además</w:t>
      </w:r>
      <w:r w:rsidRPr="00CB228E">
        <w:t xml:space="preserve">, el trabajo se posiciona como un eje de integración social, </w:t>
      </w:r>
      <w:r>
        <w:t>ya que brinda</w:t>
      </w:r>
      <w:r w:rsidRPr="00CB228E">
        <w:t xml:space="preserve"> significado a la vida personal</w:t>
      </w:r>
      <w:r>
        <w:t>, sirve</w:t>
      </w:r>
      <w:r w:rsidRPr="00CB228E">
        <w:t xml:space="preserve"> como espacio de participación ciudadana y </w:t>
      </w:r>
      <w:r>
        <w:t>actúa</w:t>
      </w:r>
      <w:r w:rsidRPr="00CB228E">
        <w:t xml:space="preserve"> como motor de progreso material.</w:t>
      </w:r>
    </w:p>
    <w:p w14:paraId="57BD0A0D" w14:textId="77777777" w:rsidR="00F1018B" w:rsidRDefault="00F1018B" w:rsidP="00F1018B">
      <w:pPr>
        <w:spacing w:line="360" w:lineRule="auto"/>
        <w:ind w:firstLine="708"/>
        <w:jc w:val="both"/>
      </w:pPr>
      <w:r w:rsidRPr="00CB228E">
        <w:t>El informe ejecutivo de la Encuesta Nacional de Egresados 2021 (Universidad del Valle de México, 2021) revela datos recabados de 11</w:t>
      </w:r>
      <w:r>
        <w:t> </w:t>
      </w:r>
      <w:r w:rsidRPr="00CB228E">
        <w:t>648 participantes, donde el 23.6</w:t>
      </w:r>
      <w:r>
        <w:t xml:space="preserve"> </w:t>
      </w:r>
      <w:r w:rsidRPr="00CB228E">
        <w:t>% inició su trayectoria laboral antes de ingresar a la educación universitaria (un aumento del 8</w:t>
      </w:r>
      <w:r>
        <w:t> </w:t>
      </w:r>
      <w:r w:rsidRPr="00CB228E">
        <w:t>% con respecto al año anterior), y un 27</w:t>
      </w:r>
      <w:r>
        <w:t> </w:t>
      </w:r>
      <w:r w:rsidRPr="00CB228E">
        <w:t>% consiguió su primer empleo mientras cursaba la universidad.</w:t>
      </w:r>
    </w:p>
    <w:p w14:paraId="0A377695" w14:textId="77777777" w:rsidR="00F1018B" w:rsidRDefault="00F1018B" w:rsidP="00F1018B">
      <w:pPr>
        <w:spacing w:line="360" w:lineRule="auto"/>
        <w:ind w:firstLine="708"/>
        <w:jc w:val="both"/>
      </w:pPr>
      <w:r w:rsidRPr="00CB228E">
        <w:t>Carrillo y Ríos (2013), en su estudio realizado en la Universidad de Guadalajara (campus disciplinarios de la zona metropolitana de Guadalajara), identifican una proporción elevada de estudiantes que simultáneamente se desempeñan en el mercado laboral, llegando al 43</w:t>
      </w:r>
      <w:r>
        <w:t> </w:t>
      </w:r>
      <w:r w:rsidRPr="00CB228E">
        <w:t>% del total de estudiantes, con una carga laboral promedio de 29 horas semanales.</w:t>
      </w:r>
    </w:p>
    <w:p w14:paraId="0CCCEE26" w14:textId="77777777" w:rsidR="00F1018B" w:rsidRDefault="00F1018B" w:rsidP="00F1018B">
      <w:pPr>
        <w:spacing w:line="360" w:lineRule="auto"/>
        <w:ind w:firstLine="708"/>
        <w:jc w:val="both"/>
      </w:pPr>
      <w:r>
        <w:t>Esta necesidad de combinar estudios con trabajo</w:t>
      </w:r>
      <w:r w:rsidRPr="00CB228E">
        <w:t xml:space="preserve">, </w:t>
      </w:r>
      <w:r>
        <w:t xml:space="preserve">según </w:t>
      </w:r>
      <w:r w:rsidRPr="00CB228E">
        <w:t xml:space="preserve">Cruz </w:t>
      </w:r>
      <w:r w:rsidRPr="00CB228E">
        <w:rPr>
          <w:i/>
          <w:iCs/>
        </w:rPr>
        <w:t>et al</w:t>
      </w:r>
      <w:r w:rsidRPr="00CB228E">
        <w:t>. (2017)</w:t>
      </w:r>
      <w:r>
        <w:t xml:space="preserve">, se sustenta en la deficiencia </w:t>
      </w:r>
      <w:r w:rsidRPr="00CB228E">
        <w:t xml:space="preserve">de ingresos familiares. Otros autores, como De Garay (2009) y Guzmán (2004), sugieren que la motivación para combinar estudios y empleo va más allá de la necesidad económica, </w:t>
      </w:r>
      <w:r>
        <w:t>ya que involucra</w:t>
      </w:r>
      <w:r w:rsidRPr="00CB228E">
        <w:t xml:space="preserve"> factores como la búsqueda de independencia familiar o económica, la vida en pareja</w:t>
      </w:r>
      <w:r>
        <w:t>,</w:t>
      </w:r>
      <w:r w:rsidRPr="00CB228E">
        <w:t xml:space="preserve"> la obtención de experiencia profesional, entre otros.</w:t>
      </w:r>
    </w:p>
    <w:p w14:paraId="2CD8EE3D" w14:textId="77777777" w:rsidR="00F1018B" w:rsidRDefault="00F1018B" w:rsidP="00F1018B">
      <w:pPr>
        <w:spacing w:line="360" w:lineRule="auto"/>
        <w:ind w:firstLine="708"/>
        <w:jc w:val="both"/>
      </w:pPr>
      <w:r w:rsidRPr="00CB228E">
        <w:t xml:space="preserve">Pérez y Ramos (2015) </w:t>
      </w:r>
      <w:r>
        <w:t>agregan</w:t>
      </w:r>
      <w:r w:rsidRPr="00CB228E">
        <w:t xml:space="preserve"> que la inserción laboral de los jóvenes, quienes buscan autonomía y realización personal, depende en gran medida de su conducta hacia el mercado laboral, </w:t>
      </w:r>
      <w:r>
        <w:t>lo cual es influenciado</w:t>
      </w:r>
      <w:r w:rsidRPr="00CB228E">
        <w:t xml:space="preserve"> por valores, creencias, motivaciones, preferencias laborales, iniciativa</w:t>
      </w:r>
      <w:r>
        <w:t>,</w:t>
      </w:r>
      <w:r w:rsidRPr="00CB228E">
        <w:t xml:space="preserve"> género, entre otros.</w:t>
      </w:r>
    </w:p>
    <w:p w14:paraId="19386A1D" w14:textId="77777777" w:rsidR="00F1018B" w:rsidRDefault="00F1018B" w:rsidP="00F1018B">
      <w:pPr>
        <w:spacing w:line="360" w:lineRule="auto"/>
        <w:ind w:firstLine="708"/>
        <w:jc w:val="both"/>
      </w:pPr>
      <w:r>
        <w:lastRenderedPageBreak/>
        <w:t>Sobre este fenómeno, l</w:t>
      </w:r>
      <w:r w:rsidRPr="00CB228E">
        <w:t>a Encuesta Nacional de Egresados 2021 (Universidad del Valle de México, 2021) destaca que el 44</w:t>
      </w:r>
      <w:r>
        <w:t xml:space="preserve"> </w:t>
      </w:r>
      <w:r w:rsidRPr="00CB228E">
        <w:t xml:space="preserve">% considera que la principal dificultad para encontrar un trabajo relacionado con su carrera se debe a la falta de experiencia o práctica laboral, </w:t>
      </w:r>
      <w:r>
        <w:t xml:space="preserve">lo que demuestra </w:t>
      </w:r>
      <w:r w:rsidRPr="00CB228E">
        <w:t>la relevancia del trabajo durante los estudios universitarios para facilitar el posicionamiento laboral de los egresados.</w:t>
      </w:r>
    </w:p>
    <w:p w14:paraId="244B86BF" w14:textId="77777777" w:rsidR="00F1018B" w:rsidRDefault="00F1018B" w:rsidP="00F1018B">
      <w:pPr>
        <w:spacing w:line="360" w:lineRule="auto"/>
        <w:ind w:firstLine="708"/>
        <w:jc w:val="both"/>
      </w:pPr>
      <w:r>
        <w:t xml:space="preserve">Por eso, </w:t>
      </w:r>
      <w:r w:rsidRPr="00CB228E">
        <w:t>Carrillo y Ríos (2013) subrayan la importancia de comprender las características de la participación laboral de los estudiantes para establecer directrices en el diseño de políticas públicas en educación superior. Estas acciones podrían incluir el otorgamiento de becas, la flexibilización de horarios de estudio, la cantidad de materias por ciclo escolar y limitaciones institucionales a la extensión de la jornada laboral de los estudiantes, entre otras.</w:t>
      </w:r>
    </w:p>
    <w:p w14:paraId="007D074F" w14:textId="77777777" w:rsidR="00F1018B" w:rsidRPr="00CB228E" w:rsidRDefault="00F1018B" w:rsidP="00F1018B">
      <w:pPr>
        <w:spacing w:line="360" w:lineRule="auto"/>
        <w:ind w:firstLine="708"/>
        <w:jc w:val="both"/>
      </w:pPr>
      <w:r>
        <w:t>Con base en lo anterior, se puede concluir que</w:t>
      </w:r>
      <w:r w:rsidRPr="00CB228E">
        <w:t xml:space="preserve"> </w:t>
      </w:r>
      <w:r>
        <w:t xml:space="preserve">diversas </w:t>
      </w:r>
      <w:r w:rsidRPr="00CB228E">
        <w:t xml:space="preserve">motivaciones impulsan la decisión de combinar trabajo y estudios en estudiantes universitarios. </w:t>
      </w:r>
      <w:r>
        <w:t>En definitiva, a</w:t>
      </w:r>
      <w:r w:rsidRPr="00CB228E">
        <w:t xml:space="preserve"> pesar de representar un desafío en cuanto al ajuste de tiempo entre lo laboral y lo académico </w:t>
      </w:r>
      <w:r>
        <w:t>—</w:t>
      </w:r>
      <w:r w:rsidRPr="00CB228E">
        <w:t>especialmente en el modelo educativo tradicional, que demanda actividades tanto presenciales como en el hogar</w:t>
      </w:r>
      <w:r>
        <w:t>—</w:t>
      </w:r>
      <w:r w:rsidRPr="00CB228E">
        <w:t>, esta combinación puede fortalecer la experiencia laboral, facilitar la inserción laboral al egresar y desarrollar competencias relacionadas con las áreas formativas.</w:t>
      </w:r>
    </w:p>
    <w:p w14:paraId="09DE9476" w14:textId="77777777" w:rsidR="009067CC" w:rsidRPr="00DD322C" w:rsidRDefault="009067CC" w:rsidP="00250B3D">
      <w:pPr>
        <w:spacing w:line="360" w:lineRule="auto"/>
        <w:ind w:firstLine="240"/>
        <w:jc w:val="both"/>
      </w:pPr>
    </w:p>
    <w:p w14:paraId="53C58BC5" w14:textId="0F291DD1" w:rsidR="00C43844" w:rsidRPr="00F1530B" w:rsidRDefault="008D7859" w:rsidP="00F1530B">
      <w:pPr>
        <w:spacing w:line="360" w:lineRule="auto"/>
        <w:jc w:val="center"/>
        <w:rPr>
          <w:b/>
          <w:bCs/>
          <w:sz w:val="28"/>
          <w:szCs w:val="28"/>
          <w:lang w:val="es-ES"/>
        </w:rPr>
      </w:pPr>
      <w:r w:rsidRPr="007D1874">
        <w:rPr>
          <w:b/>
          <w:bCs/>
          <w:sz w:val="28"/>
          <w:szCs w:val="28"/>
          <w:lang w:val="es-ES"/>
        </w:rPr>
        <w:t>Estudios empíricos sobre la relación entre el rendimiento académico y el empleo en estudiantes universitarios</w:t>
      </w:r>
    </w:p>
    <w:p w14:paraId="63C516AC" w14:textId="77777777" w:rsidR="009A1AEA" w:rsidRDefault="009A1AEA" w:rsidP="009A1AEA">
      <w:pPr>
        <w:spacing w:line="360" w:lineRule="auto"/>
        <w:ind w:firstLine="708"/>
        <w:jc w:val="both"/>
      </w:pPr>
      <w:r w:rsidRPr="009D077A">
        <w:t>No existe un consenso respecto a la idoneidad de combinar trabajo y estudios durante la formación universitaria. Desde una perspectiva tradicional, se aboga por la dedicación exclusiva a los estudios para preservar la calidad de la formación académica. Un estudio llevado a cabo en universidades de California respalda esta visión al revelar que estudiantes vietnamitas, coreanos y chinos, influenciados por sus familias, evitan trabajar mientras estudian. Estos estudiantes, al dedicarse exclusivamente a sus estudios, lograron mejores resultados académicos en comparación con sus pares anglosajones, afroamericanos y latinos (</w:t>
      </w:r>
      <w:proofErr w:type="spellStart"/>
      <w:r w:rsidRPr="009D077A">
        <w:t>Enkvist</w:t>
      </w:r>
      <w:proofErr w:type="spellEnd"/>
      <w:r w:rsidRPr="009D077A">
        <w:t>, 2018).</w:t>
      </w:r>
    </w:p>
    <w:p w14:paraId="1B03A97E" w14:textId="77777777" w:rsidR="009A1AEA" w:rsidRDefault="009A1AEA" w:rsidP="009A1AEA">
      <w:pPr>
        <w:spacing w:line="360" w:lineRule="auto"/>
        <w:ind w:firstLine="708"/>
        <w:jc w:val="both"/>
      </w:pPr>
      <w:r w:rsidRPr="009D077A">
        <w:t>Contrariamente, a nivel global, se observa una tendencia creciente a combinar trabajo y estudio, con altas proporciones de estudiantes que trabajan en países como China, Estados Unidos y Australia (Carrillo y Ríos, 2013). En México, también se registra un aumento significativo, y según la Encuesta Nacional de Egresados 2017 (Universidad del Valle de México, 2017), el 48</w:t>
      </w:r>
      <w:r>
        <w:t xml:space="preserve"> </w:t>
      </w:r>
      <w:r w:rsidRPr="009D077A">
        <w:t xml:space="preserve">% de los estudiantes universitarios compagina trabajo y escuela </w:t>
      </w:r>
      <w:r>
        <w:t>(</w:t>
      </w:r>
      <w:r w:rsidRPr="009D077A">
        <w:t>53</w:t>
      </w:r>
      <w:r>
        <w:t> </w:t>
      </w:r>
      <w:r w:rsidRPr="009D077A">
        <w:t xml:space="preserve">% </w:t>
      </w:r>
      <w:r>
        <w:t>en</w:t>
      </w:r>
      <w:r w:rsidRPr="009D077A">
        <w:t xml:space="preserve"> universidades privadas y 42% </w:t>
      </w:r>
      <w:r>
        <w:t>en</w:t>
      </w:r>
      <w:r w:rsidRPr="009D077A">
        <w:t xml:space="preserve"> universidades públicas</w:t>
      </w:r>
      <w:r>
        <w:t>)</w:t>
      </w:r>
      <w:r w:rsidRPr="009D077A">
        <w:t>.</w:t>
      </w:r>
    </w:p>
    <w:p w14:paraId="7689F48D" w14:textId="77777777" w:rsidR="009A1AEA" w:rsidRDefault="009A1AEA" w:rsidP="009A1AEA">
      <w:pPr>
        <w:spacing w:line="360" w:lineRule="auto"/>
        <w:ind w:firstLine="708"/>
        <w:jc w:val="both"/>
      </w:pPr>
      <w:proofErr w:type="spellStart"/>
      <w:r>
        <w:lastRenderedPageBreak/>
        <w:t>Sine</w:t>
      </w:r>
      <w:proofErr w:type="spellEnd"/>
      <w:r>
        <w:t xml:space="preserve"> embargo, e</w:t>
      </w:r>
      <w:r w:rsidRPr="009D077A">
        <w:t xml:space="preserve">n la literatura sobre la combinación de trabajo y estudio, y sus efectos en el rendimiento académico de estudiantes universitarios, se encuentran estudios empíricos que indican impactos negativos en los resultados académicos (Cabrera </w:t>
      </w:r>
      <w:r w:rsidRPr="009D077A">
        <w:rPr>
          <w:i/>
          <w:iCs/>
        </w:rPr>
        <w:t>et al</w:t>
      </w:r>
      <w:r w:rsidRPr="009D077A">
        <w:t>., 2006</w:t>
      </w:r>
      <w:r>
        <w:t xml:space="preserve">; </w:t>
      </w:r>
      <w:r w:rsidRPr="009D077A">
        <w:t xml:space="preserve">Carrillo y Ríos, 2013; Porto y Di </w:t>
      </w:r>
      <w:proofErr w:type="spellStart"/>
      <w:r w:rsidRPr="009D077A">
        <w:t>Gresia</w:t>
      </w:r>
      <w:proofErr w:type="spellEnd"/>
      <w:r w:rsidRPr="009D077A">
        <w:t xml:space="preserve">, 2001). Constante-Amores </w:t>
      </w:r>
      <w:r w:rsidRPr="009D077A">
        <w:rPr>
          <w:i/>
          <w:iCs/>
        </w:rPr>
        <w:t>et al</w:t>
      </w:r>
      <w:r w:rsidRPr="009D077A">
        <w:t xml:space="preserve">. (2021) destacan que </w:t>
      </w:r>
      <w:r>
        <w:t>“</w:t>
      </w:r>
      <w:r w:rsidRPr="009D077A">
        <w:rPr>
          <w:lang w:val="es-ES"/>
        </w:rPr>
        <w:t>el estudiantado que tiene más posibilidades de permanecer en la enseñanza terciaria es el que no tiene un empleo” y los que trabajan “tienen más posibilidades de abandonar los estudios”</w:t>
      </w:r>
      <w:r>
        <w:t xml:space="preserve"> (</w:t>
      </w:r>
      <w:r w:rsidRPr="009D077A">
        <w:t>p.</w:t>
      </w:r>
      <w:r>
        <w:t xml:space="preserve"> </w:t>
      </w:r>
      <w:r w:rsidRPr="009D077A">
        <w:t>22</w:t>
      </w:r>
      <w:r>
        <w:t>).</w:t>
      </w:r>
    </w:p>
    <w:p w14:paraId="2577C4C1" w14:textId="77777777" w:rsidR="009A1AEA" w:rsidRDefault="009A1AEA" w:rsidP="009A1AEA">
      <w:pPr>
        <w:spacing w:line="360" w:lineRule="auto"/>
        <w:ind w:firstLine="708"/>
        <w:jc w:val="both"/>
      </w:pPr>
      <w:r w:rsidRPr="009D077A">
        <w:t xml:space="preserve">Otros estudios señalan que la experiencia temprana en el mercado laboral puede ofrecer vías de aprendizaje complementarias a la educación formal. La integración de conocimientos adquiridos en la escuela con la experiencia laboral puede fortalecer la preparación de los estudiantes (Cuevas y De Ibarrola, 2013). Además, se han documentado sinergias positivas que facilitan la inserción laboral de los egresados después de finalizar sus estudios (Baquero y Ruesga, 2020; </w:t>
      </w:r>
      <w:proofErr w:type="spellStart"/>
      <w:r w:rsidRPr="009D077A">
        <w:t>Baert</w:t>
      </w:r>
      <w:proofErr w:type="spellEnd"/>
      <w:r w:rsidRPr="009D077A">
        <w:t xml:space="preserve"> </w:t>
      </w:r>
      <w:r w:rsidRPr="009D077A">
        <w:rPr>
          <w:i/>
          <w:iCs/>
        </w:rPr>
        <w:t>et al</w:t>
      </w:r>
      <w:r w:rsidRPr="009D077A">
        <w:t xml:space="preserve">., 2017; </w:t>
      </w:r>
      <w:proofErr w:type="spellStart"/>
      <w:r w:rsidRPr="009D077A">
        <w:t>Quintini</w:t>
      </w:r>
      <w:proofErr w:type="spellEnd"/>
      <w:r w:rsidRPr="009D077A">
        <w:t xml:space="preserve">, 2015; </w:t>
      </w:r>
      <w:proofErr w:type="spellStart"/>
      <w:r w:rsidRPr="009D077A">
        <w:t>Neyt</w:t>
      </w:r>
      <w:proofErr w:type="spellEnd"/>
      <w:r w:rsidRPr="009D077A">
        <w:t xml:space="preserve"> </w:t>
      </w:r>
      <w:r w:rsidRPr="009D077A">
        <w:rPr>
          <w:i/>
          <w:iCs/>
        </w:rPr>
        <w:t>et al</w:t>
      </w:r>
      <w:r w:rsidRPr="009D077A">
        <w:t>., 2019).</w:t>
      </w:r>
    </w:p>
    <w:p w14:paraId="7EC3D994" w14:textId="77777777" w:rsidR="009A1AEA" w:rsidRDefault="009A1AEA" w:rsidP="009A1AEA">
      <w:pPr>
        <w:spacing w:line="360" w:lineRule="auto"/>
        <w:ind w:firstLine="708"/>
        <w:jc w:val="both"/>
      </w:pPr>
      <w:r w:rsidRPr="009D077A">
        <w:t xml:space="preserve">Considerando los posibles efectos positivos y negativos de combinar estudio y empleo, es esencial analizar factores específicos que inciden en los resultados de los estudiantes. Ruesga </w:t>
      </w:r>
      <w:r w:rsidRPr="009D077A">
        <w:rPr>
          <w:i/>
          <w:iCs/>
        </w:rPr>
        <w:t>et al</w:t>
      </w:r>
      <w:r w:rsidRPr="009D077A">
        <w:t xml:space="preserve">. (2014) argumentan que trabajar resulta positivo </w:t>
      </w:r>
      <w:r>
        <w:t>“</w:t>
      </w:r>
      <w:r w:rsidRPr="009D077A">
        <w:rPr>
          <w:lang w:val="es-ES"/>
        </w:rPr>
        <w:t>cuando la jornada laboral es inferior a 15 horas/semana y cuando el estudiante tiene experiencia laboral previa a la entrada en la universidad, aunque la jornada laboral sea superior a 15 horas/semana</w:t>
      </w:r>
      <w:r>
        <w:rPr>
          <w:lang w:val="es-ES"/>
        </w:rPr>
        <w:t>” (</w:t>
      </w:r>
      <w:r w:rsidRPr="009D077A">
        <w:t>p.</w:t>
      </w:r>
      <w:r>
        <w:t xml:space="preserve"> </w:t>
      </w:r>
      <w:r w:rsidRPr="009D077A">
        <w:t>70</w:t>
      </w:r>
      <w:r>
        <w:rPr>
          <w:lang w:val="es-ES"/>
        </w:rPr>
        <w:t>).</w:t>
      </w:r>
      <w:r w:rsidRPr="009D077A">
        <w:t xml:space="preserve"> No obstante, trabajar más de 15 horas/semana puede tener efectos negativos. </w:t>
      </w:r>
    </w:p>
    <w:p w14:paraId="3A7F0F2F" w14:textId="77777777" w:rsidR="009A1AEA" w:rsidRDefault="009A1AEA" w:rsidP="009A1AEA">
      <w:pPr>
        <w:spacing w:line="360" w:lineRule="auto"/>
        <w:ind w:firstLine="708"/>
        <w:jc w:val="both"/>
      </w:pPr>
      <w:r w:rsidRPr="009D077A">
        <w:t xml:space="preserve">Otro dato relevante de Ruesga </w:t>
      </w:r>
      <w:r w:rsidRPr="009D077A">
        <w:rPr>
          <w:i/>
          <w:iCs/>
        </w:rPr>
        <w:t>et al</w:t>
      </w:r>
      <w:r w:rsidRPr="009D077A">
        <w:t xml:space="preserve">. (2014) indica que </w:t>
      </w:r>
      <w:r w:rsidRPr="000D702F">
        <w:rPr>
          <w:lang w:val="es-ES"/>
        </w:rPr>
        <w:t>el desempeño académico mejora respecto al número de horas de trabajo hasta un máximo de 11 horas a la semana (es decir, un empleo de tiempo parcial puede ser beneficioso); sin embargo, a partir de este punto, se obtienen rendimientos decrecientes y, después de 22 horas de trabajo a la semana el efecto es negativo.</w:t>
      </w:r>
      <w:r w:rsidRPr="009D077A">
        <w:t xml:space="preserve"> </w:t>
      </w:r>
      <w:r>
        <w:t>Además, l</w:t>
      </w:r>
      <w:r w:rsidRPr="009D077A">
        <w:t>os estudiantes de nuevo ingreso y sin experiencia laboral previa son el grupo con mayor riesgo de obtener resultados académicos bajos.</w:t>
      </w:r>
    </w:p>
    <w:p w14:paraId="377640D6" w14:textId="5782318A" w:rsidR="009A1AEA" w:rsidRDefault="009A1AEA" w:rsidP="009A1AEA">
      <w:pPr>
        <w:spacing w:line="360" w:lineRule="auto"/>
        <w:ind w:firstLine="708"/>
        <w:jc w:val="both"/>
      </w:pPr>
      <w:proofErr w:type="spellStart"/>
      <w:r w:rsidRPr="002A385E">
        <w:t>Gavotto</w:t>
      </w:r>
      <w:proofErr w:type="spellEnd"/>
      <w:r w:rsidR="002A385E" w:rsidRPr="002A385E">
        <w:t>-Nogales</w:t>
      </w:r>
      <w:r w:rsidRPr="002A385E">
        <w:t xml:space="preserve"> y Castellanos</w:t>
      </w:r>
      <w:r w:rsidR="002A385E" w:rsidRPr="002A385E">
        <w:t>-</w:t>
      </w:r>
      <w:proofErr w:type="spellStart"/>
      <w:r w:rsidR="002A385E" w:rsidRPr="002A385E">
        <w:t>Pierra</w:t>
      </w:r>
      <w:proofErr w:type="spellEnd"/>
      <w:r w:rsidRPr="009D077A">
        <w:t xml:space="preserve"> (2015) concluyen que </w:t>
      </w:r>
      <w:r>
        <w:t>“</w:t>
      </w:r>
      <w:r w:rsidRPr="000D702F">
        <w:rPr>
          <w:lang w:val="es-ES"/>
        </w:rPr>
        <w:t>el panorama profesional en México representa un escenario limitado para el estudiantado universitario</w:t>
      </w:r>
      <w:r>
        <w:rPr>
          <w:lang w:val="es-ES"/>
        </w:rPr>
        <w:t>” (</w:t>
      </w:r>
      <w:r w:rsidRPr="009D077A">
        <w:t>p.</w:t>
      </w:r>
      <w:r>
        <w:t xml:space="preserve"> </w:t>
      </w:r>
      <w:r w:rsidRPr="009D077A">
        <w:t>220</w:t>
      </w:r>
      <w:r>
        <w:rPr>
          <w:lang w:val="es-ES"/>
        </w:rPr>
        <w:t>)</w:t>
      </w:r>
      <w:r w:rsidRPr="009D077A">
        <w:t>. El 75</w:t>
      </w:r>
      <w:r>
        <w:t xml:space="preserve"> </w:t>
      </w:r>
      <w:r w:rsidRPr="009D077A">
        <w:t xml:space="preserve">% de las personas desempleadas poseen estudios universitarios, y la mayoría de los profesionales empleados realizan actividades no relacionadas con su formación. </w:t>
      </w:r>
      <w:r>
        <w:t>Es decir, l</w:t>
      </w:r>
      <w:r w:rsidRPr="009D077A">
        <w:t>a inversión en capital humano no se recupera a corto plazo</w:t>
      </w:r>
      <w:r>
        <w:t>, aunque l</w:t>
      </w:r>
      <w:r w:rsidRPr="009D077A">
        <w:t>a mayoría de los universitarios requiere trabajar para financiar sus estudios, pero los salarios ofrecidos a personas sin estudios son insuficientes para continuar estudiando.</w:t>
      </w:r>
    </w:p>
    <w:p w14:paraId="4EA22583" w14:textId="77777777" w:rsidR="009A1AEA" w:rsidRPr="009D077A" w:rsidRDefault="009A1AEA" w:rsidP="009A1AEA">
      <w:pPr>
        <w:spacing w:line="360" w:lineRule="auto"/>
        <w:ind w:firstLine="708"/>
        <w:jc w:val="both"/>
      </w:pPr>
      <w:r w:rsidRPr="009D077A">
        <w:t xml:space="preserve">Ante este panorama, el trabajo durante los estudios universitarios puede presentar ventajas al facilitar el posicionamiento laboral al egresar y al proporcionar experiencia en un área </w:t>
      </w:r>
      <w:r w:rsidRPr="009D077A">
        <w:lastRenderedPageBreak/>
        <w:t>relacionada con la formación profesional. Además, los ingresos obtenidos pueden contribuir al gasto familiar y escolar. Dada esta complejidad, resulta pertinente explorar los determinantes del empleo y el rendimiento académico para obtener una comprensión más completa de las circunstancias que impactan la formación de los estudiantes universitarios.</w:t>
      </w:r>
    </w:p>
    <w:p w14:paraId="77A6DDC5" w14:textId="77777777" w:rsidR="008D7859" w:rsidRPr="00DD322C" w:rsidRDefault="008D7859" w:rsidP="00A214FD">
      <w:pPr>
        <w:spacing w:line="360" w:lineRule="auto"/>
        <w:jc w:val="both"/>
        <w:rPr>
          <w:b/>
          <w:lang w:val="es-ES"/>
        </w:rPr>
      </w:pPr>
    </w:p>
    <w:p w14:paraId="0C9BF255" w14:textId="1B492616" w:rsidR="008D7859" w:rsidRPr="001D36B9" w:rsidRDefault="00800A12" w:rsidP="001D36B9">
      <w:pPr>
        <w:spacing w:line="360" w:lineRule="auto"/>
        <w:jc w:val="center"/>
        <w:rPr>
          <w:b/>
          <w:bCs/>
          <w:sz w:val="32"/>
          <w:szCs w:val="32"/>
          <w:lang w:val="es-ES"/>
        </w:rPr>
      </w:pPr>
      <w:r w:rsidRPr="007D1874">
        <w:rPr>
          <w:b/>
          <w:bCs/>
          <w:sz w:val="32"/>
          <w:szCs w:val="32"/>
          <w:lang w:val="es-ES"/>
        </w:rPr>
        <w:t>M</w:t>
      </w:r>
      <w:r w:rsidR="00D6581D" w:rsidRPr="007D1874">
        <w:rPr>
          <w:b/>
          <w:bCs/>
          <w:sz w:val="32"/>
          <w:szCs w:val="32"/>
          <w:lang w:val="es-ES"/>
        </w:rPr>
        <w:t>ateriales y métodos</w:t>
      </w:r>
    </w:p>
    <w:p w14:paraId="71A5E96D" w14:textId="77777777" w:rsidR="009A1AEA" w:rsidRDefault="009A1AEA" w:rsidP="009A1AEA">
      <w:pPr>
        <w:spacing w:line="360" w:lineRule="auto"/>
        <w:ind w:firstLine="708"/>
        <w:jc w:val="both"/>
      </w:pPr>
      <w:r w:rsidRPr="000D702F">
        <w:t xml:space="preserve">Este </w:t>
      </w:r>
      <w:r>
        <w:t>trabajo</w:t>
      </w:r>
      <w:r w:rsidRPr="000D702F">
        <w:t xml:space="preserve"> </w:t>
      </w:r>
      <w:r>
        <w:t>corresponde a</w:t>
      </w:r>
      <w:r w:rsidRPr="000D702F">
        <w:t xml:space="preserve"> una investigación aplicada con un enfoque cuantitativo, </w:t>
      </w:r>
      <w:r>
        <w:t xml:space="preserve">para lo cual se empleó </w:t>
      </w:r>
      <w:r w:rsidRPr="000D702F">
        <w:t xml:space="preserve">un diseño no experimental de alcance correlacional y </w:t>
      </w:r>
      <w:r>
        <w:t xml:space="preserve">se utilizó </w:t>
      </w:r>
      <w:r w:rsidRPr="000D702F">
        <w:t>un método inductivo en su desarrollo. La población objetivo consistió en los estudiantes del Instituto Tecnológico José Mario Molina Pasquel y Henríquez (</w:t>
      </w:r>
      <w:proofErr w:type="spellStart"/>
      <w:r w:rsidRPr="000D702F">
        <w:t>ITJMMPyH</w:t>
      </w:r>
      <w:proofErr w:type="spellEnd"/>
      <w:r w:rsidRPr="000D702F">
        <w:t>), de los cuales se obtuvo una muestra probabilística y estratificada por carrera y género.</w:t>
      </w:r>
    </w:p>
    <w:p w14:paraId="04F8EC6B" w14:textId="77777777" w:rsidR="009A1AEA" w:rsidRDefault="009A1AEA" w:rsidP="009A1AEA">
      <w:pPr>
        <w:spacing w:line="360" w:lineRule="auto"/>
        <w:ind w:firstLine="708"/>
        <w:jc w:val="both"/>
      </w:pPr>
      <w:r w:rsidRPr="000D702F">
        <w:t xml:space="preserve">Las variables centrales en estudio </w:t>
      </w:r>
      <w:r>
        <w:t>fueron</w:t>
      </w:r>
      <w:r w:rsidRPr="000D702F">
        <w:t xml:space="preserve"> el empleo, considerado como la variable independiente, y el rendimiento académico, identificado como la variable dependiente. La finalidad de esta investigación </w:t>
      </w:r>
      <w:r>
        <w:t>fue</w:t>
      </w:r>
      <w:r w:rsidRPr="000D702F">
        <w:t xml:space="preserve"> evaluar las implicaciones del empleo en el rendimiento académico de los estudiantes</w:t>
      </w:r>
      <w:r>
        <w:t xml:space="preserve"> para establecer </w:t>
      </w:r>
      <w:r w:rsidRPr="000D702F">
        <w:t>relaciones entre estas variables.</w:t>
      </w:r>
    </w:p>
    <w:p w14:paraId="5C92750C" w14:textId="77777777" w:rsidR="009A1AEA" w:rsidRDefault="009A1AEA" w:rsidP="009A1AEA">
      <w:pPr>
        <w:spacing w:line="360" w:lineRule="auto"/>
        <w:ind w:firstLine="708"/>
        <w:jc w:val="both"/>
      </w:pPr>
      <w:r w:rsidRPr="000D702F">
        <w:t>Para la recopilación de datos</w:t>
      </w:r>
      <w:r>
        <w:t xml:space="preserve"> </w:t>
      </w:r>
      <w:r w:rsidRPr="000D702F">
        <w:t xml:space="preserve">se implementó un cuestionario en formato digital a través de un formulario web. Este instrumento incorporó indicadores de rendimiento académico, tales como la reprobación escolar y el promedio obtenido por los alumnos. La información relativa a estas variables se solicitó en el cuestionario y se corroboró con las bases de datos de la institución. Asimismo, la variable </w:t>
      </w:r>
      <w:r w:rsidRPr="000D702F">
        <w:rPr>
          <w:i/>
          <w:iCs/>
        </w:rPr>
        <w:t>empleo</w:t>
      </w:r>
      <w:r w:rsidRPr="000D702F">
        <w:t xml:space="preserve"> abarcó aspectos como la dedicación exclusiva al estudio o la combinación de escuela y trabajo, el tipo de empleo, los horarios asignados y el número de horas laboradas por semana.</w:t>
      </w:r>
    </w:p>
    <w:p w14:paraId="79A145B1" w14:textId="33934A29" w:rsidR="009A1AEA" w:rsidRDefault="009A1AEA" w:rsidP="009A1AEA">
      <w:pPr>
        <w:spacing w:line="360" w:lineRule="auto"/>
        <w:ind w:firstLine="708"/>
        <w:jc w:val="both"/>
      </w:pPr>
      <w:r w:rsidRPr="000D702F">
        <w:t xml:space="preserve">El cuestionario fue diseñado por los autores de la investigación en noviembre de 2021 en la ciudad de Puerto Vallarta, Jalisco, México. Su estructura se fundamentó en una revisión bibliográfica de proyectos similares, </w:t>
      </w:r>
      <w:r>
        <w:t>como</w:t>
      </w:r>
      <w:r w:rsidRPr="000D702F">
        <w:t xml:space="preserve"> Carrillo y Ríos (2013), Planas-Coll y Enciso-Ávila (2013), Ruesga </w:t>
      </w:r>
      <w:r w:rsidRPr="000D702F">
        <w:rPr>
          <w:i/>
          <w:iCs/>
        </w:rPr>
        <w:t>et al</w:t>
      </w:r>
      <w:r w:rsidRPr="000D702F">
        <w:t>. (2014)</w:t>
      </w:r>
      <w:r>
        <w:t xml:space="preserve"> y </w:t>
      </w:r>
      <w:r w:rsidRPr="000D702F">
        <w:t>Encuesta Nacional de Egresados (2017</w:t>
      </w:r>
      <w:r>
        <w:t>,</w:t>
      </w:r>
      <w:r w:rsidRPr="000D702F">
        <w:t xml:space="preserve"> 2021)</w:t>
      </w:r>
      <w:r>
        <w:t xml:space="preserve">. </w:t>
      </w:r>
      <w:r w:rsidRPr="000D702F">
        <w:t>La validación del cuestionario se llevó a cabo mediante la revisión de pares expertos que evaluaron los ítems.</w:t>
      </w:r>
    </w:p>
    <w:p w14:paraId="3AFB8C90" w14:textId="77777777" w:rsidR="009A1AEA" w:rsidRDefault="009A1AEA" w:rsidP="009A1AEA">
      <w:pPr>
        <w:spacing w:line="360" w:lineRule="auto"/>
        <w:ind w:firstLine="708"/>
        <w:jc w:val="both"/>
      </w:pPr>
      <w:r w:rsidRPr="000D702F">
        <w:t xml:space="preserve">Antes de su implementación, se realizó una prueba piloto con 40 estudiantes, quienes proporcionaron comentarios útiles para realizar ajustes en el cuestionario antes de aplicarlo a la muestra seleccionada. </w:t>
      </w:r>
      <w:r>
        <w:t>Específicamente, s</w:t>
      </w:r>
      <w:r w:rsidRPr="000D702F">
        <w:t>e realizaron modificaciones en la redacción de dos preguntas.</w:t>
      </w:r>
    </w:p>
    <w:p w14:paraId="5F4C547D" w14:textId="77777777" w:rsidR="009A1AEA" w:rsidRDefault="009A1AEA" w:rsidP="009A1AEA">
      <w:pPr>
        <w:spacing w:line="360" w:lineRule="auto"/>
        <w:ind w:firstLine="708"/>
        <w:jc w:val="both"/>
      </w:pPr>
      <w:r w:rsidRPr="000D702F">
        <w:t xml:space="preserve">La población de referencia fue conformada por los alumnos inscritos en el semestre febrero-julio de 2022 en las licenciaturas ofrecidas por el </w:t>
      </w:r>
      <w:proofErr w:type="spellStart"/>
      <w:r w:rsidRPr="000D702F">
        <w:t>ITJMMPyH</w:t>
      </w:r>
      <w:proofErr w:type="spellEnd"/>
      <w:r w:rsidRPr="000D702F">
        <w:t xml:space="preserve">. Esta población incluía a 1358 </w:t>
      </w:r>
      <w:r w:rsidRPr="000D702F">
        <w:lastRenderedPageBreak/>
        <w:t>estudiantes, de los cuales 546 eran mujeres y 812 hombres. La muestra para el estudio se determinó con un error máximo del 5</w:t>
      </w:r>
      <w:r>
        <w:t xml:space="preserve"> </w:t>
      </w:r>
      <w:r w:rsidRPr="000D702F">
        <w:t>% y un nivel de confianza del 95</w:t>
      </w:r>
      <w:r>
        <w:t xml:space="preserve"> </w:t>
      </w:r>
      <w:r w:rsidRPr="000D702F">
        <w:t xml:space="preserve">%, </w:t>
      </w:r>
      <w:r>
        <w:t xml:space="preserve">lo que arrojó </w:t>
      </w:r>
      <w:r w:rsidRPr="000D702F">
        <w:t>un tamaño de 300 elementos. Posteriormente, se ajustó por redondeo para garantizar una representación proporcional por género y programa académico, lo que llevó a un tamaño de muestra de 305 elementos, compuesto por 122 mujeres y 183 hombres.</w:t>
      </w:r>
    </w:p>
    <w:p w14:paraId="0E5239FF" w14:textId="77777777" w:rsidR="009A1AEA" w:rsidRPr="000D702F" w:rsidRDefault="009A1AEA" w:rsidP="009A1AEA">
      <w:pPr>
        <w:spacing w:line="360" w:lineRule="auto"/>
        <w:ind w:firstLine="708"/>
        <w:jc w:val="both"/>
      </w:pPr>
      <w:r w:rsidRPr="000D702F">
        <w:t xml:space="preserve">La aplicación del instrumento se llevó a cabo mediante un enlace compartido virtualmente a los alumnos por diversos medios, como correo electrónico y redes sociales, en el periodo del 3 al 26 de marzo de 2022. Los datos recopilados fueron exportados a una hoja de cálculo para su procesamiento, y se crearon tablas y gráficos para el análisis. Para respaldar las conclusiones del estudio, se emplearon diversos estadísticos, como frecuencias, medias, intervalos de confianza de proporciones, pruebas de hipótesis Z y T de </w:t>
      </w:r>
      <w:proofErr w:type="spellStart"/>
      <w:r w:rsidRPr="000D702F">
        <w:t>Student</w:t>
      </w:r>
      <w:proofErr w:type="spellEnd"/>
      <w:r w:rsidRPr="000D702F">
        <w:t xml:space="preserve">, regresión lineal y </w:t>
      </w:r>
      <w:proofErr w:type="spellStart"/>
      <w:r w:rsidRPr="000D702F">
        <w:t>Anova</w:t>
      </w:r>
      <w:proofErr w:type="spellEnd"/>
      <w:r w:rsidRPr="000D702F">
        <w:t xml:space="preserve"> de un factor.</w:t>
      </w:r>
    </w:p>
    <w:p w14:paraId="7EBB4729" w14:textId="77777777" w:rsidR="009A1AEA" w:rsidRPr="00DD322C" w:rsidRDefault="009A1AEA" w:rsidP="00A214FD">
      <w:pPr>
        <w:pStyle w:val="Sinespaciado"/>
        <w:spacing w:line="360" w:lineRule="auto"/>
        <w:jc w:val="both"/>
        <w:rPr>
          <w:rFonts w:ascii="Times New Roman" w:hAnsi="Times New Roman" w:cs="Times New Roman"/>
          <w:lang w:val="es-ES"/>
        </w:rPr>
      </w:pPr>
    </w:p>
    <w:p w14:paraId="55AC540F" w14:textId="20EF589D" w:rsidR="008D7859" w:rsidRPr="00DC0BEB" w:rsidRDefault="008443FE" w:rsidP="001D36B9">
      <w:pPr>
        <w:spacing w:line="360" w:lineRule="auto"/>
        <w:jc w:val="center"/>
        <w:rPr>
          <w:b/>
          <w:bCs/>
          <w:sz w:val="32"/>
          <w:szCs w:val="32"/>
          <w:lang w:val="es-ES"/>
        </w:rPr>
      </w:pPr>
      <w:r w:rsidRPr="00DC0BEB">
        <w:rPr>
          <w:b/>
          <w:bCs/>
          <w:sz w:val="32"/>
          <w:szCs w:val="32"/>
          <w:lang w:val="es-ES"/>
        </w:rPr>
        <w:t>R</w:t>
      </w:r>
      <w:r w:rsidR="00D6581D" w:rsidRPr="00DC0BEB">
        <w:rPr>
          <w:b/>
          <w:bCs/>
          <w:sz w:val="32"/>
          <w:szCs w:val="32"/>
          <w:lang w:val="es-ES"/>
        </w:rPr>
        <w:t>esultados</w:t>
      </w:r>
    </w:p>
    <w:p w14:paraId="6D93B496" w14:textId="454893A0" w:rsidR="009A1AEA" w:rsidRPr="001D36B9" w:rsidRDefault="008D7859" w:rsidP="001D36B9">
      <w:pPr>
        <w:spacing w:line="360" w:lineRule="auto"/>
        <w:jc w:val="center"/>
        <w:rPr>
          <w:b/>
          <w:bCs/>
          <w:sz w:val="28"/>
          <w:szCs w:val="28"/>
          <w:lang w:val="es-ES"/>
        </w:rPr>
      </w:pPr>
      <w:r w:rsidRPr="001D36B9">
        <w:rPr>
          <w:b/>
          <w:bCs/>
          <w:sz w:val="28"/>
          <w:szCs w:val="28"/>
          <w:lang w:val="es-ES"/>
        </w:rPr>
        <w:t>Población que trabaja y estudia</w:t>
      </w:r>
    </w:p>
    <w:p w14:paraId="66F22140" w14:textId="77777777" w:rsidR="006B0AAD" w:rsidRDefault="006B0AAD" w:rsidP="006B0AAD">
      <w:pPr>
        <w:spacing w:line="360" w:lineRule="auto"/>
        <w:ind w:firstLine="708"/>
        <w:jc w:val="both"/>
      </w:pPr>
      <w:r w:rsidRPr="000D702F">
        <w:t xml:space="preserve">El conjunto de participantes en la encuesta que informaron sobre su situación de trabajar y estudiar comprendió a 190 estudiantes, tanto mujeres como hombres, </w:t>
      </w:r>
      <w:r>
        <w:t xml:space="preserve">lo que representó </w:t>
      </w:r>
      <w:r w:rsidRPr="000D702F">
        <w:t>el 62.3</w:t>
      </w:r>
      <w:r>
        <w:t xml:space="preserve"> </w:t>
      </w:r>
      <w:r w:rsidRPr="000D702F">
        <w:t>% de la muestra. Para las mujeres empleadas, la proporción alcanzó el 53.3</w:t>
      </w:r>
      <w:r>
        <w:t> </w:t>
      </w:r>
      <w:r w:rsidRPr="000D702F">
        <w:t>%, mientras que para los hombres fue del 68.3</w:t>
      </w:r>
      <w:r>
        <w:t xml:space="preserve"> </w:t>
      </w:r>
      <w:r w:rsidRPr="000D702F">
        <w:t>%. Con base en estas proporciones, se calcularon intervalos de confianza del 95</w:t>
      </w:r>
      <w:r>
        <w:t xml:space="preserve"> </w:t>
      </w:r>
      <w:r w:rsidRPr="000D702F">
        <w:t>% para las proporciones de estudiantes que trabajan y estudian, tanto en términos globales como desglosados por género. El intervalo global resultó estar entre el 57.5</w:t>
      </w:r>
      <w:r>
        <w:t xml:space="preserve"> </w:t>
      </w:r>
      <w:r w:rsidRPr="000D702F">
        <w:t>% y 67.1</w:t>
      </w:r>
      <w:r>
        <w:t xml:space="preserve"> </w:t>
      </w:r>
      <w:r w:rsidRPr="000D702F">
        <w:t>%. Para las mujeres, el intervalo correspondiente fue de 45.5</w:t>
      </w:r>
      <w:r>
        <w:t> </w:t>
      </w:r>
      <w:r w:rsidRPr="000D702F">
        <w:t>% a 61.1</w:t>
      </w:r>
      <w:r>
        <w:t> </w:t>
      </w:r>
      <w:r w:rsidRPr="000D702F">
        <w:t>%, y para los hombres del 62.4</w:t>
      </w:r>
      <w:r>
        <w:t xml:space="preserve"> </w:t>
      </w:r>
      <w:r w:rsidRPr="000D702F">
        <w:t>% al 74.3</w:t>
      </w:r>
      <w:r>
        <w:t xml:space="preserve"> </w:t>
      </w:r>
      <w:r w:rsidRPr="000D702F">
        <w:t>% (ver figura 1).</w:t>
      </w:r>
    </w:p>
    <w:p w14:paraId="70420D61" w14:textId="77777777" w:rsidR="001D36B9" w:rsidRPr="000D702F" w:rsidRDefault="001D36B9" w:rsidP="006B0AAD">
      <w:pPr>
        <w:spacing w:line="360" w:lineRule="auto"/>
        <w:ind w:firstLine="708"/>
        <w:jc w:val="both"/>
      </w:pPr>
    </w:p>
    <w:p w14:paraId="1F599DC2" w14:textId="1A67A432" w:rsidR="006B0AAD" w:rsidRPr="00DD322C" w:rsidRDefault="006B0AAD" w:rsidP="006B0AAD">
      <w:pPr>
        <w:spacing w:line="360" w:lineRule="auto"/>
        <w:jc w:val="center"/>
        <w:rPr>
          <w:lang w:val="es-ES"/>
        </w:rPr>
      </w:pPr>
      <w:r w:rsidRPr="00DD322C">
        <w:rPr>
          <w:b/>
          <w:lang w:val="es-ES"/>
        </w:rPr>
        <w:t>Figura 1</w:t>
      </w:r>
      <w:r>
        <w:rPr>
          <w:b/>
          <w:lang w:val="es-ES"/>
        </w:rPr>
        <w:t>.</w:t>
      </w:r>
      <w:r w:rsidRPr="00DD322C">
        <w:rPr>
          <w:lang w:val="es-ES"/>
        </w:rPr>
        <w:t xml:space="preserve"> Intervalos de confianza</w:t>
      </w:r>
    </w:p>
    <w:p w14:paraId="3E7E04FF" w14:textId="77777777" w:rsidR="00541A91" w:rsidRPr="00DD322C" w:rsidRDefault="00541A91" w:rsidP="00262F97">
      <w:pPr>
        <w:spacing w:after="128" w:line="360" w:lineRule="auto"/>
        <w:jc w:val="center"/>
      </w:pPr>
      <w:r w:rsidRPr="00DD322C">
        <w:rPr>
          <w:noProof/>
          <w:lang w:val="es-MX" w:eastAsia="es-MX"/>
        </w:rPr>
        <w:drawing>
          <wp:inline distT="0" distB="0" distL="0" distR="0" wp14:anchorId="0E351E9E" wp14:editId="26E449F3">
            <wp:extent cx="3695700" cy="1714500"/>
            <wp:effectExtent l="0" t="0" r="0" b="0"/>
            <wp:docPr id="980962757" name="Imagen 1" descr="Gráfico, Gráfico de barras,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962757" name="Imagen 1" descr="Gráfico, Gráfico de barras, Gráfico de cajas y bigotes&#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5700" cy="1714500"/>
                    </a:xfrm>
                    <a:prstGeom prst="rect">
                      <a:avLst/>
                    </a:prstGeom>
                    <a:noFill/>
                    <a:ln>
                      <a:noFill/>
                    </a:ln>
                  </pic:spPr>
                </pic:pic>
              </a:graphicData>
            </a:graphic>
          </wp:inline>
        </w:drawing>
      </w:r>
    </w:p>
    <w:p w14:paraId="2589BE29" w14:textId="77777777" w:rsidR="00D555C6" w:rsidRPr="00DD322C" w:rsidRDefault="00D555C6" w:rsidP="00262F97">
      <w:pPr>
        <w:spacing w:line="360" w:lineRule="auto"/>
        <w:jc w:val="center"/>
        <w:rPr>
          <w:lang w:val="es-ES"/>
        </w:rPr>
      </w:pPr>
      <w:r w:rsidRPr="00DD322C">
        <w:rPr>
          <w:lang w:val="es-ES"/>
        </w:rPr>
        <w:t>Fuente: Elaboración propia</w:t>
      </w:r>
    </w:p>
    <w:p w14:paraId="3050EE55" w14:textId="77777777" w:rsidR="009067CC" w:rsidRPr="00DD322C" w:rsidRDefault="009067CC" w:rsidP="00A214FD">
      <w:pPr>
        <w:spacing w:line="360" w:lineRule="auto"/>
        <w:jc w:val="both"/>
        <w:rPr>
          <w:bCs/>
          <w:smallCaps/>
        </w:rPr>
      </w:pPr>
    </w:p>
    <w:p w14:paraId="2F09799C" w14:textId="61A7E88D" w:rsidR="006B0AAD" w:rsidRPr="00DC0BEB" w:rsidRDefault="008D7859" w:rsidP="001D36B9">
      <w:pPr>
        <w:spacing w:line="360" w:lineRule="auto"/>
        <w:jc w:val="center"/>
        <w:rPr>
          <w:b/>
          <w:bCs/>
        </w:rPr>
      </w:pPr>
      <w:r w:rsidRPr="00DC0BEB">
        <w:rPr>
          <w:b/>
          <w:bCs/>
        </w:rPr>
        <w:lastRenderedPageBreak/>
        <w:t>Trabajar y estudiar e impacto en el desempeño académico</w:t>
      </w:r>
    </w:p>
    <w:p w14:paraId="7D618C66" w14:textId="77777777" w:rsidR="006B0AAD" w:rsidRDefault="006B0AAD" w:rsidP="006B0AAD">
      <w:pPr>
        <w:spacing w:line="360" w:lineRule="auto"/>
        <w:ind w:firstLine="708"/>
        <w:jc w:val="both"/>
      </w:pPr>
      <w:r w:rsidRPr="000D702F">
        <w:t>Con el objetivo de evaluar el impacto de trabajar y estudiar en el rendimiento académico, se consideró el promedio de calificaciones de los estudiantes inscritos en el departamento de control escolar de la unidad académica. Los promedios se clasificaron en cuatro categorías: muy bajo (menos de 70 puntos), bajo (70-79.9), medio (80-89.9), y alto (90-100 puntos). Se compararon las proporciones de cada categoría entre los estudiantes que trabajan y estudian y aquellos que únicamente estudian. Los resultados para las proporciones de cada categoría en ambos grupos se presentan en la figura 2.</w:t>
      </w:r>
    </w:p>
    <w:p w14:paraId="1904FE97" w14:textId="77777777" w:rsidR="006B0AAD" w:rsidRDefault="006B0AAD" w:rsidP="006B0AAD">
      <w:pPr>
        <w:spacing w:line="360" w:lineRule="auto"/>
        <w:jc w:val="center"/>
        <w:rPr>
          <w:b/>
          <w:lang w:val="es-ES"/>
        </w:rPr>
      </w:pPr>
    </w:p>
    <w:p w14:paraId="2A34B9BA" w14:textId="43C5DEE6" w:rsidR="006B0AAD" w:rsidRPr="00DD322C" w:rsidRDefault="006B0AAD" w:rsidP="006B0AAD">
      <w:pPr>
        <w:spacing w:line="360" w:lineRule="auto"/>
        <w:jc w:val="center"/>
        <w:rPr>
          <w:lang w:val="es-ES"/>
        </w:rPr>
      </w:pPr>
      <w:r w:rsidRPr="00DD322C">
        <w:rPr>
          <w:b/>
          <w:lang w:val="es-ES"/>
        </w:rPr>
        <w:t>Figura 2:</w:t>
      </w:r>
      <w:r w:rsidRPr="00DD322C">
        <w:rPr>
          <w:lang w:val="es-ES"/>
        </w:rPr>
        <w:t xml:space="preserve"> Promedios obtenidos por los grupos</w:t>
      </w:r>
    </w:p>
    <w:p w14:paraId="030544EE" w14:textId="6D64AF13" w:rsidR="00541A91" w:rsidRPr="00DD322C" w:rsidRDefault="007B39C3" w:rsidP="00541A91">
      <w:pPr>
        <w:spacing w:line="360" w:lineRule="auto"/>
        <w:jc w:val="center"/>
        <w:rPr>
          <w:lang w:val="es-ES"/>
        </w:rPr>
      </w:pPr>
      <w:r>
        <w:rPr>
          <w:noProof/>
        </w:rPr>
        <w:drawing>
          <wp:inline distT="0" distB="0" distL="0" distR="0" wp14:anchorId="4A9D6E0D" wp14:editId="6B9F5057">
            <wp:extent cx="3971925" cy="2385799"/>
            <wp:effectExtent l="19050" t="19050" r="9525" b="14605"/>
            <wp:docPr id="823670529" name="Imagen 1" descr="Gráfico,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70529" name="Imagen 1" descr="Gráfico, Gráfico en cascada&#10;&#10;Descripción generada automáticamente"/>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80384" cy="2390880"/>
                    </a:xfrm>
                    <a:prstGeom prst="rect">
                      <a:avLst/>
                    </a:prstGeom>
                    <a:noFill/>
                    <a:ln>
                      <a:solidFill>
                        <a:schemeClr val="tx1"/>
                      </a:solidFill>
                    </a:ln>
                  </pic:spPr>
                </pic:pic>
              </a:graphicData>
            </a:graphic>
          </wp:inline>
        </w:drawing>
      </w:r>
    </w:p>
    <w:p w14:paraId="2F3B78D9" w14:textId="01915114" w:rsidR="009067CC" w:rsidRPr="00DD322C" w:rsidRDefault="00D555C6" w:rsidP="001D36B9">
      <w:pPr>
        <w:spacing w:line="360" w:lineRule="auto"/>
        <w:jc w:val="center"/>
        <w:rPr>
          <w:lang w:val="es-ES"/>
        </w:rPr>
      </w:pPr>
      <w:r w:rsidRPr="00DD322C">
        <w:rPr>
          <w:lang w:val="es-ES"/>
        </w:rPr>
        <w:t>Fuente: Elaboración propia</w:t>
      </w:r>
    </w:p>
    <w:p w14:paraId="156A0C1E" w14:textId="3EE0164D" w:rsidR="006B0AAD" w:rsidRPr="001D36B9" w:rsidRDefault="006B0AAD" w:rsidP="001D36B9">
      <w:pPr>
        <w:spacing w:line="360" w:lineRule="auto"/>
        <w:ind w:firstLine="708"/>
        <w:jc w:val="both"/>
      </w:pPr>
      <w:r w:rsidRPr="000D702F">
        <w:t>Con base en estos hallazgos, se llevaron a cabo pruebas de hipótesis utilizando el estadístico Z para determinar si las diferencias entre las proporciones correspondientes a las categorías de promedio bajo, medio y alto en ambos grupos de estudiantes eran estadísticamente significativas, con un nivel de significancia del 5</w:t>
      </w:r>
      <w:r>
        <w:t xml:space="preserve"> </w:t>
      </w:r>
      <w:r w:rsidRPr="000D702F">
        <w:t>%. No se consideró el grupo de menos de 70, ya que no se identificó una diferencia significativa entre los grupos. El cálculo se realizó con:</w:t>
      </w:r>
    </w:p>
    <w:p w14:paraId="3B4F3CA0" w14:textId="77777777" w:rsidR="0003392B" w:rsidRPr="00DD322C" w:rsidRDefault="0003392B" w:rsidP="0003392B">
      <w:pPr>
        <w:rPr>
          <w:rFonts w:eastAsia="Calibri"/>
          <w:iCs/>
        </w:rPr>
      </w:pPr>
      <m:oMathPara>
        <m:oMath>
          <m:r>
            <m:rPr>
              <m:sty m:val="p"/>
            </m:rPr>
            <w:rPr>
              <w:rFonts w:ascii="Cambria Math" w:eastAsia="Calibri" w:hAnsi="Cambria Math"/>
            </w:rPr>
            <m:t>Z=</m:t>
          </m:r>
          <m:f>
            <m:fPr>
              <m:ctrlPr>
                <w:rPr>
                  <w:rFonts w:ascii="Cambria Math" w:eastAsia="Calibri" w:hAnsi="Cambria Math"/>
                  <w:iCs/>
                </w:rPr>
              </m:ctrlPr>
            </m:fPr>
            <m:num>
              <m:d>
                <m:dPr>
                  <m:ctrlPr>
                    <w:rPr>
                      <w:rFonts w:ascii="Cambria Math" w:eastAsia="Calibri" w:hAnsi="Cambria Math"/>
                      <w:iCs/>
                    </w:rPr>
                  </m:ctrlPr>
                </m:dPr>
                <m:e>
                  <m:sSub>
                    <m:sSubPr>
                      <m:ctrlPr>
                        <w:rPr>
                          <w:rFonts w:ascii="Cambria Math" w:eastAsia="Calibri" w:hAnsi="Cambria Math"/>
                          <w:iCs/>
                        </w:rPr>
                      </m:ctrlPr>
                    </m:sSubPr>
                    <m:e>
                      <m:bar>
                        <m:barPr>
                          <m:pos m:val="top"/>
                          <m:ctrlPr>
                            <w:rPr>
                              <w:rFonts w:ascii="Cambria Math" w:eastAsia="Calibri" w:hAnsi="Cambria Math"/>
                              <w:iCs/>
                            </w:rPr>
                          </m:ctrlPr>
                        </m:barPr>
                        <m:e>
                          <m:r>
                            <m:rPr>
                              <m:sty m:val="p"/>
                            </m:rPr>
                            <w:rPr>
                              <w:rFonts w:ascii="Cambria Math" w:eastAsia="Calibri" w:hAnsi="Cambria Math"/>
                            </w:rPr>
                            <m:t>p</m:t>
                          </m:r>
                        </m:e>
                      </m:bar>
                    </m:e>
                    <m:sub>
                      <m:r>
                        <m:rPr>
                          <m:sty m:val="p"/>
                        </m:rPr>
                        <w:rPr>
                          <w:rFonts w:ascii="Cambria Math" w:eastAsia="Calibri" w:hAnsi="Cambria Math"/>
                        </w:rPr>
                        <m:t>te</m:t>
                      </m:r>
                    </m:sub>
                  </m:sSub>
                  <m:r>
                    <m:rPr>
                      <m:sty m:val="p"/>
                    </m:rPr>
                    <w:rPr>
                      <w:rFonts w:ascii="Cambria Math" w:eastAsia="Calibri" w:hAnsi="Cambria Math"/>
                    </w:rPr>
                    <m:t>-</m:t>
                  </m:r>
                  <m:sSub>
                    <m:sSubPr>
                      <m:ctrlPr>
                        <w:rPr>
                          <w:rFonts w:ascii="Cambria Math" w:eastAsia="Calibri" w:hAnsi="Cambria Math"/>
                          <w:iCs/>
                        </w:rPr>
                      </m:ctrlPr>
                    </m:sSubPr>
                    <m:e>
                      <m:bar>
                        <m:barPr>
                          <m:pos m:val="top"/>
                          <m:ctrlPr>
                            <w:rPr>
                              <w:rFonts w:ascii="Cambria Math" w:eastAsia="Calibri" w:hAnsi="Cambria Math"/>
                              <w:iCs/>
                            </w:rPr>
                          </m:ctrlPr>
                        </m:barPr>
                        <m:e>
                          <m:r>
                            <m:rPr>
                              <m:sty m:val="p"/>
                            </m:rPr>
                            <w:rPr>
                              <w:rFonts w:ascii="Cambria Math" w:eastAsia="Calibri" w:hAnsi="Cambria Math"/>
                            </w:rPr>
                            <m:t>p</m:t>
                          </m:r>
                        </m:e>
                      </m:bar>
                    </m:e>
                    <m:sub>
                      <m:r>
                        <m:rPr>
                          <m:sty m:val="p"/>
                        </m:rPr>
                        <w:rPr>
                          <w:rFonts w:ascii="Cambria Math" w:eastAsia="Calibri" w:hAnsi="Cambria Math"/>
                        </w:rPr>
                        <m:t>e</m:t>
                      </m:r>
                    </m:sub>
                  </m:sSub>
                </m:e>
              </m:d>
              <m:r>
                <m:rPr>
                  <m:sty m:val="p"/>
                </m:rPr>
                <w:rPr>
                  <w:rFonts w:ascii="Cambria Math" w:eastAsia="Calibri" w:hAnsi="Cambria Math"/>
                </w:rPr>
                <m:t>-</m:t>
              </m:r>
              <m:d>
                <m:dPr>
                  <m:ctrlPr>
                    <w:rPr>
                      <w:rFonts w:ascii="Cambria Math" w:eastAsia="Calibri" w:hAnsi="Cambria Math"/>
                      <w:iCs/>
                    </w:rPr>
                  </m:ctrlPr>
                </m:dPr>
                <m:e>
                  <m:sSub>
                    <m:sSubPr>
                      <m:ctrlPr>
                        <w:rPr>
                          <w:rFonts w:ascii="Cambria Math" w:eastAsia="Calibri" w:hAnsi="Cambria Math"/>
                          <w:iCs/>
                        </w:rPr>
                      </m:ctrlPr>
                    </m:sSubPr>
                    <m:e>
                      <m:r>
                        <m:rPr>
                          <m:sty m:val="p"/>
                        </m:rPr>
                        <w:rPr>
                          <w:rFonts w:ascii="Cambria Math" w:eastAsia="Calibri" w:hAnsi="Cambria Math"/>
                        </w:rPr>
                        <m:t>p</m:t>
                      </m:r>
                    </m:e>
                    <m:sub>
                      <m:r>
                        <m:rPr>
                          <m:sty m:val="p"/>
                        </m:rPr>
                        <w:rPr>
                          <w:rFonts w:ascii="Cambria Math" w:eastAsia="Calibri" w:hAnsi="Cambria Math"/>
                        </w:rPr>
                        <m:t>te</m:t>
                      </m:r>
                    </m:sub>
                  </m:sSub>
                  <m:r>
                    <m:rPr>
                      <m:sty m:val="p"/>
                    </m:rPr>
                    <w:rPr>
                      <w:rFonts w:ascii="Cambria Math" w:eastAsia="Calibri" w:hAnsi="Cambria Math"/>
                    </w:rPr>
                    <m:t>-</m:t>
                  </m:r>
                  <m:sSub>
                    <m:sSubPr>
                      <m:ctrlPr>
                        <w:rPr>
                          <w:rFonts w:ascii="Cambria Math" w:eastAsia="Calibri" w:hAnsi="Cambria Math"/>
                          <w:iCs/>
                        </w:rPr>
                      </m:ctrlPr>
                    </m:sSubPr>
                    <m:e>
                      <m:r>
                        <m:rPr>
                          <m:sty m:val="p"/>
                        </m:rPr>
                        <w:rPr>
                          <w:rFonts w:ascii="Cambria Math" w:eastAsia="Calibri" w:hAnsi="Cambria Math"/>
                        </w:rPr>
                        <m:t>p</m:t>
                      </m:r>
                    </m:e>
                    <m:sub>
                      <m:r>
                        <m:rPr>
                          <m:sty m:val="p"/>
                        </m:rPr>
                        <w:rPr>
                          <w:rFonts w:ascii="Cambria Math" w:eastAsia="Calibri" w:hAnsi="Cambria Math"/>
                        </w:rPr>
                        <m:t>e</m:t>
                      </m:r>
                    </m:sub>
                  </m:sSub>
                </m:e>
              </m:d>
            </m:num>
            <m:den>
              <m:rad>
                <m:radPr>
                  <m:degHide m:val="1"/>
                  <m:ctrlPr>
                    <w:rPr>
                      <w:rFonts w:ascii="Cambria Math" w:eastAsia="Calibri" w:hAnsi="Cambria Math"/>
                      <w:iCs/>
                    </w:rPr>
                  </m:ctrlPr>
                </m:radPr>
                <m:deg/>
                <m:e>
                  <m:acc>
                    <m:accPr>
                      <m:ctrlPr>
                        <w:rPr>
                          <w:rFonts w:ascii="Cambria Math" w:eastAsia="Calibri" w:hAnsi="Cambria Math"/>
                          <w:iCs/>
                        </w:rPr>
                      </m:ctrlPr>
                    </m:accPr>
                    <m:e>
                      <m:r>
                        <m:rPr>
                          <m:sty m:val="p"/>
                        </m:rPr>
                        <w:rPr>
                          <w:rFonts w:ascii="Cambria Math" w:eastAsia="Calibri" w:hAnsi="Cambria Math"/>
                        </w:rPr>
                        <m:t>p</m:t>
                      </m:r>
                    </m:e>
                  </m:acc>
                  <m:d>
                    <m:dPr>
                      <m:ctrlPr>
                        <w:rPr>
                          <w:rFonts w:ascii="Cambria Math" w:eastAsia="Calibri" w:hAnsi="Cambria Math"/>
                          <w:iCs/>
                        </w:rPr>
                      </m:ctrlPr>
                    </m:dPr>
                    <m:e>
                      <m:r>
                        <m:rPr>
                          <m:sty m:val="p"/>
                        </m:rPr>
                        <w:rPr>
                          <w:rFonts w:ascii="Cambria Math" w:eastAsia="Calibri" w:hAnsi="Cambria Math"/>
                        </w:rPr>
                        <m:t>1-</m:t>
                      </m:r>
                      <m:acc>
                        <m:accPr>
                          <m:ctrlPr>
                            <w:rPr>
                              <w:rFonts w:ascii="Cambria Math" w:eastAsia="Calibri" w:hAnsi="Cambria Math"/>
                              <w:iCs/>
                            </w:rPr>
                          </m:ctrlPr>
                        </m:accPr>
                        <m:e>
                          <m:r>
                            <m:rPr>
                              <m:sty m:val="p"/>
                            </m:rPr>
                            <w:rPr>
                              <w:rFonts w:ascii="Cambria Math" w:eastAsia="Calibri" w:hAnsi="Cambria Math"/>
                            </w:rPr>
                            <m:t>p</m:t>
                          </m:r>
                        </m:e>
                      </m:acc>
                    </m:e>
                  </m:d>
                  <m:d>
                    <m:dPr>
                      <m:ctrlPr>
                        <w:rPr>
                          <w:rFonts w:ascii="Cambria Math" w:eastAsia="Calibri" w:hAnsi="Cambria Math"/>
                          <w:iCs/>
                        </w:rPr>
                      </m:ctrlPr>
                    </m:dPr>
                    <m:e>
                      <m:f>
                        <m:fPr>
                          <m:ctrlPr>
                            <w:rPr>
                              <w:rFonts w:ascii="Cambria Math" w:eastAsia="Calibri" w:hAnsi="Cambria Math"/>
                              <w:iCs/>
                            </w:rPr>
                          </m:ctrlPr>
                        </m:fPr>
                        <m:num>
                          <m:r>
                            <m:rPr>
                              <m:sty m:val="p"/>
                            </m:rPr>
                            <w:rPr>
                              <w:rFonts w:ascii="Cambria Math" w:eastAsia="Calibri" w:hAnsi="Cambria Math"/>
                            </w:rPr>
                            <m:t>1</m:t>
                          </m:r>
                        </m:num>
                        <m:den>
                          <m:sSub>
                            <m:sSubPr>
                              <m:ctrlPr>
                                <w:rPr>
                                  <w:rFonts w:ascii="Cambria Math" w:eastAsia="Calibri" w:hAnsi="Cambria Math"/>
                                  <w:iCs/>
                                </w:rPr>
                              </m:ctrlPr>
                            </m:sSubPr>
                            <m:e>
                              <m:r>
                                <m:rPr>
                                  <m:sty m:val="p"/>
                                </m:rPr>
                                <w:rPr>
                                  <w:rFonts w:ascii="Cambria Math" w:eastAsia="Calibri" w:hAnsi="Cambria Math"/>
                                </w:rPr>
                                <m:t>n</m:t>
                              </m:r>
                            </m:e>
                            <m:sub>
                              <m:r>
                                <m:rPr>
                                  <m:sty m:val="p"/>
                                </m:rPr>
                                <w:rPr>
                                  <w:rFonts w:ascii="Cambria Math" w:eastAsia="Calibri" w:hAnsi="Cambria Math"/>
                                </w:rPr>
                                <m:t>te</m:t>
                              </m:r>
                            </m:sub>
                          </m:sSub>
                        </m:den>
                      </m:f>
                      <m:r>
                        <m:rPr>
                          <m:sty m:val="p"/>
                        </m:rPr>
                        <w:rPr>
                          <w:rFonts w:ascii="Cambria Math" w:eastAsia="Calibri" w:hAnsi="Cambria Math"/>
                        </w:rPr>
                        <m:t>+</m:t>
                      </m:r>
                      <m:f>
                        <m:fPr>
                          <m:ctrlPr>
                            <w:rPr>
                              <w:rFonts w:ascii="Cambria Math" w:eastAsia="Calibri" w:hAnsi="Cambria Math"/>
                              <w:iCs/>
                            </w:rPr>
                          </m:ctrlPr>
                        </m:fPr>
                        <m:num>
                          <m:r>
                            <m:rPr>
                              <m:sty m:val="p"/>
                            </m:rPr>
                            <w:rPr>
                              <w:rFonts w:ascii="Cambria Math" w:eastAsia="Calibri" w:hAnsi="Cambria Math"/>
                            </w:rPr>
                            <m:t>1</m:t>
                          </m:r>
                        </m:num>
                        <m:den>
                          <m:sSub>
                            <m:sSubPr>
                              <m:ctrlPr>
                                <w:rPr>
                                  <w:rFonts w:ascii="Cambria Math" w:eastAsia="Calibri" w:hAnsi="Cambria Math"/>
                                  <w:iCs/>
                                </w:rPr>
                              </m:ctrlPr>
                            </m:sSubPr>
                            <m:e>
                              <m:r>
                                <m:rPr>
                                  <m:sty m:val="p"/>
                                </m:rPr>
                                <w:rPr>
                                  <w:rFonts w:ascii="Cambria Math" w:eastAsia="Calibri" w:hAnsi="Cambria Math"/>
                                </w:rPr>
                                <m:t>n</m:t>
                              </m:r>
                            </m:e>
                            <m:sub>
                              <m:r>
                                <m:rPr>
                                  <m:sty m:val="p"/>
                                </m:rPr>
                                <w:rPr>
                                  <w:rFonts w:ascii="Cambria Math" w:eastAsia="Calibri" w:hAnsi="Cambria Math"/>
                                </w:rPr>
                                <m:t>e</m:t>
                              </m:r>
                            </m:sub>
                          </m:sSub>
                        </m:den>
                      </m:f>
                    </m:e>
                  </m:d>
                </m:e>
              </m:rad>
            </m:den>
          </m:f>
        </m:oMath>
      </m:oMathPara>
    </w:p>
    <w:p w14:paraId="69D58763" w14:textId="3EBBBC69" w:rsidR="0054164A" w:rsidRPr="00DD322C" w:rsidRDefault="0054164A" w:rsidP="0054164A">
      <w:pPr>
        <w:jc w:val="both"/>
      </w:pPr>
      <w:r w:rsidRPr="00DD322C">
        <w:t>Donde</w:t>
      </w:r>
    </w:p>
    <w:p w14:paraId="3FB7C2D2" w14:textId="77777777" w:rsidR="000133F0" w:rsidRPr="00DD322C" w:rsidRDefault="000133F0" w:rsidP="0054164A">
      <w:pPr>
        <w:jc w:val="both"/>
      </w:pPr>
    </w:p>
    <w:p w14:paraId="07B9D4AC" w14:textId="77777777" w:rsidR="0054164A" w:rsidRPr="00DD322C" w:rsidRDefault="00000000" w:rsidP="001D36B9">
      <w:pPr>
        <w:spacing w:line="360" w:lineRule="auto"/>
        <w:jc w:val="both"/>
        <w:rPr>
          <w:rFonts w:eastAsiaTheme="minorEastAsia"/>
        </w:rPr>
      </w:pPr>
      <m:oMath>
        <m:sSub>
          <m:sSubPr>
            <m:ctrlPr>
              <w:rPr>
                <w:rFonts w:ascii="Cambria Math" w:hAnsi="Cambria Math"/>
                <w:iCs/>
              </w:rPr>
            </m:ctrlPr>
          </m:sSubPr>
          <m:e>
            <m:bar>
              <m:barPr>
                <m:pos m:val="top"/>
                <m:ctrlPr>
                  <w:rPr>
                    <w:rFonts w:ascii="Cambria Math" w:hAnsi="Cambria Math"/>
                    <w:iCs/>
                  </w:rPr>
                </m:ctrlPr>
              </m:barPr>
              <m:e>
                <m:r>
                  <m:rPr>
                    <m:sty m:val="p"/>
                  </m:rPr>
                  <w:rPr>
                    <w:rFonts w:ascii="Cambria Math" w:hAnsi="Cambria Math"/>
                  </w:rPr>
                  <m:t>p</m:t>
                </m:r>
              </m:e>
            </m:bar>
          </m:e>
          <m:sub>
            <m:r>
              <m:rPr>
                <m:sty m:val="p"/>
              </m:rPr>
              <w:rPr>
                <w:rFonts w:ascii="Cambria Math" w:hAnsi="Cambria Math"/>
              </w:rPr>
              <m:t>te</m:t>
            </m:r>
          </m:sub>
        </m:sSub>
        <m:r>
          <w:rPr>
            <w:rFonts w:ascii="Cambria Math" w:hAnsi="Cambria Math"/>
          </w:rPr>
          <m:t>:</m:t>
        </m:r>
      </m:oMath>
      <w:r w:rsidR="0054164A" w:rsidRPr="00DD322C">
        <w:rPr>
          <w:rFonts w:eastAsiaTheme="minorEastAsia"/>
        </w:rPr>
        <w:t xml:space="preserve"> Proporción muestral de estudiantes que trabajan y estudian</w:t>
      </w:r>
      <w:r w:rsidR="000133F0" w:rsidRPr="00DD322C">
        <w:rPr>
          <w:rFonts w:eastAsiaTheme="minorEastAsia"/>
        </w:rPr>
        <w:t>.</w:t>
      </w:r>
    </w:p>
    <w:p w14:paraId="7F2090EA" w14:textId="512A7AA0" w:rsidR="0054164A" w:rsidRPr="00DD322C" w:rsidRDefault="00000000" w:rsidP="001D36B9">
      <w:pPr>
        <w:spacing w:line="360" w:lineRule="auto"/>
        <w:jc w:val="both"/>
        <w:rPr>
          <w:rFonts w:eastAsiaTheme="minorEastAsia"/>
        </w:rPr>
      </w:pPr>
      <m:oMath>
        <m:sSub>
          <m:sSubPr>
            <m:ctrlPr>
              <w:rPr>
                <w:rFonts w:ascii="Cambria Math" w:hAnsi="Cambria Math"/>
                <w:iCs/>
              </w:rPr>
            </m:ctrlPr>
          </m:sSubPr>
          <m:e>
            <m:bar>
              <m:barPr>
                <m:pos m:val="top"/>
                <m:ctrlPr>
                  <w:rPr>
                    <w:rFonts w:ascii="Cambria Math" w:hAnsi="Cambria Math"/>
                    <w:iCs/>
                  </w:rPr>
                </m:ctrlPr>
              </m:barPr>
              <m:e>
                <m:r>
                  <m:rPr>
                    <m:sty m:val="p"/>
                  </m:rPr>
                  <w:rPr>
                    <w:rFonts w:ascii="Cambria Math" w:hAnsi="Cambria Math"/>
                  </w:rPr>
                  <m:t>p</m:t>
                </m:r>
              </m:e>
            </m:bar>
          </m:e>
          <m:sub>
            <m:r>
              <m:rPr>
                <m:sty m:val="p"/>
              </m:rPr>
              <w:rPr>
                <w:rFonts w:ascii="Cambria Math" w:hAnsi="Cambria Math"/>
              </w:rPr>
              <m:t>e</m:t>
            </m:r>
          </m:sub>
        </m:sSub>
        <m:r>
          <w:rPr>
            <w:rFonts w:ascii="Cambria Math" w:hAnsi="Cambria Math"/>
          </w:rPr>
          <m:t>:</m:t>
        </m:r>
      </m:oMath>
      <w:r w:rsidR="0054164A" w:rsidRPr="00DD322C">
        <w:rPr>
          <w:rFonts w:eastAsiaTheme="minorEastAsia"/>
        </w:rPr>
        <w:t xml:space="preserve"> Proporción muestral de estudiantes que s</w:t>
      </w:r>
      <w:r w:rsidR="006B0AAD">
        <w:rPr>
          <w:rFonts w:eastAsiaTheme="minorEastAsia"/>
        </w:rPr>
        <w:t>o</w:t>
      </w:r>
      <w:r w:rsidR="0054164A" w:rsidRPr="00DD322C">
        <w:rPr>
          <w:rFonts w:eastAsiaTheme="minorEastAsia"/>
        </w:rPr>
        <w:t>lo estudian.</w:t>
      </w:r>
    </w:p>
    <w:p w14:paraId="1F645752" w14:textId="77777777" w:rsidR="0054164A" w:rsidRPr="00DD322C" w:rsidRDefault="00000000" w:rsidP="001D36B9">
      <w:pPr>
        <w:spacing w:line="360" w:lineRule="auto"/>
        <w:jc w:val="both"/>
        <w:rPr>
          <w:rFonts w:eastAsiaTheme="minorEastAsia"/>
        </w:rPr>
      </w:pP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te</m:t>
            </m:r>
          </m:sub>
        </m:sSub>
        <m:r>
          <m:rPr>
            <m:sty m:val="p"/>
          </m:rPr>
          <w:rPr>
            <w:rFonts w:ascii="Cambria Math" w:hAnsi="Cambria Math"/>
          </w:rPr>
          <m:t>:</m:t>
        </m:r>
      </m:oMath>
      <w:r w:rsidR="0054164A" w:rsidRPr="00DD322C">
        <w:rPr>
          <w:rFonts w:eastAsiaTheme="minorEastAsia"/>
        </w:rPr>
        <w:t xml:space="preserve"> Tamaño de la muestra de estudiantes que trabajan y estudian.</w:t>
      </w:r>
    </w:p>
    <w:p w14:paraId="6776B76F" w14:textId="0B252859" w:rsidR="0054164A" w:rsidRPr="00DD322C" w:rsidRDefault="00000000" w:rsidP="001D36B9">
      <w:pPr>
        <w:spacing w:line="360" w:lineRule="auto"/>
        <w:jc w:val="both"/>
        <w:rPr>
          <w:rFonts w:eastAsiaTheme="minorEastAsia"/>
        </w:rPr>
      </w:pP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e</m:t>
            </m:r>
          </m:sub>
        </m:sSub>
        <m:r>
          <w:rPr>
            <w:rFonts w:ascii="Cambria Math" w:hAnsi="Cambria Math"/>
          </w:rPr>
          <m:t>:</m:t>
        </m:r>
      </m:oMath>
      <w:r w:rsidR="0054164A" w:rsidRPr="00DD322C">
        <w:rPr>
          <w:rFonts w:eastAsiaTheme="minorEastAsia"/>
        </w:rPr>
        <w:t xml:space="preserve"> Tamaño de la muestra de estudiantes que s</w:t>
      </w:r>
      <w:r w:rsidR="006B0AAD">
        <w:rPr>
          <w:rFonts w:eastAsiaTheme="minorEastAsia"/>
        </w:rPr>
        <w:t>o</w:t>
      </w:r>
      <w:r w:rsidR="0054164A" w:rsidRPr="00DD322C">
        <w:rPr>
          <w:rFonts w:eastAsiaTheme="minorEastAsia"/>
        </w:rPr>
        <w:t>lo estudian.</w:t>
      </w:r>
    </w:p>
    <w:p w14:paraId="50680493" w14:textId="77777777" w:rsidR="00E57602" w:rsidRPr="00DD322C" w:rsidRDefault="00000000" w:rsidP="001D36B9">
      <w:pPr>
        <w:spacing w:line="360" w:lineRule="auto"/>
        <w:jc w:val="both"/>
        <w:rPr>
          <w:rFonts w:eastAsiaTheme="minorEastAsia"/>
        </w:rPr>
      </w:pPr>
      <m:oMath>
        <m:acc>
          <m:accPr>
            <m:ctrlPr>
              <w:rPr>
                <w:rFonts w:ascii="Cambria Math" w:eastAsia="Calibri" w:hAnsi="Cambria Math"/>
              </w:rPr>
            </m:ctrlPr>
          </m:accPr>
          <m:e>
            <m:r>
              <m:rPr>
                <m:sty m:val="p"/>
              </m:rPr>
              <w:rPr>
                <w:rFonts w:ascii="Cambria Math" w:eastAsia="Calibri" w:hAnsi="Cambria Math"/>
              </w:rPr>
              <m:t>p</m:t>
            </m:r>
          </m:e>
        </m:acc>
        <m:r>
          <w:rPr>
            <w:rFonts w:ascii="Cambria Math" w:eastAsia="Calibri" w:hAnsi="Cambria Math"/>
          </w:rPr>
          <m:t>:</m:t>
        </m:r>
      </m:oMath>
      <w:r w:rsidR="007A45E2" w:rsidRPr="00DD322C">
        <w:rPr>
          <w:rFonts w:eastAsiaTheme="minorEastAsia"/>
        </w:rPr>
        <w:t xml:space="preserve"> Proporción global estimada. Calculada con:</w:t>
      </w:r>
    </w:p>
    <w:p w14:paraId="418460C8" w14:textId="77777777" w:rsidR="0054164A" w:rsidRPr="00DD322C" w:rsidRDefault="00000000" w:rsidP="0054164A">
      <w:pPr>
        <w:jc w:val="both"/>
        <w:rPr>
          <w:rFonts w:eastAsiaTheme="minorEastAsia"/>
        </w:rPr>
      </w:pPr>
      <m:oMathPara>
        <m:oMathParaPr>
          <m:jc m:val="center"/>
        </m:oMathParaPr>
        <m:oMath>
          <m:acc>
            <m:accPr>
              <m:ctrlPr>
                <w:rPr>
                  <w:rFonts w:ascii="Cambria Math" w:eastAsia="Calibri" w:hAnsi="Cambria Math"/>
                </w:rPr>
              </m:ctrlPr>
            </m:accPr>
            <m:e>
              <m:r>
                <m:rPr>
                  <m:sty m:val="p"/>
                </m:rPr>
                <w:rPr>
                  <w:rFonts w:ascii="Cambria Math" w:eastAsia="Calibri" w:hAnsi="Cambria Math"/>
                </w:rPr>
                <m:t>p</m:t>
              </m:r>
            </m:e>
          </m:acc>
          <m:r>
            <m:rPr>
              <m:sty m:val="p"/>
            </m:rPr>
            <w:rPr>
              <w:rFonts w:ascii="Cambria Math" w:eastAsia="Calibri" w:hAnsi="Cambria Math"/>
            </w:rPr>
            <m:t>=</m:t>
          </m:r>
          <m:f>
            <m:fPr>
              <m:ctrlPr>
                <w:rPr>
                  <w:rFonts w:ascii="Cambria Math" w:eastAsia="Calibri" w:hAnsi="Cambria Math"/>
                </w:rPr>
              </m:ctrlPr>
            </m:fPr>
            <m:num>
              <m:sSub>
                <m:sSubPr>
                  <m:ctrlPr>
                    <w:rPr>
                      <w:rFonts w:ascii="Cambria Math" w:eastAsia="Calibri" w:hAnsi="Cambria Math"/>
                    </w:rPr>
                  </m:ctrlPr>
                </m:sSubPr>
                <m:e>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te</m:t>
                      </m:r>
                    </m:sub>
                  </m:sSub>
                  <m:sSub>
                    <m:sSubPr>
                      <m:ctrlPr>
                        <w:rPr>
                          <w:rFonts w:ascii="Cambria Math" w:eastAsia="Calibri" w:hAnsi="Cambria Math"/>
                        </w:rPr>
                      </m:ctrlPr>
                    </m:sSubPr>
                    <m:e>
                      <m:bar>
                        <m:barPr>
                          <m:pos m:val="top"/>
                          <m:ctrlPr>
                            <w:rPr>
                              <w:rFonts w:ascii="Cambria Math" w:eastAsia="Calibri" w:hAnsi="Cambria Math"/>
                            </w:rPr>
                          </m:ctrlPr>
                        </m:barPr>
                        <m:e>
                          <m:r>
                            <m:rPr>
                              <m:sty m:val="p"/>
                            </m:rPr>
                            <w:rPr>
                              <w:rFonts w:ascii="Cambria Math" w:eastAsia="Calibri" w:hAnsi="Cambria Math"/>
                            </w:rPr>
                            <m:t>p</m:t>
                          </m:r>
                        </m:e>
                      </m:bar>
                    </m:e>
                    <m:sub>
                      <m:r>
                        <m:rPr>
                          <m:sty m:val="p"/>
                        </m:rPr>
                        <w:rPr>
                          <w:rFonts w:ascii="Cambria Math" w:eastAsia="Calibri" w:hAnsi="Cambria Math"/>
                        </w:rPr>
                        <m:t>te</m:t>
                      </m:r>
                    </m:sub>
                  </m:sSub>
                  <m:r>
                    <m:rPr>
                      <m:sty m:val="p"/>
                    </m:rPr>
                    <w:rPr>
                      <w:rFonts w:ascii="Cambria Math" w:eastAsia="Calibri" w:hAnsi="Cambria Math"/>
                    </w:rPr>
                    <m:t>+n</m:t>
                  </m:r>
                </m:e>
                <m:sub>
                  <m:r>
                    <m:rPr>
                      <m:sty m:val="p"/>
                    </m:rPr>
                    <w:rPr>
                      <w:rFonts w:ascii="Cambria Math" w:eastAsia="Calibri" w:hAnsi="Cambria Math"/>
                    </w:rPr>
                    <m:t>e</m:t>
                  </m:r>
                </m:sub>
              </m:sSub>
              <m:sSub>
                <m:sSubPr>
                  <m:ctrlPr>
                    <w:rPr>
                      <w:rFonts w:ascii="Cambria Math" w:eastAsia="Calibri" w:hAnsi="Cambria Math"/>
                    </w:rPr>
                  </m:ctrlPr>
                </m:sSubPr>
                <m:e>
                  <m:bar>
                    <m:barPr>
                      <m:pos m:val="top"/>
                      <m:ctrlPr>
                        <w:rPr>
                          <w:rFonts w:ascii="Cambria Math" w:eastAsia="Calibri" w:hAnsi="Cambria Math"/>
                        </w:rPr>
                      </m:ctrlPr>
                    </m:barPr>
                    <m:e>
                      <m:r>
                        <m:rPr>
                          <m:sty m:val="p"/>
                        </m:rPr>
                        <w:rPr>
                          <w:rFonts w:ascii="Cambria Math" w:eastAsia="Calibri" w:hAnsi="Cambria Math"/>
                        </w:rPr>
                        <m:t>p</m:t>
                      </m:r>
                    </m:e>
                  </m:bar>
                </m:e>
                <m:sub>
                  <m:r>
                    <m:rPr>
                      <m:sty m:val="p"/>
                    </m:rPr>
                    <w:rPr>
                      <w:rFonts w:ascii="Cambria Math" w:eastAsia="Calibri" w:hAnsi="Cambria Math"/>
                    </w:rPr>
                    <m:t>e</m:t>
                  </m:r>
                </m:sub>
              </m:sSub>
            </m:num>
            <m:den>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te</m:t>
                  </m:r>
                </m:sub>
              </m:sSub>
              <m:r>
                <m:rPr>
                  <m:sty m:val="p"/>
                </m:rPr>
                <w:rPr>
                  <w:rFonts w:ascii="Cambria Math" w:eastAsia="Calibri" w:hAnsi="Cambria Math"/>
                </w:rPr>
                <m:t>+</m:t>
              </m:r>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e</m:t>
                  </m:r>
                </m:sub>
              </m:sSub>
            </m:den>
          </m:f>
        </m:oMath>
      </m:oMathPara>
    </w:p>
    <w:p w14:paraId="27D89F59" w14:textId="77777777" w:rsidR="00800A12" w:rsidRPr="00DD322C" w:rsidRDefault="00800A12" w:rsidP="00541A91">
      <w:pPr>
        <w:spacing w:after="160" w:line="259" w:lineRule="auto"/>
        <w:rPr>
          <w:b/>
          <w:bCs/>
        </w:rPr>
      </w:pPr>
    </w:p>
    <w:p w14:paraId="1F47F3B8" w14:textId="67479313" w:rsidR="0087687E" w:rsidRPr="00DD322C" w:rsidRDefault="00AA6550" w:rsidP="00F56DB9">
      <w:pPr>
        <w:spacing w:after="160" w:line="360" w:lineRule="auto"/>
        <w:jc w:val="center"/>
      </w:pPr>
      <w:r w:rsidRPr="00DD322C">
        <w:rPr>
          <w:b/>
          <w:bCs/>
        </w:rPr>
        <w:t>Tabla 1</w:t>
      </w:r>
      <w:r w:rsidR="00D555C6" w:rsidRPr="00DD322C">
        <w:rPr>
          <w:b/>
          <w:bCs/>
        </w:rPr>
        <w:t>.</w:t>
      </w:r>
      <w:r w:rsidR="00800A12" w:rsidRPr="00DD322C">
        <w:rPr>
          <w:b/>
          <w:bCs/>
        </w:rPr>
        <w:t xml:space="preserve"> </w:t>
      </w:r>
      <w:r w:rsidRPr="00DD322C">
        <w:t xml:space="preserve">Prueba Z de diferencia de </w:t>
      </w:r>
      <w:r w:rsidR="00344CD9" w:rsidRPr="00DD322C">
        <w:t xml:space="preserve">proporciones </w:t>
      </w:r>
      <w:r w:rsidRPr="00DD322C">
        <w:t xml:space="preserve">entre estudiantes </w:t>
      </w:r>
      <w:r w:rsidR="00732A5E" w:rsidRPr="00DD322C">
        <w:t xml:space="preserve">que </w:t>
      </w:r>
      <w:r w:rsidRPr="00DD322C">
        <w:t>trabajan y estudian</w:t>
      </w:r>
      <w:r w:rsidR="006B0AAD">
        <w:t>,</w:t>
      </w:r>
      <w:r w:rsidRPr="00DD322C">
        <w:t xml:space="preserve"> y los que solo estudian, por rango de promedios</w:t>
      </w:r>
      <w:r w:rsidR="007F3A56" w:rsidRPr="00DD322C">
        <w:t xml:space="preserve"> </w:t>
      </w:r>
    </w:p>
    <w:tbl>
      <w:tblPr>
        <w:tblStyle w:val="Tablaconcuadrcula"/>
        <w:tblW w:w="0" w:type="auto"/>
        <w:jc w:val="center"/>
        <w:tblLook w:val="04A0" w:firstRow="1" w:lastRow="0" w:firstColumn="1" w:lastColumn="0" w:noHBand="0" w:noVBand="1"/>
      </w:tblPr>
      <w:tblGrid>
        <w:gridCol w:w="2942"/>
        <w:gridCol w:w="2943"/>
        <w:gridCol w:w="2943"/>
      </w:tblGrid>
      <w:tr w:rsidR="00375339" w:rsidRPr="001D36B9" w14:paraId="52B35316" w14:textId="77777777" w:rsidTr="009067CC">
        <w:trPr>
          <w:jc w:val="center"/>
        </w:trPr>
        <w:tc>
          <w:tcPr>
            <w:tcW w:w="2942" w:type="dxa"/>
          </w:tcPr>
          <w:p w14:paraId="265D950A" w14:textId="77777777" w:rsidR="0087687E" w:rsidRPr="001D36B9" w:rsidRDefault="0087687E" w:rsidP="00800A12">
            <w:pPr>
              <w:jc w:val="center"/>
            </w:pPr>
            <w:r w:rsidRPr="001D36B9">
              <w:t>Promedio bajo (70 a 79.9 puntos)</w:t>
            </w:r>
          </w:p>
        </w:tc>
        <w:tc>
          <w:tcPr>
            <w:tcW w:w="2943" w:type="dxa"/>
          </w:tcPr>
          <w:p w14:paraId="6F2B6723" w14:textId="77777777" w:rsidR="0087687E" w:rsidRPr="001D36B9" w:rsidRDefault="0087687E" w:rsidP="00800A12">
            <w:pPr>
              <w:jc w:val="center"/>
            </w:pPr>
            <w:r w:rsidRPr="001D36B9">
              <w:t>Promedio medio (80 a 89.9 puntos)</w:t>
            </w:r>
          </w:p>
        </w:tc>
        <w:tc>
          <w:tcPr>
            <w:tcW w:w="2943" w:type="dxa"/>
          </w:tcPr>
          <w:p w14:paraId="6F20A6FE" w14:textId="77777777" w:rsidR="0087687E" w:rsidRPr="001D36B9" w:rsidRDefault="0087687E" w:rsidP="00800A12">
            <w:pPr>
              <w:jc w:val="center"/>
            </w:pPr>
            <w:r w:rsidRPr="001D36B9">
              <w:t xml:space="preserve">Promedio </w:t>
            </w:r>
            <w:r w:rsidR="00F651F4" w:rsidRPr="001D36B9">
              <w:t xml:space="preserve">alto </w:t>
            </w:r>
            <w:r w:rsidRPr="001D36B9">
              <w:t>(90 a 100)</w:t>
            </w:r>
          </w:p>
        </w:tc>
      </w:tr>
      <w:tr w:rsidR="00AF2F45" w:rsidRPr="001D36B9" w14:paraId="16A3CD28" w14:textId="77777777" w:rsidTr="00290839">
        <w:trPr>
          <w:trHeight w:val="558"/>
          <w:jc w:val="center"/>
        </w:trPr>
        <w:tc>
          <w:tcPr>
            <w:tcW w:w="8828" w:type="dxa"/>
            <w:gridSpan w:val="3"/>
            <w:vAlign w:val="center"/>
          </w:tcPr>
          <w:p w14:paraId="448753BA" w14:textId="77777777" w:rsidR="00AF2F45" w:rsidRPr="001D36B9" w:rsidRDefault="00AF2F45" w:rsidP="007E5D89">
            <w:pPr>
              <w:jc w:val="center"/>
            </w:pPr>
            <w:r w:rsidRPr="001D36B9">
              <w:t>H</w:t>
            </w:r>
            <w:r w:rsidRPr="001D36B9">
              <w:rPr>
                <w:vertAlign w:val="subscript"/>
              </w:rPr>
              <w:t>0</w:t>
            </w:r>
            <w:r w:rsidRPr="001D36B9">
              <w:t>: No existe diferencia entre la proporción de estudiantes que trabajan y los que solo estudian.</w:t>
            </w:r>
          </w:p>
        </w:tc>
      </w:tr>
      <w:tr w:rsidR="00AF2F45" w:rsidRPr="001D36B9" w14:paraId="61A1218A" w14:textId="77777777" w:rsidTr="003D5A34">
        <w:trPr>
          <w:trHeight w:val="1136"/>
          <w:jc w:val="center"/>
        </w:trPr>
        <w:tc>
          <w:tcPr>
            <w:tcW w:w="5885" w:type="dxa"/>
            <w:gridSpan w:val="2"/>
            <w:vAlign w:val="center"/>
          </w:tcPr>
          <w:p w14:paraId="25022F0E" w14:textId="77777777" w:rsidR="00AF2F45" w:rsidRPr="001D36B9" w:rsidRDefault="00AF2F45" w:rsidP="007E5D89">
            <w:pPr>
              <w:jc w:val="center"/>
            </w:pPr>
            <w:r w:rsidRPr="001D36B9">
              <w:t>H</w:t>
            </w:r>
            <w:r w:rsidRPr="001D36B9">
              <w:rPr>
                <w:vertAlign w:val="subscript"/>
              </w:rPr>
              <w:t>1</w:t>
            </w:r>
            <w:r w:rsidRPr="001D36B9">
              <w:t>: La diferencia de proporciones es a favor de los estudiantes que trabajan.</w:t>
            </w:r>
          </w:p>
        </w:tc>
        <w:tc>
          <w:tcPr>
            <w:tcW w:w="2943" w:type="dxa"/>
            <w:vAlign w:val="center"/>
          </w:tcPr>
          <w:p w14:paraId="5FD3F66A" w14:textId="77777777" w:rsidR="00AF2F45" w:rsidRPr="001D36B9" w:rsidRDefault="00AF2F45" w:rsidP="007E5D89">
            <w:pPr>
              <w:jc w:val="center"/>
            </w:pPr>
            <w:r w:rsidRPr="001D36B9">
              <w:t>H</w:t>
            </w:r>
            <w:r w:rsidRPr="001D36B9">
              <w:rPr>
                <w:vertAlign w:val="subscript"/>
              </w:rPr>
              <w:t>1</w:t>
            </w:r>
            <w:r w:rsidRPr="001D36B9">
              <w:t>: La diferencia de proporciones es a favor de los estudiantes que solo estudian.</w:t>
            </w:r>
          </w:p>
        </w:tc>
      </w:tr>
      <w:tr w:rsidR="00E35FE1" w:rsidRPr="001D36B9" w14:paraId="3AE15AE1" w14:textId="77777777" w:rsidTr="0096516E">
        <w:trPr>
          <w:jc w:val="center"/>
        </w:trPr>
        <w:tc>
          <w:tcPr>
            <w:tcW w:w="5885" w:type="dxa"/>
            <w:gridSpan w:val="2"/>
            <w:vAlign w:val="center"/>
          </w:tcPr>
          <w:p w14:paraId="7D908D96" w14:textId="77777777" w:rsidR="00E35FE1" w:rsidRPr="001D36B9" w:rsidRDefault="0086001F" w:rsidP="007E5D89">
            <w:pPr>
              <w:jc w:val="center"/>
            </w:pPr>
            <w:r w:rsidRPr="001D36B9">
              <w:t>Prueba de</w:t>
            </w:r>
            <w:r w:rsidR="00E35FE1" w:rsidRPr="001D36B9">
              <w:t xml:space="preserve"> extremo derecho</w:t>
            </w:r>
          </w:p>
        </w:tc>
        <w:tc>
          <w:tcPr>
            <w:tcW w:w="2943" w:type="dxa"/>
          </w:tcPr>
          <w:p w14:paraId="2D94A742" w14:textId="77777777" w:rsidR="00E35FE1" w:rsidRPr="001D36B9" w:rsidRDefault="0086001F" w:rsidP="007E5D89">
            <w:pPr>
              <w:jc w:val="center"/>
            </w:pPr>
            <w:r w:rsidRPr="001D36B9">
              <w:t>Prueba de extremo izquierdo</w:t>
            </w:r>
          </w:p>
        </w:tc>
      </w:tr>
      <w:tr w:rsidR="00D75EB5" w:rsidRPr="001D36B9" w14:paraId="24F8364F" w14:textId="77777777" w:rsidTr="00D75EB5">
        <w:trPr>
          <w:jc w:val="center"/>
        </w:trPr>
        <w:tc>
          <w:tcPr>
            <w:tcW w:w="8828" w:type="dxa"/>
            <w:gridSpan w:val="3"/>
            <w:vAlign w:val="center"/>
          </w:tcPr>
          <w:p w14:paraId="726843A6" w14:textId="77777777" w:rsidR="00D75EB5" w:rsidRPr="001D36B9" w:rsidRDefault="00D75EB5" w:rsidP="007E5D89">
            <w:pPr>
              <w:jc w:val="center"/>
            </w:pPr>
            <w:r w:rsidRPr="001D36B9">
              <w:t>Significancia: 0.05</w:t>
            </w:r>
          </w:p>
        </w:tc>
      </w:tr>
      <w:tr w:rsidR="00992132" w:rsidRPr="001D36B9" w14:paraId="0C0B47CA" w14:textId="77777777" w:rsidTr="00B7375A">
        <w:trPr>
          <w:jc w:val="center"/>
        </w:trPr>
        <w:tc>
          <w:tcPr>
            <w:tcW w:w="5885" w:type="dxa"/>
            <w:gridSpan w:val="2"/>
            <w:vAlign w:val="center"/>
          </w:tcPr>
          <w:p w14:paraId="61484A0A" w14:textId="0F7170CB" w:rsidR="00992132" w:rsidRPr="001D36B9" w:rsidRDefault="00992132" w:rsidP="007E5D89">
            <w:pPr>
              <w:jc w:val="center"/>
            </w:pPr>
            <w:r w:rsidRPr="001D36B9">
              <w:t xml:space="preserve">Valor crítico de Z: </w:t>
            </w:r>
            <m:oMath>
              <m:r>
                <w:rPr>
                  <w:rFonts w:ascii="Cambria Math" w:hAnsi="Cambria Math"/>
                </w:rPr>
                <m:t>1.645</m:t>
              </m:r>
            </m:oMath>
          </w:p>
        </w:tc>
        <w:tc>
          <w:tcPr>
            <w:tcW w:w="2943" w:type="dxa"/>
            <w:vAlign w:val="center"/>
          </w:tcPr>
          <w:p w14:paraId="2D4D5D91" w14:textId="338FF015" w:rsidR="00992132" w:rsidRPr="001D36B9" w:rsidRDefault="00992132" w:rsidP="007E5D89">
            <w:pPr>
              <w:jc w:val="center"/>
            </w:pPr>
            <w:r w:rsidRPr="001D36B9">
              <w:t xml:space="preserve">Valor crítico de Z: </w:t>
            </w:r>
            <m:oMath>
              <m:r>
                <m:rPr>
                  <m:sty m:val="p"/>
                </m:rPr>
                <w:rPr>
                  <w:rFonts w:ascii="Cambria Math" w:hAnsi="Cambria Math"/>
                </w:rPr>
                <m:t>-</m:t>
              </m:r>
              <m:r>
                <w:rPr>
                  <w:rFonts w:ascii="Cambria Math" w:hAnsi="Cambria Math"/>
                </w:rPr>
                <m:t>1.645</m:t>
              </m:r>
            </m:oMath>
          </w:p>
        </w:tc>
      </w:tr>
      <w:tr w:rsidR="002C59D1" w:rsidRPr="001D36B9" w14:paraId="1C83793A" w14:textId="77777777" w:rsidTr="00072A2D">
        <w:trPr>
          <w:jc w:val="center"/>
        </w:trPr>
        <w:tc>
          <w:tcPr>
            <w:tcW w:w="8828" w:type="dxa"/>
            <w:gridSpan w:val="3"/>
            <w:vAlign w:val="center"/>
          </w:tcPr>
          <w:p w14:paraId="27CDC822" w14:textId="77777777" w:rsidR="002C59D1" w:rsidRPr="001D36B9" w:rsidRDefault="002C59D1" w:rsidP="007E5D89">
            <w:pPr>
              <w:jc w:val="both"/>
            </w:pPr>
            <w:r w:rsidRPr="001D36B9">
              <w:t>Valor calculado del estadístico de prueba:</w:t>
            </w:r>
          </w:p>
        </w:tc>
      </w:tr>
      <w:tr w:rsidR="00706D5F" w:rsidRPr="001D36B9" w14:paraId="6CFF9D36" w14:textId="77777777" w:rsidTr="002C59D1">
        <w:trPr>
          <w:jc w:val="center"/>
        </w:trPr>
        <w:tc>
          <w:tcPr>
            <w:tcW w:w="2942" w:type="dxa"/>
            <w:vAlign w:val="center"/>
          </w:tcPr>
          <w:p w14:paraId="7ACE545F" w14:textId="3FE66414" w:rsidR="00706D5F" w:rsidRPr="001D36B9" w:rsidRDefault="001D36B9" w:rsidP="007E5D89">
            <w:pPr>
              <w:jc w:val="center"/>
            </w:pPr>
            <m:oMathPara>
              <m:oMath>
                <m:r>
                  <w:rPr>
                    <w:rFonts w:ascii="Cambria Math" w:hAnsi="Cambria Math"/>
                  </w:rPr>
                  <m:t>Z=1.048</m:t>
                </m:r>
              </m:oMath>
            </m:oMathPara>
          </w:p>
        </w:tc>
        <w:tc>
          <w:tcPr>
            <w:tcW w:w="2943" w:type="dxa"/>
            <w:vAlign w:val="center"/>
          </w:tcPr>
          <w:p w14:paraId="5887CA74" w14:textId="3CA3E418" w:rsidR="00706D5F" w:rsidRPr="001D36B9" w:rsidRDefault="001D36B9" w:rsidP="007E5D89">
            <w:pPr>
              <w:jc w:val="center"/>
            </w:pPr>
            <m:oMathPara>
              <m:oMath>
                <m:r>
                  <w:rPr>
                    <w:rFonts w:ascii="Cambria Math" w:hAnsi="Cambria Math"/>
                  </w:rPr>
                  <m:t>Z=1.951</m:t>
                </m:r>
              </m:oMath>
            </m:oMathPara>
          </w:p>
        </w:tc>
        <w:tc>
          <w:tcPr>
            <w:tcW w:w="2943" w:type="dxa"/>
            <w:vAlign w:val="center"/>
          </w:tcPr>
          <w:p w14:paraId="6C6EAD6A" w14:textId="0DE237D3" w:rsidR="00706D5F" w:rsidRPr="001D36B9" w:rsidRDefault="001D36B9" w:rsidP="007E5D89">
            <w:pPr>
              <w:jc w:val="center"/>
            </w:pPr>
            <m:oMathPara>
              <m:oMath>
                <m:r>
                  <w:rPr>
                    <w:rFonts w:ascii="Cambria Math" w:hAnsi="Cambria Math"/>
                  </w:rPr>
                  <m:t>Z= -2.494</m:t>
                </m:r>
              </m:oMath>
            </m:oMathPara>
          </w:p>
        </w:tc>
      </w:tr>
      <w:tr w:rsidR="009C3160" w:rsidRPr="001D36B9" w14:paraId="42837380" w14:textId="77777777" w:rsidTr="00B5101B">
        <w:trPr>
          <w:jc w:val="center"/>
        </w:trPr>
        <w:tc>
          <w:tcPr>
            <w:tcW w:w="2942" w:type="dxa"/>
          </w:tcPr>
          <w:p w14:paraId="253F1B6D" w14:textId="77777777" w:rsidR="009C3160" w:rsidRPr="001D36B9" w:rsidRDefault="009C3160" w:rsidP="007E5D89">
            <w:r w:rsidRPr="001D36B9">
              <w:t>Decisión: Se acepta la hipótesis nula.</w:t>
            </w:r>
          </w:p>
        </w:tc>
        <w:tc>
          <w:tcPr>
            <w:tcW w:w="5886" w:type="dxa"/>
            <w:gridSpan w:val="2"/>
            <w:vAlign w:val="center"/>
          </w:tcPr>
          <w:p w14:paraId="010BF35A" w14:textId="77777777" w:rsidR="009C3160" w:rsidRPr="001D36B9" w:rsidRDefault="007A7F35" w:rsidP="007E5D89">
            <w:r w:rsidRPr="001D36B9">
              <w:t>Decis</w:t>
            </w:r>
            <w:r w:rsidR="009C3160" w:rsidRPr="001D36B9">
              <w:t>ión: Se rechaza la hipótesis nula.</w:t>
            </w:r>
          </w:p>
        </w:tc>
      </w:tr>
      <w:tr w:rsidR="00343E6F" w:rsidRPr="001D36B9" w14:paraId="11675DD0" w14:textId="77777777" w:rsidTr="009067CC">
        <w:trPr>
          <w:jc w:val="center"/>
        </w:trPr>
        <w:tc>
          <w:tcPr>
            <w:tcW w:w="2942" w:type="dxa"/>
          </w:tcPr>
          <w:p w14:paraId="47F2CAFF" w14:textId="77777777" w:rsidR="00343E6F" w:rsidRPr="001D36B9" w:rsidRDefault="00343E6F" w:rsidP="007E5D89">
            <w:r w:rsidRPr="001D36B9">
              <w:t>Conclusión: No existe diferencia entre la proporción de estudiantes que trabajan y los que solo estudian.</w:t>
            </w:r>
          </w:p>
        </w:tc>
        <w:tc>
          <w:tcPr>
            <w:tcW w:w="2943" w:type="dxa"/>
          </w:tcPr>
          <w:p w14:paraId="4862613E" w14:textId="77777777" w:rsidR="00343E6F" w:rsidRPr="001D36B9" w:rsidRDefault="00343E6F" w:rsidP="007E5D89">
            <w:r w:rsidRPr="001D36B9">
              <w:t>Conclusión: La diferencia de proporciones es a favor de los estudiantes que trabajan.</w:t>
            </w:r>
          </w:p>
        </w:tc>
        <w:tc>
          <w:tcPr>
            <w:tcW w:w="2943" w:type="dxa"/>
          </w:tcPr>
          <w:p w14:paraId="013961BE" w14:textId="77777777" w:rsidR="00343E6F" w:rsidRPr="001D36B9" w:rsidRDefault="00343E6F" w:rsidP="007E5D89">
            <w:r w:rsidRPr="001D36B9">
              <w:t xml:space="preserve">Conclusión: La diferencia de proporciones es a favor de los estudiantes que </w:t>
            </w:r>
            <w:r w:rsidR="00A706B6" w:rsidRPr="001D36B9">
              <w:t>solo estudian</w:t>
            </w:r>
            <w:r w:rsidRPr="001D36B9">
              <w:t>.</w:t>
            </w:r>
          </w:p>
        </w:tc>
      </w:tr>
    </w:tbl>
    <w:p w14:paraId="532A8B26" w14:textId="65CF3C60" w:rsidR="006B0AAD" w:rsidRDefault="006B0AAD" w:rsidP="001D36B9">
      <w:pPr>
        <w:spacing w:line="360" w:lineRule="auto"/>
        <w:ind w:firstLine="240"/>
        <w:jc w:val="center"/>
      </w:pPr>
      <w:r w:rsidRPr="00DD322C">
        <w:t>Fuente: Elaboración propia</w:t>
      </w:r>
    </w:p>
    <w:p w14:paraId="5C8166EE" w14:textId="3F7B3974" w:rsidR="001A6B2E" w:rsidRPr="00DD322C" w:rsidRDefault="0087687E" w:rsidP="006B0AAD">
      <w:pPr>
        <w:spacing w:line="360" w:lineRule="auto"/>
        <w:ind w:firstLine="600"/>
        <w:jc w:val="both"/>
      </w:pPr>
      <w:r w:rsidRPr="00DD322C">
        <w:t xml:space="preserve">En la tabla </w:t>
      </w:r>
      <w:r w:rsidR="00AA6550" w:rsidRPr="00DD322C">
        <w:t>1</w:t>
      </w:r>
      <w:r w:rsidRPr="00DD322C">
        <w:t xml:space="preserve"> se puede</w:t>
      </w:r>
      <w:r w:rsidR="006B0AAD">
        <w:t>n</w:t>
      </w:r>
      <w:r w:rsidRPr="00DD322C">
        <w:t xml:space="preserve"> identificar los resultados de las pruebas de hipótesis, l</w:t>
      </w:r>
      <w:r w:rsidR="008D7859" w:rsidRPr="00DD322C">
        <w:t xml:space="preserve">os </w:t>
      </w:r>
      <w:r w:rsidR="00C97381" w:rsidRPr="00DD322C">
        <w:t xml:space="preserve">cuales señalan </w:t>
      </w:r>
      <w:r w:rsidR="006B0AAD">
        <w:t>lo siguiente</w:t>
      </w:r>
      <w:r w:rsidR="001A6B2E" w:rsidRPr="00DD322C">
        <w:t>:</w:t>
      </w:r>
    </w:p>
    <w:p w14:paraId="6B56A7A7" w14:textId="480712E7" w:rsidR="00F25006" w:rsidRPr="00DD322C" w:rsidRDefault="00F25006" w:rsidP="001A6B2E">
      <w:pPr>
        <w:pStyle w:val="Prrafodelista"/>
        <w:numPr>
          <w:ilvl w:val="0"/>
          <w:numId w:val="5"/>
        </w:numPr>
        <w:spacing w:line="360" w:lineRule="auto"/>
        <w:jc w:val="both"/>
        <w:rPr>
          <w:rFonts w:ascii="Times New Roman" w:hAnsi="Times New Roman" w:cs="Times New Roman"/>
        </w:rPr>
      </w:pPr>
      <w:r w:rsidRPr="00DD322C">
        <w:rPr>
          <w:rFonts w:ascii="Times New Roman" w:hAnsi="Times New Roman" w:cs="Times New Roman"/>
        </w:rPr>
        <w:t>La proporción de estudiantes con promedio bajo es estadísticamente igual para los grupos de estudiantes que trabajan y los que s</w:t>
      </w:r>
      <w:r w:rsidR="006B0AAD">
        <w:rPr>
          <w:rFonts w:ascii="Times New Roman" w:hAnsi="Times New Roman" w:cs="Times New Roman"/>
        </w:rPr>
        <w:t>o</w:t>
      </w:r>
      <w:r w:rsidRPr="00DD322C">
        <w:rPr>
          <w:rFonts w:ascii="Times New Roman" w:hAnsi="Times New Roman" w:cs="Times New Roman"/>
        </w:rPr>
        <w:t>lo estudian.</w:t>
      </w:r>
    </w:p>
    <w:p w14:paraId="766AA0C9" w14:textId="38D858F2" w:rsidR="00E02C8D" w:rsidRPr="00DD322C" w:rsidRDefault="00F50B19" w:rsidP="001A6B2E">
      <w:pPr>
        <w:pStyle w:val="Prrafodelista"/>
        <w:numPr>
          <w:ilvl w:val="0"/>
          <w:numId w:val="5"/>
        </w:numPr>
        <w:spacing w:line="360" w:lineRule="auto"/>
        <w:jc w:val="both"/>
        <w:rPr>
          <w:rFonts w:ascii="Times New Roman" w:hAnsi="Times New Roman" w:cs="Times New Roman"/>
        </w:rPr>
      </w:pPr>
      <w:r w:rsidRPr="00DD322C">
        <w:rPr>
          <w:rFonts w:ascii="Times New Roman" w:hAnsi="Times New Roman" w:cs="Times New Roman"/>
        </w:rPr>
        <w:t>La proporción de estudiantes que</w:t>
      </w:r>
      <w:r w:rsidR="007737A7" w:rsidRPr="00DD322C">
        <w:rPr>
          <w:rFonts w:ascii="Times New Roman" w:hAnsi="Times New Roman" w:cs="Times New Roman"/>
        </w:rPr>
        <w:t xml:space="preserve"> obtienen un promedio medio es mayor en el grupo de </w:t>
      </w:r>
      <w:r w:rsidR="005A0FA0" w:rsidRPr="00DD322C">
        <w:rPr>
          <w:rFonts w:ascii="Times New Roman" w:hAnsi="Times New Roman" w:cs="Times New Roman"/>
        </w:rPr>
        <w:t>estudiantes que trabajan, comparada con los que s</w:t>
      </w:r>
      <w:r w:rsidR="006B0AAD">
        <w:rPr>
          <w:rFonts w:ascii="Times New Roman" w:hAnsi="Times New Roman" w:cs="Times New Roman"/>
        </w:rPr>
        <w:t>o</w:t>
      </w:r>
      <w:r w:rsidR="005A0FA0" w:rsidRPr="00DD322C">
        <w:rPr>
          <w:rFonts w:ascii="Times New Roman" w:hAnsi="Times New Roman" w:cs="Times New Roman"/>
        </w:rPr>
        <w:t>lo estudian</w:t>
      </w:r>
      <w:r w:rsidR="00E02C8D" w:rsidRPr="00DD322C">
        <w:rPr>
          <w:rFonts w:ascii="Times New Roman" w:hAnsi="Times New Roman" w:cs="Times New Roman"/>
        </w:rPr>
        <w:t>.</w:t>
      </w:r>
    </w:p>
    <w:p w14:paraId="73A7273E" w14:textId="47BA2F14" w:rsidR="00E437CF" w:rsidRPr="00DD322C" w:rsidRDefault="00E02C8D" w:rsidP="001A6B2E">
      <w:pPr>
        <w:pStyle w:val="Prrafodelista"/>
        <w:numPr>
          <w:ilvl w:val="0"/>
          <w:numId w:val="5"/>
        </w:numPr>
        <w:spacing w:line="360" w:lineRule="auto"/>
        <w:jc w:val="both"/>
        <w:rPr>
          <w:rFonts w:ascii="Times New Roman" w:hAnsi="Times New Roman" w:cs="Times New Roman"/>
        </w:rPr>
      </w:pPr>
      <w:r w:rsidRPr="00DD322C">
        <w:rPr>
          <w:rFonts w:ascii="Times New Roman" w:hAnsi="Times New Roman" w:cs="Times New Roman"/>
        </w:rPr>
        <w:t xml:space="preserve">La proporción de estudiantes con promedio alto es mayor, estadísticamente hablando, </w:t>
      </w:r>
      <w:r w:rsidR="00E437CF" w:rsidRPr="00DD322C">
        <w:rPr>
          <w:rFonts w:ascii="Times New Roman" w:hAnsi="Times New Roman" w:cs="Times New Roman"/>
        </w:rPr>
        <w:t>en el grupo de alumnos que no trabajan con respecto a los que s</w:t>
      </w:r>
      <w:r w:rsidR="006B0AAD">
        <w:rPr>
          <w:rFonts w:ascii="Times New Roman" w:hAnsi="Times New Roman" w:cs="Times New Roman"/>
        </w:rPr>
        <w:t>í</w:t>
      </w:r>
      <w:r w:rsidR="00E437CF" w:rsidRPr="00DD322C">
        <w:rPr>
          <w:rFonts w:ascii="Times New Roman" w:hAnsi="Times New Roman" w:cs="Times New Roman"/>
        </w:rPr>
        <w:t xml:space="preserve"> lo hacen.</w:t>
      </w:r>
    </w:p>
    <w:p w14:paraId="0E57C891" w14:textId="77777777" w:rsidR="00AA0A56" w:rsidRDefault="00AA0A56" w:rsidP="00870683">
      <w:pPr>
        <w:spacing w:line="360" w:lineRule="auto"/>
        <w:ind w:left="240"/>
        <w:jc w:val="both"/>
      </w:pPr>
    </w:p>
    <w:p w14:paraId="5BB50110" w14:textId="77777777" w:rsidR="00F56DB9" w:rsidRDefault="00F56DB9" w:rsidP="00870683">
      <w:pPr>
        <w:spacing w:line="360" w:lineRule="auto"/>
        <w:ind w:left="240"/>
        <w:jc w:val="both"/>
      </w:pPr>
    </w:p>
    <w:p w14:paraId="156E7E23" w14:textId="77777777" w:rsidR="00F56DB9" w:rsidRDefault="00F56DB9" w:rsidP="00870683">
      <w:pPr>
        <w:spacing w:line="360" w:lineRule="auto"/>
        <w:ind w:left="240"/>
        <w:jc w:val="both"/>
      </w:pPr>
    </w:p>
    <w:p w14:paraId="0254CC99" w14:textId="77777777" w:rsidR="00F56DB9" w:rsidRPr="00DD322C" w:rsidRDefault="00F56DB9" w:rsidP="00870683">
      <w:pPr>
        <w:spacing w:line="360" w:lineRule="auto"/>
        <w:ind w:left="240"/>
        <w:jc w:val="both"/>
      </w:pPr>
    </w:p>
    <w:p w14:paraId="54C5B7C5" w14:textId="5A4C1D51" w:rsidR="006B0AAD" w:rsidRPr="001D36B9" w:rsidRDefault="008D7859" w:rsidP="001D36B9">
      <w:pPr>
        <w:spacing w:line="360" w:lineRule="auto"/>
        <w:jc w:val="center"/>
        <w:rPr>
          <w:b/>
          <w:bCs/>
        </w:rPr>
      </w:pPr>
      <w:r w:rsidRPr="00DC0BEB">
        <w:rPr>
          <w:b/>
          <w:bCs/>
        </w:rPr>
        <w:lastRenderedPageBreak/>
        <w:t>El trabajo y el número de materias reprobadas</w:t>
      </w:r>
    </w:p>
    <w:p w14:paraId="1563F260" w14:textId="77777777" w:rsidR="006B0AAD" w:rsidRDefault="006B0AAD" w:rsidP="006B0AAD">
      <w:pPr>
        <w:spacing w:line="360" w:lineRule="auto"/>
        <w:ind w:firstLine="708"/>
        <w:jc w:val="both"/>
      </w:pPr>
      <w:r w:rsidRPr="00860E7B">
        <w:t>Los resultados obtenidos de la muestra revelaron que el 40.53</w:t>
      </w:r>
      <w:r>
        <w:t xml:space="preserve"> </w:t>
      </w:r>
      <w:r w:rsidRPr="00860E7B">
        <w:t>% de los estudiantes que trabajan experimentan reprobación en sus materias, en contraste con el 27.83</w:t>
      </w:r>
      <w:r>
        <w:t xml:space="preserve"> </w:t>
      </w:r>
      <w:r w:rsidRPr="00860E7B">
        <w:t xml:space="preserve">% de </w:t>
      </w:r>
      <w:r>
        <w:t>aquellos</w:t>
      </w:r>
      <w:r w:rsidRPr="00860E7B">
        <w:t xml:space="preserve"> que se dedican exclusivamente a estudiar. Además, se observa que el promedio de materias reprobadas entre los estudiantes que trabajan es de 1.07, mientras que para aquellos que solo se centran en sus estudios es de 0.67. </w:t>
      </w:r>
    </w:p>
    <w:p w14:paraId="3656005A" w14:textId="77777777" w:rsidR="006B0AAD" w:rsidRDefault="006B0AAD" w:rsidP="006B0AAD">
      <w:pPr>
        <w:spacing w:line="360" w:lineRule="auto"/>
        <w:ind w:firstLine="708"/>
        <w:jc w:val="both"/>
      </w:pPr>
      <w:r w:rsidRPr="00860E7B">
        <w:t>No obstante, al enfocarnos específicamente en los estudiantes que reprueban asignaturas, se observa que el promedio de materias reprobadas es similar en ambos grupos. Los estudiantes que trabajan tienen un promedio de 2.49 materias reprobadas por alumno, mientras que los que solo estudian presentan un promedio de 2.41 materias reprobadas.</w:t>
      </w:r>
    </w:p>
    <w:p w14:paraId="65EB77E8" w14:textId="52CF09DC" w:rsidR="006B0AAD" w:rsidRPr="00DD322C" w:rsidRDefault="006B0AAD" w:rsidP="001D36B9">
      <w:pPr>
        <w:spacing w:line="360" w:lineRule="auto"/>
        <w:ind w:firstLine="708"/>
        <w:jc w:val="both"/>
      </w:pPr>
      <w:r w:rsidRPr="00860E7B">
        <w:t xml:space="preserve">Con el propósito de determinar la existencia de una diferencia significativa en la media de materias reprobadas entre los estudiantes que trabajan y estudian, se llevaron a cabo dos pruebas de hipótesis T de </w:t>
      </w:r>
      <w:proofErr w:type="spellStart"/>
      <w:r w:rsidRPr="00860E7B">
        <w:t>Student</w:t>
      </w:r>
      <w:proofErr w:type="spellEnd"/>
      <w:r w:rsidRPr="00860E7B">
        <w:t xml:space="preserve"> con un nivel de significancia de 0.05. La primera prueba se realizó considerando a todos los alumnos, independientemente de si tenían o no materias reprobadas. En la segunda prueba, solo se incluyeron a los alumnos que manifestaron tener materias reprobadas. Las fórmulas estadísticas utilizadas para ambas pruebas fueron las siguientes</w:t>
      </w:r>
      <w:r>
        <w:t>:</w:t>
      </w:r>
    </w:p>
    <w:p w14:paraId="43CE0FF3" w14:textId="77777777" w:rsidR="00B73E77" w:rsidRPr="00DD322C" w:rsidRDefault="00B73E77" w:rsidP="00A214FD">
      <w:pPr>
        <w:spacing w:line="360" w:lineRule="auto"/>
        <w:ind w:firstLine="708"/>
        <w:jc w:val="both"/>
      </w:pPr>
      <m:oMathPara>
        <m:oMath>
          <m:r>
            <w:rPr>
              <w:rFonts w:ascii="Cambria Math" w:eastAsia="Calibri" w:hAnsi="Cambria Math"/>
            </w:rPr>
            <m:t>t=</m:t>
          </m:r>
          <m:f>
            <m:fPr>
              <m:ctrlPr>
                <w:rPr>
                  <w:rFonts w:ascii="Cambria Math" w:eastAsia="Calibri" w:hAnsi="Cambria Math"/>
                  <w:i/>
                </w:rPr>
              </m:ctrlPr>
            </m:fPr>
            <m:num>
              <m:d>
                <m:dPr>
                  <m:ctrlPr>
                    <w:rPr>
                      <w:rFonts w:ascii="Cambria Math" w:eastAsia="Calibri" w:hAnsi="Cambria Math"/>
                      <w:i/>
                    </w:rPr>
                  </m:ctrlPr>
                </m:dPr>
                <m:e>
                  <m:sSub>
                    <m:sSubPr>
                      <m:ctrlPr>
                        <w:rPr>
                          <w:rFonts w:ascii="Cambria Math" w:eastAsia="Calibri" w:hAnsi="Cambria Math"/>
                          <w:i/>
                        </w:rPr>
                      </m:ctrlPr>
                    </m:sSubPr>
                    <m:e>
                      <m:bar>
                        <m:barPr>
                          <m:pos m:val="top"/>
                          <m:ctrlPr>
                            <w:rPr>
                              <w:rFonts w:ascii="Cambria Math" w:eastAsia="Calibri" w:hAnsi="Cambria Math"/>
                              <w:i/>
                            </w:rPr>
                          </m:ctrlPr>
                        </m:barPr>
                        <m:e>
                          <m:r>
                            <w:rPr>
                              <w:rFonts w:ascii="Cambria Math" w:eastAsia="Calibri" w:hAnsi="Cambria Math"/>
                            </w:rPr>
                            <m:t>x</m:t>
                          </m:r>
                        </m:e>
                      </m:bar>
                    </m:e>
                    <m:sub>
                      <m:r>
                        <w:rPr>
                          <w:rFonts w:ascii="Cambria Math" w:eastAsia="Calibri" w:hAnsi="Cambria Math"/>
                        </w:rPr>
                        <m:t>te</m:t>
                      </m:r>
                    </m:sub>
                  </m:sSub>
                  <m:r>
                    <w:rPr>
                      <w:rFonts w:ascii="Cambria Math" w:eastAsia="Calibri" w:hAnsi="Cambria Math"/>
                    </w:rPr>
                    <m:t>-</m:t>
                  </m:r>
                  <m:sSub>
                    <m:sSubPr>
                      <m:ctrlPr>
                        <w:rPr>
                          <w:rFonts w:ascii="Cambria Math" w:eastAsia="Calibri" w:hAnsi="Cambria Math"/>
                          <w:i/>
                        </w:rPr>
                      </m:ctrlPr>
                    </m:sSubPr>
                    <m:e>
                      <m:bar>
                        <m:barPr>
                          <m:pos m:val="top"/>
                          <m:ctrlPr>
                            <w:rPr>
                              <w:rFonts w:ascii="Cambria Math" w:eastAsia="Calibri" w:hAnsi="Cambria Math"/>
                              <w:i/>
                            </w:rPr>
                          </m:ctrlPr>
                        </m:barPr>
                        <m:e>
                          <m:r>
                            <w:rPr>
                              <w:rFonts w:ascii="Cambria Math" w:eastAsia="Calibri" w:hAnsi="Cambria Math"/>
                            </w:rPr>
                            <m:t>x</m:t>
                          </m:r>
                        </m:e>
                      </m:bar>
                    </m:e>
                    <m:sub>
                      <m:r>
                        <w:rPr>
                          <w:rFonts w:ascii="Cambria Math" w:eastAsia="Calibri" w:hAnsi="Cambria Math"/>
                        </w:rPr>
                        <m:t>e</m:t>
                      </m:r>
                    </m:sub>
                  </m:sSub>
                </m:e>
              </m:d>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D</m:t>
                  </m:r>
                </m:e>
                <m:sub>
                  <m:r>
                    <w:rPr>
                      <w:rFonts w:ascii="Cambria Math" w:eastAsia="Calibri" w:hAnsi="Cambria Math"/>
                    </w:rPr>
                    <m:t>0</m:t>
                  </m:r>
                </m:sub>
              </m:sSub>
            </m:num>
            <m:den>
              <m:rad>
                <m:radPr>
                  <m:degHide m:val="1"/>
                  <m:ctrlPr>
                    <w:rPr>
                      <w:rFonts w:ascii="Cambria Math" w:eastAsia="Calibri" w:hAnsi="Cambria Math"/>
                      <w:i/>
                    </w:rPr>
                  </m:ctrlPr>
                </m:radPr>
                <m:deg/>
                <m:e>
                  <m:f>
                    <m:fPr>
                      <m:ctrlPr>
                        <w:rPr>
                          <w:rFonts w:ascii="Cambria Math" w:eastAsia="Calibri" w:hAnsi="Cambria Math"/>
                          <w:i/>
                        </w:rPr>
                      </m:ctrlPr>
                    </m:fPr>
                    <m:num>
                      <m:sSubSup>
                        <m:sSubSupPr>
                          <m:ctrlPr>
                            <w:rPr>
                              <w:rFonts w:ascii="Cambria Math" w:eastAsia="Calibri" w:hAnsi="Cambria Math"/>
                              <w:i/>
                            </w:rPr>
                          </m:ctrlPr>
                        </m:sSubSupPr>
                        <m:e>
                          <m:r>
                            <w:rPr>
                              <w:rFonts w:ascii="Cambria Math" w:eastAsia="Calibri" w:hAnsi="Cambria Math"/>
                            </w:rPr>
                            <m:t>s</m:t>
                          </m:r>
                        </m:e>
                        <m:sub>
                          <m:r>
                            <w:rPr>
                              <w:rFonts w:ascii="Cambria Math" w:eastAsia="Calibri" w:hAnsi="Cambria Math"/>
                            </w:rPr>
                            <m:t>te</m:t>
                          </m:r>
                        </m:sub>
                        <m:sup>
                          <m:r>
                            <w:rPr>
                              <w:rFonts w:ascii="Cambria Math" w:eastAsia="Calibri" w:hAnsi="Cambria Math"/>
                            </w:rPr>
                            <m:t>2</m:t>
                          </m:r>
                        </m:sup>
                      </m:sSubSup>
                    </m:num>
                    <m:den>
                      <m:sSub>
                        <m:sSubPr>
                          <m:ctrlPr>
                            <w:rPr>
                              <w:rFonts w:ascii="Cambria Math" w:eastAsia="Calibri" w:hAnsi="Cambria Math"/>
                              <w:i/>
                            </w:rPr>
                          </m:ctrlPr>
                        </m:sSubPr>
                        <m:e>
                          <m:r>
                            <w:rPr>
                              <w:rFonts w:ascii="Cambria Math" w:eastAsia="Calibri" w:hAnsi="Cambria Math"/>
                            </w:rPr>
                            <m:t>n</m:t>
                          </m:r>
                        </m:e>
                        <m:sub>
                          <m:r>
                            <w:rPr>
                              <w:rFonts w:ascii="Cambria Math" w:eastAsia="Calibri" w:hAnsi="Cambria Math"/>
                            </w:rPr>
                            <m:t>te</m:t>
                          </m:r>
                        </m:sub>
                      </m:sSub>
                    </m:den>
                  </m:f>
                  <m:r>
                    <w:rPr>
                      <w:rFonts w:ascii="Cambria Math" w:eastAsia="Calibri" w:hAnsi="Cambria Math"/>
                    </w:rPr>
                    <m:t>+</m:t>
                  </m:r>
                  <m:f>
                    <m:fPr>
                      <m:ctrlPr>
                        <w:rPr>
                          <w:rFonts w:ascii="Cambria Math" w:eastAsia="Calibri" w:hAnsi="Cambria Math"/>
                          <w:i/>
                        </w:rPr>
                      </m:ctrlPr>
                    </m:fPr>
                    <m:num>
                      <m:sSubSup>
                        <m:sSubSupPr>
                          <m:ctrlPr>
                            <w:rPr>
                              <w:rFonts w:ascii="Cambria Math" w:eastAsia="Calibri" w:hAnsi="Cambria Math"/>
                              <w:i/>
                            </w:rPr>
                          </m:ctrlPr>
                        </m:sSubSupPr>
                        <m:e>
                          <m:r>
                            <w:rPr>
                              <w:rFonts w:ascii="Cambria Math" w:eastAsia="Calibri" w:hAnsi="Cambria Math"/>
                            </w:rPr>
                            <m:t>s</m:t>
                          </m:r>
                        </m:e>
                        <m:sub>
                          <m:r>
                            <w:rPr>
                              <w:rFonts w:ascii="Cambria Math" w:eastAsia="Calibri" w:hAnsi="Cambria Math"/>
                            </w:rPr>
                            <m:t>e</m:t>
                          </m:r>
                        </m:sub>
                        <m:sup>
                          <m:r>
                            <w:rPr>
                              <w:rFonts w:ascii="Cambria Math" w:eastAsia="Calibri" w:hAnsi="Cambria Math"/>
                            </w:rPr>
                            <m:t>2</m:t>
                          </m:r>
                        </m:sup>
                      </m:sSubSup>
                    </m:num>
                    <m:den>
                      <m:sSub>
                        <m:sSubPr>
                          <m:ctrlPr>
                            <w:rPr>
                              <w:rFonts w:ascii="Cambria Math" w:eastAsia="Calibri" w:hAnsi="Cambria Math"/>
                              <w:i/>
                            </w:rPr>
                          </m:ctrlPr>
                        </m:sSubPr>
                        <m:e>
                          <m:r>
                            <w:rPr>
                              <w:rFonts w:ascii="Cambria Math" w:eastAsia="Calibri" w:hAnsi="Cambria Math"/>
                            </w:rPr>
                            <m:t>n</m:t>
                          </m:r>
                        </m:e>
                        <m:sub>
                          <m:r>
                            <w:rPr>
                              <w:rFonts w:ascii="Cambria Math" w:eastAsia="Calibri" w:hAnsi="Cambria Math"/>
                            </w:rPr>
                            <m:t>e</m:t>
                          </m:r>
                        </m:sub>
                      </m:sSub>
                    </m:den>
                  </m:f>
                </m:e>
              </m:rad>
            </m:den>
          </m:f>
        </m:oMath>
      </m:oMathPara>
    </w:p>
    <w:p w14:paraId="5346C640" w14:textId="0B3C3C30" w:rsidR="00742BF0" w:rsidRPr="00DD322C" w:rsidRDefault="00742BF0" w:rsidP="001D36B9">
      <w:pPr>
        <w:spacing w:line="360" w:lineRule="auto"/>
        <w:jc w:val="both"/>
      </w:pPr>
      <w:r w:rsidRPr="00DD322C">
        <w:t>Donde</w:t>
      </w:r>
    </w:p>
    <w:p w14:paraId="5D307172" w14:textId="4C7794CF" w:rsidR="00742BF0" w:rsidRPr="00DD322C" w:rsidRDefault="00000000" w:rsidP="001D36B9">
      <w:pPr>
        <w:spacing w:line="360" w:lineRule="auto"/>
        <w:jc w:val="both"/>
        <w:rPr>
          <w:rFonts w:eastAsiaTheme="minorEastAsia"/>
        </w:rPr>
      </w:pP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x</m:t>
                </m:r>
              </m:e>
            </m:bar>
          </m:e>
          <m:sub>
            <m:r>
              <w:rPr>
                <w:rFonts w:ascii="Cambria Math" w:hAnsi="Cambria Math"/>
              </w:rPr>
              <m:t>te</m:t>
            </m:r>
          </m:sub>
        </m:sSub>
        <m:r>
          <w:rPr>
            <w:rFonts w:ascii="Cambria Math" w:hAnsi="Cambria Math"/>
          </w:rPr>
          <m:t>:</m:t>
        </m:r>
      </m:oMath>
      <w:r w:rsidR="007F3A56" w:rsidRPr="00DD322C">
        <w:rPr>
          <w:rFonts w:eastAsiaTheme="minorEastAsia"/>
        </w:rPr>
        <w:t xml:space="preserve"> </w:t>
      </w:r>
      <w:r w:rsidR="005856A1" w:rsidRPr="00DD322C">
        <w:rPr>
          <w:rFonts w:eastAsiaTheme="minorEastAsia"/>
        </w:rPr>
        <w:t>Media de</w:t>
      </w:r>
      <w:r w:rsidR="00B82637" w:rsidRPr="00DD322C">
        <w:rPr>
          <w:rFonts w:eastAsiaTheme="minorEastAsia"/>
        </w:rPr>
        <w:t>l número de</w:t>
      </w:r>
      <w:r w:rsidR="005856A1" w:rsidRPr="00DD322C">
        <w:rPr>
          <w:rFonts w:eastAsiaTheme="minorEastAsia"/>
        </w:rPr>
        <w:t xml:space="preserve"> materias reprobadas por </w:t>
      </w:r>
      <w:r w:rsidR="00742BF0" w:rsidRPr="00DD322C">
        <w:rPr>
          <w:rFonts w:eastAsiaTheme="minorEastAsia"/>
        </w:rPr>
        <w:t>estudiantes que trabajan y estudian</w:t>
      </w:r>
      <w:r w:rsidR="00B82637" w:rsidRPr="00DD322C">
        <w:rPr>
          <w:rFonts w:eastAsiaTheme="minorEastAsia"/>
        </w:rPr>
        <w:t>.</w:t>
      </w:r>
    </w:p>
    <w:p w14:paraId="267D0758" w14:textId="2294B6AC" w:rsidR="00742BF0" w:rsidRPr="00DD322C" w:rsidRDefault="00000000" w:rsidP="001D36B9">
      <w:pPr>
        <w:spacing w:line="360" w:lineRule="auto"/>
        <w:jc w:val="both"/>
        <w:rPr>
          <w:rFonts w:eastAsiaTheme="minorEastAsia"/>
        </w:rPr>
      </w:pP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x</m:t>
                </m:r>
              </m:e>
            </m:bar>
          </m:e>
          <m:sub>
            <m:r>
              <w:rPr>
                <w:rFonts w:ascii="Cambria Math" w:hAnsi="Cambria Math"/>
              </w:rPr>
              <m:t>e</m:t>
            </m:r>
          </m:sub>
        </m:sSub>
        <m:r>
          <w:rPr>
            <w:rFonts w:ascii="Cambria Math" w:hAnsi="Cambria Math"/>
          </w:rPr>
          <m:t>:</m:t>
        </m:r>
      </m:oMath>
      <w:r w:rsidR="007F3A56" w:rsidRPr="00DD322C">
        <w:rPr>
          <w:rFonts w:eastAsiaTheme="minorEastAsia"/>
        </w:rPr>
        <w:t xml:space="preserve"> </w:t>
      </w:r>
      <w:r w:rsidR="00FE428F" w:rsidRPr="00DD322C">
        <w:rPr>
          <w:rFonts w:eastAsiaTheme="minorEastAsia"/>
        </w:rPr>
        <w:t>Media del número de materias reprobadas por estudiantes que solo estudian.</w:t>
      </w:r>
    </w:p>
    <w:p w14:paraId="258F8826" w14:textId="77777777" w:rsidR="00742BF0" w:rsidRPr="00DD322C" w:rsidRDefault="00000000" w:rsidP="001D36B9">
      <w:pPr>
        <w:spacing w:line="360" w:lineRule="auto"/>
        <w:jc w:val="both"/>
        <w:rPr>
          <w:rFonts w:eastAsiaTheme="minorEastAsia"/>
        </w:rPr>
      </w:pPr>
      <m:oMath>
        <m:sSub>
          <m:sSubPr>
            <m:ctrlPr>
              <w:rPr>
                <w:rFonts w:ascii="Cambria Math" w:hAnsi="Cambria Math"/>
                <w:i/>
              </w:rPr>
            </m:ctrlPr>
          </m:sSubPr>
          <m:e>
            <m:r>
              <w:rPr>
                <w:rFonts w:ascii="Cambria Math" w:hAnsi="Cambria Math"/>
              </w:rPr>
              <m:t>n</m:t>
            </m:r>
          </m:e>
          <m:sub>
            <m:r>
              <w:rPr>
                <w:rFonts w:ascii="Cambria Math" w:hAnsi="Cambria Math"/>
              </w:rPr>
              <m:t>te</m:t>
            </m:r>
          </m:sub>
        </m:sSub>
        <m:r>
          <w:rPr>
            <w:rFonts w:ascii="Cambria Math" w:hAnsi="Cambria Math"/>
          </w:rPr>
          <m:t>:</m:t>
        </m:r>
      </m:oMath>
      <w:r w:rsidR="00742BF0" w:rsidRPr="00DD322C">
        <w:rPr>
          <w:rFonts w:eastAsiaTheme="minorEastAsia"/>
        </w:rPr>
        <w:t xml:space="preserve"> Tamaño de la muestra de estudiantes que trabajan y estudian.</w:t>
      </w:r>
    </w:p>
    <w:p w14:paraId="0E66D0BB" w14:textId="77316C23" w:rsidR="00742BF0" w:rsidRPr="00DD322C" w:rsidRDefault="00000000" w:rsidP="001D36B9">
      <w:pPr>
        <w:spacing w:line="360" w:lineRule="auto"/>
        <w:jc w:val="both"/>
        <w:rPr>
          <w:rFonts w:eastAsiaTheme="minorEastAsia"/>
        </w:rPr>
      </w:pPr>
      <m:oMath>
        <m:sSub>
          <m:sSubPr>
            <m:ctrlPr>
              <w:rPr>
                <w:rFonts w:ascii="Cambria Math" w:hAnsi="Cambria Math"/>
                <w:i/>
              </w:rPr>
            </m:ctrlPr>
          </m:sSubPr>
          <m:e>
            <m:r>
              <w:rPr>
                <w:rFonts w:ascii="Cambria Math" w:hAnsi="Cambria Math"/>
              </w:rPr>
              <m:t>n</m:t>
            </m:r>
          </m:e>
          <m:sub>
            <m:r>
              <w:rPr>
                <w:rFonts w:ascii="Cambria Math" w:hAnsi="Cambria Math"/>
              </w:rPr>
              <m:t>e</m:t>
            </m:r>
          </m:sub>
        </m:sSub>
        <m:r>
          <w:rPr>
            <w:rFonts w:ascii="Cambria Math" w:hAnsi="Cambria Math"/>
          </w:rPr>
          <m:t>:</m:t>
        </m:r>
      </m:oMath>
      <w:r w:rsidR="00742BF0" w:rsidRPr="00DD322C">
        <w:rPr>
          <w:rFonts w:eastAsiaTheme="minorEastAsia"/>
        </w:rPr>
        <w:t xml:space="preserve"> Tamaño de la muestra de estudiantes que s</w:t>
      </w:r>
      <w:r w:rsidR="006B0AAD">
        <w:rPr>
          <w:rFonts w:eastAsiaTheme="minorEastAsia"/>
        </w:rPr>
        <w:t>o</w:t>
      </w:r>
      <w:r w:rsidR="00742BF0" w:rsidRPr="00DD322C">
        <w:rPr>
          <w:rFonts w:eastAsiaTheme="minorEastAsia"/>
        </w:rPr>
        <w:t>lo estudian.</w:t>
      </w:r>
    </w:p>
    <w:p w14:paraId="19624EE2" w14:textId="77777777" w:rsidR="00773A44" w:rsidRPr="00DD322C" w:rsidRDefault="00000000" w:rsidP="001D36B9">
      <w:pPr>
        <w:spacing w:line="360" w:lineRule="auto"/>
        <w:rPr>
          <w:rFonts w:eastAsiaTheme="minorEastAsia"/>
        </w:rPr>
      </w:pPr>
      <m:oMath>
        <m:sSubSup>
          <m:sSubSupPr>
            <m:ctrlPr>
              <w:rPr>
                <w:rFonts w:ascii="Cambria Math" w:eastAsia="Calibri" w:hAnsi="Cambria Math"/>
                <w:i/>
              </w:rPr>
            </m:ctrlPr>
          </m:sSubSupPr>
          <m:e>
            <m:r>
              <w:rPr>
                <w:rFonts w:ascii="Cambria Math" w:eastAsia="Calibri" w:hAnsi="Cambria Math"/>
              </w:rPr>
              <m:t>s</m:t>
            </m:r>
          </m:e>
          <m:sub>
            <m:r>
              <w:rPr>
                <w:rFonts w:ascii="Cambria Math" w:eastAsia="Calibri" w:hAnsi="Cambria Math"/>
              </w:rPr>
              <m:t>te</m:t>
            </m:r>
          </m:sub>
          <m:sup>
            <m:r>
              <w:rPr>
                <w:rFonts w:ascii="Cambria Math" w:eastAsia="Calibri" w:hAnsi="Cambria Math"/>
              </w:rPr>
              <m:t>2</m:t>
            </m:r>
          </m:sup>
        </m:sSubSup>
        <m:r>
          <w:rPr>
            <w:rFonts w:ascii="Cambria Math" w:eastAsia="Calibri" w:hAnsi="Cambria Math"/>
          </w:rPr>
          <m:t>:</m:t>
        </m:r>
      </m:oMath>
      <w:r w:rsidR="00717F72" w:rsidRPr="00DD322C">
        <w:rPr>
          <w:rFonts w:eastAsiaTheme="minorEastAsia"/>
        </w:rPr>
        <w:t xml:space="preserve"> Varianza del número de materias reprobadas por </w:t>
      </w:r>
      <w:r w:rsidR="000D2661" w:rsidRPr="00DD322C">
        <w:rPr>
          <w:rFonts w:eastAsiaTheme="minorEastAsia"/>
        </w:rPr>
        <w:t>estudiantes que trabajan y estudian.</w:t>
      </w:r>
    </w:p>
    <w:p w14:paraId="6B78E960" w14:textId="77777777" w:rsidR="000D2661" w:rsidRPr="00DD322C" w:rsidRDefault="00000000" w:rsidP="001D36B9">
      <w:pPr>
        <w:spacing w:line="360" w:lineRule="auto"/>
        <w:rPr>
          <w:rFonts w:eastAsiaTheme="minorEastAsia"/>
        </w:rPr>
      </w:pPr>
      <m:oMath>
        <m:sSubSup>
          <m:sSubSupPr>
            <m:ctrlPr>
              <w:rPr>
                <w:rFonts w:ascii="Cambria Math" w:eastAsia="Calibri" w:hAnsi="Cambria Math"/>
                <w:i/>
              </w:rPr>
            </m:ctrlPr>
          </m:sSubSupPr>
          <m:e>
            <m:r>
              <w:rPr>
                <w:rFonts w:ascii="Cambria Math" w:eastAsia="Calibri" w:hAnsi="Cambria Math"/>
              </w:rPr>
              <m:t>s</m:t>
            </m:r>
          </m:e>
          <m:sub>
            <m:r>
              <w:rPr>
                <w:rFonts w:ascii="Cambria Math" w:eastAsia="Calibri" w:hAnsi="Cambria Math"/>
              </w:rPr>
              <m:t>e</m:t>
            </m:r>
          </m:sub>
          <m:sup>
            <m:r>
              <w:rPr>
                <w:rFonts w:ascii="Cambria Math" w:eastAsia="Calibri" w:hAnsi="Cambria Math"/>
              </w:rPr>
              <m:t>2</m:t>
            </m:r>
          </m:sup>
        </m:sSubSup>
        <m:r>
          <w:rPr>
            <w:rFonts w:ascii="Cambria Math" w:eastAsia="Calibri" w:hAnsi="Cambria Math"/>
          </w:rPr>
          <m:t>:</m:t>
        </m:r>
      </m:oMath>
      <w:r w:rsidR="000D2661" w:rsidRPr="00DD322C">
        <w:rPr>
          <w:rFonts w:eastAsiaTheme="minorEastAsia"/>
        </w:rPr>
        <w:t xml:space="preserve"> Varianza del número de materias reprobadas por estudiantes que </w:t>
      </w:r>
      <w:r w:rsidR="00FA7B6A" w:rsidRPr="00DD322C">
        <w:rPr>
          <w:rFonts w:eastAsiaTheme="minorEastAsia"/>
        </w:rPr>
        <w:t>s</w:t>
      </w:r>
      <w:r w:rsidR="00277B68" w:rsidRPr="00DD322C">
        <w:rPr>
          <w:rFonts w:eastAsiaTheme="minorEastAsia"/>
        </w:rPr>
        <w:t>o</w:t>
      </w:r>
      <w:r w:rsidR="00FA7B6A" w:rsidRPr="00DD322C">
        <w:rPr>
          <w:rFonts w:eastAsiaTheme="minorEastAsia"/>
        </w:rPr>
        <w:t>lo estudian.</w:t>
      </w:r>
    </w:p>
    <w:p w14:paraId="189DE756" w14:textId="77777777" w:rsidR="009E1254" w:rsidRPr="00DD322C" w:rsidRDefault="00000000" w:rsidP="001D36B9">
      <w:pPr>
        <w:spacing w:line="360" w:lineRule="auto"/>
        <w:rPr>
          <w:rFonts w:eastAsiaTheme="minorEastAsia"/>
        </w:rPr>
      </w:pPr>
      <m:oMath>
        <m:sSub>
          <m:sSubPr>
            <m:ctrlPr>
              <w:rPr>
                <w:rFonts w:ascii="Cambria Math" w:eastAsia="Calibri" w:hAnsi="Cambria Math"/>
                <w:i/>
              </w:rPr>
            </m:ctrlPr>
          </m:sSubPr>
          <m:e>
            <m:r>
              <w:rPr>
                <w:rFonts w:ascii="Cambria Math" w:eastAsia="Calibri" w:hAnsi="Cambria Math"/>
              </w:rPr>
              <m:t>D</m:t>
            </m:r>
          </m:e>
          <m:sub>
            <m:r>
              <w:rPr>
                <w:rFonts w:ascii="Cambria Math" w:eastAsia="Calibri" w:hAnsi="Cambria Math"/>
              </w:rPr>
              <m:t>0</m:t>
            </m:r>
          </m:sub>
        </m:sSub>
        <m:r>
          <w:rPr>
            <w:rFonts w:ascii="Cambria Math" w:eastAsia="Calibri" w:hAnsi="Cambria Math"/>
          </w:rPr>
          <m:t>:</m:t>
        </m:r>
      </m:oMath>
      <w:r w:rsidR="009E1254" w:rsidRPr="00DD322C">
        <w:rPr>
          <w:rFonts w:eastAsiaTheme="minorEastAsia"/>
        </w:rPr>
        <w:t xml:space="preserve"> Valor de la diferencia de las medias </w:t>
      </w:r>
      <w:r w:rsidR="00B73F37" w:rsidRPr="00DD322C">
        <w:rPr>
          <w:rFonts w:eastAsiaTheme="minorEastAsia"/>
        </w:rPr>
        <w:t>contemplada en la hipótesis nula de la prueba.</w:t>
      </w:r>
    </w:p>
    <w:p w14:paraId="7CC09199" w14:textId="77777777" w:rsidR="000D2661" w:rsidRDefault="000D2661" w:rsidP="007F3A56">
      <w:pPr>
        <w:rPr>
          <w:rFonts w:eastAsiaTheme="minorEastAsia"/>
        </w:rPr>
      </w:pPr>
    </w:p>
    <w:p w14:paraId="65642B1F" w14:textId="77777777" w:rsidR="00F56DB9" w:rsidRDefault="00F56DB9" w:rsidP="007F3A56">
      <w:pPr>
        <w:rPr>
          <w:rFonts w:eastAsiaTheme="minorEastAsia"/>
        </w:rPr>
      </w:pPr>
    </w:p>
    <w:p w14:paraId="2E6518B3" w14:textId="77777777" w:rsidR="00F56DB9" w:rsidRDefault="00F56DB9" w:rsidP="007F3A56">
      <w:pPr>
        <w:rPr>
          <w:rFonts w:eastAsiaTheme="minorEastAsia"/>
        </w:rPr>
      </w:pPr>
    </w:p>
    <w:p w14:paraId="53EF8D8D" w14:textId="77777777" w:rsidR="00F56DB9" w:rsidRDefault="00F56DB9" w:rsidP="007F3A56">
      <w:pPr>
        <w:rPr>
          <w:rFonts w:eastAsiaTheme="minorEastAsia"/>
        </w:rPr>
      </w:pPr>
    </w:p>
    <w:p w14:paraId="7ABAAEBC" w14:textId="77777777" w:rsidR="00F56DB9" w:rsidRDefault="00F56DB9" w:rsidP="007F3A56">
      <w:pPr>
        <w:rPr>
          <w:rFonts w:eastAsiaTheme="minorEastAsia"/>
        </w:rPr>
      </w:pPr>
    </w:p>
    <w:p w14:paraId="159D2626" w14:textId="77777777" w:rsidR="00F56DB9" w:rsidRDefault="00F56DB9" w:rsidP="007F3A56">
      <w:pPr>
        <w:rPr>
          <w:rFonts w:eastAsiaTheme="minorEastAsia"/>
        </w:rPr>
      </w:pPr>
    </w:p>
    <w:p w14:paraId="0382BF57" w14:textId="77777777" w:rsidR="00F56DB9" w:rsidRDefault="00F56DB9" w:rsidP="007F3A56">
      <w:pPr>
        <w:rPr>
          <w:rFonts w:eastAsiaTheme="minorEastAsia"/>
        </w:rPr>
      </w:pPr>
    </w:p>
    <w:p w14:paraId="0FA3F17C" w14:textId="77777777" w:rsidR="00F56DB9" w:rsidRDefault="00F56DB9" w:rsidP="007F3A56">
      <w:pPr>
        <w:rPr>
          <w:rFonts w:eastAsiaTheme="minorEastAsia"/>
        </w:rPr>
      </w:pPr>
    </w:p>
    <w:p w14:paraId="3AB65D23" w14:textId="77777777" w:rsidR="00F56DB9" w:rsidRPr="00DD322C" w:rsidRDefault="00F56DB9" w:rsidP="007F3A56">
      <w:pPr>
        <w:rPr>
          <w:rFonts w:eastAsiaTheme="minorEastAsia"/>
        </w:rPr>
      </w:pPr>
    </w:p>
    <w:p w14:paraId="029EA61A" w14:textId="76E0E1A5" w:rsidR="00B73E77" w:rsidRPr="00DD322C" w:rsidRDefault="00B73E77" w:rsidP="009067CC">
      <w:pPr>
        <w:spacing w:line="360" w:lineRule="auto"/>
        <w:jc w:val="center"/>
      </w:pPr>
      <w:r w:rsidRPr="00DD322C">
        <w:rPr>
          <w:b/>
          <w:bCs/>
        </w:rPr>
        <w:lastRenderedPageBreak/>
        <w:t xml:space="preserve">Tabla </w:t>
      </w:r>
      <w:r w:rsidR="00D555C6" w:rsidRPr="00DD322C">
        <w:rPr>
          <w:b/>
          <w:bCs/>
        </w:rPr>
        <w:t>2.</w:t>
      </w:r>
      <w:r w:rsidR="007F3A56" w:rsidRPr="00DD322C">
        <w:rPr>
          <w:b/>
          <w:bCs/>
        </w:rPr>
        <w:t xml:space="preserve"> </w:t>
      </w:r>
      <w:r w:rsidRPr="00DD322C">
        <w:t xml:space="preserve">T de </w:t>
      </w:r>
      <w:proofErr w:type="spellStart"/>
      <w:r w:rsidRPr="00DD322C">
        <w:t>Student</w:t>
      </w:r>
      <w:proofErr w:type="spellEnd"/>
      <w:r w:rsidRPr="00DD322C">
        <w:t xml:space="preserve"> de promedio de materias reprobadas entre alumnos que trabajan y estudian y alumnos que solo estudian</w:t>
      </w:r>
    </w:p>
    <w:tbl>
      <w:tblPr>
        <w:tblStyle w:val="Tablaconcuadrcula"/>
        <w:tblW w:w="0" w:type="auto"/>
        <w:jc w:val="center"/>
        <w:tblLook w:val="04A0" w:firstRow="1" w:lastRow="0" w:firstColumn="1" w:lastColumn="0" w:noHBand="0" w:noVBand="1"/>
      </w:tblPr>
      <w:tblGrid>
        <w:gridCol w:w="4414"/>
        <w:gridCol w:w="4414"/>
      </w:tblGrid>
      <w:tr w:rsidR="00B73E77" w:rsidRPr="00DD322C" w14:paraId="1A6E82EE" w14:textId="77777777" w:rsidTr="009067CC">
        <w:trPr>
          <w:jc w:val="center"/>
        </w:trPr>
        <w:tc>
          <w:tcPr>
            <w:tcW w:w="4414" w:type="dxa"/>
          </w:tcPr>
          <w:p w14:paraId="1B56EF51" w14:textId="77777777" w:rsidR="00B73E77" w:rsidRPr="00DD322C" w:rsidRDefault="00B73E77" w:rsidP="007E5D89">
            <w:pPr>
              <w:jc w:val="both"/>
            </w:pPr>
            <w:r w:rsidRPr="00DD322C">
              <w:t>Prueba de hipótesis de todos los alumnos</w:t>
            </w:r>
            <w:r w:rsidR="00E557EE" w:rsidRPr="00DD322C">
              <w:t xml:space="preserve"> (con y sin materias reprobadas)</w:t>
            </w:r>
          </w:p>
        </w:tc>
        <w:tc>
          <w:tcPr>
            <w:tcW w:w="4414" w:type="dxa"/>
          </w:tcPr>
          <w:p w14:paraId="7127AEEC" w14:textId="77777777" w:rsidR="00B73E77" w:rsidRPr="00DD322C" w:rsidRDefault="00B73E77" w:rsidP="007E5D89">
            <w:pPr>
              <w:jc w:val="both"/>
            </w:pPr>
            <w:r w:rsidRPr="00DD322C">
              <w:t>Prueba de hipótesis de alumnos que manifestaron haber reprobado</w:t>
            </w:r>
            <w:r w:rsidR="00F51733" w:rsidRPr="00DD322C">
              <w:t xml:space="preserve"> al menos una materia</w:t>
            </w:r>
          </w:p>
        </w:tc>
      </w:tr>
      <w:tr w:rsidR="00A8050D" w:rsidRPr="00DD322C" w14:paraId="000E8144" w14:textId="77777777" w:rsidTr="00072A2D">
        <w:trPr>
          <w:jc w:val="center"/>
        </w:trPr>
        <w:tc>
          <w:tcPr>
            <w:tcW w:w="8828" w:type="dxa"/>
            <w:gridSpan w:val="2"/>
          </w:tcPr>
          <w:p w14:paraId="1CA1AD38" w14:textId="77777777" w:rsidR="00A8050D" w:rsidRPr="00DD322C" w:rsidRDefault="00A8050D" w:rsidP="007E5D89">
            <w:pPr>
              <w:jc w:val="both"/>
            </w:pPr>
            <w:r w:rsidRPr="00DD322C">
              <w:t>H</w:t>
            </w:r>
            <w:r w:rsidRPr="00DD322C">
              <w:rPr>
                <w:vertAlign w:val="subscript"/>
              </w:rPr>
              <w:t>0</w:t>
            </w:r>
            <w:r w:rsidRPr="00DD322C">
              <w:t xml:space="preserve">: No hay diferencia en el promedio de materias reprobadas entre alumnos que trabajan y los que solo estudian. </w:t>
            </w:r>
          </w:p>
          <w:p w14:paraId="017EFF23" w14:textId="04444192" w:rsidR="00A8050D" w:rsidRPr="00DD322C" w:rsidRDefault="00A8050D" w:rsidP="007E5D89">
            <w:pPr>
              <w:jc w:val="both"/>
            </w:pPr>
            <w:r w:rsidRPr="00DD322C">
              <w:t>H</w:t>
            </w:r>
            <w:r w:rsidRPr="00DD322C">
              <w:rPr>
                <w:vertAlign w:val="subscript"/>
              </w:rPr>
              <w:t>1</w:t>
            </w:r>
            <w:r w:rsidRPr="00DD322C">
              <w:t>: El promedio de materias reprobadas por los alumnos que trabajan y estudian es mayor al promedio de materias reprobadas de los alumnos que s</w:t>
            </w:r>
            <w:r w:rsidR="006B0AAD">
              <w:t>o</w:t>
            </w:r>
            <w:r w:rsidRPr="00DD322C">
              <w:t>lo estudian.</w:t>
            </w:r>
          </w:p>
        </w:tc>
      </w:tr>
      <w:tr w:rsidR="00B11BD5" w:rsidRPr="00DD322C" w14:paraId="54D1E1EE" w14:textId="77777777" w:rsidTr="00072A2D">
        <w:trPr>
          <w:jc w:val="center"/>
        </w:trPr>
        <w:tc>
          <w:tcPr>
            <w:tcW w:w="8828" w:type="dxa"/>
            <w:gridSpan w:val="2"/>
          </w:tcPr>
          <w:p w14:paraId="4781ACE0" w14:textId="77777777" w:rsidR="00B11BD5" w:rsidRPr="00DD322C" w:rsidRDefault="00B11BD5" w:rsidP="007E5D89">
            <w:pPr>
              <w:jc w:val="both"/>
            </w:pPr>
            <w:r w:rsidRPr="00DD322C">
              <w:t>Prueba de extremo derecho</w:t>
            </w:r>
            <w:r w:rsidR="00EC5C63" w:rsidRPr="00DD322C">
              <w:t>.</w:t>
            </w:r>
          </w:p>
        </w:tc>
      </w:tr>
      <w:tr w:rsidR="00B11BD5" w:rsidRPr="00DD322C" w14:paraId="19DAFCC9" w14:textId="77777777" w:rsidTr="00072A2D">
        <w:trPr>
          <w:jc w:val="center"/>
        </w:trPr>
        <w:tc>
          <w:tcPr>
            <w:tcW w:w="8828" w:type="dxa"/>
            <w:gridSpan w:val="2"/>
          </w:tcPr>
          <w:p w14:paraId="12D53EE8" w14:textId="77777777" w:rsidR="00B11BD5" w:rsidRPr="00DD322C" w:rsidRDefault="00B11BD5" w:rsidP="007E5D89">
            <w:pPr>
              <w:jc w:val="both"/>
            </w:pPr>
            <w:r w:rsidRPr="00DD322C">
              <w:t>Significancia: 0.05</w:t>
            </w:r>
          </w:p>
        </w:tc>
      </w:tr>
      <w:tr w:rsidR="00B73E77" w:rsidRPr="00DD322C" w14:paraId="01B9ADC2" w14:textId="77777777" w:rsidTr="009067CC">
        <w:trPr>
          <w:jc w:val="center"/>
        </w:trPr>
        <w:tc>
          <w:tcPr>
            <w:tcW w:w="4414" w:type="dxa"/>
          </w:tcPr>
          <w:p w14:paraId="01206ED5" w14:textId="77777777" w:rsidR="00B73E77" w:rsidRPr="00DD322C" w:rsidRDefault="00B73E77" w:rsidP="007E5D89">
            <w:pPr>
              <w:jc w:val="both"/>
            </w:pPr>
            <w:r w:rsidRPr="00DD322C">
              <w:t xml:space="preserve">Valor crítico de </w:t>
            </w:r>
            <m:oMath>
              <m:r>
                <w:rPr>
                  <w:rFonts w:ascii="Cambria Math" w:hAnsi="Cambria Math"/>
                </w:rPr>
                <m:t>t=1.65</m:t>
              </m:r>
            </m:oMath>
          </w:p>
        </w:tc>
        <w:tc>
          <w:tcPr>
            <w:tcW w:w="4414" w:type="dxa"/>
          </w:tcPr>
          <w:p w14:paraId="5448A39D" w14:textId="77777777" w:rsidR="00B73E77" w:rsidRPr="00DD322C" w:rsidRDefault="00B73E77" w:rsidP="007E5D89">
            <w:pPr>
              <w:jc w:val="both"/>
            </w:pPr>
            <w:r w:rsidRPr="00DD322C">
              <w:t xml:space="preserve">Valor crítico de </w:t>
            </w:r>
            <m:oMath>
              <m:r>
                <w:rPr>
                  <w:rFonts w:ascii="Cambria Math" w:hAnsi="Cambria Math"/>
                </w:rPr>
                <m:t>t=1.67</m:t>
              </m:r>
            </m:oMath>
          </w:p>
        </w:tc>
      </w:tr>
      <w:tr w:rsidR="00B73E77" w:rsidRPr="00DD322C" w14:paraId="36350E75" w14:textId="77777777" w:rsidTr="009067CC">
        <w:trPr>
          <w:jc w:val="center"/>
        </w:trPr>
        <w:tc>
          <w:tcPr>
            <w:tcW w:w="4414" w:type="dxa"/>
          </w:tcPr>
          <w:p w14:paraId="4B4BA3BF" w14:textId="4B4F3B0D" w:rsidR="00B73E77" w:rsidRPr="00DD322C" w:rsidRDefault="00B73E77" w:rsidP="007E5D89">
            <w:pPr>
              <w:jc w:val="both"/>
            </w:pPr>
            <w:r w:rsidRPr="00DD322C">
              <w:t>Valor de t calculado:</w:t>
            </w:r>
            <w:r w:rsidR="007067A8">
              <w:t xml:space="preserve"> </w:t>
            </w:r>
            <m:oMath>
              <m:r>
                <w:rPr>
                  <w:rFonts w:ascii="Cambria Math" w:hAnsi="Cambria Math"/>
                </w:rPr>
                <m:t>t=2.35</m:t>
              </m:r>
            </m:oMath>
          </w:p>
        </w:tc>
        <w:tc>
          <w:tcPr>
            <w:tcW w:w="4414" w:type="dxa"/>
          </w:tcPr>
          <w:p w14:paraId="2FD5C00A" w14:textId="45C2BE2B" w:rsidR="00B73E77" w:rsidRPr="00DD322C" w:rsidRDefault="00B73E77" w:rsidP="007E5D89">
            <w:pPr>
              <w:jc w:val="both"/>
            </w:pPr>
            <w:r w:rsidRPr="00DD322C">
              <w:t>Valor de t calculado:</w:t>
            </w:r>
            <w:r w:rsidR="007067A8">
              <w:t xml:space="preserve"> </w:t>
            </w:r>
            <m:oMath>
              <m:r>
                <w:rPr>
                  <w:rFonts w:ascii="Cambria Math" w:hAnsi="Cambria Math"/>
                </w:rPr>
                <m:t>t=0.27</m:t>
              </m:r>
            </m:oMath>
          </w:p>
        </w:tc>
      </w:tr>
      <w:tr w:rsidR="00B73E77" w:rsidRPr="00DD322C" w14:paraId="01BEFAC8" w14:textId="77777777" w:rsidTr="009067CC">
        <w:trPr>
          <w:jc w:val="center"/>
        </w:trPr>
        <w:tc>
          <w:tcPr>
            <w:tcW w:w="4414" w:type="dxa"/>
          </w:tcPr>
          <w:p w14:paraId="2C787BA4" w14:textId="77777777" w:rsidR="00B73E77" w:rsidRPr="00DD322C" w:rsidRDefault="0033056B" w:rsidP="007E5D89">
            <w:pPr>
              <w:jc w:val="both"/>
            </w:pPr>
            <w:r w:rsidRPr="00DD322C">
              <w:t>Decis</w:t>
            </w:r>
            <w:r w:rsidR="00B73E77" w:rsidRPr="00DD322C">
              <w:t xml:space="preserve">ión: </w:t>
            </w:r>
          </w:p>
          <w:p w14:paraId="252C13F4" w14:textId="77777777" w:rsidR="00B73E77" w:rsidRPr="00DD322C" w:rsidRDefault="00B73E77" w:rsidP="007E5D89">
            <w:pPr>
              <w:jc w:val="both"/>
            </w:pPr>
            <w:r w:rsidRPr="00DD322C">
              <w:t>La hipótesis nula debe rechazarse</w:t>
            </w:r>
          </w:p>
        </w:tc>
        <w:tc>
          <w:tcPr>
            <w:tcW w:w="4414" w:type="dxa"/>
          </w:tcPr>
          <w:p w14:paraId="27063529" w14:textId="77777777" w:rsidR="00B73E77" w:rsidRPr="00DD322C" w:rsidRDefault="0033056B" w:rsidP="007E5D89">
            <w:pPr>
              <w:jc w:val="both"/>
            </w:pPr>
            <w:r w:rsidRPr="00DD322C">
              <w:t>Decis</w:t>
            </w:r>
            <w:r w:rsidR="00B73E77" w:rsidRPr="00DD322C">
              <w:t xml:space="preserve">ión: </w:t>
            </w:r>
          </w:p>
          <w:p w14:paraId="34321E3E" w14:textId="77777777" w:rsidR="00B73E77" w:rsidRPr="00DD322C" w:rsidRDefault="00B73E77" w:rsidP="007E5D89">
            <w:pPr>
              <w:jc w:val="both"/>
            </w:pPr>
            <w:r w:rsidRPr="00DD322C">
              <w:t>La hipótesis nula debe aceptarse</w:t>
            </w:r>
          </w:p>
        </w:tc>
      </w:tr>
      <w:tr w:rsidR="00200533" w:rsidRPr="00DD322C" w14:paraId="57A7043E" w14:textId="77777777" w:rsidTr="009067CC">
        <w:trPr>
          <w:jc w:val="center"/>
        </w:trPr>
        <w:tc>
          <w:tcPr>
            <w:tcW w:w="4414" w:type="dxa"/>
          </w:tcPr>
          <w:p w14:paraId="16A77E5C" w14:textId="553C66A0" w:rsidR="00200533" w:rsidRPr="00DD322C" w:rsidRDefault="00200533" w:rsidP="007E5D89">
            <w:pPr>
              <w:jc w:val="both"/>
            </w:pPr>
            <w:r w:rsidRPr="00DD322C">
              <w:t>Conclusión: El promedio de materias reprobadas por los alumnos que trabajan y estudian es mayor al promedio de materias reprobadas de los alumnos que s</w:t>
            </w:r>
            <w:r w:rsidR="006B0AAD">
              <w:t>o</w:t>
            </w:r>
            <w:r w:rsidRPr="00DD322C">
              <w:t>lo estudian.</w:t>
            </w:r>
          </w:p>
        </w:tc>
        <w:tc>
          <w:tcPr>
            <w:tcW w:w="4414" w:type="dxa"/>
          </w:tcPr>
          <w:p w14:paraId="32A74FA4" w14:textId="77777777" w:rsidR="00200533" w:rsidRPr="00DD322C" w:rsidRDefault="00A23E93" w:rsidP="007E5D89">
            <w:pPr>
              <w:jc w:val="both"/>
            </w:pPr>
            <w:r w:rsidRPr="00DD322C">
              <w:t>Conclusión: No hay diferencia en el promedio de materias reprobadas entre alumnos que trabajan y los que solo estudian.</w:t>
            </w:r>
          </w:p>
        </w:tc>
      </w:tr>
    </w:tbl>
    <w:p w14:paraId="22A03A40" w14:textId="10CA3B1B" w:rsidR="006B0AAD" w:rsidRPr="00DD322C" w:rsidRDefault="006B0AAD" w:rsidP="001D36B9">
      <w:pPr>
        <w:spacing w:line="360" w:lineRule="auto"/>
        <w:ind w:firstLine="240"/>
        <w:jc w:val="center"/>
      </w:pPr>
      <w:r w:rsidRPr="00DD322C">
        <w:t>Fuente: Elaboración propia</w:t>
      </w:r>
    </w:p>
    <w:p w14:paraId="35FFF5CE" w14:textId="77777777" w:rsidR="006B0AAD" w:rsidRDefault="006B0AAD" w:rsidP="006B0AAD">
      <w:pPr>
        <w:spacing w:line="360" w:lineRule="auto"/>
        <w:ind w:firstLine="708"/>
        <w:jc w:val="both"/>
      </w:pPr>
      <w:r w:rsidRPr="00860E7B">
        <w:t xml:space="preserve">En </w:t>
      </w:r>
      <w:r>
        <w:t>resumen</w:t>
      </w:r>
      <w:r w:rsidRPr="00860E7B">
        <w:t xml:space="preserve">, los resultados presentados en la </w:t>
      </w:r>
      <w:r>
        <w:t>t</w:t>
      </w:r>
      <w:r w:rsidRPr="00860E7B">
        <w:t>abla 2 indican que las pruebas de hipótesis realizadas con un nivel de significancia de 0.05 confirman que el promedio de materias reprobadas por el conjunto total de estudiantes que trabajan y estudian es estadísticamente superior al promedio de materias reprobadas de aquellos que únicamente se dedican a estudiar. Además, la prueba correspondiente para la media de materias reprobadas aplicada exclusivamente a los alumnos que admitieron haber reprobado al menos una materia demostró que no existe una diferencia significativa entre ambos grupos en cuanto al promedio de materias reprobadas.</w:t>
      </w:r>
    </w:p>
    <w:p w14:paraId="7C74804F" w14:textId="77777777" w:rsidR="009067CC" w:rsidRPr="00DD322C" w:rsidRDefault="009067CC" w:rsidP="00250B3D">
      <w:pPr>
        <w:spacing w:line="360" w:lineRule="auto"/>
        <w:ind w:firstLine="240"/>
        <w:jc w:val="both"/>
      </w:pPr>
    </w:p>
    <w:p w14:paraId="4DFAE1AA" w14:textId="37BC8696" w:rsidR="009D694A" w:rsidRDefault="008D7859" w:rsidP="001D36B9">
      <w:pPr>
        <w:spacing w:line="360" w:lineRule="auto"/>
        <w:jc w:val="center"/>
        <w:rPr>
          <w:b/>
          <w:bCs/>
        </w:rPr>
      </w:pPr>
      <w:r w:rsidRPr="00B060D4">
        <w:rPr>
          <w:b/>
          <w:bCs/>
        </w:rPr>
        <w:t>La jornada de trabajo y el desempeño académico</w:t>
      </w:r>
    </w:p>
    <w:p w14:paraId="121925BF" w14:textId="77777777" w:rsidR="006B0AAD" w:rsidRDefault="006B0AAD" w:rsidP="006B0AAD">
      <w:pPr>
        <w:spacing w:line="360" w:lineRule="auto"/>
        <w:ind w:firstLine="708"/>
        <w:jc w:val="both"/>
      </w:pPr>
      <w:r>
        <w:t>Utilizando</w:t>
      </w:r>
      <w:r w:rsidRPr="00860E7B">
        <w:t xml:space="preserve"> </w:t>
      </w:r>
      <w:r>
        <w:t xml:space="preserve">como estadístico </w:t>
      </w:r>
      <w:r w:rsidRPr="00860E7B">
        <w:t xml:space="preserve">una regresión lineal simple con el </w:t>
      </w:r>
      <w:r>
        <w:t>apoyo</w:t>
      </w:r>
      <w:r w:rsidRPr="00860E7B">
        <w:t xml:space="preserve"> de Excel, se identificó una correlación entre el número de horas semanales dedicadas al trabajo por parte de los estudiantes (clasificadas en siete categorías que incluyen a aquellos que solo estudian) y el promedio de los promedios de calificaciones obtenidas en cada categoría. El coeficiente de determinación de la regresión obtenido entre estas dos variables fue de 0.426, lo cual representa un coeficiente de correlación de -0.648. Este resultado indica una correlación fuerte entre las dos variables </w:t>
      </w:r>
      <w:r>
        <w:t>(f</w:t>
      </w:r>
      <w:r w:rsidRPr="00860E7B">
        <w:t>igura 3</w:t>
      </w:r>
      <w:r>
        <w:t>)</w:t>
      </w:r>
      <w:r w:rsidRPr="00860E7B">
        <w:t>.</w:t>
      </w:r>
    </w:p>
    <w:p w14:paraId="3C3FD73D" w14:textId="77777777" w:rsidR="00F56DB9" w:rsidRDefault="00F56DB9" w:rsidP="001D36B9">
      <w:pPr>
        <w:spacing w:line="360" w:lineRule="auto"/>
        <w:jc w:val="center"/>
        <w:rPr>
          <w:b/>
          <w:lang w:val="es-ES"/>
        </w:rPr>
      </w:pPr>
    </w:p>
    <w:p w14:paraId="0B09BB23" w14:textId="77777777" w:rsidR="00F56DB9" w:rsidRDefault="00F56DB9" w:rsidP="001D36B9">
      <w:pPr>
        <w:spacing w:line="360" w:lineRule="auto"/>
        <w:jc w:val="center"/>
        <w:rPr>
          <w:b/>
          <w:lang w:val="es-ES"/>
        </w:rPr>
      </w:pPr>
    </w:p>
    <w:p w14:paraId="3A963844" w14:textId="7831013F" w:rsidR="00D555C6" w:rsidRPr="001D36B9" w:rsidRDefault="00EB2F93" w:rsidP="001D36B9">
      <w:pPr>
        <w:spacing w:line="360" w:lineRule="auto"/>
        <w:jc w:val="center"/>
        <w:rPr>
          <w:lang w:val="es-ES"/>
        </w:rPr>
      </w:pPr>
      <w:r w:rsidRPr="00DD322C">
        <w:rPr>
          <w:b/>
          <w:lang w:val="es-ES"/>
        </w:rPr>
        <w:lastRenderedPageBreak/>
        <w:t>Figura 3</w:t>
      </w:r>
      <w:r>
        <w:rPr>
          <w:b/>
          <w:lang w:val="es-ES"/>
        </w:rPr>
        <w:t>.</w:t>
      </w:r>
      <w:r w:rsidRPr="00DD322C">
        <w:rPr>
          <w:lang w:val="es-ES"/>
        </w:rPr>
        <w:t xml:space="preserve"> Promedio acumulado vs</w:t>
      </w:r>
      <w:r>
        <w:rPr>
          <w:lang w:val="es-ES"/>
        </w:rPr>
        <w:t>.</w:t>
      </w:r>
      <w:r w:rsidRPr="00DD322C">
        <w:rPr>
          <w:lang w:val="es-ES"/>
        </w:rPr>
        <w:t xml:space="preserve"> horas semanales trabajadas</w:t>
      </w:r>
    </w:p>
    <w:p w14:paraId="2FF9520F" w14:textId="77777777" w:rsidR="00D555C6" w:rsidRPr="00DD322C" w:rsidRDefault="00541A91" w:rsidP="009067CC">
      <w:pPr>
        <w:spacing w:line="360" w:lineRule="auto"/>
        <w:jc w:val="center"/>
        <w:rPr>
          <w:b/>
          <w:lang w:val="es-ES"/>
        </w:rPr>
      </w:pPr>
      <w:r w:rsidRPr="00DD322C">
        <w:rPr>
          <w:noProof/>
          <w:lang w:val="es-MX" w:eastAsia="es-MX"/>
        </w:rPr>
        <w:drawing>
          <wp:inline distT="0" distB="0" distL="0" distR="0" wp14:anchorId="275EC98C" wp14:editId="7A66BA73">
            <wp:extent cx="3523683" cy="2619375"/>
            <wp:effectExtent l="0" t="0" r="635" b="0"/>
            <wp:docPr id="2041991136" name="Imagen 4" descr="Gráfico, Gráfico de dispers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991136" name="Imagen 4" descr="Gráfico, Gráfico de dispersión&#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7084" cy="2621903"/>
                    </a:xfrm>
                    <a:prstGeom prst="rect">
                      <a:avLst/>
                    </a:prstGeom>
                    <a:noFill/>
                    <a:ln>
                      <a:noFill/>
                    </a:ln>
                  </pic:spPr>
                </pic:pic>
              </a:graphicData>
            </a:graphic>
          </wp:inline>
        </w:drawing>
      </w:r>
    </w:p>
    <w:p w14:paraId="0204D3B6" w14:textId="1E9A083D" w:rsidR="00D555C6" w:rsidRPr="001D36B9" w:rsidRDefault="00D555C6" w:rsidP="001D36B9">
      <w:pPr>
        <w:spacing w:line="360" w:lineRule="auto"/>
        <w:jc w:val="center"/>
        <w:rPr>
          <w:lang w:val="es-ES"/>
        </w:rPr>
      </w:pPr>
      <w:r w:rsidRPr="00DD322C">
        <w:rPr>
          <w:lang w:val="es-ES"/>
        </w:rPr>
        <w:t>Fuente: Elaboración propia</w:t>
      </w:r>
    </w:p>
    <w:p w14:paraId="41D1F6B7" w14:textId="77777777" w:rsidR="00EB2F93" w:rsidRDefault="00EB2F93" w:rsidP="00EB2F93">
      <w:pPr>
        <w:spacing w:line="360" w:lineRule="auto"/>
        <w:ind w:firstLine="708"/>
        <w:jc w:val="both"/>
      </w:pPr>
      <w:r w:rsidRPr="00860E7B">
        <w:t xml:space="preserve">Con base en este hallazgo, podemos establecer que por cada 10 horas de trabajo el promedio disminuye en 0.7338, </w:t>
      </w:r>
      <w:r>
        <w:t xml:space="preserve">lo que evidencia </w:t>
      </w:r>
      <w:r w:rsidRPr="00860E7B">
        <w:t>una correlación significativa entre el promedio de calificaciones y las horas laboradas semanalmente.</w:t>
      </w:r>
    </w:p>
    <w:p w14:paraId="2EF2AE10" w14:textId="62E77CB4" w:rsidR="00EB2F93" w:rsidRPr="00860E7B" w:rsidRDefault="00EB2F93" w:rsidP="00EB2F93">
      <w:pPr>
        <w:spacing w:line="360" w:lineRule="auto"/>
        <w:ind w:firstLine="708"/>
        <w:jc w:val="both"/>
      </w:pPr>
      <w:r w:rsidRPr="00860E7B">
        <w:t xml:space="preserve">Adicionalmente, se </w:t>
      </w:r>
      <w:r>
        <w:t>indagó en</w:t>
      </w:r>
      <w:r w:rsidRPr="00860E7B">
        <w:t xml:space="preserve"> la correlación entre el número de horas semanales trabajadas y el promedio de materias reprobadas por los estudiantes</w:t>
      </w:r>
      <w:r w:rsidR="00883747">
        <w:t>, lo que se puede apreciar en la tabla 3</w:t>
      </w:r>
      <w:r w:rsidRPr="00860E7B">
        <w:t xml:space="preserve">. </w:t>
      </w:r>
      <w:r>
        <w:t>Para eso, s</w:t>
      </w:r>
      <w:r w:rsidRPr="00860E7B">
        <w:t xml:space="preserve">e utilizó la función de </w:t>
      </w:r>
      <w:r>
        <w:t>r</w:t>
      </w:r>
      <w:r w:rsidRPr="00860E7B">
        <w:t>egresión del complemento de análisis de datos de Excel (regresión lineal simple) para identificar la existencia de una correlación lineal entre las variables</w:t>
      </w:r>
      <w:r>
        <w:t xml:space="preserve">. En tal sentido, se consideraron </w:t>
      </w:r>
      <w:r w:rsidRPr="00860E7B">
        <w:t>las categorías relativas a la duración de la jornada laboral semanal como variable independiente y el promedio de asignaturas reprobadas por los estudiantes, incluyendo a aquellos que solo estudian.</w:t>
      </w:r>
    </w:p>
    <w:p w14:paraId="447F7F21" w14:textId="77777777" w:rsidR="007D457E" w:rsidRPr="00DD322C" w:rsidRDefault="007D457E" w:rsidP="00250B3D">
      <w:pPr>
        <w:spacing w:line="360" w:lineRule="auto"/>
        <w:ind w:firstLine="240"/>
        <w:jc w:val="both"/>
      </w:pPr>
    </w:p>
    <w:p w14:paraId="49480506" w14:textId="2706E997" w:rsidR="00D555C6" w:rsidRPr="00DD322C" w:rsidRDefault="00D555C6" w:rsidP="009067CC">
      <w:pPr>
        <w:spacing w:line="360" w:lineRule="auto"/>
        <w:jc w:val="center"/>
        <w:rPr>
          <w:lang w:val="es-MX"/>
        </w:rPr>
      </w:pPr>
      <w:r w:rsidRPr="00DD322C">
        <w:rPr>
          <w:b/>
          <w:lang w:val="es-MX"/>
        </w:rPr>
        <w:t>Tabla 3</w:t>
      </w:r>
      <w:r w:rsidR="00EB2F93">
        <w:rPr>
          <w:b/>
          <w:lang w:val="es-MX"/>
        </w:rPr>
        <w:t>.</w:t>
      </w:r>
      <w:r w:rsidRPr="00DD322C">
        <w:rPr>
          <w:lang w:val="es-MX"/>
        </w:rPr>
        <w:t xml:space="preserve"> Horas semanales trabajadas y promedio de materias reprobadas</w:t>
      </w:r>
    </w:p>
    <w:tbl>
      <w:tblPr>
        <w:tblW w:w="4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0"/>
        <w:gridCol w:w="1092"/>
        <w:gridCol w:w="1985"/>
      </w:tblGrid>
      <w:tr w:rsidR="00D555C6" w:rsidRPr="00DD322C" w14:paraId="458FECCA" w14:textId="77777777" w:rsidTr="00250B3D">
        <w:trPr>
          <w:trHeight w:val="255"/>
          <w:jc w:val="center"/>
        </w:trPr>
        <w:tc>
          <w:tcPr>
            <w:tcW w:w="1880" w:type="dxa"/>
            <w:shd w:val="clear" w:color="auto" w:fill="auto"/>
            <w:noWrap/>
            <w:vAlign w:val="center"/>
            <w:hideMark/>
          </w:tcPr>
          <w:p w14:paraId="6AF586C0" w14:textId="5B3E5795" w:rsidR="00D555C6" w:rsidRPr="00DD322C" w:rsidRDefault="00D555C6" w:rsidP="007E5D89">
            <w:pPr>
              <w:jc w:val="both"/>
              <w:rPr>
                <w:rFonts w:eastAsia="Times New Roman"/>
              </w:rPr>
            </w:pPr>
            <w:r w:rsidRPr="00DD322C">
              <w:rPr>
                <w:rFonts w:eastAsia="Times New Roman"/>
              </w:rPr>
              <w:t xml:space="preserve">Horas </w:t>
            </w:r>
            <w:r w:rsidR="00EB2F93">
              <w:rPr>
                <w:rFonts w:eastAsia="Times New Roman"/>
              </w:rPr>
              <w:t>s</w:t>
            </w:r>
            <w:r w:rsidRPr="00DD322C">
              <w:rPr>
                <w:rFonts w:eastAsia="Times New Roman"/>
              </w:rPr>
              <w:t xml:space="preserve">emanales </w:t>
            </w:r>
            <w:r w:rsidR="00EB2F93">
              <w:rPr>
                <w:rFonts w:eastAsia="Times New Roman"/>
              </w:rPr>
              <w:t>t</w:t>
            </w:r>
            <w:r w:rsidRPr="00DD322C">
              <w:rPr>
                <w:rFonts w:eastAsia="Times New Roman"/>
              </w:rPr>
              <w:t>rabajadas</w:t>
            </w:r>
          </w:p>
        </w:tc>
        <w:tc>
          <w:tcPr>
            <w:tcW w:w="1092" w:type="dxa"/>
            <w:vAlign w:val="center"/>
          </w:tcPr>
          <w:p w14:paraId="683F7034" w14:textId="77777777" w:rsidR="00D555C6" w:rsidRPr="00DD322C" w:rsidRDefault="00D555C6" w:rsidP="007E5D89">
            <w:pPr>
              <w:jc w:val="both"/>
              <w:rPr>
                <w:rFonts w:eastAsia="Times New Roman"/>
              </w:rPr>
            </w:pPr>
            <w:r w:rsidRPr="00DD322C">
              <w:rPr>
                <w:rFonts w:eastAsia="Times New Roman"/>
              </w:rPr>
              <w:t>Categoría</w:t>
            </w:r>
          </w:p>
        </w:tc>
        <w:tc>
          <w:tcPr>
            <w:tcW w:w="1985" w:type="dxa"/>
            <w:shd w:val="clear" w:color="auto" w:fill="auto"/>
            <w:noWrap/>
            <w:vAlign w:val="center"/>
            <w:hideMark/>
          </w:tcPr>
          <w:p w14:paraId="64C06FDA" w14:textId="77777777" w:rsidR="00D555C6" w:rsidRPr="00DD322C" w:rsidRDefault="00D555C6" w:rsidP="007E5D89">
            <w:pPr>
              <w:jc w:val="both"/>
              <w:rPr>
                <w:rFonts w:eastAsia="Times New Roman"/>
              </w:rPr>
            </w:pPr>
            <w:r w:rsidRPr="00DD322C">
              <w:rPr>
                <w:rFonts w:eastAsia="Times New Roman"/>
              </w:rPr>
              <w:t>Promedio de materias reprobadas</w:t>
            </w:r>
          </w:p>
        </w:tc>
      </w:tr>
      <w:tr w:rsidR="00D555C6" w:rsidRPr="00DD322C" w14:paraId="54585642" w14:textId="77777777" w:rsidTr="00250B3D">
        <w:trPr>
          <w:trHeight w:val="255"/>
          <w:jc w:val="center"/>
        </w:trPr>
        <w:tc>
          <w:tcPr>
            <w:tcW w:w="1880" w:type="dxa"/>
            <w:shd w:val="clear" w:color="auto" w:fill="auto"/>
            <w:noWrap/>
            <w:vAlign w:val="center"/>
            <w:hideMark/>
          </w:tcPr>
          <w:p w14:paraId="3D7BDF1E" w14:textId="77777777" w:rsidR="00D555C6" w:rsidRPr="00DD322C" w:rsidRDefault="00D555C6" w:rsidP="007E5D89">
            <w:pPr>
              <w:ind w:left="209"/>
              <w:jc w:val="both"/>
              <w:rPr>
                <w:rFonts w:eastAsia="Times New Roman"/>
              </w:rPr>
            </w:pPr>
            <w:r w:rsidRPr="00DD322C">
              <w:rPr>
                <w:rFonts w:eastAsia="Times New Roman"/>
              </w:rPr>
              <w:t>0 (No trabaja)</w:t>
            </w:r>
          </w:p>
        </w:tc>
        <w:tc>
          <w:tcPr>
            <w:tcW w:w="1092" w:type="dxa"/>
            <w:vAlign w:val="center"/>
          </w:tcPr>
          <w:p w14:paraId="542B64A7" w14:textId="77777777" w:rsidR="00D555C6" w:rsidRPr="00DD322C" w:rsidRDefault="00D555C6" w:rsidP="007E5D89">
            <w:pPr>
              <w:jc w:val="center"/>
              <w:rPr>
                <w:rFonts w:eastAsia="Times New Roman"/>
              </w:rPr>
            </w:pPr>
            <w:r w:rsidRPr="00DD322C">
              <w:rPr>
                <w:rFonts w:eastAsia="Times New Roman"/>
              </w:rPr>
              <w:t>1</w:t>
            </w:r>
          </w:p>
        </w:tc>
        <w:tc>
          <w:tcPr>
            <w:tcW w:w="1985" w:type="dxa"/>
            <w:shd w:val="clear" w:color="auto" w:fill="auto"/>
            <w:noWrap/>
            <w:vAlign w:val="center"/>
            <w:hideMark/>
          </w:tcPr>
          <w:p w14:paraId="1FC143F2" w14:textId="77777777" w:rsidR="00D555C6" w:rsidRPr="00DD322C" w:rsidRDefault="00D555C6" w:rsidP="007E5D89">
            <w:pPr>
              <w:jc w:val="center"/>
              <w:rPr>
                <w:rFonts w:eastAsia="Times New Roman"/>
              </w:rPr>
            </w:pPr>
            <w:r w:rsidRPr="00DD322C">
              <w:rPr>
                <w:rFonts w:eastAsia="Times New Roman"/>
              </w:rPr>
              <w:t>0.7</w:t>
            </w:r>
          </w:p>
        </w:tc>
      </w:tr>
      <w:tr w:rsidR="00D555C6" w:rsidRPr="00DD322C" w14:paraId="1A6EE029" w14:textId="77777777" w:rsidTr="00250B3D">
        <w:trPr>
          <w:trHeight w:val="255"/>
          <w:jc w:val="center"/>
        </w:trPr>
        <w:tc>
          <w:tcPr>
            <w:tcW w:w="1880" w:type="dxa"/>
            <w:shd w:val="clear" w:color="auto" w:fill="auto"/>
            <w:noWrap/>
            <w:vAlign w:val="center"/>
            <w:hideMark/>
          </w:tcPr>
          <w:p w14:paraId="5BF1F66B" w14:textId="77777777" w:rsidR="00D555C6" w:rsidRPr="00DD322C" w:rsidRDefault="00D555C6" w:rsidP="007E5D89">
            <w:pPr>
              <w:ind w:left="209"/>
              <w:jc w:val="both"/>
              <w:rPr>
                <w:rFonts w:eastAsia="Times New Roman"/>
              </w:rPr>
            </w:pPr>
            <w:r w:rsidRPr="00DD322C">
              <w:rPr>
                <w:rFonts w:eastAsia="Times New Roman"/>
              </w:rPr>
              <w:t>1 a 9</w:t>
            </w:r>
          </w:p>
        </w:tc>
        <w:tc>
          <w:tcPr>
            <w:tcW w:w="1092" w:type="dxa"/>
            <w:vAlign w:val="center"/>
          </w:tcPr>
          <w:p w14:paraId="6C875BE8" w14:textId="77777777" w:rsidR="00D555C6" w:rsidRPr="00DD322C" w:rsidRDefault="00D555C6" w:rsidP="007E5D89">
            <w:pPr>
              <w:jc w:val="center"/>
              <w:rPr>
                <w:rFonts w:eastAsia="Times New Roman"/>
              </w:rPr>
            </w:pPr>
            <w:r w:rsidRPr="00DD322C">
              <w:rPr>
                <w:rFonts w:eastAsia="Times New Roman"/>
              </w:rPr>
              <w:t>2</w:t>
            </w:r>
          </w:p>
        </w:tc>
        <w:tc>
          <w:tcPr>
            <w:tcW w:w="1985" w:type="dxa"/>
            <w:shd w:val="clear" w:color="auto" w:fill="auto"/>
            <w:noWrap/>
            <w:vAlign w:val="center"/>
            <w:hideMark/>
          </w:tcPr>
          <w:p w14:paraId="1FDDC8D9" w14:textId="77777777" w:rsidR="00D555C6" w:rsidRPr="00DD322C" w:rsidRDefault="00D555C6" w:rsidP="007E5D89">
            <w:pPr>
              <w:jc w:val="center"/>
              <w:rPr>
                <w:rFonts w:eastAsia="Times New Roman"/>
              </w:rPr>
            </w:pPr>
            <w:r w:rsidRPr="00DD322C">
              <w:rPr>
                <w:rFonts w:eastAsia="Times New Roman"/>
              </w:rPr>
              <w:t>0.8</w:t>
            </w:r>
          </w:p>
        </w:tc>
      </w:tr>
      <w:tr w:rsidR="00D555C6" w:rsidRPr="00DD322C" w14:paraId="5D37899B" w14:textId="77777777" w:rsidTr="00250B3D">
        <w:trPr>
          <w:trHeight w:val="255"/>
          <w:jc w:val="center"/>
        </w:trPr>
        <w:tc>
          <w:tcPr>
            <w:tcW w:w="1880" w:type="dxa"/>
            <w:shd w:val="clear" w:color="auto" w:fill="auto"/>
            <w:noWrap/>
            <w:vAlign w:val="center"/>
            <w:hideMark/>
          </w:tcPr>
          <w:p w14:paraId="2A9A48A2" w14:textId="77777777" w:rsidR="00D555C6" w:rsidRPr="00DD322C" w:rsidRDefault="00D555C6" w:rsidP="007E5D89">
            <w:pPr>
              <w:ind w:left="209"/>
              <w:jc w:val="both"/>
              <w:rPr>
                <w:rFonts w:eastAsia="Times New Roman"/>
              </w:rPr>
            </w:pPr>
            <w:r w:rsidRPr="00DD322C">
              <w:rPr>
                <w:rFonts w:eastAsia="Times New Roman"/>
              </w:rPr>
              <w:t>10 a 19</w:t>
            </w:r>
          </w:p>
        </w:tc>
        <w:tc>
          <w:tcPr>
            <w:tcW w:w="1092" w:type="dxa"/>
            <w:vAlign w:val="center"/>
          </w:tcPr>
          <w:p w14:paraId="7BE12A1E" w14:textId="77777777" w:rsidR="00D555C6" w:rsidRPr="00DD322C" w:rsidRDefault="00D555C6" w:rsidP="007E5D89">
            <w:pPr>
              <w:jc w:val="center"/>
              <w:rPr>
                <w:rFonts w:eastAsia="Times New Roman"/>
              </w:rPr>
            </w:pPr>
            <w:r w:rsidRPr="00DD322C">
              <w:rPr>
                <w:rFonts w:eastAsia="Times New Roman"/>
              </w:rPr>
              <w:t>3</w:t>
            </w:r>
          </w:p>
        </w:tc>
        <w:tc>
          <w:tcPr>
            <w:tcW w:w="1985" w:type="dxa"/>
            <w:shd w:val="clear" w:color="auto" w:fill="auto"/>
            <w:noWrap/>
            <w:vAlign w:val="center"/>
            <w:hideMark/>
          </w:tcPr>
          <w:p w14:paraId="0819B4BE" w14:textId="77777777" w:rsidR="00D555C6" w:rsidRPr="00DD322C" w:rsidRDefault="00D555C6" w:rsidP="007E5D89">
            <w:pPr>
              <w:jc w:val="center"/>
              <w:rPr>
                <w:rFonts w:eastAsia="Times New Roman"/>
              </w:rPr>
            </w:pPr>
            <w:r w:rsidRPr="00DD322C">
              <w:rPr>
                <w:rFonts w:eastAsia="Times New Roman"/>
              </w:rPr>
              <w:t>0.9</w:t>
            </w:r>
          </w:p>
        </w:tc>
      </w:tr>
      <w:tr w:rsidR="00D555C6" w:rsidRPr="00DD322C" w14:paraId="04076141" w14:textId="77777777" w:rsidTr="00250B3D">
        <w:trPr>
          <w:trHeight w:val="255"/>
          <w:jc w:val="center"/>
        </w:trPr>
        <w:tc>
          <w:tcPr>
            <w:tcW w:w="1880" w:type="dxa"/>
            <w:shd w:val="clear" w:color="auto" w:fill="auto"/>
            <w:noWrap/>
            <w:vAlign w:val="center"/>
            <w:hideMark/>
          </w:tcPr>
          <w:p w14:paraId="36A6DC12" w14:textId="77777777" w:rsidR="00D555C6" w:rsidRPr="00DD322C" w:rsidRDefault="00D555C6" w:rsidP="007E5D89">
            <w:pPr>
              <w:ind w:left="209"/>
              <w:jc w:val="both"/>
              <w:rPr>
                <w:rFonts w:eastAsia="Times New Roman"/>
              </w:rPr>
            </w:pPr>
            <w:r w:rsidRPr="00DD322C">
              <w:rPr>
                <w:rFonts w:eastAsia="Times New Roman"/>
              </w:rPr>
              <w:t>20 a 29</w:t>
            </w:r>
          </w:p>
        </w:tc>
        <w:tc>
          <w:tcPr>
            <w:tcW w:w="1092" w:type="dxa"/>
            <w:vAlign w:val="center"/>
          </w:tcPr>
          <w:p w14:paraId="3A55736F" w14:textId="77777777" w:rsidR="00D555C6" w:rsidRPr="00DD322C" w:rsidRDefault="00D555C6" w:rsidP="007E5D89">
            <w:pPr>
              <w:jc w:val="center"/>
              <w:rPr>
                <w:rFonts w:eastAsia="Times New Roman"/>
              </w:rPr>
            </w:pPr>
            <w:r w:rsidRPr="00DD322C">
              <w:rPr>
                <w:rFonts w:eastAsia="Times New Roman"/>
              </w:rPr>
              <w:t>4</w:t>
            </w:r>
          </w:p>
        </w:tc>
        <w:tc>
          <w:tcPr>
            <w:tcW w:w="1985" w:type="dxa"/>
            <w:shd w:val="clear" w:color="auto" w:fill="auto"/>
            <w:noWrap/>
            <w:vAlign w:val="center"/>
            <w:hideMark/>
          </w:tcPr>
          <w:p w14:paraId="7B3A3B71" w14:textId="77777777" w:rsidR="00D555C6" w:rsidRPr="00DD322C" w:rsidRDefault="00D555C6" w:rsidP="007E5D89">
            <w:pPr>
              <w:jc w:val="center"/>
              <w:rPr>
                <w:rFonts w:eastAsia="Times New Roman"/>
              </w:rPr>
            </w:pPr>
            <w:r w:rsidRPr="00DD322C">
              <w:rPr>
                <w:rFonts w:eastAsia="Times New Roman"/>
              </w:rPr>
              <w:t>0.6</w:t>
            </w:r>
          </w:p>
        </w:tc>
      </w:tr>
      <w:tr w:rsidR="00D555C6" w:rsidRPr="00DD322C" w14:paraId="6E525FB9" w14:textId="77777777" w:rsidTr="00250B3D">
        <w:trPr>
          <w:trHeight w:val="255"/>
          <w:jc w:val="center"/>
        </w:trPr>
        <w:tc>
          <w:tcPr>
            <w:tcW w:w="1880" w:type="dxa"/>
            <w:shd w:val="clear" w:color="auto" w:fill="auto"/>
            <w:noWrap/>
            <w:vAlign w:val="center"/>
            <w:hideMark/>
          </w:tcPr>
          <w:p w14:paraId="2A2AB030" w14:textId="77777777" w:rsidR="00D555C6" w:rsidRPr="00DD322C" w:rsidRDefault="00D555C6" w:rsidP="007E5D89">
            <w:pPr>
              <w:ind w:left="209"/>
              <w:jc w:val="both"/>
              <w:rPr>
                <w:rFonts w:eastAsia="Times New Roman"/>
              </w:rPr>
            </w:pPr>
            <w:r w:rsidRPr="00DD322C">
              <w:rPr>
                <w:rFonts w:eastAsia="Times New Roman"/>
              </w:rPr>
              <w:t>30 a 39</w:t>
            </w:r>
          </w:p>
        </w:tc>
        <w:tc>
          <w:tcPr>
            <w:tcW w:w="1092" w:type="dxa"/>
            <w:vAlign w:val="center"/>
          </w:tcPr>
          <w:p w14:paraId="42B5F668" w14:textId="77777777" w:rsidR="00D555C6" w:rsidRPr="00DD322C" w:rsidRDefault="00D555C6" w:rsidP="007E5D89">
            <w:pPr>
              <w:jc w:val="center"/>
              <w:rPr>
                <w:rFonts w:eastAsia="Times New Roman"/>
              </w:rPr>
            </w:pPr>
            <w:r w:rsidRPr="00DD322C">
              <w:rPr>
                <w:rFonts w:eastAsia="Times New Roman"/>
              </w:rPr>
              <w:t>5</w:t>
            </w:r>
          </w:p>
        </w:tc>
        <w:tc>
          <w:tcPr>
            <w:tcW w:w="1985" w:type="dxa"/>
            <w:shd w:val="clear" w:color="auto" w:fill="auto"/>
            <w:noWrap/>
            <w:vAlign w:val="center"/>
            <w:hideMark/>
          </w:tcPr>
          <w:p w14:paraId="59BACCDF" w14:textId="77777777" w:rsidR="00D555C6" w:rsidRPr="00DD322C" w:rsidRDefault="00D555C6" w:rsidP="007E5D89">
            <w:pPr>
              <w:jc w:val="center"/>
              <w:rPr>
                <w:rFonts w:eastAsia="Times New Roman"/>
              </w:rPr>
            </w:pPr>
            <w:r w:rsidRPr="00DD322C">
              <w:rPr>
                <w:rFonts w:eastAsia="Times New Roman"/>
              </w:rPr>
              <w:t>1.3</w:t>
            </w:r>
          </w:p>
        </w:tc>
      </w:tr>
      <w:tr w:rsidR="00D555C6" w:rsidRPr="00DD322C" w14:paraId="59A6E207" w14:textId="77777777" w:rsidTr="00250B3D">
        <w:trPr>
          <w:trHeight w:val="255"/>
          <w:jc w:val="center"/>
        </w:trPr>
        <w:tc>
          <w:tcPr>
            <w:tcW w:w="1880" w:type="dxa"/>
            <w:shd w:val="clear" w:color="auto" w:fill="auto"/>
            <w:noWrap/>
            <w:vAlign w:val="center"/>
            <w:hideMark/>
          </w:tcPr>
          <w:p w14:paraId="692F3ECE" w14:textId="77777777" w:rsidR="00D555C6" w:rsidRPr="00DD322C" w:rsidRDefault="00D555C6" w:rsidP="007E5D89">
            <w:pPr>
              <w:ind w:left="209"/>
              <w:jc w:val="both"/>
              <w:rPr>
                <w:rFonts w:eastAsia="Times New Roman"/>
              </w:rPr>
            </w:pPr>
            <w:r w:rsidRPr="00DD322C">
              <w:rPr>
                <w:rFonts w:eastAsia="Times New Roman"/>
              </w:rPr>
              <w:t>40 a 49</w:t>
            </w:r>
          </w:p>
        </w:tc>
        <w:tc>
          <w:tcPr>
            <w:tcW w:w="1092" w:type="dxa"/>
            <w:vAlign w:val="center"/>
          </w:tcPr>
          <w:p w14:paraId="548955C0" w14:textId="77777777" w:rsidR="00D555C6" w:rsidRPr="00DD322C" w:rsidRDefault="00D555C6" w:rsidP="007E5D89">
            <w:pPr>
              <w:jc w:val="center"/>
              <w:rPr>
                <w:rFonts w:eastAsia="Times New Roman"/>
              </w:rPr>
            </w:pPr>
            <w:r w:rsidRPr="00DD322C">
              <w:rPr>
                <w:rFonts w:eastAsia="Times New Roman"/>
              </w:rPr>
              <w:t>6</w:t>
            </w:r>
          </w:p>
        </w:tc>
        <w:tc>
          <w:tcPr>
            <w:tcW w:w="1985" w:type="dxa"/>
            <w:shd w:val="clear" w:color="auto" w:fill="auto"/>
            <w:noWrap/>
            <w:vAlign w:val="center"/>
            <w:hideMark/>
          </w:tcPr>
          <w:p w14:paraId="33AB9CB0" w14:textId="77777777" w:rsidR="00D555C6" w:rsidRPr="00DD322C" w:rsidRDefault="00D555C6" w:rsidP="007E5D89">
            <w:pPr>
              <w:jc w:val="center"/>
              <w:rPr>
                <w:rFonts w:eastAsia="Times New Roman"/>
              </w:rPr>
            </w:pPr>
            <w:r w:rsidRPr="00DD322C">
              <w:rPr>
                <w:rFonts w:eastAsia="Times New Roman"/>
              </w:rPr>
              <w:t>1.2</w:t>
            </w:r>
          </w:p>
        </w:tc>
      </w:tr>
      <w:tr w:rsidR="00D555C6" w:rsidRPr="00DD322C" w14:paraId="7101C695" w14:textId="77777777" w:rsidTr="00250B3D">
        <w:trPr>
          <w:trHeight w:val="255"/>
          <w:jc w:val="center"/>
        </w:trPr>
        <w:tc>
          <w:tcPr>
            <w:tcW w:w="1880" w:type="dxa"/>
            <w:shd w:val="clear" w:color="auto" w:fill="auto"/>
            <w:noWrap/>
            <w:vAlign w:val="center"/>
            <w:hideMark/>
          </w:tcPr>
          <w:p w14:paraId="723A1B6E" w14:textId="77777777" w:rsidR="00D555C6" w:rsidRPr="00DD322C" w:rsidRDefault="00D555C6" w:rsidP="007E5D89">
            <w:pPr>
              <w:ind w:left="209"/>
              <w:jc w:val="both"/>
              <w:rPr>
                <w:rFonts w:eastAsia="Times New Roman"/>
              </w:rPr>
            </w:pPr>
            <w:r w:rsidRPr="00DD322C">
              <w:rPr>
                <w:rFonts w:eastAsia="Times New Roman"/>
              </w:rPr>
              <w:t>Más de 49</w:t>
            </w:r>
          </w:p>
        </w:tc>
        <w:tc>
          <w:tcPr>
            <w:tcW w:w="1092" w:type="dxa"/>
            <w:vAlign w:val="center"/>
          </w:tcPr>
          <w:p w14:paraId="3A3B3296" w14:textId="77777777" w:rsidR="00D555C6" w:rsidRPr="00DD322C" w:rsidRDefault="00D555C6" w:rsidP="007E5D89">
            <w:pPr>
              <w:jc w:val="center"/>
              <w:rPr>
                <w:rFonts w:eastAsia="Times New Roman"/>
              </w:rPr>
            </w:pPr>
            <w:r w:rsidRPr="00DD322C">
              <w:rPr>
                <w:rFonts w:eastAsia="Times New Roman"/>
              </w:rPr>
              <w:t>7</w:t>
            </w:r>
          </w:p>
        </w:tc>
        <w:tc>
          <w:tcPr>
            <w:tcW w:w="1985" w:type="dxa"/>
            <w:shd w:val="clear" w:color="auto" w:fill="auto"/>
            <w:noWrap/>
            <w:vAlign w:val="center"/>
            <w:hideMark/>
          </w:tcPr>
          <w:p w14:paraId="0C10866D" w14:textId="77777777" w:rsidR="00D555C6" w:rsidRPr="00DD322C" w:rsidRDefault="00D555C6" w:rsidP="007E5D89">
            <w:pPr>
              <w:jc w:val="center"/>
              <w:rPr>
                <w:rFonts w:eastAsia="Times New Roman"/>
              </w:rPr>
            </w:pPr>
            <w:r w:rsidRPr="00DD322C">
              <w:rPr>
                <w:rFonts w:eastAsia="Times New Roman"/>
              </w:rPr>
              <w:t>1.7</w:t>
            </w:r>
          </w:p>
        </w:tc>
      </w:tr>
    </w:tbl>
    <w:p w14:paraId="7572F13B" w14:textId="163ACB67" w:rsidR="00D555C6" w:rsidRPr="001D36B9" w:rsidRDefault="00D555C6" w:rsidP="001D36B9">
      <w:pPr>
        <w:spacing w:line="360" w:lineRule="auto"/>
        <w:jc w:val="center"/>
        <w:rPr>
          <w:lang w:val="es-ES"/>
        </w:rPr>
      </w:pPr>
      <w:r w:rsidRPr="00DD322C">
        <w:rPr>
          <w:lang w:val="es-ES"/>
        </w:rPr>
        <w:t>Fuente: Elaboración propia</w:t>
      </w:r>
    </w:p>
    <w:p w14:paraId="559D60E3" w14:textId="5DDA5033" w:rsidR="008D7859" w:rsidRPr="00DD322C" w:rsidRDefault="008D7859" w:rsidP="00EB2F93">
      <w:pPr>
        <w:spacing w:line="360" w:lineRule="auto"/>
        <w:ind w:firstLine="708"/>
        <w:jc w:val="both"/>
      </w:pPr>
      <w:r w:rsidRPr="00DD322C">
        <w:lastRenderedPageBreak/>
        <w:t xml:space="preserve">El resultado obtenido </w:t>
      </w:r>
      <w:r w:rsidR="00194F07" w:rsidRPr="00DD322C">
        <w:t xml:space="preserve">fue </w:t>
      </w:r>
      <w:r w:rsidRPr="00DD322C">
        <w:t>un coeficiente de determinación r</w:t>
      </w:r>
      <w:r w:rsidRPr="00DD322C">
        <w:rPr>
          <w:vertAlign w:val="superscript"/>
        </w:rPr>
        <w:t>2</w:t>
      </w:r>
      <w:r w:rsidRPr="00DD322C">
        <w:t xml:space="preserve"> igual a 0.6783 y un coeficiente de correlación de 0.8236, proporcionando además los coeficientes para la </w:t>
      </w:r>
      <w:r w:rsidR="00EB2F93" w:rsidRPr="00DD322C">
        <w:t xml:space="preserve">siguiente </w:t>
      </w:r>
      <w:r w:rsidRPr="00DD322C">
        <w:t>ecuación de regresión lineal simple:</w:t>
      </w:r>
    </w:p>
    <w:p w14:paraId="119AD96E" w14:textId="12884279" w:rsidR="008D7859" w:rsidRPr="00DD322C" w:rsidRDefault="008D7859" w:rsidP="00A214FD">
      <w:pPr>
        <w:spacing w:line="360" w:lineRule="auto"/>
        <w:jc w:val="both"/>
        <w:rPr>
          <w:rFonts w:eastAsiaTheme="minorEastAsia"/>
        </w:rPr>
      </w:pPr>
      <m:oMathPara>
        <m:oMath>
          <m:r>
            <w:rPr>
              <w:rFonts w:ascii="Cambria Math" w:hAnsi="Cambria Math"/>
            </w:rPr>
            <m:t>M=0.15 H+0.4186</m:t>
          </m:r>
        </m:oMath>
      </m:oMathPara>
    </w:p>
    <w:p w14:paraId="7C941930" w14:textId="245FE7A4" w:rsidR="008D7859" w:rsidRPr="00DD322C" w:rsidRDefault="008D7859" w:rsidP="00EB2F93">
      <w:pPr>
        <w:spacing w:line="360" w:lineRule="auto"/>
        <w:ind w:firstLine="708"/>
        <w:jc w:val="both"/>
        <w:rPr>
          <w:rFonts w:eastAsiaTheme="minorEastAsia"/>
        </w:rPr>
      </w:pPr>
      <w:r w:rsidRPr="00DD322C">
        <w:rPr>
          <w:rFonts w:eastAsiaTheme="minorEastAsia"/>
        </w:rPr>
        <w:t xml:space="preserve">En donde M es la estimación de materias reprobadas por un estudiante y H el número de horas semanales destinadas al trabajo. </w:t>
      </w:r>
      <w:r w:rsidR="00EB2F93">
        <w:rPr>
          <w:rFonts w:eastAsiaTheme="minorEastAsia"/>
        </w:rPr>
        <w:t xml:space="preserve">En consecuencia, </w:t>
      </w:r>
      <w:r w:rsidRPr="00DD322C">
        <w:rPr>
          <w:rFonts w:eastAsiaTheme="minorEastAsia"/>
        </w:rPr>
        <w:t>un estudiante que trabaja 8 horas por día tendría una alta probabilidad de reprobar por lo menos una materia.</w:t>
      </w:r>
    </w:p>
    <w:p w14:paraId="58974A89" w14:textId="106AD761" w:rsidR="008D7859" w:rsidRPr="00DD322C" w:rsidRDefault="008D7859" w:rsidP="00A214FD">
      <w:pPr>
        <w:spacing w:line="360" w:lineRule="auto"/>
        <w:jc w:val="both"/>
        <w:rPr>
          <w:rFonts w:eastAsiaTheme="minorEastAsia"/>
        </w:rPr>
      </w:pPr>
      <m:oMathPara>
        <m:oMath>
          <m:r>
            <w:rPr>
              <w:rFonts w:ascii="Cambria Math" w:eastAsiaTheme="minorEastAsia" w:hAnsi="Cambria Math"/>
            </w:rPr>
            <m:t xml:space="preserve">M=0.15 </m:t>
          </m:r>
          <m:d>
            <m:dPr>
              <m:ctrlPr>
                <w:rPr>
                  <w:rFonts w:ascii="Cambria Math" w:eastAsiaTheme="minorEastAsia" w:hAnsi="Cambria Math"/>
                  <w:i/>
                </w:rPr>
              </m:ctrlPr>
            </m:dPr>
            <m:e>
              <m:r>
                <w:rPr>
                  <w:rFonts w:ascii="Cambria Math" w:eastAsiaTheme="minorEastAsia" w:hAnsi="Cambria Math"/>
                </w:rPr>
                <m:t>8</m:t>
              </m:r>
            </m:e>
          </m:d>
          <m:r>
            <w:rPr>
              <w:rFonts w:ascii="Cambria Math" w:eastAsiaTheme="minorEastAsia" w:hAnsi="Cambria Math"/>
            </w:rPr>
            <m:t>+0.4186=1.61</m:t>
          </m:r>
        </m:oMath>
      </m:oMathPara>
    </w:p>
    <w:p w14:paraId="3F134C9A" w14:textId="0E4636ED" w:rsidR="008D7859" w:rsidRPr="00DD322C" w:rsidRDefault="008D7859" w:rsidP="00A214FD">
      <w:pPr>
        <w:spacing w:line="360" w:lineRule="auto"/>
        <w:ind w:firstLine="708"/>
        <w:jc w:val="both"/>
        <w:rPr>
          <w:rFonts w:eastAsiaTheme="minorEastAsia"/>
        </w:rPr>
      </w:pPr>
      <w:r w:rsidRPr="00DD322C">
        <w:rPr>
          <w:rFonts w:eastAsiaTheme="minorEastAsia"/>
        </w:rPr>
        <w:t>El gráfico de dispersión, así como la línea de tendencia correspondiente</w:t>
      </w:r>
      <w:r w:rsidR="00EB2F93">
        <w:rPr>
          <w:rFonts w:eastAsiaTheme="minorEastAsia"/>
        </w:rPr>
        <w:t>,</w:t>
      </w:r>
      <w:r w:rsidRPr="00DD322C">
        <w:rPr>
          <w:rFonts w:eastAsiaTheme="minorEastAsia"/>
        </w:rPr>
        <w:t xml:space="preserve"> se pueden apreciar en la figura 4:</w:t>
      </w:r>
    </w:p>
    <w:p w14:paraId="626E79D3" w14:textId="77777777" w:rsidR="009067CC" w:rsidRDefault="009067CC" w:rsidP="00A214FD">
      <w:pPr>
        <w:spacing w:line="360" w:lineRule="auto"/>
        <w:ind w:firstLine="708"/>
        <w:jc w:val="both"/>
        <w:rPr>
          <w:rFonts w:eastAsiaTheme="minorEastAsia"/>
        </w:rPr>
      </w:pPr>
    </w:p>
    <w:p w14:paraId="066BD2C3" w14:textId="71813F9B" w:rsidR="00EB2F93" w:rsidRPr="00DD322C" w:rsidRDefault="00EB2F93" w:rsidP="00EB2F93">
      <w:pPr>
        <w:spacing w:line="360" w:lineRule="auto"/>
        <w:jc w:val="center"/>
        <w:rPr>
          <w:lang w:val="es-ES"/>
        </w:rPr>
      </w:pPr>
      <w:r w:rsidRPr="00DD322C">
        <w:rPr>
          <w:b/>
          <w:lang w:val="es-ES"/>
        </w:rPr>
        <w:t>Figura 4</w:t>
      </w:r>
      <w:r>
        <w:rPr>
          <w:b/>
          <w:lang w:val="es-ES"/>
        </w:rPr>
        <w:t>.</w:t>
      </w:r>
      <w:r w:rsidRPr="00DD322C">
        <w:rPr>
          <w:lang w:val="es-ES"/>
        </w:rPr>
        <w:t xml:space="preserve"> Promedio de materias reprobadas vs</w:t>
      </w:r>
      <w:r>
        <w:rPr>
          <w:lang w:val="es-ES"/>
        </w:rPr>
        <w:t>.</w:t>
      </w:r>
      <w:r w:rsidRPr="00DD322C">
        <w:rPr>
          <w:lang w:val="es-ES"/>
        </w:rPr>
        <w:t xml:space="preserve"> horas semanales trabajadas</w:t>
      </w:r>
    </w:p>
    <w:p w14:paraId="712A7F8A" w14:textId="77777777" w:rsidR="00EB2F93" w:rsidRPr="00DD322C" w:rsidRDefault="00EB2F93" w:rsidP="00A214FD">
      <w:pPr>
        <w:spacing w:line="360" w:lineRule="auto"/>
        <w:ind w:firstLine="708"/>
        <w:jc w:val="both"/>
        <w:rPr>
          <w:rFonts w:eastAsiaTheme="minorEastAsia"/>
        </w:rPr>
      </w:pPr>
    </w:p>
    <w:p w14:paraId="4344713D" w14:textId="77777777" w:rsidR="00D555C6" w:rsidRPr="00DD322C" w:rsidRDefault="00541A91" w:rsidP="009067CC">
      <w:pPr>
        <w:spacing w:line="360" w:lineRule="auto"/>
        <w:jc w:val="center"/>
        <w:rPr>
          <w:b/>
          <w:bCs/>
        </w:rPr>
      </w:pPr>
      <w:r w:rsidRPr="00DD322C">
        <w:rPr>
          <w:noProof/>
          <w:lang w:val="es-MX" w:eastAsia="es-MX"/>
        </w:rPr>
        <w:drawing>
          <wp:inline distT="0" distB="0" distL="0" distR="0" wp14:anchorId="520BCFA1" wp14:editId="2A292516">
            <wp:extent cx="3819525" cy="2066925"/>
            <wp:effectExtent l="0" t="0" r="9525" b="9525"/>
            <wp:docPr id="1713268349" name="Imagen 5" descr="Gráfico, Gráfico de dispers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68349" name="Imagen 5" descr="Gráfico, Gráfico de dispersión&#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9525" cy="2066925"/>
                    </a:xfrm>
                    <a:prstGeom prst="rect">
                      <a:avLst/>
                    </a:prstGeom>
                    <a:noFill/>
                    <a:ln>
                      <a:noFill/>
                    </a:ln>
                  </pic:spPr>
                </pic:pic>
              </a:graphicData>
            </a:graphic>
          </wp:inline>
        </w:drawing>
      </w:r>
    </w:p>
    <w:p w14:paraId="67CF7933" w14:textId="6899ED95" w:rsidR="009067CC" w:rsidRPr="00DD322C" w:rsidRDefault="00D555C6" w:rsidP="001D36B9">
      <w:pPr>
        <w:spacing w:line="360" w:lineRule="auto"/>
        <w:jc w:val="center"/>
        <w:rPr>
          <w:lang w:val="es-ES"/>
        </w:rPr>
      </w:pPr>
      <w:r w:rsidRPr="00DD322C">
        <w:rPr>
          <w:lang w:val="es-ES"/>
        </w:rPr>
        <w:t>Fuente: Elaboración propia</w:t>
      </w:r>
    </w:p>
    <w:p w14:paraId="1D697504" w14:textId="77777777" w:rsidR="008D7859" w:rsidRPr="00DD322C" w:rsidRDefault="008D7859" w:rsidP="006A193A">
      <w:pPr>
        <w:spacing w:line="360" w:lineRule="auto"/>
        <w:ind w:firstLine="240"/>
        <w:jc w:val="both"/>
      </w:pPr>
      <w:r w:rsidRPr="00DD322C">
        <w:t xml:space="preserve">Un extracto del informe presentado por Excel </w:t>
      </w:r>
      <w:r w:rsidR="00092EC2" w:rsidRPr="00DD322C">
        <w:t>sobre la regresión realizada</w:t>
      </w:r>
      <w:r w:rsidRPr="00DD322C">
        <w:t xml:space="preserve"> muestra los resultados comentados, los cuales </w:t>
      </w:r>
      <w:r w:rsidR="00092EC2" w:rsidRPr="00DD322C">
        <w:t>se pueden apreciar en la tabla 4</w:t>
      </w:r>
      <w:r w:rsidRPr="00DD322C">
        <w:t>.</w:t>
      </w:r>
    </w:p>
    <w:p w14:paraId="71BAEBF9" w14:textId="77777777" w:rsidR="009067CC" w:rsidRPr="00DD322C" w:rsidRDefault="009067CC" w:rsidP="006A193A">
      <w:pPr>
        <w:spacing w:line="360" w:lineRule="auto"/>
        <w:ind w:firstLine="240"/>
        <w:jc w:val="both"/>
      </w:pPr>
    </w:p>
    <w:p w14:paraId="2AFBA146" w14:textId="29E22C11" w:rsidR="00D555C6" w:rsidRPr="00DD322C" w:rsidRDefault="00D555C6" w:rsidP="007E5D89">
      <w:pPr>
        <w:jc w:val="center"/>
      </w:pPr>
      <w:r w:rsidRPr="00DD322C">
        <w:rPr>
          <w:b/>
          <w:bCs/>
        </w:rPr>
        <w:t>Tabla 4</w:t>
      </w:r>
      <w:r w:rsidRPr="00DD322C">
        <w:t>. Estadísticos de la regresión</w:t>
      </w:r>
      <w:r w:rsidR="00E46FFD" w:rsidRPr="00DD322C">
        <w:t xml:space="preserve"> </w:t>
      </w:r>
    </w:p>
    <w:tbl>
      <w:tblPr>
        <w:tblStyle w:val="Tablaconcuadrcula"/>
        <w:tblW w:w="0" w:type="auto"/>
        <w:jc w:val="center"/>
        <w:tblLook w:val="04A0" w:firstRow="1" w:lastRow="0" w:firstColumn="1" w:lastColumn="0" w:noHBand="0" w:noVBand="1"/>
      </w:tblPr>
      <w:tblGrid>
        <w:gridCol w:w="4207"/>
        <w:gridCol w:w="1080"/>
      </w:tblGrid>
      <w:tr w:rsidR="00D555C6" w:rsidRPr="00DD322C" w14:paraId="77A8F4DB" w14:textId="77777777" w:rsidTr="007E5D89">
        <w:trPr>
          <w:trHeight w:val="379"/>
          <w:jc w:val="center"/>
        </w:trPr>
        <w:tc>
          <w:tcPr>
            <w:tcW w:w="4207" w:type="dxa"/>
            <w:vAlign w:val="bottom"/>
          </w:tcPr>
          <w:p w14:paraId="1266D0FA" w14:textId="77777777" w:rsidR="00D555C6" w:rsidRPr="00DD322C" w:rsidRDefault="00D555C6" w:rsidP="007E5D89">
            <w:pPr>
              <w:jc w:val="center"/>
            </w:pPr>
            <w:bookmarkStart w:id="2" w:name="_Hlk141298779"/>
            <w:r w:rsidRPr="00DD322C">
              <w:rPr>
                <w:rFonts w:eastAsia="Times New Roman"/>
              </w:rPr>
              <w:t>Coeficiente de correlación</w:t>
            </w:r>
          </w:p>
        </w:tc>
        <w:tc>
          <w:tcPr>
            <w:tcW w:w="1080" w:type="dxa"/>
            <w:vAlign w:val="bottom"/>
          </w:tcPr>
          <w:p w14:paraId="0D6BB26F" w14:textId="77777777" w:rsidR="00D555C6" w:rsidRPr="00DD322C" w:rsidRDefault="00D555C6" w:rsidP="007E5D89">
            <w:pPr>
              <w:jc w:val="center"/>
            </w:pPr>
            <w:r w:rsidRPr="00DD322C">
              <w:rPr>
                <w:rFonts w:eastAsia="Times New Roman"/>
              </w:rPr>
              <w:t>0.8236</w:t>
            </w:r>
          </w:p>
        </w:tc>
      </w:tr>
      <w:tr w:rsidR="00D555C6" w:rsidRPr="00DD322C" w14:paraId="44C3A500" w14:textId="77777777" w:rsidTr="007E5D89">
        <w:trPr>
          <w:trHeight w:val="379"/>
          <w:jc w:val="center"/>
        </w:trPr>
        <w:tc>
          <w:tcPr>
            <w:tcW w:w="4207" w:type="dxa"/>
            <w:vAlign w:val="bottom"/>
          </w:tcPr>
          <w:p w14:paraId="27C68007" w14:textId="77777777" w:rsidR="00D555C6" w:rsidRPr="00DD322C" w:rsidRDefault="00D555C6" w:rsidP="007E5D89">
            <w:pPr>
              <w:jc w:val="center"/>
            </w:pPr>
            <w:r w:rsidRPr="00DD322C">
              <w:rPr>
                <w:rFonts w:eastAsia="Times New Roman"/>
              </w:rPr>
              <w:t>Coeficiente de determinación R^2</w:t>
            </w:r>
          </w:p>
        </w:tc>
        <w:tc>
          <w:tcPr>
            <w:tcW w:w="1080" w:type="dxa"/>
            <w:vAlign w:val="bottom"/>
          </w:tcPr>
          <w:p w14:paraId="052A59CC" w14:textId="77777777" w:rsidR="00D555C6" w:rsidRPr="00DD322C" w:rsidRDefault="00D555C6" w:rsidP="007E5D89">
            <w:pPr>
              <w:jc w:val="center"/>
            </w:pPr>
            <w:r w:rsidRPr="00DD322C">
              <w:rPr>
                <w:rFonts w:eastAsia="Times New Roman"/>
              </w:rPr>
              <w:t>0.6783</w:t>
            </w:r>
          </w:p>
        </w:tc>
      </w:tr>
      <w:tr w:rsidR="00D555C6" w:rsidRPr="00DD322C" w14:paraId="3AD5FCB7" w14:textId="77777777" w:rsidTr="007E5D89">
        <w:trPr>
          <w:trHeight w:val="379"/>
          <w:jc w:val="center"/>
        </w:trPr>
        <w:tc>
          <w:tcPr>
            <w:tcW w:w="4207" w:type="dxa"/>
            <w:vAlign w:val="bottom"/>
          </w:tcPr>
          <w:p w14:paraId="209DCC31" w14:textId="77777777" w:rsidR="00D555C6" w:rsidRPr="00DD322C" w:rsidRDefault="00D555C6" w:rsidP="007E5D89">
            <w:pPr>
              <w:jc w:val="center"/>
            </w:pPr>
            <w:r w:rsidRPr="00DD322C">
              <w:rPr>
                <w:rFonts w:eastAsia="Times New Roman"/>
              </w:rPr>
              <w:t>Error típico</w:t>
            </w:r>
          </w:p>
        </w:tc>
        <w:tc>
          <w:tcPr>
            <w:tcW w:w="1080" w:type="dxa"/>
            <w:vAlign w:val="bottom"/>
          </w:tcPr>
          <w:p w14:paraId="60AF2973" w14:textId="77777777" w:rsidR="00D555C6" w:rsidRPr="00DD322C" w:rsidRDefault="00D555C6" w:rsidP="007E5D89">
            <w:pPr>
              <w:jc w:val="center"/>
            </w:pPr>
            <w:r w:rsidRPr="00DD322C">
              <w:rPr>
                <w:rFonts w:eastAsia="Times New Roman"/>
              </w:rPr>
              <w:t>0.2445</w:t>
            </w:r>
          </w:p>
        </w:tc>
      </w:tr>
      <w:tr w:rsidR="00D555C6" w:rsidRPr="00DD322C" w14:paraId="7CB9565C" w14:textId="77777777" w:rsidTr="007E5D89">
        <w:trPr>
          <w:trHeight w:val="379"/>
          <w:jc w:val="center"/>
        </w:trPr>
        <w:tc>
          <w:tcPr>
            <w:tcW w:w="4207" w:type="dxa"/>
            <w:vAlign w:val="bottom"/>
          </w:tcPr>
          <w:p w14:paraId="3E4CCD73" w14:textId="75BB7FFD" w:rsidR="00D555C6" w:rsidRPr="00DD322C" w:rsidRDefault="00D555C6" w:rsidP="007E5D89">
            <w:pPr>
              <w:jc w:val="center"/>
            </w:pPr>
            <w:r w:rsidRPr="00DD322C">
              <w:rPr>
                <w:rFonts w:eastAsia="Times New Roman"/>
              </w:rPr>
              <w:t>Observaciones</w:t>
            </w:r>
            <w:r w:rsidR="00E46FFD" w:rsidRPr="00DD322C">
              <w:rPr>
                <w:rFonts w:eastAsia="Times New Roman"/>
              </w:rPr>
              <w:t xml:space="preserve"> (categorías)</w:t>
            </w:r>
          </w:p>
        </w:tc>
        <w:tc>
          <w:tcPr>
            <w:tcW w:w="1080" w:type="dxa"/>
            <w:vAlign w:val="bottom"/>
          </w:tcPr>
          <w:p w14:paraId="23728DDF" w14:textId="77777777" w:rsidR="00D555C6" w:rsidRPr="00DD322C" w:rsidRDefault="00D555C6" w:rsidP="007E5D89">
            <w:pPr>
              <w:jc w:val="center"/>
            </w:pPr>
            <w:r w:rsidRPr="00DD322C">
              <w:rPr>
                <w:rFonts w:eastAsia="Times New Roman"/>
              </w:rPr>
              <w:t>7</w:t>
            </w:r>
          </w:p>
        </w:tc>
      </w:tr>
      <w:tr w:rsidR="00E46FFD" w:rsidRPr="00DD322C" w14:paraId="58B6C5F2" w14:textId="77777777" w:rsidTr="00FC6D0D">
        <w:trPr>
          <w:trHeight w:val="335"/>
          <w:jc w:val="center"/>
        </w:trPr>
        <w:tc>
          <w:tcPr>
            <w:tcW w:w="5287" w:type="dxa"/>
            <w:gridSpan w:val="2"/>
          </w:tcPr>
          <w:p w14:paraId="5A1452BB" w14:textId="3A5E2532" w:rsidR="00E46FFD" w:rsidRPr="00DD322C" w:rsidRDefault="00E46FFD" w:rsidP="007E5D89">
            <w:pPr>
              <w:jc w:val="center"/>
            </w:pPr>
            <w:r w:rsidRPr="00DD322C">
              <w:rPr>
                <w:rFonts w:eastAsia="Times New Roman"/>
                <w:i/>
                <w:iCs/>
              </w:rPr>
              <w:t>Coeficientes:</w:t>
            </w:r>
          </w:p>
        </w:tc>
      </w:tr>
      <w:tr w:rsidR="00D555C6" w:rsidRPr="00DD322C" w14:paraId="54A908C8" w14:textId="77777777" w:rsidTr="007E5D89">
        <w:trPr>
          <w:trHeight w:val="379"/>
          <w:jc w:val="center"/>
        </w:trPr>
        <w:tc>
          <w:tcPr>
            <w:tcW w:w="4207" w:type="dxa"/>
            <w:vAlign w:val="bottom"/>
          </w:tcPr>
          <w:p w14:paraId="76D4B1F9" w14:textId="77777777" w:rsidR="00D555C6" w:rsidRPr="00DD322C" w:rsidRDefault="00D555C6" w:rsidP="007E5D89">
            <w:pPr>
              <w:jc w:val="center"/>
            </w:pPr>
            <w:r w:rsidRPr="00DD322C">
              <w:rPr>
                <w:rFonts w:eastAsia="Times New Roman"/>
              </w:rPr>
              <w:t>Intercepción</w:t>
            </w:r>
          </w:p>
        </w:tc>
        <w:tc>
          <w:tcPr>
            <w:tcW w:w="1080" w:type="dxa"/>
            <w:vAlign w:val="bottom"/>
          </w:tcPr>
          <w:p w14:paraId="58BC8E39" w14:textId="77777777" w:rsidR="00D555C6" w:rsidRPr="00DD322C" w:rsidRDefault="00D555C6" w:rsidP="007E5D89">
            <w:pPr>
              <w:jc w:val="center"/>
            </w:pPr>
            <w:r w:rsidRPr="00DD322C">
              <w:rPr>
                <w:rFonts w:eastAsia="Times New Roman"/>
              </w:rPr>
              <w:t>0.4186</w:t>
            </w:r>
          </w:p>
        </w:tc>
      </w:tr>
      <w:tr w:rsidR="00D555C6" w:rsidRPr="00DD322C" w14:paraId="053F06F0" w14:textId="77777777" w:rsidTr="007E5D89">
        <w:trPr>
          <w:trHeight w:val="379"/>
          <w:jc w:val="center"/>
        </w:trPr>
        <w:tc>
          <w:tcPr>
            <w:tcW w:w="4207" w:type="dxa"/>
            <w:vAlign w:val="bottom"/>
          </w:tcPr>
          <w:p w14:paraId="73C2C5F5" w14:textId="28FCE8F2" w:rsidR="00D555C6" w:rsidRPr="00DD322C" w:rsidRDefault="00E46FFD" w:rsidP="007E5D89">
            <w:pPr>
              <w:jc w:val="center"/>
            </w:pPr>
            <w:r w:rsidRPr="00DD322C">
              <w:rPr>
                <w:rFonts w:eastAsia="Times New Roman"/>
              </w:rPr>
              <w:t>Pendiente</w:t>
            </w:r>
          </w:p>
        </w:tc>
        <w:tc>
          <w:tcPr>
            <w:tcW w:w="1080" w:type="dxa"/>
            <w:vAlign w:val="bottom"/>
          </w:tcPr>
          <w:p w14:paraId="12313806" w14:textId="77777777" w:rsidR="00D555C6" w:rsidRPr="00DD322C" w:rsidRDefault="00D555C6" w:rsidP="007E5D89">
            <w:pPr>
              <w:jc w:val="center"/>
            </w:pPr>
            <w:r w:rsidRPr="00DD322C">
              <w:rPr>
                <w:rFonts w:eastAsia="Times New Roman"/>
              </w:rPr>
              <w:t>0.1500</w:t>
            </w:r>
          </w:p>
        </w:tc>
      </w:tr>
    </w:tbl>
    <w:bookmarkEnd w:id="2"/>
    <w:p w14:paraId="571ECABA" w14:textId="743C4BB0" w:rsidR="008D7859" w:rsidRPr="001D36B9" w:rsidRDefault="00D555C6" w:rsidP="001D36B9">
      <w:pPr>
        <w:spacing w:line="360" w:lineRule="auto"/>
        <w:jc w:val="center"/>
        <w:rPr>
          <w:lang w:val="es-ES"/>
        </w:rPr>
      </w:pPr>
      <w:r w:rsidRPr="00DD322C">
        <w:rPr>
          <w:lang w:val="es-ES"/>
        </w:rPr>
        <w:t>Fuente: Elaboración propia</w:t>
      </w:r>
    </w:p>
    <w:p w14:paraId="53542D77" w14:textId="64C1635D" w:rsidR="008D7859" w:rsidRPr="00DD322C" w:rsidRDefault="008D7859" w:rsidP="00EB2F93">
      <w:pPr>
        <w:spacing w:line="360" w:lineRule="auto"/>
        <w:ind w:firstLine="708"/>
        <w:jc w:val="both"/>
      </w:pPr>
      <w:r w:rsidRPr="00DD322C">
        <w:lastRenderedPageBreak/>
        <w:t>Los análisis de residuales mostrados por Excel también avalan la pertinencia de la ecuación obtenida, así como la inexistencia de valores atípicos, como puede apreciarse en la figura 5.</w:t>
      </w:r>
    </w:p>
    <w:p w14:paraId="5F611DA6" w14:textId="77777777" w:rsidR="009067CC" w:rsidRDefault="009067CC" w:rsidP="006A193A">
      <w:pPr>
        <w:spacing w:line="360" w:lineRule="auto"/>
        <w:ind w:firstLine="240"/>
        <w:jc w:val="both"/>
      </w:pPr>
    </w:p>
    <w:p w14:paraId="62475706" w14:textId="77777777" w:rsidR="00EB2F93" w:rsidRPr="00DD322C" w:rsidRDefault="00EB2F93" w:rsidP="00EB2F93">
      <w:pPr>
        <w:spacing w:line="360" w:lineRule="auto"/>
        <w:jc w:val="center"/>
        <w:rPr>
          <w:lang w:val="es-ES"/>
        </w:rPr>
      </w:pPr>
      <w:r w:rsidRPr="00DD322C">
        <w:rPr>
          <w:b/>
          <w:lang w:val="es-ES"/>
        </w:rPr>
        <w:t>Figura 5:</w:t>
      </w:r>
      <w:r w:rsidRPr="00DD322C">
        <w:rPr>
          <w:lang w:val="es-ES"/>
        </w:rPr>
        <w:t xml:space="preserve"> Residuales</w:t>
      </w:r>
    </w:p>
    <w:p w14:paraId="4A74149B" w14:textId="77777777" w:rsidR="00EB2F93" w:rsidRPr="00DD322C" w:rsidRDefault="00EB2F93" w:rsidP="006A193A">
      <w:pPr>
        <w:spacing w:line="360" w:lineRule="auto"/>
        <w:ind w:firstLine="240"/>
        <w:jc w:val="both"/>
      </w:pPr>
    </w:p>
    <w:p w14:paraId="2BBB46F7" w14:textId="77777777" w:rsidR="00D555C6" w:rsidRPr="00DD322C" w:rsidRDefault="00D555C6" w:rsidP="009067CC">
      <w:pPr>
        <w:spacing w:line="360" w:lineRule="auto"/>
        <w:jc w:val="center"/>
        <w:rPr>
          <w:b/>
          <w:bCs/>
        </w:rPr>
      </w:pPr>
      <w:r w:rsidRPr="00DD322C">
        <w:rPr>
          <w:noProof/>
          <w:lang w:val="es-MX" w:eastAsia="es-MX"/>
        </w:rPr>
        <w:drawing>
          <wp:inline distT="0" distB="0" distL="0" distR="0" wp14:anchorId="07808F6B" wp14:editId="6A0AA7DA">
            <wp:extent cx="4067288" cy="2574151"/>
            <wp:effectExtent l="0" t="0" r="0" b="0"/>
            <wp:docPr id="4" name="Imagen 4"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05251" cy="2598178"/>
                    </a:xfrm>
                    <a:prstGeom prst="rect">
                      <a:avLst/>
                    </a:prstGeom>
                    <a:noFill/>
                  </pic:spPr>
                </pic:pic>
              </a:graphicData>
            </a:graphic>
          </wp:inline>
        </w:drawing>
      </w:r>
    </w:p>
    <w:p w14:paraId="38FD6DAA" w14:textId="4830819E" w:rsidR="008D7859" w:rsidRPr="001D36B9" w:rsidRDefault="00D555C6" w:rsidP="001D36B9">
      <w:pPr>
        <w:spacing w:line="360" w:lineRule="auto"/>
        <w:jc w:val="center"/>
        <w:rPr>
          <w:lang w:val="es-ES"/>
        </w:rPr>
      </w:pPr>
      <w:r w:rsidRPr="00DD322C">
        <w:rPr>
          <w:lang w:val="es-ES"/>
        </w:rPr>
        <w:t>Fuente: Elaboración propia</w:t>
      </w:r>
    </w:p>
    <w:p w14:paraId="6D64EAB9" w14:textId="311300AD" w:rsidR="008D7859" w:rsidRPr="00DD322C" w:rsidRDefault="008D7859" w:rsidP="00EB2F93">
      <w:pPr>
        <w:spacing w:line="360" w:lineRule="auto"/>
        <w:ind w:firstLine="708"/>
        <w:jc w:val="both"/>
      </w:pPr>
      <w:r w:rsidRPr="00DD322C">
        <w:t xml:space="preserve">Por lo anterior, podemos considerar que es posible predecir el número de materias que un estudiante que trabaja podría reprobar a través de la ecuación de regresión ya mencionada, </w:t>
      </w:r>
      <w:r w:rsidR="00EB2F93">
        <w:t xml:space="preserve">según </w:t>
      </w:r>
      <w:r w:rsidRPr="00DD322C">
        <w:t>la categoría de horas semanales que labora.</w:t>
      </w:r>
    </w:p>
    <w:p w14:paraId="538D9E7C" w14:textId="1E2A0C38" w:rsidR="008D7859" w:rsidRPr="00DD322C" w:rsidRDefault="008D7859" w:rsidP="00EB2F93">
      <w:pPr>
        <w:spacing w:line="360" w:lineRule="auto"/>
        <w:ind w:firstLine="708"/>
        <w:jc w:val="both"/>
      </w:pPr>
      <w:r w:rsidRPr="00DD322C">
        <w:t xml:space="preserve">Adicionalmente, se hicieron dos pruebas de </w:t>
      </w:r>
      <w:proofErr w:type="spellStart"/>
      <w:r w:rsidRPr="00DD322C">
        <w:t>A</w:t>
      </w:r>
      <w:r w:rsidR="00EB2F93" w:rsidRPr="00DD322C">
        <w:t>nova</w:t>
      </w:r>
      <w:proofErr w:type="spellEnd"/>
      <w:r w:rsidR="00EB2F93" w:rsidRPr="00DD322C">
        <w:t xml:space="preserve"> </w:t>
      </w:r>
      <w:r w:rsidRPr="00DD322C">
        <w:t xml:space="preserve">con el 0.05 de significancia </w:t>
      </w:r>
      <w:r w:rsidR="00EB2F93">
        <w:t>para</w:t>
      </w:r>
      <w:r w:rsidRPr="00DD322C">
        <w:t xml:space="preserve"> determinar si los promedios de las diferentes categorías eran distintos entre sí. En la primera se incluy</w:t>
      </w:r>
      <w:r w:rsidR="00EB2F93">
        <w:t>ó</w:t>
      </w:r>
      <w:r w:rsidRPr="00DD322C">
        <w:t xml:space="preserve"> a los estudiantes que no trabajan y en la segunda s</w:t>
      </w:r>
      <w:r w:rsidR="00EB2F93">
        <w:t>o</w:t>
      </w:r>
      <w:r w:rsidRPr="00DD322C">
        <w:t>lo a los que manifestaron trabajar y estudiar. En ambos casos el resultado fue el mismo: no hay diferencia significativa entre los promedios alcanzados por los estudiantes</w:t>
      </w:r>
      <w:r w:rsidR="00EB2F93">
        <w:t>,</w:t>
      </w:r>
      <w:r w:rsidRPr="00DD322C">
        <w:t xml:space="preserve"> independientemente de si trabajan o no y del número de horas semanales trabajadas. A continuación, se presentan los cuadros de </w:t>
      </w:r>
      <w:proofErr w:type="spellStart"/>
      <w:r w:rsidRPr="00DD322C">
        <w:t>A</w:t>
      </w:r>
      <w:r w:rsidR="00EB2F93" w:rsidRPr="00DD322C">
        <w:t>nova</w:t>
      </w:r>
      <w:proofErr w:type="spellEnd"/>
      <w:r w:rsidR="00EB2F93" w:rsidRPr="00DD322C">
        <w:t xml:space="preserve"> </w:t>
      </w:r>
      <w:r w:rsidRPr="00DD322C">
        <w:t>obtenidos con el complemento de análisis de datos de Excel</w:t>
      </w:r>
      <w:r w:rsidR="00EB2F93">
        <w:t>,</w:t>
      </w:r>
      <w:r w:rsidRPr="00DD322C">
        <w:t xml:space="preserve"> incluyendo a los estudian</w:t>
      </w:r>
      <w:r w:rsidR="005D74C6" w:rsidRPr="00DD322C">
        <w:t>tes que no trabajan (tabla 5</w:t>
      </w:r>
      <w:r w:rsidRPr="00DD322C">
        <w:t>).</w:t>
      </w:r>
    </w:p>
    <w:p w14:paraId="658F32F2" w14:textId="77777777" w:rsidR="00EB2F93" w:rsidRDefault="00EB2F93" w:rsidP="009067CC">
      <w:pPr>
        <w:spacing w:line="360" w:lineRule="auto"/>
        <w:jc w:val="center"/>
      </w:pPr>
    </w:p>
    <w:p w14:paraId="78467155" w14:textId="77777777" w:rsidR="00F56DB9" w:rsidRDefault="00F56DB9" w:rsidP="009067CC">
      <w:pPr>
        <w:spacing w:line="360" w:lineRule="auto"/>
        <w:jc w:val="center"/>
      </w:pPr>
    </w:p>
    <w:p w14:paraId="0544989B" w14:textId="77777777" w:rsidR="00F56DB9" w:rsidRDefault="00F56DB9" w:rsidP="009067CC">
      <w:pPr>
        <w:spacing w:line="360" w:lineRule="auto"/>
        <w:jc w:val="center"/>
      </w:pPr>
    </w:p>
    <w:p w14:paraId="78BEE11D" w14:textId="77777777" w:rsidR="00F56DB9" w:rsidRDefault="00F56DB9" w:rsidP="009067CC">
      <w:pPr>
        <w:spacing w:line="360" w:lineRule="auto"/>
        <w:jc w:val="center"/>
      </w:pPr>
    </w:p>
    <w:p w14:paraId="1D08DF68" w14:textId="77777777" w:rsidR="00F56DB9" w:rsidRDefault="00F56DB9" w:rsidP="009067CC">
      <w:pPr>
        <w:spacing w:line="360" w:lineRule="auto"/>
        <w:jc w:val="center"/>
      </w:pPr>
    </w:p>
    <w:p w14:paraId="628ADD9A" w14:textId="77777777" w:rsidR="00F56DB9" w:rsidRDefault="00F56DB9" w:rsidP="009067CC">
      <w:pPr>
        <w:spacing w:line="360" w:lineRule="auto"/>
        <w:jc w:val="center"/>
      </w:pPr>
    </w:p>
    <w:p w14:paraId="158AB831" w14:textId="77777777" w:rsidR="00F56DB9" w:rsidRDefault="00F56DB9" w:rsidP="009067CC">
      <w:pPr>
        <w:spacing w:line="360" w:lineRule="auto"/>
        <w:jc w:val="center"/>
      </w:pPr>
    </w:p>
    <w:p w14:paraId="0DFA36FF" w14:textId="07E96CC8" w:rsidR="00EB2F93" w:rsidRPr="001D36B9" w:rsidRDefault="00EB2F93" w:rsidP="001D36B9">
      <w:pPr>
        <w:spacing w:line="360" w:lineRule="auto"/>
        <w:jc w:val="center"/>
        <w:rPr>
          <w:b/>
          <w:bCs/>
        </w:rPr>
      </w:pPr>
      <w:r>
        <w:rPr>
          <w:b/>
          <w:bCs/>
        </w:rPr>
        <w:lastRenderedPageBreak/>
        <w:t>Tabla 5</w:t>
      </w:r>
      <w:r w:rsidRPr="00DD322C">
        <w:rPr>
          <w:b/>
          <w:bCs/>
        </w:rPr>
        <w:t>.</w:t>
      </w:r>
      <w:r>
        <w:rPr>
          <w:b/>
          <w:bCs/>
        </w:rPr>
        <w:t xml:space="preserve"> </w:t>
      </w:r>
      <w:r w:rsidRPr="00DD322C">
        <w:t>Varianza de un factor de estudiantes que trabajan y no trabajan</w:t>
      </w:r>
    </w:p>
    <w:tbl>
      <w:tblPr>
        <w:tblStyle w:val="Tablaconcuadrcula"/>
        <w:tblW w:w="0" w:type="auto"/>
        <w:jc w:val="center"/>
        <w:tblLook w:val="04A0" w:firstRow="1" w:lastRow="0" w:firstColumn="1" w:lastColumn="0" w:noHBand="0" w:noVBand="1"/>
      </w:tblPr>
      <w:tblGrid>
        <w:gridCol w:w="2445"/>
        <w:gridCol w:w="1189"/>
        <w:gridCol w:w="1920"/>
        <w:gridCol w:w="1922"/>
        <w:gridCol w:w="1918"/>
      </w:tblGrid>
      <w:tr w:rsidR="003E6827" w:rsidRPr="00DD322C" w14:paraId="77E1D170" w14:textId="25A36026" w:rsidTr="008236DD">
        <w:trPr>
          <w:trHeight w:val="379"/>
          <w:jc w:val="center"/>
        </w:trPr>
        <w:tc>
          <w:tcPr>
            <w:tcW w:w="9394" w:type="dxa"/>
            <w:gridSpan w:val="5"/>
            <w:vAlign w:val="bottom"/>
          </w:tcPr>
          <w:p w14:paraId="07AC68BA" w14:textId="02E3BB02" w:rsidR="003E6827" w:rsidRDefault="00B00407" w:rsidP="00F00F16">
            <w:pPr>
              <w:jc w:val="center"/>
            </w:pPr>
            <w:r>
              <w:t>V</w:t>
            </w:r>
            <w:r w:rsidR="003E6827">
              <w:t>arianza de un factor</w:t>
            </w:r>
          </w:p>
        </w:tc>
      </w:tr>
      <w:tr w:rsidR="003E6827" w:rsidRPr="00DD322C" w14:paraId="1F592092" w14:textId="0DAB5178" w:rsidTr="00852D59">
        <w:trPr>
          <w:trHeight w:val="379"/>
          <w:jc w:val="center"/>
        </w:trPr>
        <w:tc>
          <w:tcPr>
            <w:tcW w:w="2445" w:type="dxa"/>
            <w:vAlign w:val="bottom"/>
          </w:tcPr>
          <w:p w14:paraId="1E3B8A06" w14:textId="1ECD8B10" w:rsidR="003E6827" w:rsidRPr="00DD322C" w:rsidRDefault="003E6827" w:rsidP="003E6827">
            <w:pPr>
              <w:jc w:val="center"/>
            </w:pPr>
            <w:r>
              <w:t>Grupos</w:t>
            </w:r>
          </w:p>
        </w:tc>
        <w:tc>
          <w:tcPr>
            <w:tcW w:w="1189" w:type="dxa"/>
            <w:vAlign w:val="bottom"/>
          </w:tcPr>
          <w:p w14:paraId="6D2AD5CE" w14:textId="14350918" w:rsidR="003E6827" w:rsidRPr="00DD322C" w:rsidRDefault="003E6827" w:rsidP="003E6827">
            <w:pPr>
              <w:jc w:val="center"/>
            </w:pPr>
            <w:r>
              <w:t>Cuenta</w:t>
            </w:r>
          </w:p>
        </w:tc>
        <w:tc>
          <w:tcPr>
            <w:tcW w:w="1920" w:type="dxa"/>
            <w:vAlign w:val="bottom"/>
          </w:tcPr>
          <w:p w14:paraId="1631539F" w14:textId="18E3C063" w:rsidR="003E6827" w:rsidRPr="00DD322C" w:rsidRDefault="003E6827" w:rsidP="003E6827">
            <w:pPr>
              <w:jc w:val="center"/>
            </w:pPr>
            <w:r>
              <w:t>Suma</w:t>
            </w:r>
          </w:p>
        </w:tc>
        <w:tc>
          <w:tcPr>
            <w:tcW w:w="1922" w:type="dxa"/>
            <w:vAlign w:val="bottom"/>
          </w:tcPr>
          <w:p w14:paraId="04DC6A5E" w14:textId="58828BD9" w:rsidR="003E6827" w:rsidRPr="00DD322C" w:rsidRDefault="003E6827" w:rsidP="003E6827">
            <w:pPr>
              <w:jc w:val="center"/>
            </w:pPr>
            <w:r>
              <w:t>Promedio</w:t>
            </w:r>
          </w:p>
        </w:tc>
        <w:tc>
          <w:tcPr>
            <w:tcW w:w="1918" w:type="dxa"/>
            <w:vAlign w:val="bottom"/>
          </w:tcPr>
          <w:p w14:paraId="00611B1A" w14:textId="7089E7FD" w:rsidR="003E6827" w:rsidRPr="00DD322C" w:rsidRDefault="003E6827" w:rsidP="003E6827">
            <w:pPr>
              <w:jc w:val="center"/>
            </w:pPr>
            <w:r>
              <w:t>Varianza</w:t>
            </w:r>
          </w:p>
        </w:tc>
      </w:tr>
      <w:tr w:rsidR="003E6827" w:rsidRPr="00DD322C" w14:paraId="72442085" w14:textId="05F6D3B5" w:rsidTr="00852D59">
        <w:trPr>
          <w:trHeight w:val="379"/>
          <w:jc w:val="center"/>
        </w:trPr>
        <w:tc>
          <w:tcPr>
            <w:tcW w:w="2445" w:type="dxa"/>
            <w:vAlign w:val="bottom"/>
          </w:tcPr>
          <w:p w14:paraId="394347B2" w14:textId="038A2C8B" w:rsidR="003E6827" w:rsidRPr="00DD322C" w:rsidRDefault="003E6827" w:rsidP="00F00F16">
            <w:pPr>
              <w:jc w:val="center"/>
            </w:pPr>
            <w:r>
              <w:t>No trabaja</w:t>
            </w:r>
          </w:p>
        </w:tc>
        <w:tc>
          <w:tcPr>
            <w:tcW w:w="1189" w:type="dxa"/>
            <w:vAlign w:val="bottom"/>
          </w:tcPr>
          <w:p w14:paraId="65225C84" w14:textId="51251DE4" w:rsidR="003E6827" w:rsidRPr="00DD322C" w:rsidRDefault="00B64E36" w:rsidP="00F00F16">
            <w:pPr>
              <w:jc w:val="center"/>
            </w:pPr>
            <w:r>
              <w:t>115</w:t>
            </w:r>
          </w:p>
        </w:tc>
        <w:tc>
          <w:tcPr>
            <w:tcW w:w="1920" w:type="dxa"/>
          </w:tcPr>
          <w:p w14:paraId="6DDAD035" w14:textId="526D2C88" w:rsidR="003E6827" w:rsidRPr="00DD322C" w:rsidRDefault="00B64E36" w:rsidP="00F00F16">
            <w:pPr>
              <w:jc w:val="center"/>
              <w:rPr>
                <w:rFonts w:eastAsia="Times New Roman"/>
              </w:rPr>
            </w:pPr>
            <w:r>
              <w:rPr>
                <w:rFonts w:eastAsia="Times New Roman"/>
              </w:rPr>
              <w:t>10254.46</w:t>
            </w:r>
          </w:p>
        </w:tc>
        <w:tc>
          <w:tcPr>
            <w:tcW w:w="1922" w:type="dxa"/>
          </w:tcPr>
          <w:p w14:paraId="40810445" w14:textId="79ACFAB7" w:rsidR="003E6827" w:rsidRPr="00DD322C" w:rsidRDefault="00B64E36" w:rsidP="00F00F16">
            <w:pPr>
              <w:jc w:val="center"/>
              <w:rPr>
                <w:rFonts w:eastAsia="Times New Roman"/>
              </w:rPr>
            </w:pPr>
            <w:r>
              <w:rPr>
                <w:rFonts w:eastAsia="Times New Roman"/>
              </w:rPr>
              <w:t>89.17</w:t>
            </w:r>
          </w:p>
        </w:tc>
        <w:tc>
          <w:tcPr>
            <w:tcW w:w="1918" w:type="dxa"/>
          </w:tcPr>
          <w:p w14:paraId="69246EC3" w14:textId="627BEFEC" w:rsidR="003E6827" w:rsidRPr="00DD322C" w:rsidRDefault="00B64E36" w:rsidP="00F00F16">
            <w:pPr>
              <w:jc w:val="center"/>
              <w:rPr>
                <w:rFonts w:eastAsia="Times New Roman"/>
              </w:rPr>
            </w:pPr>
            <w:r>
              <w:rPr>
                <w:rFonts w:eastAsia="Times New Roman"/>
              </w:rPr>
              <w:t>80.23</w:t>
            </w:r>
          </w:p>
        </w:tc>
      </w:tr>
      <w:tr w:rsidR="00B64E36" w:rsidRPr="00DD322C" w14:paraId="51126C86" w14:textId="77777777" w:rsidTr="00852D59">
        <w:trPr>
          <w:trHeight w:val="379"/>
          <w:jc w:val="center"/>
        </w:trPr>
        <w:tc>
          <w:tcPr>
            <w:tcW w:w="2445" w:type="dxa"/>
            <w:vAlign w:val="bottom"/>
          </w:tcPr>
          <w:p w14:paraId="2B5A8426" w14:textId="16123C6F" w:rsidR="00B64E36" w:rsidRDefault="00B64E36" w:rsidP="00F00F16">
            <w:pPr>
              <w:jc w:val="center"/>
            </w:pPr>
            <w:r>
              <w:t>De 1 a 9</w:t>
            </w:r>
          </w:p>
        </w:tc>
        <w:tc>
          <w:tcPr>
            <w:tcW w:w="1189" w:type="dxa"/>
            <w:vAlign w:val="bottom"/>
          </w:tcPr>
          <w:p w14:paraId="4A8C6CFC" w14:textId="4A8295FB" w:rsidR="00B64E36" w:rsidRDefault="008F2102" w:rsidP="00F00F16">
            <w:pPr>
              <w:jc w:val="center"/>
            </w:pPr>
            <w:r>
              <w:t>28</w:t>
            </w:r>
          </w:p>
        </w:tc>
        <w:tc>
          <w:tcPr>
            <w:tcW w:w="1920" w:type="dxa"/>
          </w:tcPr>
          <w:p w14:paraId="083DEED2" w14:textId="448B9F70" w:rsidR="00B64E36" w:rsidRDefault="008F2102" w:rsidP="00F00F16">
            <w:pPr>
              <w:jc w:val="center"/>
              <w:rPr>
                <w:rFonts w:eastAsia="Times New Roman"/>
              </w:rPr>
            </w:pPr>
            <w:r>
              <w:rPr>
                <w:rFonts w:eastAsia="Times New Roman"/>
              </w:rPr>
              <w:t>2</w:t>
            </w:r>
            <w:r w:rsidR="000A581E">
              <w:rPr>
                <w:rFonts w:eastAsia="Times New Roman"/>
              </w:rPr>
              <w:t>494.97</w:t>
            </w:r>
          </w:p>
        </w:tc>
        <w:tc>
          <w:tcPr>
            <w:tcW w:w="1922" w:type="dxa"/>
          </w:tcPr>
          <w:p w14:paraId="4AFF97A6" w14:textId="3F28B63A" w:rsidR="00B64E36" w:rsidRDefault="00145F9D" w:rsidP="00F00F16">
            <w:pPr>
              <w:jc w:val="center"/>
              <w:rPr>
                <w:rFonts w:eastAsia="Times New Roman"/>
              </w:rPr>
            </w:pPr>
            <w:r>
              <w:rPr>
                <w:rFonts w:eastAsia="Times New Roman"/>
              </w:rPr>
              <w:t>89.11</w:t>
            </w:r>
          </w:p>
        </w:tc>
        <w:tc>
          <w:tcPr>
            <w:tcW w:w="1918" w:type="dxa"/>
          </w:tcPr>
          <w:p w14:paraId="4A699F55" w14:textId="6551BBD3" w:rsidR="00B64E36" w:rsidRDefault="00145F9D" w:rsidP="00F00F16">
            <w:pPr>
              <w:jc w:val="center"/>
              <w:rPr>
                <w:rFonts w:eastAsia="Times New Roman"/>
              </w:rPr>
            </w:pPr>
            <w:r>
              <w:rPr>
                <w:rFonts w:eastAsia="Times New Roman"/>
              </w:rPr>
              <w:t>20.67</w:t>
            </w:r>
          </w:p>
        </w:tc>
      </w:tr>
      <w:tr w:rsidR="00B64E36" w:rsidRPr="00DD322C" w14:paraId="2538C8DF" w14:textId="77777777" w:rsidTr="00852D59">
        <w:trPr>
          <w:trHeight w:val="379"/>
          <w:jc w:val="center"/>
        </w:trPr>
        <w:tc>
          <w:tcPr>
            <w:tcW w:w="2445" w:type="dxa"/>
            <w:vAlign w:val="bottom"/>
          </w:tcPr>
          <w:p w14:paraId="1C0FF166" w14:textId="7310048D" w:rsidR="00B64E36" w:rsidRDefault="00B64E36" w:rsidP="00F00F16">
            <w:pPr>
              <w:jc w:val="center"/>
            </w:pPr>
            <w:r>
              <w:t xml:space="preserve">De </w:t>
            </w:r>
            <w:r w:rsidR="008F2102">
              <w:t>10 a 19</w:t>
            </w:r>
          </w:p>
        </w:tc>
        <w:tc>
          <w:tcPr>
            <w:tcW w:w="1189" w:type="dxa"/>
            <w:vAlign w:val="bottom"/>
          </w:tcPr>
          <w:p w14:paraId="2AAC8E07" w14:textId="0BBD8511" w:rsidR="00B64E36" w:rsidRDefault="008F2102" w:rsidP="00F00F16">
            <w:pPr>
              <w:jc w:val="center"/>
            </w:pPr>
            <w:r>
              <w:t>28</w:t>
            </w:r>
          </w:p>
        </w:tc>
        <w:tc>
          <w:tcPr>
            <w:tcW w:w="1920" w:type="dxa"/>
          </w:tcPr>
          <w:p w14:paraId="38D17052" w14:textId="2ED47A23" w:rsidR="00B64E36" w:rsidRDefault="000A581E" w:rsidP="00F00F16">
            <w:pPr>
              <w:jc w:val="center"/>
              <w:rPr>
                <w:rFonts w:eastAsia="Times New Roman"/>
              </w:rPr>
            </w:pPr>
            <w:r>
              <w:rPr>
                <w:rFonts w:eastAsia="Times New Roman"/>
              </w:rPr>
              <w:t>2377.63</w:t>
            </w:r>
          </w:p>
        </w:tc>
        <w:tc>
          <w:tcPr>
            <w:tcW w:w="1922" w:type="dxa"/>
          </w:tcPr>
          <w:p w14:paraId="55CEC218" w14:textId="01E9E0D7" w:rsidR="00B64E36" w:rsidRDefault="00980161" w:rsidP="00F00F16">
            <w:pPr>
              <w:jc w:val="center"/>
              <w:rPr>
                <w:rFonts w:eastAsia="Times New Roman"/>
              </w:rPr>
            </w:pPr>
            <w:r>
              <w:rPr>
                <w:rFonts w:eastAsia="Times New Roman"/>
              </w:rPr>
              <w:t>84.92</w:t>
            </w:r>
          </w:p>
        </w:tc>
        <w:tc>
          <w:tcPr>
            <w:tcW w:w="1918" w:type="dxa"/>
          </w:tcPr>
          <w:p w14:paraId="77F8F76B" w14:textId="4527442F" w:rsidR="00B64E36" w:rsidRDefault="00980161" w:rsidP="00F00F16">
            <w:pPr>
              <w:jc w:val="center"/>
              <w:rPr>
                <w:rFonts w:eastAsia="Times New Roman"/>
              </w:rPr>
            </w:pPr>
            <w:r>
              <w:rPr>
                <w:rFonts w:eastAsia="Times New Roman"/>
              </w:rPr>
              <w:t>384.32</w:t>
            </w:r>
          </w:p>
        </w:tc>
      </w:tr>
      <w:tr w:rsidR="00B64E36" w:rsidRPr="00DD322C" w14:paraId="13E485CB" w14:textId="77777777" w:rsidTr="00852D59">
        <w:trPr>
          <w:trHeight w:val="379"/>
          <w:jc w:val="center"/>
        </w:trPr>
        <w:tc>
          <w:tcPr>
            <w:tcW w:w="2445" w:type="dxa"/>
            <w:vAlign w:val="bottom"/>
          </w:tcPr>
          <w:p w14:paraId="70DFB385" w14:textId="5CC29FF6" w:rsidR="00B64E36" w:rsidRDefault="008F2102" w:rsidP="00F00F16">
            <w:pPr>
              <w:jc w:val="center"/>
            </w:pPr>
            <w:r>
              <w:t>De 20 a 29</w:t>
            </w:r>
          </w:p>
        </w:tc>
        <w:tc>
          <w:tcPr>
            <w:tcW w:w="1189" w:type="dxa"/>
            <w:vAlign w:val="bottom"/>
          </w:tcPr>
          <w:p w14:paraId="50F6D8BF" w14:textId="0EC38278" w:rsidR="00B64E36" w:rsidRDefault="008F2102" w:rsidP="00F00F16">
            <w:pPr>
              <w:jc w:val="center"/>
            </w:pPr>
            <w:r>
              <w:t>33</w:t>
            </w:r>
          </w:p>
        </w:tc>
        <w:tc>
          <w:tcPr>
            <w:tcW w:w="1920" w:type="dxa"/>
          </w:tcPr>
          <w:p w14:paraId="28E5F2BA" w14:textId="1BEFC1E8" w:rsidR="00B64E36" w:rsidRDefault="000A581E" w:rsidP="00F00F16">
            <w:pPr>
              <w:jc w:val="center"/>
              <w:rPr>
                <w:rFonts w:eastAsia="Times New Roman"/>
              </w:rPr>
            </w:pPr>
            <w:r>
              <w:rPr>
                <w:rFonts w:eastAsia="Times New Roman"/>
              </w:rPr>
              <w:t>2964.84</w:t>
            </w:r>
          </w:p>
        </w:tc>
        <w:tc>
          <w:tcPr>
            <w:tcW w:w="1922" w:type="dxa"/>
          </w:tcPr>
          <w:p w14:paraId="189D8D29" w14:textId="05AC4918" w:rsidR="00B64E36" w:rsidRDefault="00980161" w:rsidP="00F00F16">
            <w:pPr>
              <w:jc w:val="center"/>
              <w:rPr>
                <w:rFonts w:eastAsia="Times New Roman"/>
              </w:rPr>
            </w:pPr>
            <w:r>
              <w:rPr>
                <w:rFonts w:eastAsia="Times New Roman"/>
              </w:rPr>
              <w:t>89.84</w:t>
            </w:r>
          </w:p>
        </w:tc>
        <w:tc>
          <w:tcPr>
            <w:tcW w:w="1918" w:type="dxa"/>
          </w:tcPr>
          <w:p w14:paraId="6F3D0B39" w14:textId="2AAE3290" w:rsidR="00B64E36" w:rsidRDefault="00980161" w:rsidP="00F00F16">
            <w:pPr>
              <w:jc w:val="center"/>
              <w:rPr>
                <w:rFonts w:eastAsia="Times New Roman"/>
              </w:rPr>
            </w:pPr>
            <w:r>
              <w:rPr>
                <w:rFonts w:eastAsia="Times New Roman"/>
              </w:rPr>
              <w:t>22.12</w:t>
            </w:r>
          </w:p>
        </w:tc>
      </w:tr>
      <w:tr w:rsidR="00B64E36" w:rsidRPr="00DD322C" w14:paraId="4F5D4AB0" w14:textId="77777777" w:rsidTr="00852D59">
        <w:trPr>
          <w:trHeight w:val="379"/>
          <w:jc w:val="center"/>
        </w:trPr>
        <w:tc>
          <w:tcPr>
            <w:tcW w:w="2445" w:type="dxa"/>
            <w:vAlign w:val="bottom"/>
          </w:tcPr>
          <w:p w14:paraId="7F11355C" w14:textId="0C766247" w:rsidR="00B64E36" w:rsidRDefault="008F2102" w:rsidP="00F00F16">
            <w:pPr>
              <w:jc w:val="center"/>
            </w:pPr>
            <w:r>
              <w:t>De 30 a 39</w:t>
            </w:r>
          </w:p>
        </w:tc>
        <w:tc>
          <w:tcPr>
            <w:tcW w:w="1189" w:type="dxa"/>
            <w:vAlign w:val="bottom"/>
          </w:tcPr>
          <w:p w14:paraId="5238F4D2" w14:textId="6DDE4967" w:rsidR="00B64E36" w:rsidRDefault="008F2102" w:rsidP="00F00F16">
            <w:pPr>
              <w:jc w:val="center"/>
            </w:pPr>
            <w:r>
              <w:t>38</w:t>
            </w:r>
          </w:p>
        </w:tc>
        <w:tc>
          <w:tcPr>
            <w:tcW w:w="1920" w:type="dxa"/>
          </w:tcPr>
          <w:p w14:paraId="6E14F36E" w14:textId="2505968D" w:rsidR="00B64E36" w:rsidRDefault="000A581E" w:rsidP="00F00F16">
            <w:pPr>
              <w:jc w:val="center"/>
              <w:rPr>
                <w:rFonts w:eastAsia="Times New Roman"/>
              </w:rPr>
            </w:pPr>
            <w:r>
              <w:rPr>
                <w:rFonts w:eastAsia="Times New Roman"/>
              </w:rPr>
              <w:t>3305.32</w:t>
            </w:r>
          </w:p>
        </w:tc>
        <w:tc>
          <w:tcPr>
            <w:tcW w:w="1922" w:type="dxa"/>
          </w:tcPr>
          <w:p w14:paraId="34CBA651" w14:textId="1D99A9AA" w:rsidR="00B64E36" w:rsidRDefault="000F6FEE" w:rsidP="00F00F16">
            <w:pPr>
              <w:jc w:val="center"/>
              <w:rPr>
                <w:rFonts w:eastAsia="Times New Roman"/>
              </w:rPr>
            </w:pPr>
            <w:r>
              <w:rPr>
                <w:rFonts w:eastAsia="Times New Roman"/>
              </w:rPr>
              <w:t>86.98</w:t>
            </w:r>
          </w:p>
        </w:tc>
        <w:tc>
          <w:tcPr>
            <w:tcW w:w="1918" w:type="dxa"/>
          </w:tcPr>
          <w:p w14:paraId="03B845E0" w14:textId="5B3DB8E5" w:rsidR="00B64E36" w:rsidRDefault="00272A84" w:rsidP="00F00F16">
            <w:pPr>
              <w:jc w:val="center"/>
              <w:rPr>
                <w:rFonts w:eastAsia="Times New Roman"/>
              </w:rPr>
            </w:pPr>
            <w:r>
              <w:rPr>
                <w:rFonts w:eastAsia="Times New Roman"/>
              </w:rPr>
              <w:t>108.53</w:t>
            </w:r>
          </w:p>
        </w:tc>
      </w:tr>
      <w:tr w:rsidR="00B64E36" w:rsidRPr="00DD322C" w14:paraId="2D5C6D95" w14:textId="77777777" w:rsidTr="00852D59">
        <w:trPr>
          <w:trHeight w:val="379"/>
          <w:jc w:val="center"/>
        </w:trPr>
        <w:tc>
          <w:tcPr>
            <w:tcW w:w="2445" w:type="dxa"/>
            <w:vAlign w:val="bottom"/>
          </w:tcPr>
          <w:p w14:paraId="6973B1FB" w14:textId="6672EF6C" w:rsidR="00B64E36" w:rsidRDefault="008F2102" w:rsidP="00F00F16">
            <w:pPr>
              <w:jc w:val="center"/>
            </w:pPr>
            <w:r>
              <w:t>De 40 a 49</w:t>
            </w:r>
          </w:p>
        </w:tc>
        <w:tc>
          <w:tcPr>
            <w:tcW w:w="1189" w:type="dxa"/>
            <w:vAlign w:val="bottom"/>
          </w:tcPr>
          <w:p w14:paraId="167FDD34" w14:textId="00D5A6BE" w:rsidR="00B64E36" w:rsidRDefault="008F2102" w:rsidP="00F00F16">
            <w:pPr>
              <w:jc w:val="center"/>
            </w:pPr>
            <w:r>
              <w:t>37</w:t>
            </w:r>
          </w:p>
        </w:tc>
        <w:tc>
          <w:tcPr>
            <w:tcW w:w="1920" w:type="dxa"/>
          </w:tcPr>
          <w:p w14:paraId="4255C066" w14:textId="3215B848" w:rsidR="00B64E36" w:rsidRDefault="000A581E" w:rsidP="00F00F16">
            <w:pPr>
              <w:jc w:val="center"/>
              <w:rPr>
                <w:rFonts w:eastAsia="Times New Roman"/>
              </w:rPr>
            </w:pPr>
            <w:r>
              <w:rPr>
                <w:rFonts w:eastAsia="Times New Roman"/>
              </w:rPr>
              <w:t>32</w:t>
            </w:r>
            <w:r w:rsidR="009A0300">
              <w:rPr>
                <w:rFonts w:eastAsia="Times New Roman"/>
              </w:rPr>
              <w:t>04.99</w:t>
            </w:r>
          </w:p>
        </w:tc>
        <w:tc>
          <w:tcPr>
            <w:tcW w:w="1922" w:type="dxa"/>
          </w:tcPr>
          <w:p w14:paraId="6EC2DED8" w14:textId="4F35287D" w:rsidR="00B64E36" w:rsidRDefault="000F6FEE" w:rsidP="00F00F16">
            <w:pPr>
              <w:jc w:val="center"/>
              <w:rPr>
                <w:rFonts w:eastAsia="Times New Roman"/>
              </w:rPr>
            </w:pPr>
            <w:r>
              <w:rPr>
                <w:rFonts w:eastAsia="Times New Roman"/>
              </w:rPr>
              <w:t>86.62</w:t>
            </w:r>
          </w:p>
        </w:tc>
        <w:tc>
          <w:tcPr>
            <w:tcW w:w="1918" w:type="dxa"/>
          </w:tcPr>
          <w:p w14:paraId="44EC03D9" w14:textId="061BED0E" w:rsidR="00B64E36" w:rsidRDefault="000F6FEE" w:rsidP="00F00F16">
            <w:pPr>
              <w:jc w:val="center"/>
              <w:rPr>
                <w:rFonts w:eastAsia="Times New Roman"/>
              </w:rPr>
            </w:pPr>
            <w:r>
              <w:rPr>
                <w:rFonts w:eastAsia="Times New Roman"/>
              </w:rPr>
              <w:t>63.36</w:t>
            </w:r>
          </w:p>
        </w:tc>
      </w:tr>
      <w:tr w:rsidR="00B64E36" w:rsidRPr="00DD322C" w14:paraId="2B073745" w14:textId="77777777" w:rsidTr="00852D59">
        <w:trPr>
          <w:trHeight w:val="379"/>
          <w:jc w:val="center"/>
        </w:trPr>
        <w:tc>
          <w:tcPr>
            <w:tcW w:w="2445" w:type="dxa"/>
            <w:vAlign w:val="bottom"/>
          </w:tcPr>
          <w:p w14:paraId="5F0CFDBE" w14:textId="24E5389B" w:rsidR="00B64E36" w:rsidRDefault="008F2102" w:rsidP="00F00F16">
            <w:pPr>
              <w:jc w:val="center"/>
            </w:pPr>
            <w:r>
              <w:t>Más de 49</w:t>
            </w:r>
          </w:p>
        </w:tc>
        <w:tc>
          <w:tcPr>
            <w:tcW w:w="1189" w:type="dxa"/>
            <w:vAlign w:val="bottom"/>
          </w:tcPr>
          <w:p w14:paraId="106F5C62" w14:textId="4FBCD6C6" w:rsidR="00B64E36" w:rsidRDefault="008F2102" w:rsidP="00F00F16">
            <w:pPr>
              <w:jc w:val="center"/>
            </w:pPr>
            <w:r>
              <w:t>26</w:t>
            </w:r>
          </w:p>
        </w:tc>
        <w:tc>
          <w:tcPr>
            <w:tcW w:w="1920" w:type="dxa"/>
          </w:tcPr>
          <w:p w14:paraId="1B37E6D5" w14:textId="6DDC367D" w:rsidR="00B64E36" w:rsidRDefault="009A0300" w:rsidP="00F00F16">
            <w:pPr>
              <w:jc w:val="center"/>
              <w:rPr>
                <w:rFonts w:eastAsia="Times New Roman"/>
              </w:rPr>
            </w:pPr>
            <w:r>
              <w:rPr>
                <w:rFonts w:eastAsia="Times New Roman"/>
              </w:rPr>
              <w:t>2165.49</w:t>
            </w:r>
          </w:p>
        </w:tc>
        <w:tc>
          <w:tcPr>
            <w:tcW w:w="1922" w:type="dxa"/>
          </w:tcPr>
          <w:p w14:paraId="4A9F3AF1" w14:textId="75F8BF4A" w:rsidR="00B64E36" w:rsidRDefault="009A0300" w:rsidP="00F00F16">
            <w:pPr>
              <w:jc w:val="center"/>
              <w:rPr>
                <w:rFonts w:eastAsia="Times New Roman"/>
              </w:rPr>
            </w:pPr>
            <w:r>
              <w:rPr>
                <w:rFonts w:eastAsia="Times New Roman"/>
              </w:rPr>
              <w:t>83.29</w:t>
            </w:r>
          </w:p>
        </w:tc>
        <w:tc>
          <w:tcPr>
            <w:tcW w:w="1918" w:type="dxa"/>
          </w:tcPr>
          <w:p w14:paraId="59A506EA" w14:textId="31A75B81" w:rsidR="00B64E36" w:rsidRDefault="009A0300" w:rsidP="00F00F16">
            <w:pPr>
              <w:jc w:val="center"/>
              <w:rPr>
                <w:rFonts w:eastAsia="Times New Roman"/>
              </w:rPr>
            </w:pPr>
            <w:r>
              <w:rPr>
                <w:rFonts w:eastAsia="Times New Roman"/>
              </w:rPr>
              <w:t>160.19</w:t>
            </w:r>
          </w:p>
        </w:tc>
      </w:tr>
      <w:tr w:rsidR="00145F9D" w:rsidRPr="00DD322C" w14:paraId="3DAAA8ED" w14:textId="6D66C7BA" w:rsidTr="003752FF">
        <w:trPr>
          <w:trHeight w:val="335"/>
          <w:jc w:val="center"/>
        </w:trPr>
        <w:tc>
          <w:tcPr>
            <w:tcW w:w="9394" w:type="dxa"/>
            <w:gridSpan w:val="5"/>
          </w:tcPr>
          <w:p w14:paraId="1B091E69" w14:textId="47340111" w:rsidR="00145F9D" w:rsidRPr="00145F9D" w:rsidRDefault="00145F9D" w:rsidP="00F00F16">
            <w:pPr>
              <w:jc w:val="center"/>
              <w:rPr>
                <w:rFonts w:eastAsia="Times New Roman"/>
              </w:rPr>
            </w:pPr>
            <w:r w:rsidRPr="00145F9D">
              <w:rPr>
                <w:rFonts w:eastAsia="Times New Roman"/>
              </w:rPr>
              <w:t>Análisis de varianza</w:t>
            </w:r>
          </w:p>
        </w:tc>
      </w:tr>
      <w:tr w:rsidR="003E6827" w:rsidRPr="00DD322C" w14:paraId="3F55248C" w14:textId="4C54E3CB" w:rsidTr="00852D59">
        <w:trPr>
          <w:trHeight w:val="379"/>
          <w:jc w:val="center"/>
        </w:trPr>
        <w:tc>
          <w:tcPr>
            <w:tcW w:w="2445" w:type="dxa"/>
            <w:vAlign w:val="bottom"/>
          </w:tcPr>
          <w:p w14:paraId="571F6B41" w14:textId="1CC768A5" w:rsidR="003E6827" w:rsidRPr="00DD322C" w:rsidRDefault="00B85B68" w:rsidP="00F00F16">
            <w:pPr>
              <w:jc w:val="center"/>
            </w:pPr>
            <w:r>
              <w:rPr>
                <w:rFonts w:eastAsia="Times New Roman"/>
              </w:rPr>
              <w:t>Origen de las variaciones</w:t>
            </w:r>
          </w:p>
        </w:tc>
        <w:tc>
          <w:tcPr>
            <w:tcW w:w="1189" w:type="dxa"/>
            <w:vAlign w:val="bottom"/>
          </w:tcPr>
          <w:p w14:paraId="6B6290AD" w14:textId="36DF1D61" w:rsidR="003E6827" w:rsidRPr="00DD322C" w:rsidRDefault="007E2779" w:rsidP="00F00F16">
            <w:pPr>
              <w:jc w:val="center"/>
            </w:pPr>
            <w:r>
              <w:t>Suma de cuadrados</w:t>
            </w:r>
          </w:p>
        </w:tc>
        <w:tc>
          <w:tcPr>
            <w:tcW w:w="1920" w:type="dxa"/>
          </w:tcPr>
          <w:p w14:paraId="6B7C3A0F" w14:textId="2D1D9A0E" w:rsidR="003E6827" w:rsidRPr="00DD322C" w:rsidRDefault="007E2779" w:rsidP="00F00F16">
            <w:pPr>
              <w:jc w:val="center"/>
              <w:rPr>
                <w:rFonts w:eastAsia="Times New Roman"/>
              </w:rPr>
            </w:pPr>
            <w:r>
              <w:rPr>
                <w:rFonts w:eastAsia="Times New Roman"/>
              </w:rPr>
              <w:t>Grados de libertad</w:t>
            </w:r>
          </w:p>
        </w:tc>
        <w:tc>
          <w:tcPr>
            <w:tcW w:w="1922" w:type="dxa"/>
          </w:tcPr>
          <w:p w14:paraId="08D34855" w14:textId="4919EA81" w:rsidR="003E6827" w:rsidRPr="00DD322C" w:rsidRDefault="00A742D9" w:rsidP="00F00F16">
            <w:pPr>
              <w:jc w:val="center"/>
              <w:rPr>
                <w:rFonts w:eastAsia="Times New Roman"/>
              </w:rPr>
            </w:pPr>
            <w:r>
              <w:rPr>
                <w:rFonts w:eastAsia="Times New Roman"/>
              </w:rPr>
              <w:t>F</w:t>
            </w:r>
          </w:p>
        </w:tc>
        <w:tc>
          <w:tcPr>
            <w:tcW w:w="1918" w:type="dxa"/>
          </w:tcPr>
          <w:p w14:paraId="6FB3B4DD" w14:textId="51AFDE00" w:rsidR="003E6827" w:rsidRPr="00DD322C" w:rsidRDefault="00A742D9" w:rsidP="00F00F16">
            <w:pPr>
              <w:jc w:val="center"/>
              <w:rPr>
                <w:rFonts w:eastAsia="Times New Roman"/>
              </w:rPr>
            </w:pPr>
            <w:r>
              <w:rPr>
                <w:rFonts w:eastAsia="Times New Roman"/>
              </w:rPr>
              <w:t>Valor crítico para F</w:t>
            </w:r>
          </w:p>
        </w:tc>
      </w:tr>
      <w:tr w:rsidR="003E6827" w:rsidRPr="00DD322C" w14:paraId="61C6228C" w14:textId="13F5B585" w:rsidTr="00852D59">
        <w:trPr>
          <w:trHeight w:val="379"/>
          <w:jc w:val="center"/>
        </w:trPr>
        <w:tc>
          <w:tcPr>
            <w:tcW w:w="2445" w:type="dxa"/>
            <w:vAlign w:val="bottom"/>
          </w:tcPr>
          <w:p w14:paraId="4067F7AF" w14:textId="31A19BDC" w:rsidR="003E6827" w:rsidRPr="00DD322C" w:rsidRDefault="00B85B68" w:rsidP="00F00F16">
            <w:pPr>
              <w:jc w:val="center"/>
            </w:pPr>
            <w:r>
              <w:t>Entre grupos</w:t>
            </w:r>
          </w:p>
        </w:tc>
        <w:tc>
          <w:tcPr>
            <w:tcW w:w="1189" w:type="dxa"/>
            <w:vAlign w:val="bottom"/>
          </w:tcPr>
          <w:p w14:paraId="6F95D2D5" w14:textId="2796F542" w:rsidR="003E6827" w:rsidRPr="00DD322C" w:rsidRDefault="008D5FAA" w:rsidP="00F00F16">
            <w:pPr>
              <w:jc w:val="center"/>
            </w:pPr>
            <w:r>
              <w:t>1239.85</w:t>
            </w:r>
          </w:p>
        </w:tc>
        <w:tc>
          <w:tcPr>
            <w:tcW w:w="1920" w:type="dxa"/>
          </w:tcPr>
          <w:p w14:paraId="2CB930E3" w14:textId="63ABC873" w:rsidR="003E6827" w:rsidRPr="00DD322C" w:rsidRDefault="00A742D9" w:rsidP="00F00F16">
            <w:pPr>
              <w:jc w:val="center"/>
              <w:rPr>
                <w:rFonts w:eastAsia="Times New Roman"/>
              </w:rPr>
            </w:pPr>
            <w:r>
              <w:rPr>
                <w:rFonts w:eastAsia="Times New Roman"/>
              </w:rPr>
              <w:t>6</w:t>
            </w:r>
          </w:p>
        </w:tc>
        <w:tc>
          <w:tcPr>
            <w:tcW w:w="1922" w:type="dxa"/>
          </w:tcPr>
          <w:p w14:paraId="1374E8F5" w14:textId="09B4FF15" w:rsidR="003E6827" w:rsidRPr="00DD322C" w:rsidRDefault="00A742D9" w:rsidP="00F00F16">
            <w:pPr>
              <w:jc w:val="center"/>
              <w:rPr>
                <w:rFonts w:eastAsia="Times New Roman"/>
              </w:rPr>
            </w:pPr>
            <w:r>
              <w:rPr>
                <w:rFonts w:eastAsia="Times New Roman"/>
              </w:rPr>
              <w:t>1.98</w:t>
            </w:r>
          </w:p>
        </w:tc>
        <w:tc>
          <w:tcPr>
            <w:tcW w:w="1918" w:type="dxa"/>
          </w:tcPr>
          <w:p w14:paraId="54416231" w14:textId="469EFB85" w:rsidR="003E6827" w:rsidRPr="00DD322C" w:rsidRDefault="00A742D9" w:rsidP="00F00F16">
            <w:pPr>
              <w:jc w:val="center"/>
              <w:rPr>
                <w:rFonts w:eastAsia="Times New Roman"/>
              </w:rPr>
            </w:pPr>
            <w:r>
              <w:rPr>
                <w:rFonts w:eastAsia="Times New Roman"/>
              </w:rPr>
              <w:t>2.13</w:t>
            </w:r>
          </w:p>
        </w:tc>
      </w:tr>
      <w:tr w:rsidR="00B85B68" w:rsidRPr="00DD322C" w14:paraId="32C73FA5" w14:textId="77777777" w:rsidTr="00852D59">
        <w:trPr>
          <w:trHeight w:val="379"/>
          <w:jc w:val="center"/>
        </w:trPr>
        <w:tc>
          <w:tcPr>
            <w:tcW w:w="2445" w:type="dxa"/>
            <w:vAlign w:val="bottom"/>
          </w:tcPr>
          <w:p w14:paraId="06FD6F87" w14:textId="03E98636" w:rsidR="00B85B68" w:rsidRDefault="00B85B68" w:rsidP="00F00F16">
            <w:pPr>
              <w:jc w:val="center"/>
            </w:pPr>
            <w:r>
              <w:t>Dentro de los grupos</w:t>
            </w:r>
          </w:p>
        </w:tc>
        <w:tc>
          <w:tcPr>
            <w:tcW w:w="1189" w:type="dxa"/>
            <w:vAlign w:val="bottom"/>
          </w:tcPr>
          <w:p w14:paraId="43AC4BEF" w14:textId="1A0D90AB" w:rsidR="00B85B68" w:rsidRPr="00DD322C" w:rsidRDefault="00A37B54" w:rsidP="00F00F16">
            <w:pPr>
              <w:jc w:val="center"/>
              <w:rPr>
                <w:rFonts w:eastAsia="Times New Roman"/>
              </w:rPr>
            </w:pPr>
            <w:r>
              <w:rPr>
                <w:rFonts w:eastAsia="Times New Roman"/>
              </w:rPr>
              <w:t>31090.49</w:t>
            </w:r>
          </w:p>
        </w:tc>
        <w:tc>
          <w:tcPr>
            <w:tcW w:w="1920" w:type="dxa"/>
          </w:tcPr>
          <w:p w14:paraId="43E9EB03" w14:textId="7971CF2D" w:rsidR="00B85B68" w:rsidRPr="00DD322C" w:rsidRDefault="00A742D9" w:rsidP="00F00F16">
            <w:pPr>
              <w:jc w:val="center"/>
              <w:rPr>
                <w:rFonts w:eastAsia="Times New Roman"/>
              </w:rPr>
            </w:pPr>
            <w:r>
              <w:rPr>
                <w:rFonts w:eastAsia="Times New Roman"/>
              </w:rPr>
              <w:t>298</w:t>
            </w:r>
          </w:p>
        </w:tc>
        <w:tc>
          <w:tcPr>
            <w:tcW w:w="1922" w:type="dxa"/>
          </w:tcPr>
          <w:p w14:paraId="7FE9AE19" w14:textId="77777777" w:rsidR="00B85B68" w:rsidRPr="00DD322C" w:rsidRDefault="00B85B68" w:rsidP="00F00F16">
            <w:pPr>
              <w:jc w:val="center"/>
              <w:rPr>
                <w:rFonts w:eastAsia="Times New Roman"/>
              </w:rPr>
            </w:pPr>
          </w:p>
        </w:tc>
        <w:tc>
          <w:tcPr>
            <w:tcW w:w="1918" w:type="dxa"/>
          </w:tcPr>
          <w:p w14:paraId="42C8F762" w14:textId="77777777" w:rsidR="00B85B68" w:rsidRPr="00DD322C" w:rsidRDefault="00B85B68" w:rsidP="00F00F16">
            <w:pPr>
              <w:jc w:val="center"/>
              <w:rPr>
                <w:rFonts w:eastAsia="Times New Roman"/>
              </w:rPr>
            </w:pPr>
          </w:p>
        </w:tc>
      </w:tr>
      <w:tr w:rsidR="00B85B68" w:rsidRPr="00DD322C" w14:paraId="4606ED2F" w14:textId="77777777" w:rsidTr="00852D59">
        <w:trPr>
          <w:trHeight w:val="379"/>
          <w:jc w:val="center"/>
        </w:trPr>
        <w:tc>
          <w:tcPr>
            <w:tcW w:w="2445" w:type="dxa"/>
            <w:vAlign w:val="bottom"/>
          </w:tcPr>
          <w:p w14:paraId="32C78871" w14:textId="1A6A5A4C" w:rsidR="00B85B68" w:rsidRDefault="00B85B68" w:rsidP="00F00F16">
            <w:pPr>
              <w:jc w:val="center"/>
            </w:pPr>
            <w:r>
              <w:t>Total</w:t>
            </w:r>
          </w:p>
        </w:tc>
        <w:tc>
          <w:tcPr>
            <w:tcW w:w="1189" w:type="dxa"/>
            <w:vAlign w:val="bottom"/>
          </w:tcPr>
          <w:p w14:paraId="2BCA3876" w14:textId="4353BF57" w:rsidR="00B85B68" w:rsidRPr="00DD322C" w:rsidRDefault="00A37B54" w:rsidP="00F00F16">
            <w:pPr>
              <w:jc w:val="center"/>
              <w:rPr>
                <w:rFonts w:eastAsia="Times New Roman"/>
              </w:rPr>
            </w:pPr>
            <w:r>
              <w:rPr>
                <w:rFonts w:eastAsia="Times New Roman"/>
              </w:rPr>
              <w:t>32330.34</w:t>
            </w:r>
          </w:p>
        </w:tc>
        <w:tc>
          <w:tcPr>
            <w:tcW w:w="1920" w:type="dxa"/>
          </w:tcPr>
          <w:p w14:paraId="07E4BF71" w14:textId="29F39892" w:rsidR="00B85B68" w:rsidRPr="00DD322C" w:rsidRDefault="00A742D9" w:rsidP="00F00F16">
            <w:pPr>
              <w:jc w:val="center"/>
              <w:rPr>
                <w:rFonts w:eastAsia="Times New Roman"/>
              </w:rPr>
            </w:pPr>
            <w:r>
              <w:rPr>
                <w:rFonts w:eastAsia="Times New Roman"/>
              </w:rPr>
              <w:t>304</w:t>
            </w:r>
          </w:p>
        </w:tc>
        <w:tc>
          <w:tcPr>
            <w:tcW w:w="1922" w:type="dxa"/>
          </w:tcPr>
          <w:p w14:paraId="6D910AD8" w14:textId="77777777" w:rsidR="00B85B68" w:rsidRPr="00DD322C" w:rsidRDefault="00B85B68" w:rsidP="00F00F16">
            <w:pPr>
              <w:jc w:val="center"/>
              <w:rPr>
                <w:rFonts w:eastAsia="Times New Roman"/>
              </w:rPr>
            </w:pPr>
          </w:p>
        </w:tc>
        <w:tc>
          <w:tcPr>
            <w:tcW w:w="1918" w:type="dxa"/>
          </w:tcPr>
          <w:p w14:paraId="7059F488" w14:textId="77777777" w:rsidR="00B85B68" w:rsidRPr="00DD322C" w:rsidRDefault="00B85B68" w:rsidP="00F00F16">
            <w:pPr>
              <w:jc w:val="center"/>
              <w:rPr>
                <w:rFonts w:eastAsia="Times New Roman"/>
              </w:rPr>
            </w:pPr>
          </w:p>
        </w:tc>
      </w:tr>
    </w:tbl>
    <w:p w14:paraId="39992CC9" w14:textId="5C8F4455" w:rsidR="008D7859" w:rsidRPr="001D36B9" w:rsidRDefault="00D555C6" w:rsidP="001D36B9">
      <w:pPr>
        <w:spacing w:line="360" w:lineRule="auto"/>
        <w:jc w:val="center"/>
        <w:rPr>
          <w:lang w:val="es-ES"/>
        </w:rPr>
      </w:pPr>
      <w:r w:rsidRPr="00DD322C">
        <w:rPr>
          <w:lang w:val="es-ES"/>
        </w:rPr>
        <w:t>Fuente: Elaboración propia</w:t>
      </w:r>
    </w:p>
    <w:p w14:paraId="4457F7DB" w14:textId="77777777" w:rsidR="008D7859" w:rsidRPr="00DD322C" w:rsidRDefault="008D7859" w:rsidP="00EB2F93">
      <w:pPr>
        <w:spacing w:line="360" w:lineRule="auto"/>
        <w:ind w:firstLine="708"/>
        <w:jc w:val="both"/>
      </w:pPr>
      <w:r w:rsidRPr="00DD322C">
        <w:t>Como se puede apreciar en el resumen, el valor de F calculado para la prueba es menor al valor crítico para F, por lo que se puede concluir que los promedios de calificaciones para cada categoría de número de horas semanales trabajadas, incluida la de los que no trabajan, para una significancia de 0.05, son estadísticamente iguales.</w:t>
      </w:r>
    </w:p>
    <w:p w14:paraId="7DCC686B" w14:textId="7542BDA8" w:rsidR="008D7859" w:rsidRPr="00DD322C" w:rsidRDefault="008D7859" w:rsidP="00EB2F93">
      <w:pPr>
        <w:spacing w:line="360" w:lineRule="auto"/>
        <w:ind w:firstLine="708"/>
        <w:jc w:val="both"/>
      </w:pPr>
      <w:r w:rsidRPr="00DD322C">
        <w:t xml:space="preserve">En la segunda prueba de </w:t>
      </w:r>
      <w:proofErr w:type="spellStart"/>
      <w:r w:rsidRPr="00DD322C">
        <w:t>A</w:t>
      </w:r>
      <w:r w:rsidR="00EB2F93" w:rsidRPr="00DD322C">
        <w:t>nova</w:t>
      </w:r>
      <w:proofErr w:type="spellEnd"/>
      <w:r w:rsidRPr="00DD322C">
        <w:t xml:space="preserve">, se buscó determinar si existe diferencia entre los promedios de las distintas categorías de número de horas semanales de trabajo, considerando únicamente a los estudiantes que trabajan. Los resultados se aprecian </w:t>
      </w:r>
      <w:r w:rsidR="00A13EB2" w:rsidRPr="00DD322C">
        <w:t xml:space="preserve">de forma resumida en la tabla 6. </w:t>
      </w:r>
    </w:p>
    <w:p w14:paraId="25CEC53D" w14:textId="2F792AC3" w:rsidR="00D555C6" w:rsidRDefault="00D555C6" w:rsidP="009067CC">
      <w:pPr>
        <w:spacing w:line="360" w:lineRule="auto"/>
        <w:jc w:val="center"/>
        <w:rPr>
          <w:b/>
          <w:bCs/>
        </w:rPr>
      </w:pPr>
    </w:p>
    <w:p w14:paraId="0878D8D0" w14:textId="77777777" w:rsidR="00F56DB9" w:rsidRDefault="00F56DB9" w:rsidP="009067CC">
      <w:pPr>
        <w:spacing w:line="360" w:lineRule="auto"/>
        <w:jc w:val="center"/>
        <w:rPr>
          <w:b/>
          <w:bCs/>
        </w:rPr>
      </w:pPr>
    </w:p>
    <w:p w14:paraId="017DC2D0" w14:textId="77777777" w:rsidR="00F56DB9" w:rsidRDefault="00F56DB9" w:rsidP="009067CC">
      <w:pPr>
        <w:spacing w:line="360" w:lineRule="auto"/>
        <w:jc w:val="center"/>
        <w:rPr>
          <w:b/>
          <w:bCs/>
        </w:rPr>
      </w:pPr>
    </w:p>
    <w:p w14:paraId="3D383B84" w14:textId="77777777" w:rsidR="00F56DB9" w:rsidRDefault="00F56DB9" w:rsidP="009067CC">
      <w:pPr>
        <w:spacing w:line="360" w:lineRule="auto"/>
        <w:jc w:val="center"/>
        <w:rPr>
          <w:b/>
          <w:bCs/>
        </w:rPr>
      </w:pPr>
    </w:p>
    <w:p w14:paraId="671433C1" w14:textId="77777777" w:rsidR="00F56DB9" w:rsidRDefault="00F56DB9" w:rsidP="009067CC">
      <w:pPr>
        <w:spacing w:line="360" w:lineRule="auto"/>
        <w:jc w:val="center"/>
        <w:rPr>
          <w:b/>
          <w:bCs/>
        </w:rPr>
      </w:pPr>
    </w:p>
    <w:p w14:paraId="1391CDA2" w14:textId="77777777" w:rsidR="00F56DB9" w:rsidRDefault="00F56DB9" w:rsidP="009067CC">
      <w:pPr>
        <w:spacing w:line="360" w:lineRule="auto"/>
        <w:jc w:val="center"/>
        <w:rPr>
          <w:b/>
          <w:bCs/>
        </w:rPr>
      </w:pPr>
    </w:p>
    <w:p w14:paraId="6A37C685" w14:textId="77777777" w:rsidR="00F56DB9" w:rsidRDefault="00F56DB9" w:rsidP="009067CC">
      <w:pPr>
        <w:spacing w:line="360" w:lineRule="auto"/>
        <w:jc w:val="center"/>
        <w:rPr>
          <w:b/>
          <w:bCs/>
        </w:rPr>
      </w:pPr>
    </w:p>
    <w:p w14:paraId="253019D4" w14:textId="77777777" w:rsidR="00F56DB9" w:rsidRDefault="00F56DB9" w:rsidP="009067CC">
      <w:pPr>
        <w:spacing w:line="360" w:lineRule="auto"/>
        <w:jc w:val="center"/>
        <w:rPr>
          <w:b/>
          <w:bCs/>
        </w:rPr>
      </w:pPr>
    </w:p>
    <w:p w14:paraId="7318CC5F" w14:textId="77777777" w:rsidR="00F56DB9" w:rsidRDefault="00F56DB9" w:rsidP="009067CC">
      <w:pPr>
        <w:spacing w:line="360" w:lineRule="auto"/>
        <w:jc w:val="center"/>
        <w:rPr>
          <w:b/>
          <w:bCs/>
        </w:rPr>
      </w:pPr>
    </w:p>
    <w:p w14:paraId="5C49216C" w14:textId="77777777" w:rsidR="00F56DB9" w:rsidRDefault="00F56DB9" w:rsidP="009067CC">
      <w:pPr>
        <w:spacing w:line="360" w:lineRule="auto"/>
        <w:jc w:val="center"/>
        <w:rPr>
          <w:b/>
          <w:bCs/>
        </w:rPr>
      </w:pPr>
    </w:p>
    <w:p w14:paraId="5601B557" w14:textId="77777777" w:rsidR="00F56DB9" w:rsidRDefault="00F56DB9" w:rsidP="009067CC">
      <w:pPr>
        <w:spacing w:line="360" w:lineRule="auto"/>
        <w:jc w:val="center"/>
        <w:rPr>
          <w:b/>
          <w:bCs/>
        </w:rPr>
      </w:pPr>
    </w:p>
    <w:p w14:paraId="167914B6" w14:textId="7F3D6B15" w:rsidR="00EB2F93" w:rsidRDefault="00EB2F93" w:rsidP="001D36B9">
      <w:pPr>
        <w:spacing w:line="360" w:lineRule="auto"/>
        <w:jc w:val="center"/>
        <w:rPr>
          <w:b/>
          <w:bCs/>
        </w:rPr>
      </w:pPr>
      <w:r w:rsidRPr="00DD322C">
        <w:rPr>
          <w:b/>
          <w:bCs/>
        </w:rPr>
        <w:lastRenderedPageBreak/>
        <w:t>Tabla 6</w:t>
      </w:r>
      <w:r w:rsidRPr="00DD322C">
        <w:t>. Varianza de un factor de estudiantes que trabajan</w:t>
      </w:r>
    </w:p>
    <w:tbl>
      <w:tblPr>
        <w:tblStyle w:val="Tablaconcuadrcula"/>
        <w:tblW w:w="0" w:type="auto"/>
        <w:jc w:val="center"/>
        <w:tblLook w:val="04A0" w:firstRow="1" w:lastRow="0" w:firstColumn="1" w:lastColumn="0" w:noHBand="0" w:noVBand="1"/>
      </w:tblPr>
      <w:tblGrid>
        <w:gridCol w:w="2445"/>
        <w:gridCol w:w="1189"/>
        <w:gridCol w:w="1920"/>
        <w:gridCol w:w="1922"/>
        <w:gridCol w:w="1918"/>
      </w:tblGrid>
      <w:tr w:rsidR="00CC2A6A" w:rsidRPr="00DD322C" w14:paraId="23BEACEC" w14:textId="77777777" w:rsidTr="00F00F16">
        <w:trPr>
          <w:trHeight w:val="379"/>
          <w:jc w:val="center"/>
        </w:trPr>
        <w:tc>
          <w:tcPr>
            <w:tcW w:w="9394" w:type="dxa"/>
            <w:gridSpan w:val="5"/>
            <w:vAlign w:val="bottom"/>
          </w:tcPr>
          <w:p w14:paraId="14CD5190" w14:textId="0E1DDC0A" w:rsidR="00CC2A6A" w:rsidRDefault="00B00407" w:rsidP="00F00F16">
            <w:pPr>
              <w:jc w:val="center"/>
            </w:pPr>
            <w:r>
              <w:t>V</w:t>
            </w:r>
            <w:r w:rsidR="00CC2A6A">
              <w:t>arianza de un factor</w:t>
            </w:r>
          </w:p>
        </w:tc>
      </w:tr>
      <w:tr w:rsidR="00CC2A6A" w:rsidRPr="00DD322C" w14:paraId="23A4A6B2" w14:textId="77777777" w:rsidTr="00F00F16">
        <w:trPr>
          <w:trHeight w:val="379"/>
          <w:jc w:val="center"/>
        </w:trPr>
        <w:tc>
          <w:tcPr>
            <w:tcW w:w="2445" w:type="dxa"/>
            <w:vAlign w:val="bottom"/>
          </w:tcPr>
          <w:p w14:paraId="2655AE42" w14:textId="77777777" w:rsidR="00CC2A6A" w:rsidRPr="00DD322C" w:rsidRDefault="00CC2A6A" w:rsidP="00F00F16">
            <w:pPr>
              <w:jc w:val="center"/>
            </w:pPr>
            <w:r>
              <w:t>Grupos</w:t>
            </w:r>
          </w:p>
        </w:tc>
        <w:tc>
          <w:tcPr>
            <w:tcW w:w="1189" w:type="dxa"/>
            <w:vAlign w:val="bottom"/>
          </w:tcPr>
          <w:p w14:paraId="400AD7DE" w14:textId="77777777" w:rsidR="00CC2A6A" w:rsidRPr="00DD322C" w:rsidRDefault="00CC2A6A" w:rsidP="00F00F16">
            <w:pPr>
              <w:jc w:val="center"/>
            </w:pPr>
            <w:r>
              <w:t>Cuenta</w:t>
            </w:r>
          </w:p>
        </w:tc>
        <w:tc>
          <w:tcPr>
            <w:tcW w:w="1920" w:type="dxa"/>
            <w:vAlign w:val="bottom"/>
          </w:tcPr>
          <w:p w14:paraId="7B083AD5" w14:textId="77777777" w:rsidR="00CC2A6A" w:rsidRPr="00DD322C" w:rsidRDefault="00CC2A6A" w:rsidP="00F00F16">
            <w:pPr>
              <w:jc w:val="center"/>
            </w:pPr>
            <w:r>
              <w:t>Suma</w:t>
            </w:r>
          </w:p>
        </w:tc>
        <w:tc>
          <w:tcPr>
            <w:tcW w:w="1922" w:type="dxa"/>
            <w:vAlign w:val="bottom"/>
          </w:tcPr>
          <w:p w14:paraId="05C5FFC2" w14:textId="77777777" w:rsidR="00CC2A6A" w:rsidRPr="00DD322C" w:rsidRDefault="00CC2A6A" w:rsidP="00F00F16">
            <w:pPr>
              <w:jc w:val="center"/>
            </w:pPr>
            <w:r>
              <w:t>Promedio</w:t>
            </w:r>
          </w:p>
        </w:tc>
        <w:tc>
          <w:tcPr>
            <w:tcW w:w="1918" w:type="dxa"/>
            <w:vAlign w:val="bottom"/>
          </w:tcPr>
          <w:p w14:paraId="17F16B0E" w14:textId="77777777" w:rsidR="00CC2A6A" w:rsidRPr="00DD322C" w:rsidRDefault="00CC2A6A" w:rsidP="00F00F16">
            <w:pPr>
              <w:jc w:val="center"/>
            </w:pPr>
            <w:r>
              <w:t>Varianza</w:t>
            </w:r>
          </w:p>
        </w:tc>
      </w:tr>
      <w:tr w:rsidR="00CC2A6A" w:rsidRPr="00DD322C" w14:paraId="0185173B" w14:textId="77777777" w:rsidTr="00F00F16">
        <w:trPr>
          <w:trHeight w:val="379"/>
          <w:jc w:val="center"/>
        </w:trPr>
        <w:tc>
          <w:tcPr>
            <w:tcW w:w="2445" w:type="dxa"/>
            <w:vAlign w:val="bottom"/>
          </w:tcPr>
          <w:p w14:paraId="3CF59C00" w14:textId="77777777" w:rsidR="00CC2A6A" w:rsidRDefault="00CC2A6A" w:rsidP="00F00F16">
            <w:pPr>
              <w:jc w:val="center"/>
            </w:pPr>
            <w:r>
              <w:t>De 1 a 9</w:t>
            </w:r>
          </w:p>
        </w:tc>
        <w:tc>
          <w:tcPr>
            <w:tcW w:w="1189" w:type="dxa"/>
            <w:vAlign w:val="bottom"/>
          </w:tcPr>
          <w:p w14:paraId="356E7189" w14:textId="77777777" w:rsidR="00CC2A6A" w:rsidRDefault="00CC2A6A" w:rsidP="00F00F16">
            <w:pPr>
              <w:jc w:val="center"/>
            </w:pPr>
            <w:r>
              <w:t>28</w:t>
            </w:r>
          </w:p>
        </w:tc>
        <w:tc>
          <w:tcPr>
            <w:tcW w:w="1920" w:type="dxa"/>
          </w:tcPr>
          <w:p w14:paraId="69065DD3" w14:textId="77777777" w:rsidR="00CC2A6A" w:rsidRDefault="00CC2A6A" w:rsidP="00F00F16">
            <w:pPr>
              <w:jc w:val="center"/>
              <w:rPr>
                <w:rFonts w:eastAsia="Times New Roman"/>
              </w:rPr>
            </w:pPr>
            <w:r>
              <w:rPr>
                <w:rFonts w:eastAsia="Times New Roman"/>
              </w:rPr>
              <w:t>2494.97</w:t>
            </w:r>
          </w:p>
        </w:tc>
        <w:tc>
          <w:tcPr>
            <w:tcW w:w="1922" w:type="dxa"/>
          </w:tcPr>
          <w:p w14:paraId="344A4550" w14:textId="77777777" w:rsidR="00CC2A6A" w:rsidRDefault="00CC2A6A" w:rsidP="00F00F16">
            <w:pPr>
              <w:jc w:val="center"/>
              <w:rPr>
                <w:rFonts w:eastAsia="Times New Roman"/>
              </w:rPr>
            </w:pPr>
            <w:r>
              <w:rPr>
                <w:rFonts w:eastAsia="Times New Roman"/>
              </w:rPr>
              <w:t>89.11</w:t>
            </w:r>
          </w:p>
        </w:tc>
        <w:tc>
          <w:tcPr>
            <w:tcW w:w="1918" w:type="dxa"/>
          </w:tcPr>
          <w:p w14:paraId="2051E9DA" w14:textId="77777777" w:rsidR="00CC2A6A" w:rsidRDefault="00CC2A6A" w:rsidP="00F00F16">
            <w:pPr>
              <w:jc w:val="center"/>
              <w:rPr>
                <w:rFonts w:eastAsia="Times New Roman"/>
              </w:rPr>
            </w:pPr>
            <w:r>
              <w:rPr>
                <w:rFonts w:eastAsia="Times New Roman"/>
              </w:rPr>
              <w:t>20.67</w:t>
            </w:r>
          </w:p>
        </w:tc>
      </w:tr>
      <w:tr w:rsidR="00CC2A6A" w:rsidRPr="00DD322C" w14:paraId="51EBFB61" w14:textId="77777777" w:rsidTr="00F00F16">
        <w:trPr>
          <w:trHeight w:val="379"/>
          <w:jc w:val="center"/>
        </w:trPr>
        <w:tc>
          <w:tcPr>
            <w:tcW w:w="2445" w:type="dxa"/>
            <w:vAlign w:val="bottom"/>
          </w:tcPr>
          <w:p w14:paraId="69D8ED66" w14:textId="77777777" w:rsidR="00CC2A6A" w:rsidRDefault="00CC2A6A" w:rsidP="00F00F16">
            <w:pPr>
              <w:jc w:val="center"/>
            </w:pPr>
            <w:r>
              <w:t>De 10 a 19</w:t>
            </w:r>
          </w:p>
        </w:tc>
        <w:tc>
          <w:tcPr>
            <w:tcW w:w="1189" w:type="dxa"/>
            <w:vAlign w:val="bottom"/>
          </w:tcPr>
          <w:p w14:paraId="42186063" w14:textId="77777777" w:rsidR="00CC2A6A" w:rsidRDefault="00CC2A6A" w:rsidP="00F00F16">
            <w:pPr>
              <w:jc w:val="center"/>
            </w:pPr>
            <w:r>
              <w:t>28</w:t>
            </w:r>
          </w:p>
        </w:tc>
        <w:tc>
          <w:tcPr>
            <w:tcW w:w="1920" w:type="dxa"/>
          </w:tcPr>
          <w:p w14:paraId="3C367E59" w14:textId="77777777" w:rsidR="00CC2A6A" w:rsidRDefault="00CC2A6A" w:rsidP="00F00F16">
            <w:pPr>
              <w:jc w:val="center"/>
              <w:rPr>
                <w:rFonts w:eastAsia="Times New Roman"/>
              </w:rPr>
            </w:pPr>
            <w:r>
              <w:rPr>
                <w:rFonts w:eastAsia="Times New Roman"/>
              </w:rPr>
              <w:t>2377.63</w:t>
            </w:r>
          </w:p>
        </w:tc>
        <w:tc>
          <w:tcPr>
            <w:tcW w:w="1922" w:type="dxa"/>
          </w:tcPr>
          <w:p w14:paraId="1199E1A5" w14:textId="77777777" w:rsidR="00CC2A6A" w:rsidRDefault="00CC2A6A" w:rsidP="00F00F16">
            <w:pPr>
              <w:jc w:val="center"/>
              <w:rPr>
                <w:rFonts w:eastAsia="Times New Roman"/>
              </w:rPr>
            </w:pPr>
            <w:r>
              <w:rPr>
                <w:rFonts w:eastAsia="Times New Roman"/>
              </w:rPr>
              <w:t>84.92</w:t>
            </w:r>
          </w:p>
        </w:tc>
        <w:tc>
          <w:tcPr>
            <w:tcW w:w="1918" w:type="dxa"/>
          </w:tcPr>
          <w:p w14:paraId="57722B17" w14:textId="77777777" w:rsidR="00CC2A6A" w:rsidRDefault="00CC2A6A" w:rsidP="00F00F16">
            <w:pPr>
              <w:jc w:val="center"/>
              <w:rPr>
                <w:rFonts w:eastAsia="Times New Roman"/>
              </w:rPr>
            </w:pPr>
            <w:r>
              <w:rPr>
                <w:rFonts w:eastAsia="Times New Roman"/>
              </w:rPr>
              <w:t>384.32</w:t>
            </w:r>
          </w:p>
        </w:tc>
      </w:tr>
      <w:tr w:rsidR="00CC2A6A" w:rsidRPr="00DD322C" w14:paraId="3D71C17E" w14:textId="77777777" w:rsidTr="00F00F16">
        <w:trPr>
          <w:trHeight w:val="379"/>
          <w:jc w:val="center"/>
        </w:trPr>
        <w:tc>
          <w:tcPr>
            <w:tcW w:w="2445" w:type="dxa"/>
            <w:vAlign w:val="bottom"/>
          </w:tcPr>
          <w:p w14:paraId="651792E6" w14:textId="77777777" w:rsidR="00CC2A6A" w:rsidRDefault="00CC2A6A" w:rsidP="00F00F16">
            <w:pPr>
              <w:jc w:val="center"/>
            </w:pPr>
            <w:r>
              <w:t>De 20 a 29</w:t>
            </w:r>
          </w:p>
        </w:tc>
        <w:tc>
          <w:tcPr>
            <w:tcW w:w="1189" w:type="dxa"/>
            <w:vAlign w:val="bottom"/>
          </w:tcPr>
          <w:p w14:paraId="546B7984" w14:textId="77777777" w:rsidR="00CC2A6A" w:rsidRDefault="00CC2A6A" w:rsidP="00F00F16">
            <w:pPr>
              <w:jc w:val="center"/>
            </w:pPr>
            <w:r>
              <w:t>33</w:t>
            </w:r>
          </w:p>
        </w:tc>
        <w:tc>
          <w:tcPr>
            <w:tcW w:w="1920" w:type="dxa"/>
          </w:tcPr>
          <w:p w14:paraId="3A218F60" w14:textId="77777777" w:rsidR="00CC2A6A" w:rsidRDefault="00CC2A6A" w:rsidP="00F00F16">
            <w:pPr>
              <w:jc w:val="center"/>
              <w:rPr>
                <w:rFonts w:eastAsia="Times New Roman"/>
              </w:rPr>
            </w:pPr>
            <w:r>
              <w:rPr>
                <w:rFonts w:eastAsia="Times New Roman"/>
              </w:rPr>
              <w:t>2964.84</w:t>
            </w:r>
          </w:p>
        </w:tc>
        <w:tc>
          <w:tcPr>
            <w:tcW w:w="1922" w:type="dxa"/>
          </w:tcPr>
          <w:p w14:paraId="34862839" w14:textId="77777777" w:rsidR="00CC2A6A" w:rsidRDefault="00CC2A6A" w:rsidP="00F00F16">
            <w:pPr>
              <w:jc w:val="center"/>
              <w:rPr>
                <w:rFonts w:eastAsia="Times New Roman"/>
              </w:rPr>
            </w:pPr>
            <w:r>
              <w:rPr>
                <w:rFonts w:eastAsia="Times New Roman"/>
              </w:rPr>
              <w:t>89.84</w:t>
            </w:r>
          </w:p>
        </w:tc>
        <w:tc>
          <w:tcPr>
            <w:tcW w:w="1918" w:type="dxa"/>
          </w:tcPr>
          <w:p w14:paraId="19C1DE16" w14:textId="77777777" w:rsidR="00CC2A6A" w:rsidRDefault="00CC2A6A" w:rsidP="00F00F16">
            <w:pPr>
              <w:jc w:val="center"/>
              <w:rPr>
                <w:rFonts w:eastAsia="Times New Roman"/>
              </w:rPr>
            </w:pPr>
            <w:r>
              <w:rPr>
                <w:rFonts w:eastAsia="Times New Roman"/>
              </w:rPr>
              <w:t>22.12</w:t>
            </w:r>
          </w:p>
        </w:tc>
      </w:tr>
      <w:tr w:rsidR="00CC2A6A" w:rsidRPr="00DD322C" w14:paraId="6A066ABB" w14:textId="77777777" w:rsidTr="00F00F16">
        <w:trPr>
          <w:trHeight w:val="379"/>
          <w:jc w:val="center"/>
        </w:trPr>
        <w:tc>
          <w:tcPr>
            <w:tcW w:w="2445" w:type="dxa"/>
            <w:vAlign w:val="bottom"/>
          </w:tcPr>
          <w:p w14:paraId="5018CDE6" w14:textId="77777777" w:rsidR="00CC2A6A" w:rsidRDefault="00CC2A6A" w:rsidP="00F00F16">
            <w:pPr>
              <w:jc w:val="center"/>
            </w:pPr>
            <w:r>
              <w:t>De 30 a 39</w:t>
            </w:r>
          </w:p>
        </w:tc>
        <w:tc>
          <w:tcPr>
            <w:tcW w:w="1189" w:type="dxa"/>
            <w:vAlign w:val="bottom"/>
          </w:tcPr>
          <w:p w14:paraId="629FC333" w14:textId="77777777" w:rsidR="00CC2A6A" w:rsidRDefault="00CC2A6A" w:rsidP="00F00F16">
            <w:pPr>
              <w:jc w:val="center"/>
            </w:pPr>
            <w:r>
              <w:t>38</w:t>
            </w:r>
          </w:p>
        </w:tc>
        <w:tc>
          <w:tcPr>
            <w:tcW w:w="1920" w:type="dxa"/>
          </w:tcPr>
          <w:p w14:paraId="261062C8" w14:textId="77777777" w:rsidR="00CC2A6A" w:rsidRDefault="00CC2A6A" w:rsidP="00F00F16">
            <w:pPr>
              <w:jc w:val="center"/>
              <w:rPr>
                <w:rFonts w:eastAsia="Times New Roman"/>
              </w:rPr>
            </w:pPr>
            <w:r>
              <w:rPr>
                <w:rFonts w:eastAsia="Times New Roman"/>
              </w:rPr>
              <w:t>3305.32</w:t>
            </w:r>
          </w:p>
        </w:tc>
        <w:tc>
          <w:tcPr>
            <w:tcW w:w="1922" w:type="dxa"/>
          </w:tcPr>
          <w:p w14:paraId="5DAA51AB" w14:textId="77777777" w:rsidR="00CC2A6A" w:rsidRDefault="00CC2A6A" w:rsidP="00F00F16">
            <w:pPr>
              <w:jc w:val="center"/>
              <w:rPr>
                <w:rFonts w:eastAsia="Times New Roman"/>
              </w:rPr>
            </w:pPr>
            <w:r>
              <w:rPr>
                <w:rFonts w:eastAsia="Times New Roman"/>
              </w:rPr>
              <w:t>86.98</w:t>
            </w:r>
          </w:p>
        </w:tc>
        <w:tc>
          <w:tcPr>
            <w:tcW w:w="1918" w:type="dxa"/>
          </w:tcPr>
          <w:p w14:paraId="6A0C041B" w14:textId="77777777" w:rsidR="00CC2A6A" w:rsidRDefault="00CC2A6A" w:rsidP="00F00F16">
            <w:pPr>
              <w:jc w:val="center"/>
              <w:rPr>
                <w:rFonts w:eastAsia="Times New Roman"/>
              </w:rPr>
            </w:pPr>
            <w:r>
              <w:rPr>
                <w:rFonts w:eastAsia="Times New Roman"/>
              </w:rPr>
              <w:t>108.53</w:t>
            </w:r>
          </w:p>
        </w:tc>
      </w:tr>
      <w:tr w:rsidR="00CC2A6A" w:rsidRPr="00DD322C" w14:paraId="2904AC8C" w14:textId="77777777" w:rsidTr="00F00F16">
        <w:trPr>
          <w:trHeight w:val="379"/>
          <w:jc w:val="center"/>
        </w:trPr>
        <w:tc>
          <w:tcPr>
            <w:tcW w:w="2445" w:type="dxa"/>
            <w:vAlign w:val="bottom"/>
          </w:tcPr>
          <w:p w14:paraId="1339697E" w14:textId="77777777" w:rsidR="00CC2A6A" w:rsidRDefault="00CC2A6A" w:rsidP="00F00F16">
            <w:pPr>
              <w:jc w:val="center"/>
            </w:pPr>
            <w:r>
              <w:t>De 40 a 49</w:t>
            </w:r>
          </w:p>
        </w:tc>
        <w:tc>
          <w:tcPr>
            <w:tcW w:w="1189" w:type="dxa"/>
            <w:vAlign w:val="bottom"/>
          </w:tcPr>
          <w:p w14:paraId="1C90CD49" w14:textId="77777777" w:rsidR="00CC2A6A" w:rsidRDefault="00CC2A6A" w:rsidP="00F00F16">
            <w:pPr>
              <w:jc w:val="center"/>
            </w:pPr>
            <w:r>
              <w:t>37</w:t>
            </w:r>
          </w:p>
        </w:tc>
        <w:tc>
          <w:tcPr>
            <w:tcW w:w="1920" w:type="dxa"/>
          </w:tcPr>
          <w:p w14:paraId="7A201A12" w14:textId="77777777" w:rsidR="00CC2A6A" w:rsidRDefault="00CC2A6A" w:rsidP="00F00F16">
            <w:pPr>
              <w:jc w:val="center"/>
              <w:rPr>
                <w:rFonts w:eastAsia="Times New Roman"/>
              </w:rPr>
            </w:pPr>
            <w:r>
              <w:rPr>
                <w:rFonts w:eastAsia="Times New Roman"/>
              </w:rPr>
              <w:t>3204.99</w:t>
            </w:r>
          </w:p>
        </w:tc>
        <w:tc>
          <w:tcPr>
            <w:tcW w:w="1922" w:type="dxa"/>
          </w:tcPr>
          <w:p w14:paraId="3C95195A" w14:textId="77777777" w:rsidR="00CC2A6A" w:rsidRDefault="00CC2A6A" w:rsidP="00F00F16">
            <w:pPr>
              <w:jc w:val="center"/>
              <w:rPr>
                <w:rFonts w:eastAsia="Times New Roman"/>
              </w:rPr>
            </w:pPr>
            <w:r>
              <w:rPr>
                <w:rFonts w:eastAsia="Times New Roman"/>
              </w:rPr>
              <w:t>86.62</w:t>
            </w:r>
          </w:p>
        </w:tc>
        <w:tc>
          <w:tcPr>
            <w:tcW w:w="1918" w:type="dxa"/>
          </w:tcPr>
          <w:p w14:paraId="3EFA726E" w14:textId="77777777" w:rsidR="00CC2A6A" w:rsidRDefault="00CC2A6A" w:rsidP="00F00F16">
            <w:pPr>
              <w:jc w:val="center"/>
              <w:rPr>
                <w:rFonts w:eastAsia="Times New Roman"/>
              </w:rPr>
            </w:pPr>
            <w:r>
              <w:rPr>
                <w:rFonts w:eastAsia="Times New Roman"/>
              </w:rPr>
              <w:t>63.36</w:t>
            </w:r>
          </w:p>
        </w:tc>
      </w:tr>
      <w:tr w:rsidR="00CC2A6A" w:rsidRPr="00DD322C" w14:paraId="6912D59C" w14:textId="77777777" w:rsidTr="00F00F16">
        <w:trPr>
          <w:trHeight w:val="379"/>
          <w:jc w:val="center"/>
        </w:trPr>
        <w:tc>
          <w:tcPr>
            <w:tcW w:w="2445" w:type="dxa"/>
            <w:vAlign w:val="bottom"/>
          </w:tcPr>
          <w:p w14:paraId="335C2E62" w14:textId="77777777" w:rsidR="00CC2A6A" w:rsidRDefault="00CC2A6A" w:rsidP="00F00F16">
            <w:pPr>
              <w:jc w:val="center"/>
            </w:pPr>
            <w:r>
              <w:t>Más de 49</w:t>
            </w:r>
          </w:p>
        </w:tc>
        <w:tc>
          <w:tcPr>
            <w:tcW w:w="1189" w:type="dxa"/>
            <w:vAlign w:val="bottom"/>
          </w:tcPr>
          <w:p w14:paraId="726C2FED" w14:textId="77777777" w:rsidR="00CC2A6A" w:rsidRDefault="00CC2A6A" w:rsidP="00F00F16">
            <w:pPr>
              <w:jc w:val="center"/>
            </w:pPr>
            <w:r>
              <w:t>26</w:t>
            </w:r>
          </w:p>
        </w:tc>
        <w:tc>
          <w:tcPr>
            <w:tcW w:w="1920" w:type="dxa"/>
          </w:tcPr>
          <w:p w14:paraId="3B779E7E" w14:textId="77777777" w:rsidR="00CC2A6A" w:rsidRDefault="00CC2A6A" w:rsidP="00F00F16">
            <w:pPr>
              <w:jc w:val="center"/>
              <w:rPr>
                <w:rFonts w:eastAsia="Times New Roman"/>
              </w:rPr>
            </w:pPr>
            <w:r>
              <w:rPr>
                <w:rFonts w:eastAsia="Times New Roman"/>
              </w:rPr>
              <w:t>2165.49</w:t>
            </w:r>
          </w:p>
        </w:tc>
        <w:tc>
          <w:tcPr>
            <w:tcW w:w="1922" w:type="dxa"/>
          </w:tcPr>
          <w:p w14:paraId="77082A4D" w14:textId="77777777" w:rsidR="00CC2A6A" w:rsidRDefault="00CC2A6A" w:rsidP="00F00F16">
            <w:pPr>
              <w:jc w:val="center"/>
              <w:rPr>
                <w:rFonts w:eastAsia="Times New Roman"/>
              </w:rPr>
            </w:pPr>
            <w:r>
              <w:rPr>
                <w:rFonts w:eastAsia="Times New Roman"/>
              </w:rPr>
              <w:t>83.29</w:t>
            </w:r>
          </w:p>
        </w:tc>
        <w:tc>
          <w:tcPr>
            <w:tcW w:w="1918" w:type="dxa"/>
          </w:tcPr>
          <w:p w14:paraId="0F4BC6B5" w14:textId="77777777" w:rsidR="00CC2A6A" w:rsidRDefault="00CC2A6A" w:rsidP="00F00F16">
            <w:pPr>
              <w:jc w:val="center"/>
              <w:rPr>
                <w:rFonts w:eastAsia="Times New Roman"/>
              </w:rPr>
            </w:pPr>
            <w:r>
              <w:rPr>
                <w:rFonts w:eastAsia="Times New Roman"/>
              </w:rPr>
              <w:t>160.19</w:t>
            </w:r>
          </w:p>
        </w:tc>
      </w:tr>
      <w:tr w:rsidR="00CC2A6A" w:rsidRPr="00DD322C" w14:paraId="2B0C5576" w14:textId="77777777" w:rsidTr="00F00F16">
        <w:trPr>
          <w:trHeight w:val="335"/>
          <w:jc w:val="center"/>
        </w:trPr>
        <w:tc>
          <w:tcPr>
            <w:tcW w:w="9394" w:type="dxa"/>
            <w:gridSpan w:val="5"/>
          </w:tcPr>
          <w:p w14:paraId="1299A2EF" w14:textId="77777777" w:rsidR="00CC2A6A" w:rsidRPr="00145F9D" w:rsidRDefault="00CC2A6A" w:rsidP="00F00F16">
            <w:pPr>
              <w:jc w:val="center"/>
              <w:rPr>
                <w:rFonts w:eastAsia="Times New Roman"/>
              </w:rPr>
            </w:pPr>
            <w:r w:rsidRPr="00145F9D">
              <w:rPr>
                <w:rFonts w:eastAsia="Times New Roman"/>
              </w:rPr>
              <w:t>Análisis de varianza</w:t>
            </w:r>
          </w:p>
        </w:tc>
      </w:tr>
      <w:tr w:rsidR="00CC2A6A" w:rsidRPr="00DD322C" w14:paraId="0B173B8B" w14:textId="77777777" w:rsidTr="00F00F16">
        <w:trPr>
          <w:trHeight w:val="379"/>
          <w:jc w:val="center"/>
        </w:trPr>
        <w:tc>
          <w:tcPr>
            <w:tcW w:w="2445" w:type="dxa"/>
            <w:vAlign w:val="bottom"/>
          </w:tcPr>
          <w:p w14:paraId="133750E8" w14:textId="77777777" w:rsidR="00CC2A6A" w:rsidRPr="00DD322C" w:rsidRDefault="00CC2A6A" w:rsidP="00F00F16">
            <w:pPr>
              <w:jc w:val="center"/>
            </w:pPr>
            <w:r>
              <w:rPr>
                <w:rFonts w:eastAsia="Times New Roman"/>
              </w:rPr>
              <w:t>Origen de las variaciones</w:t>
            </w:r>
          </w:p>
        </w:tc>
        <w:tc>
          <w:tcPr>
            <w:tcW w:w="1189" w:type="dxa"/>
            <w:vAlign w:val="bottom"/>
          </w:tcPr>
          <w:p w14:paraId="4C27A13B" w14:textId="77777777" w:rsidR="00CC2A6A" w:rsidRPr="00DD322C" w:rsidRDefault="00CC2A6A" w:rsidP="00F00F16">
            <w:pPr>
              <w:jc w:val="center"/>
            </w:pPr>
            <w:r>
              <w:t>Suma de cuadrados</w:t>
            </w:r>
          </w:p>
        </w:tc>
        <w:tc>
          <w:tcPr>
            <w:tcW w:w="1920" w:type="dxa"/>
          </w:tcPr>
          <w:p w14:paraId="2761432E" w14:textId="77777777" w:rsidR="00CC2A6A" w:rsidRPr="00DD322C" w:rsidRDefault="00CC2A6A" w:rsidP="00F00F16">
            <w:pPr>
              <w:jc w:val="center"/>
              <w:rPr>
                <w:rFonts w:eastAsia="Times New Roman"/>
              </w:rPr>
            </w:pPr>
            <w:r>
              <w:rPr>
                <w:rFonts w:eastAsia="Times New Roman"/>
              </w:rPr>
              <w:t>Grados de libertad</w:t>
            </w:r>
          </w:p>
        </w:tc>
        <w:tc>
          <w:tcPr>
            <w:tcW w:w="1922" w:type="dxa"/>
          </w:tcPr>
          <w:p w14:paraId="595B0105" w14:textId="77777777" w:rsidR="00CC2A6A" w:rsidRPr="00DD322C" w:rsidRDefault="00CC2A6A" w:rsidP="00F00F16">
            <w:pPr>
              <w:jc w:val="center"/>
              <w:rPr>
                <w:rFonts w:eastAsia="Times New Roman"/>
              </w:rPr>
            </w:pPr>
            <w:r>
              <w:rPr>
                <w:rFonts w:eastAsia="Times New Roman"/>
              </w:rPr>
              <w:t>F</w:t>
            </w:r>
          </w:p>
        </w:tc>
        <w:tc>
          <w:tcPr>
            <w:tcW w:w="1918" w:type="dxa"/>
          </w:tcPr>
          <w:p w14:paraId="1342F755" w14:textId="77777777" w:rsidR="00CC2A6A" w:rsidRPr="00DD322C" w:rsidRDefault="00CC2A6A" w:rsidP="00F00F16">
            <w:pPr>
              <w:jc w:val="center"/>
              <w:rPr>
                <w:rFonts w:eastAsia="Times New Roman"/>
              </w:rPr>
            </w:pPr>
            <w:r>
              <w:rPr>
                <w:rFonts w:eastAsia="Times New Roman"/>
              </w:rPr>
              <w:t>Valor crítico para F</w:t>
            </w:r>
          </w:p>
        </w:tc>
      </w:tr>
      <w:tr w:rsidR="00CC2A6A" w:rsidRPr="00DD322C" w14:paraId="781C355D" w14:textId="77777777" w:rsidTr="00F00F16">
        <w:trPr>
          <w:trHeight w:val="379"/>
          <w:jc w:val="center"/>
        </w:trPr>
        <w:tc>
          <w:tcPr>
            <w:tcW w:w="2445" w:type="dxa"/>
            <w:vAlign w:val="bottom"/>
          </w:tcPr>
          <w:p w14:paraId="1553F7CD" w14:textId="77777777" w:rsidR="00CC2A6A" w:rsidRPr="00DD322C" w:rsidRDefault="00CC2A6A" w:rsidP="00F00F16">
            <w:pPr>
              <w:jc w:val="center"/>
            </w:pPr>
            <w:r>
              <w:t>Entre grupos</w:t>
            </w:r>
          </w:p>
        </w:tc>
        <w:tc>
          <w:tcPr>
            <w:tcW w:w="1189" w:type="dxa"/>
            <w:vAlign w:val="bottom"/>
          </w:tcPr>
          <w:p w14:paraId="51561EB5" w14:textId="7A2099EB" w:rsidR="00CC2A6A" w:rsidRPr="00DD322C" w:rsidRDefault="009933BB" w:rsidP="00F00F16">
            <w:pPr>
              <w:jc w:val="center"/>
            </w:pPr>
            <w:r>
              <w:t>874.78</w:t>
            </w:r>
          </w:p>
        </w:tc>
        <w:tc>
          <w:tcPr>
            <w:tcW w:w="1920" w:type="dxa"/>
          </w:tcPr>
          <w:p w14:paraId="6FE4D82C" w14:textId="10E70625" w:rsidR="00CC2A6A" w:rsidRPr="00DD322C" w:rsidRDefault="00921998" w:rsidP="00F00F16">
            <w:pPr>
              <w:jc w:val="center"/>
              <w:rPr>
                <w:rFonts w:eastAsia="Times New Roman"/>
              </w:rPr>
            </w:pPr>
            <w:r>
              <w:rPr>
                <w:rFonts w:eastAsia="Times New Roman"/>
              </w:rPr>
              <w:t>5</w:t>
            </w:r>
          </w:p>
        </w:tc>
        <w:tc>
          <w:tcPr>
            <w:tcW w:w="1922" w:type="dxa"/>
          </w:tcPr>
          <w:p w14:paraId="394608B2" w14:textId="55AFD5AB" w:rsidR="00CC2A6A" w:rsidRPr="00DD322C" w:rsidRDefault="00CC2A6A" w:rsidP="00F00F16">
            <w:pPr>
              <w:jc w:val="center"/>
              <w:rPr>
                <w:rFonts w:eastAsia="Times New Roman"/>
              </w:rPr>
            </w:pPr>
            <w:r>
              <w:rPr>
                <w:rFonts w:eastAsia="Times New Roman"/>
              </w:rPr>
              <w:t>1.</w:t>
            </w:r>
            <w:r w:rsidR="00921998">
              <w:rPr>
                <w:rFonts w:eastAsia="Times New Roman"/>
              </w:rPr>
              <w:t>47</w:t>
            </w:r>
          </w:p>
        </w:tc>
        <w:tc>
          <w:tcPr>
            <w:tcW w:w="1918" w:type="dxa"/>
          </w:tcPr>
          <w:p w14:paraId="4EC8601E" w14:textId="169B5E35" w:rsidR="00CC2A6A" w:rsidRPr="00DD322C" w:rsidRDefault="00CC2A6A" w:rsidP="00F00F16">
            <w:pPr>
              <w:jc w:val="center"/>
              <w:rPr>
                <w:rFonts w:eastAsia="Times New Roman"/>
              </w:rPr>
            </w:pPr>
            <w:r>
              <w:rPr>
                <w:rFonts w:eastAsia="Times New Roman"/>
              </w:rPr>
              <w:t>2.</w:t>
            </w:r>
            <w:r w:rsidR="00921998">
              <w:rPr>
                <w:rFonts w:eastAsia="Times New Roman"/>
              </w:rPr>
              <w:t>26</w:t>
            </w:r>
          </w:p>
        </w:tc>
      </w:tr>
      <w:tr w:rsidR="00CC2A6A" w:rsidRPr="00DD322C" w14:paraId="52268366" w14:textId="77777777" w:rsidTr="00F00F16">
        <w:trPr>
          <w:trHeight w:val="379"/>
          <w:jc w:val="center"/>
        </w:trPr>
        <w:tc>
          <w:tcPr>
            <w:tcW w:w="2445" w:type="dxa"/>
            <w:vAlign w:val="bottom"/>
          </w:tcPr>
          <w:p w14:paraId="6D382226" w14:textId="77777777" w:rsidR="00CC2A6A" w:rsidRDefault="00CC2A6A" w:rsidP="00F00F16">
            <w:pPr>
              <w:jc w:val="center"/>
            </w:pPr>
            <w:r>
              <w:t>Dentro de los grupos</w:t>
            </w:r>
          </w:p>
        </w:tc>
        <w:tc>
          <w:tcPr>
            <w:tcW w:w="1189" w:type="dxa"/>
            <w:vAlign w:val="bottom"/>
          </w:tcPr>
          <w:p w14:paraId="1D830544" w14:textId="372BF612" w:rsidR="00CC2A6A" w:rsidRPr="00DD322C" w:rsidRDefault="009933BB" w:rsidP="00F00F16">
            <w:pPr>
              <w:jc w:val="center"/>
              <w:rPr>
                <w:rFonts w:eastAsia="Times New Roman"/>
              </w:rPr>
            </w:pPr>
            <w:r>
              <w:rPr>
                <w:rFonts w:eastAsia="Times New Roman"/>
              </w:rPr>
              <w:t>21.</w:t>
            </w:r>
            <w:r w:rsidR="00921998">
              <w:rPr>
                <w:rFonts w:eastAsia="Times New Roman"/>
              </w:rPr>
              <w:t>943.78</w:t>
            </w:r>
          </w:p>
        </w:tc>
        <w:tc>
          <w:tcPr>
            <w:tcW w:w="1920" w:type="dxa"/>
          </w:tcPr>
          <w:p w14:paraId="466DC61D" w14:textId="2CC09E0E" w:rsidR="00CC2A6A" w:rsidRPr="00DD322C" w:rsidRDefault="00921998" w:rsidP="00F00F16">
            <w:pPr>
              <w:jc w:val="center"/>
              <w:rPr>
                <w:rFonts w:eastAsia="Times New Roman"/>
              </w:rPr>
            </w:pPr>
            <w:r>
              <w:rPr>
                <w:rFonts w:eastAsia="Times New Roman"/>
              </w:rPr>
              <w:t>184</w:t>
            </w:r>
          </w:p>
        </w:tc>
        <w:tc>
          <w:tcPr>
            <w:tcW w:w="1922" w:type="dxa"/>
          </w:tcPr>
          <w:p w14:paraId="7C561A27" w14:textId="77777777" w:rsidR="00CC2A6A" w:rsidRPr="00DD322C" w:rsidRDefault="00CC2A6A" w:rsidP="00F00F16">
            <w:pPr>
              <w:jc w:val="center"/>
              <w:rPr>
                <w:rFonts w:eastAsia="Times New Roman"/>
              </w:rPr>
            </w:pPr>
          </w:p>
        </w:tc>
        <w:tc>
          <w:tcPr>
            <w:tcW w:w="1918" w:type="dxa"/>
          </w:tcPr>
          <w:p w14:paraId="0E363F49" w14:textId="77777777" w:rsidR="00CC2A6A" w:rsidRPr="00DD322C" w:rsidRDefault="00CC2A6A" w:rsidP="00F00F16">
            <w:pPr>
              <w:jc w:val="center"/>
              <w:rPr>
                <w:rFonts w:eastAsia="Times New Roman"/>
              </w:rPr>
            </w:pPr>
          </w:p>
        </w:tc>
      </w:tr>
      <w:tr w:rsidR="00CC2A6A" w:rsidRPr="00DD322C" w14:paraId="41DC5FBC" w14:textId="77777777" w:rsidTr="00F00F16">
        <w:trPr>
          <w:trHeight w:val="379"/>
          <w:jc w:val="center"/>
        </w:trPr>
        <w:tc>
          <w:tcPr>
            <w:tcW w:w="2445" w:type="dxa"/>
            <w:vAlign w:val="bottom"/>
          </w:tcPr>
          <w:p w14:paraId="2A8BBC85" w14:textId="77777777" w:rsidR="00CC2A6A" w:rsidRDefault="00CC2A6A" w:rsidP="00F00F16">
            <w:pPr>
              <w:jc w:val="center"/>
            </w:pPr>
            <w:r>
              <w:t>Total</w:t>
            </w:r>
          </w:p>
        </w:tc>
        <w:tc>
          <w:tcPr>
            <w:tcW w:w="1189" w:type="dxa"/>
            <w:vAlign w:val="bottom"/>
          </w:tcPr>
          <w:p w14:paraId="4DCBF356" w14:textId="0450ACC7" w:rsidR="00CC2A6A" w:rsidRPr="00DD322C" w:rsidRDefault="00921998" w:rsidP="00F00F16">
            <w:pPr>
              <w:jc w:val="center"/>
              <w:rPr>
                <w:rFonts w:eastAsia="Times New Roman"/>
              </w:rPr>
            </w:pPr>
            <w:r>
              <w:rPr>
                <w:rFonts w:eastAsia="Times New Roman"/>
              </w:rPr>
              <w:t>22818.56</w:t>
            </w:r>
          </w:p>
        </w:tc>
        <w:tc>
          <w:tcPr>
            <w:tcW w:w="1920" w:type="dxa"/>
          </w:tcPr>
          <w:p w14:paraId="24430CDA" w14:textId="1608D919" w:rsidR="00CC2A6A" w:rsidRPr="00DD322C" w:rsidRDefault="00921998" w:rsidP="00F00F16">
            <w:pPr>
              <w:jc w:val="center"/>
              <w:rPr>
                <w:rFonts w:eastAsia="Times New Roman"/>
              </w:rPr>
            </w:pPr>
            <w:r>
              <w:rPr>
                <w:rFonts w:eastAsia="Times New Roman"/>
              </w:rPr>
              <w:t>189</w:t>
            </w:r>
          </w:p>
        </w:tc>
        <w:tc>
          <w:tcPr>
            <w:tcW w:w="1922" w:type="dxa"/>
          </w:tcPr>
          <w:p w14:paraId="3B50BC2C" w14:textId="77777777" w:rsidR="00CC2A6A" w:rsidRPr="00DD322C" w:rsidRDefault="00CC2A6A" w:rsidP="00F00F16">
            <w:pPr>
              <w:jc w:val="center"/>
              <w:rPr>
                <w:rFonts w:eastAsia="Times New Roman"/>
              </w:rPr>
            </w:pPr>
          </w:p>
        </w:tc>
        <w:tc>
          <w:tcPr>
            <w:tcW w:w="1918" w:type="dxa"/>
          </w:tcPr>
          <w:p w14:paraId="234FA792" w14:textId="77777777" w:rsidR="00CC2A6A" w:rsidRPr="00DD322C" w:rsidRDefault="00CC2A6A" w:rsidP="00F00F16">
            <w:pPr>
              <w:jc w:val="center"/>
              <w:rPr>
                <w:rFonts w:eastAsia="Times New Roman"/>
              </w:rPr>
            </w:pPr>
          </w:p>
        </w:tc>
      </w:tr>
    </w:tbl>
    <w:p w14:paraId="426412D3" w14:textId="72420EA5" w:rsidR="008D7859" w:rsidRPr="001D36B9" w:rsidRDefault="00D555C6" w:rsidP="001D36B9">
      <w:pPr>
        <w:spacing w:line="360" w:lineRule="auto"/>
        <w:jc w:val="center"/>
        <w:rPr>
          <w:lang w:val="es-ES"/>
        </w:rPr>
      </w:pPr>
      <w:r w:rsidRPr="00DD322C">
        <w:rPr>
          <w:lang w:val="es-ES"/>
        </w:rPr>
        <w:t>Fuente: Elaboración propia</w:t>
      </w:r>
    </w:p>
    <w:p w14:paraId="1433081E" w14:textId="77777777" w:rsidR="008D7859" w:rsidRPr="00DD322C" w:rsidRDefault="008D7859" w:rsidP="00EB2F93">
      <w:pPr>
        <w:spacing w:line="360" w:lineRule="auto"/>
        <w:ind w:firstLine="708"/>
        <w:jc w:val="both"/>
        <w:rPr>
          <w:rStyle w:val="Refdecomentario"/>
          <w:sz w:val="24"/>
          <w:szCs w:val="24"/>
        </w:rPr>
      </w:pPr>
      <w:r w:rsidRPr="00DD322C">
        <w:t>Al igual que en el caso anterior, dado que el valor de F calculado para la prueba es menor al valor crítico de F, se establece que los promedios globales de calificaciones para las distintas categorías de número de horas semanales trabajadas no son estadísticamente diferentes, con una significancia de 0.05.</w:t>
      </w:r>
    </w:p>
    <w:p w14:paraId="04CB1AC1" w14:textId="77777777" w:rsidR="003A1E73" w:rsidRPr="00DD322C" w:rsidRDefault="003A1E73" w:rsidP="003A1E73">
      <w:pPr>
        <w:spacing w:line="360" w:lineRule="auto"/>
        <w:jc w:val="both"/>
        <w:rPr>
          <w:b/>
          <w:smallCaps/>
          <w:lang w:val="es-ES"/>
        </w:rPr>
      </w:pPr>
    </w:p>
    <w:p w14:paraId="5F43D3D2" w14:textId="46AB8C49" w:rsidR="001C16FA" w:rsidRPr="00305467" w:rsidRDefault="000D6DF9" w:rsidP="003B5139">
      <w:pPr>
        <w:spacing w:line="360" w:lineRule="auto"/>
        <w:jc w:val="center"/>
        <w:rPr>
          <w:b/>
          <w:sz w:val="32"/>
          <w:szCs w:val="32"/>
          <w:lang w:val="es-ES"/>
        </w:rPr>
      </w:pPr>
      <w:r w:rsidRPr="00305467">
        <w:rPr>
          <w:b/>
          <w:sz w:val="32"/>
          <w:szCs w:val="32"/>
          <w:lang w:val="es-ES"/>
        </w:rPr>
        <w:t>D</w:t>
      </w:r>
      <w:r w:rsidR="00305467">
        <w:rPr>
          <w:b/>
          <w:sz w:val="32"/>
          <w:szCs w:val="32"/>
          <w:lang w:val="es-ES"/>
        </w:rPr>
        <w:t>is</w:t>
      </w:r>
      <w:r w:rsidR="00DC0BEB">
        <w:rPr>
          <w:b/>
          <w:sz w:val="32"/>
          <w:szCs w:val="32"/>
          <w:lang w:val="es-ES"/>
        </w:rPr>
        <w:t>cusión</w:t>
      </w:r>
    </w:p>
    <w:p w14:paraId="2C9AC4B5" w14:textId="77777777" w:rsidR="00BA6300" w:rsidRDefault="00BA6300" w:rsidP="00BA6300">
      <w:pPr>
        <w:spacing w:line="360" w:lineRule="auto"/>
        <w:ind w:firstLine="708"/>
        <w:jc w:val="both"/>
      </w:pPr>
      <w:r w:rsidRPr="00922863">
        <w:t xml:space="preserve">En la comparación de los resultados obtenidos en este estudio con otras investigaciones, se observó que el porcentaje de estudiantes que trabajan en el </w:t>
      </w:r>
      <w:proofErr w:type="spellStart"/>
      <w:r w:rsidRPr="00922863">
        <w:t>ITJMMPyH</w:t>
      </w:r>
      <w:proofErr w:type="spellEnd"/>
      <w:r w:rsidRPr="00922863">
        <w:t xml:space="preserve"> fue del 62.3</w:t>
      </w:r>
      <w:r>
        <w:t xml:space="preserve"> </w:t>
      </w:r>
      <w:r w:rsidRPr="00922863">
        <w:t xml:space="preserve">% (considerando hombres y mujeres), </w:t>
      </w:r>
      <w:r>
        <w:t>cifra que supera</w:t>
      </w:r>
      <w:r w:rsidRPr="00922863">
        <w:t xml:space="preserve"> el estudio realizado en la Universidad de Guadalajara por Carrillo y Ríos (2013), que reportó un 43</w:t>
      </w:r>
      <w:r>
        <w:t xml:space="preserve"> </w:t>
      </w:r>
      <w:r w:rsidRPr="00922863">
        <w:t>%. También fue un porcentaje más elevado en comparación con la media nacional documentada por la Encuesta Nacional de Egresados 2017 (Universidad del Valle de México, 2017), que fue del 42</w:t>
      </w:r>
      <w:r>
        <w:t> </w:t>
      </w:r>
      <w:r w:rsidRPr="00922863">
        <w:t xml:space="preserve">% en universidades públicas. </w:t>
      </w:r>
    </w:p>
    <w:p w14:paraId="48791744" w14:textId="77777777" w:rsidR="00BA6300" w:rsidRDefault="00BA6300" w:rsidP="00BA6300">
      <w:pPr>
        <w:spacing w:line="360" w:lineRule="auto"/>
        <w:ind w:firstLine="708"/>
        <w:jc w:val="both"/>
      </w:pPr>
      <w:r w:rsidRPr="00922863">
        <w:t>La variación en los datos sobre el porcentaje de estudiantes que trabajan en relación con otros estudios y la media nacional podría atribuirse a las dinámicas y la flexibilidad del mercado laboral en una ciudad turística como Puerto Vallarta, con facilidades de movilidad en una ciudad de tamaño medio, donde se llevó a cabo la investigación.</w:t>
      </w:r>
    </w:p>
    <w:p w14:paraId="687E586D" w14:textId="77777777" w:rsidR="00BA6300" w:rsidRDefault="00BA6300" w:rsidP="00BA6300">
      <w:pPr>
        <w:spacing w:line="360" w:lineRule="auto"/>
        <w:ind w:firstLine="708"/>
        <w:jc w:val="both"/>
      </w:pPr>
      <w:r w:rsidRPr="00922863">
        <w:lastRenderedPageBreak/>
        <w:t xml:space="preserve">En cuanto a la variable </w:t>
      </w:r>
      <w:r w:rsidRPr="00922863">
        <w:rPr>
          <w:i/>
          <w:iCs/>
        </w:rPr>
        <w:t>desempeño académico</w:t>
      </w:r>
      <w:r w:rsidRPr="00922863">
        <w:t xml:space="preserve">, en la categoría de </w:t>
      </w:r>
      <w:r w:rsidRPr="00922863">
        <w:rPr>
          <w:i/>
          <w:iCs/>
        </w:rPr>
        <w:t>desempeño bajo</w:t>
      </w:r>
      <w:r w:rsidRPr="00922863">
        <w:t xml:space="preserve"> no se identificaron diferencias significativas entre los grupos (solo estudiar y trabajar y estudiar), lo que indica que, en esta investigación, trabajar y estudiar no está asociado con un bajo desempeño académico. En la categoría </w:t>
      </w:r>
      <w:r w:rsidRPr="00922863">
        <w:rPr>
          <w:i/>
          <w:iCs/>
        </w:rPr>
        <w:t>desempeño medio</w:t>
      </w:r>
      <w:r w:rsidRPr="00922863">
        <w:t xml:space="preserve">, se observó una proporción estadísticamente significativa a favor de los estudiantes que trabajan, resultados que no pudieron corroborarse con otros estudios. Por otro lado, en la categoría </w:t>
      </w:r>
      <w:r w:rsidRPr="00922863">
        <w:rPr>
          <w:i/>
          <w:iCs/>
        </w:rPr>
        <w:t>desempeño alto</w:t>
      </w:r>
      <w:r w:rsidRPr="00922863">
        <w:t xml:space="preserve">, la proporción favoreció a los estudiantes que se dedican exclusivamente a la escuela, en consonancia con el estudio de </w:t>
      </w:r>
      <w:proofErr w:type="spellStart"/>
      <w:r w:rsidRPr="00922863">
        <w:t>Enkvist</w:t>
      </w:r>
      <w:proofErr w:type="spellEnd"/>
      <w:r w:rsidRPr="00922863">
        <w:t xml:space="preserve"> (2018), que sugiere que la dedicación exclusiva a la escuela contribuye a mejores resultados académicos.</w:t>
      </w:r>
    </w:p>
    <w:p w14:paraId="52134DCD" w14:textId="77777777" w:rsidR="00BA6300" w:rsidRDefault="00BA6300" w:rsidP="00BA6300">
      <w:pPr>
        <w:spacing w:line="360" w:lineRule="auto"/>
        <w:ind w:firstLine="708"/>
        <w:jc w:val="both"/>
      </w:pPr>
      <w:r>
        <w:t>Asimismo, s</w:t>
      </w:r>
      <w:r w:rsidRPr="00922863">
        <w:t xml:space="preserve">e identificó un mayor número de materias reprobadas en los alumnos que trabajan y estudian, </w:t>
      </w:r>
      <w:r>
        <w:t>lo cual fue</w:t>
      </w:r>
      <w:r w:rsidRPr="00922863">
        <w:t xml:space="preserve"> estadísticamente significativo en comparación con los estudiantes dedicados únicamente a la escuela (aunque el porcentaje de reprobación no presentó diferencias entre los grupos). Estos resultados concuerdan con las conclusiones de otros estudios que documentan efectos negativos del trabajo en el desempeño académico, como lo señalan Porto y Di </w:t>
      </w:r>
      <w:proofErr w:type="spellStart"/>
      <w:r w:rsidRPr="00922863">
        <w:t>Gresia</w:t>
      </w:r>
      <w:proofErr w:type="spellEnd"/>
      <w:r w:rsidRPr="00922863">
        <w:t xml:space="preserve"> (2001), Cabrera </w:t>
      </w:r>
      <w:r w:rsidRPr="00922863">
        <w:rPr>
          <w:i/>
          <w:iCs/>
        </w:rPr>
        <w:t>et al</w:t>
      </w:r>
      <w:r w:rsidRPr="00922863">
        <w:t>. (2006)</w:t>
      </w:r>
      <w:r>
        <w:t xml:space="preserve"> y </w:t>
      </w:r>
      <w:r w:rsidRPr="00922863">
        <w:t>Carrillo y Ríos (2013).</w:t>
      </w:r>
    </w:p>
    <w:p w14:paraId="499C8325" w14:textId="77777777" w:rsidR="00BA6300" w:rsidRDefault="00BA6300" w:rsidP="00BA6300">
      <w:pPr>
        <w:spacing w:line="360" w:lineRule="auto"/>
        <w:ind w:firstLine="708"/>
        <w:jc w:val="both"/>
      </w:pPr>
      <w:r w:rsidRPr="00922863">
        <w:t xml:space="preserve">En relación con las horas dedicadas al trabajo y el desempeño académico, no se identificaron diferencias en los promedios de calificaciones entre los grupos de dedicación exclusiva al estudio y aquellos que trabajan y estudian. Contrariamente, Ruesga </w:t>
      </w:r>
      <w:r w:rsidRPr="00922863">
        <w:rPr>
          <w:i/>
          <w:iCs/>
        </w:rPr>
        <w:t>et al</w:t>
      </w:r>
      <w:r w:rsidRPr="00922863">
        <w:t xml:space="preserve">. (2014) mencionan que una jornada laboral superior a 15 horas resulta negativa para el desempeño académico, lo cual no se pudo constatar considerando el promedio de calificaciones. Además, </w:t>
      </w:r>
      <w:proofErr w:type="spellStart"/>
      <w:r w:rsidRPr="00922863">
        <w:t>Nonis</w:t>
      </w:r>
      <w:proofErr w:type="spellEnd"/>
      <w:r w:rsidRPr="00922863">
        <w:t xml:space="preserve"> y Hudson (2006) documentan una afectación en las notas de los estudiantes que incrementan su magnitud conforme aumentan las horas semanales dedicadas al trabajo, efecto que tampoco se pudo corroborar.</w:t>
      </w:r>
    </w:p>
    <w:p w14:paraId="145FFBD5" w14:textId="77777777" w:rsidR="00BA6300" w:rsidRPr="00922863" w:rsidRDefault="00BA6300" w:rsidP="00BA6300">
      <w:pPr>
        <w:spacing w:line="360" w:lineRule="auto"/>
        <w:ind w:firstLine="708"/>
        <w:jc w:val="both"/>
      </w:pPr>
      <w:r w:rsidRPr="00922863">
        <w:t>Por otra parte, se identificó una correlación lineal fuerte entre el número de materias reprobadas y las horas de dedicación al trabajo, lo cual coincide con otros estudios que indican que las horas dedicadas al trabajo se relacionan con una afectación del rendimiento académico (</w:t>
      </w:r>
      <w:proofErr w:type="spellStart"/>
      <w:r w:rsidRPr="00922863">
        <w:t>Darolia</w:t>
      </w:r>
      <w:proofErr w:type="spellEnd"/>
      <w:r w:rsidRPr="00922863">
        <w:t xml:space="preserve">, 2014; </w:t>
      </w:r>
      <w:proofErr w:type="spellStart"/>
      <w:r w:rsidRPr="00922863">
        <w:t>DeSimone</w:t>
      </w:r>
      <w:proofErr w:type="spellEnd"/>
      <w:r w:rsidRPr="00922863">
        <w:t xml:space="preserve">, 2008; </w:t>
      </w:r>
      <w:proofErr w:type="spellStart"/>
      <w:r w:rsidRPr="00922863">
        <w:t>Kalenkoski</w:t>
      </w:r>
      <w:proofErr w:type="spellEnd"/>
      <w:r w:rsidRPr="00922863">
        <w:t xml:space="preserve"> y </w:t>
      </w:r>
      <w:proofErr w:type="spellStart"/>
      <w:r w:rsidRPr="00922863">
        <w:t>Pabilonia</w:t>
      </w:r>
      <w:proofErr w:type="spellEnd"/>
      <w:r w:rsidRPr="00922863">
        <w:t xml:space="preserve">, 2010; Ruesga </w:t>
      </w:r>
      <w:r w:rsidRPr="00813023">
        <w:rPr>
          <w:i/>
          <w:iCs/>
        </w:rPr>
        <w:t>et al</w:t>
      </w:r>
      <w:r w:rsidRPr="00922863">
        <w:t>., 2014). Aunque esta afectación se evidencia únicamente en el número de materias reprobadas (no en las calificaciones obtenidas), se sugiere que, a medida que se incrementan las horas semanales dedicadas al empleo, aumentan las probabilidades de reprobar un mayor número de materias.</w:t>
      </w:r>
    </w:p>
    <w:p w14:paraId="26045D9A" w14:textId="77777777" w:rsidR="009067CC" w:rsidRDefault="009067CC" w:rsidP="006A193A">
      <w:pPr>
        <w:pStyle w:val="NormalWeb"/>
        <w:spacing w:before="0" w:beforeAutospacing="0" w:after="0" w:afterAutospacing="0" w:line="360" w:lineRule="auto"/>
        <w:ind w:firstLine="240"/>
        <w:jc w:val="both"/>
        <w:rPr>
          <w:rFonts w:eastAsia="Arial"/>
          <w:color w:val="222222"/>
          <w:highlight w:val="cyan"/>
        </w:rPr>
      </w:pPr>
    </w:p>
    <w:p w14:paraId="21EFE6EA" w14:textId="77777777" w:rsidR="00F56DB9" w:rsidRDefault="00F56DB9" w:rsidP="006A193A">
      <w:pPr>
        <w:pStyle w:val="NormalWeb"/>
        <w:spacing w:before="0" w:beforeAutospacing="0" w:after="0" w:afterAutospacing="0" w:line="360" w:lineRule="auto"/>
        <w:ind w:firstLine="240"/>
        <w:jc w:val="both"/>
        <w:rPr>
          <w:rFonts w:eastAsia="Arial"/>
          <w:color w:val="222222"/>
          <w:highlight w:val="cyan"/>
        </w:rPr>
      </w:pPr>
    </w:p>
    <w:p w14:paraId="700E6175" w14:textId="77777777" w:rsidR="00F56DB9" w:rsidRPr="00DD322C" w:rsidRDefault="00F56DB9" w:rsidP="006A193A">
      <w:pPr>
        <w:pStyle w:val="NormalWeb"/>
        <w:spacing w:before="0" w:beforeAutospacing="0" w:after="0" w:afterAutospacing="0" w:line="360" w:lineRule="auto"/>
        <w:ind w:firstLine="240"/>
        <w:jc w:val="both"/>
        <w:rPr>
          <w:rFonts w:eastAsia="Arial"/>
          <w:color w:val="222222"/>
          <w:highlight w:val="cyan"/>
        </w:rPr>
      </w:pPr>
    </w:p>
    <w:p w14:paraId="5986361B" w14:textId="5C0C6767" w:rsidR="00617082" w:rsidRPr="00B060D4" w:rsidRDefault="008443FE" w:rsidP="001D36B9">
      <w:pPr>
        <w:spacing w:line="360" w:lineRule="auto"/>
        <w:jc w:val="center"/>
        <w:rPr>
          <w:b/>
          <w:bCs/>
          <w:sz w:val="32"/>
          <w:szCs w:val="32"/>
          <w:lang w:val="es-ES"/>
        </w:rPr>
      </w:pPr>
      <w:r w:rsidRPr="00B060D4">
        <w:rPr>
          <w:b/>
          <w:bCs/>
          <w:sz w:val="32"/>
          <w:szCs w:val="32"/>
          <w:lang w:val="es-ES"/>
        </w:rPr>
        <w:lastRenderedPageBreak/>
        <w:t>C</w:t>
      </w:r>
      <w:r w:rsidR="00B060D4">
        <w:rPr>
          <w:b/>
          <w:bCs/>
          <w:sz w:val="32"/>
          <w:szCs w:val="32"/>
          <w:lang w:val="es-ES"/>
        </w:rPr>
        <w:t>onclusiones</w:t>
      </w:r>
    </w:p>
    <w:p w14:paraId="184CF031" w14:textId="77777777" w:rsidR="00BA6300" w:rsidRDefault="00BA6300" w:rsidP="00BA6300">
      <w:pPr>
        <w:spacing w:line="360" w:lineRule="auto"/>
        <w:ind w:firstLine="708"/>
        <w:jc w:val="both"/>
      </w:pPr>
      <w:r>
        <w:t>En esta investigación s</w:t>
      </w:r>
      <w:r w:rsidRPr="00813023">
        <w:t xml:space="preserve">e ha constatado un aumento en la proporción de estudiantes que combinan trabajo y estudios a nivel global, </w:t>
      </w:r>
      <w:r>
        <w:t xml:space="preserve">lo cual se debe principalmente a </w:t>
      </w:r>
      <w:r w:rsidRPr="00813023">
        <w:t xml:space="preserve">la necesidad de financiar sus estudios o contribuir al sostén económico familiar. </w:t>
      </w:r>
      <w:r>
        <w:t>En tal sentido, l</w:t>
      </w:r>
      <w:r w:rsidRPr="00813023">
        <w:t>os resultados obtenidos indican que la dedicación exclusiva a los estudios confiere ventajas académicas a los estudiantes, especialmente en términos de la posibilidad de obtener promedios elevados y en la disminución de las probabilidades de reprobar materias.</w:t>
      </w:r>
    </w:p>
    <w:p w14:paraId="5AA7519B" w14:textId="77777777" w:rsidR="00BA6300" w:rsidRDefault="00BA6300" w:rsidP="00BA6300">
      <w:pPr>
        <w:spacing w:line="360" w:lineRule="auto"/>
        <w:ind w:firstLine="708"/>
        <w:jc w:val="both"/>
      </w:pPr>
      <w:r w:rsidRPr="00813023">
        <w:t xml:space="preserve">En el caso particular del </w:t>
      </w:r>
      <w:proofErr w:type="spellStart"/>
      <w:r w:rsidRPr="00813023">
        <w:t>ITJMMPyH</w:t>
      </w:r>
      <w:proofErr w:type="spellEnd"/>
      <w:r>
        <w:t xml:space="preserve"> para la pregunta </w:t>
      </w:r>
      <w:r w:rsidRPr="00813023">
        <w:rPr>
          <w:i/>
          <w:iCs/>
        </w:rPr>
        <w:t>¿Qué porcentaje de estudiantes combinan trabajo y escuela?</w:t>
      </w:r>
      <w:r w:rsidRPr="00813023">
        <w:t xml:space="preserve">, se </w:t>
      </w:r>
      <w:r>
        <w:t xml:space="preserve">determinó </w:t>
      </w:r>
      <w:r w:rsidRPr="00813023">
        <w:t xml:space="preserve">que más del </w:t>
      </w:r>
      <w:r>
        <w:t>60 %</w:t>
      </w:r>
      <w:r w:rsidRPr="00813023">
        <w:t xml:space="preserve"> de los estudiantes, predominantemente del género masculino, se encuentran en la situación de combinar trabajo y escuela. Al abordar la </w:t>
      </w:r>
      <w:r>
        <w:t xml:space="preserve">pregunta </w:t>
      </w:r>
      <w:r w:rsidRPr="00813023">
        <w:rPr>
          <w:i/>
          <w:iCs/>
        </w:rPr>
        <w:t>¿Existe alguna diferencia en el desempeño académico y en la reprobación en estudiantes universitarios que trabajan con relación a los que solo estudian?</w:t>
      </w:r>
      <w:r w:rsidRPr="00813023">
        <w:t xml:space="preserve">, se observaron patrones distintos. </w:t>
      </w:r>
      <w:r>
        <w:t>Por ejemplo, e</w:t>
      </w:r>
      <w:r w:rsidRPr="00813023">
        <w:t xml:space="preserve">n el grupo de </w:t>
      </w:r>
      <w:r w:rsidRPr="00813023">
        <w:rPr>
          <w:i/>
          <w:iCs/>
        </w:rPr>
        <w:t>desempeño bajo</w:t>
      </w:r>
      <w:r w:rsidRPr="00813023">
        <w:t xml:space="preserve">, no se identificaron diferencias significativas en el porcentaje entre los que estudian y trabajan y los que solo estudian. No obstante, en el grupo de </w:t>
      </w:r>
      <w:r w:rsidRPr="00813023">
        <w:rPr>
          <w:i/>
          <w:iCs/>
        </w:rPr>
        <w:t>desempeño medio</w:t>
      </w:r>
      <w:r w:rsidRPr="00813023">
        <w:t xml:space="preserve">, se evidenció un incremento estadísticamente significativo en el número de estudiantes que trabajan y estudian. Por otro lado, en el grupo de </w:t>
      </w:r>
      <w:r w:rsidRPr="00813023">
        <w:rPr>
          <w:i/>
          <w:iCs/>
        </w:rPr>
        <w:t>alto desempeño</w:t>
      </w:r>
      <w:r w:rsidRPr="00813023">
        <w:t xml:space="preserve">, se destacó una clara diferencia a favor de aquellos que solo se dedican a estudiar, </w:t>
      </w:r>
      <w:r>
        <w:t xml:space="preserve">pues se halló </w:t>
      </w:r>
      <w:r w:rsidRPr="00813023">
        <w:t>un porcentaje significativo en la comparación de ambos grupos.</w:t>
      </w:r>
    </w:p>
    <w:p w14:paraId="5FF27DED" w14:textId="77777777" w:rsidR="00BA6300" w:rsidRDefault="00BA6300" w:rsidP="00BA6300">
      <w:pPr>
        <w:spacing w:line="360" w:lineRule="auto"/>
        <w:ind w:firstLine="708"/>
        <w:jc w:val="both"/>
      </w:pPr>
      <w:r>
        <w:t>Por otra parte, a</w:t>
      </w:r>
      <w:r w:rsidRPr="00813023">
        <w:t xml:space="preserve">l abordar la pregunta </w:t>
      </w:r>
      <w:r w:rsidRPr="00813023">
        <w:rPr>
          <w:i/>
          <w:iCs/>
        </w:rPr>
        <w:t>¿En qué medida el número de horas dedicadas al trabajo puede incidir en el rendimiento académico y la reprobación en estudiantes universitarios?</w:t>
      </w:r>
      <w:r>
        <w:t xml:space="preserve">, </w:t>
      </w:r>
      <w:r w:rsidRPr="00813023">
        <w:t>aunque no se encontraron diferencias significativas en los promedios de calificaciones, se identificó una correlación fuerte entre el número de horas trabajadas y el número de materias reprobadas. Este hallazgo sugiere que conforme se incrementan las horas laborales semanales, aumentan las probabilidades de reprobar un mayor número de materias.</w:t>
      </w:r>
    </w:p>
    <w:p w14:paraId="74D5C609" w14:textId="77777777" w:rsidR="00BA6300" w:rsidRDefault="00BA6300" w:rsidP="00BA6300">
      <w:pPr>
        <w:spacing w:line="360" w:lineRule="auto"/>
        <w:ind w:firstLine="708"/>
        <w:jc w:val="both"/>
      </w:pPr>
      <w:r w:rsidRPr="00813023">
        <w:t>En resumen, se concluye que un porcentaje considerable de alumnos combina trabajo y estudios, siendo en su mayoría de género masculino. Los estudiantes que se dedican exclusivamente a estudiar presentan un desempeño académico superior, obteniendo promedios más altos, mientras que aquellos que trabajan y estudian tienden a reprobar más materias.</w:t>
      </w:r>
    </w:p>
    <w:p w14:paraId="481B3869" w14:textId="77777777" w:rsidR="00BA6300" w:rsidRDefault="00BA6300" w:rsidP="00BA6300">
      <w:pPr>
        <w:spacing w:line="360" w:lineRule="auto"/>
        <w:ind w:firstLine="708"/>
        <w:jc w:val="both"/>
      </w:pPr>
      <w:r w:rsidRPr="00813023">
        <w:t xml:space="preserve">Basándonos en las conclusiones de este estudio, se formulan algunas recomendaciones dirigidas a las instituciones de educación superior con el propósito de facilitar la formación académica de los estudiantes que combinan trabajo y estudios. </w:t>
      </w:r>
      <w:r>
        <w:t>En tal sentido, s</w:t>
      </w:r>
      <w:r w:rsidRPr="00813023">
        <w:t xml:space="preserve">e sugiere diseñar una bolsa de trabajo estudiantil eficiente que facilite la colocación de los estudiantes en empleos compatibles con sus estudios y preferiblemente vinculados a su área de formación. </w:t>
      </w:r>
      <w:r>
        <w:t>Asimismo, l</w:t>
      </w:r>
      <w:r w:rsidRPr="00813023">
        <w:t xml:space="preserve">a </w:t>
      </w:r>
      <w:r w:rsidRPr="00813023">
        <w:lastRenderedPageBreak/>
        <w:t>implementación de tecnologías de la información y redes sociales puede facilitar la interacción entre empresas y estudiantes para este fin.</w:t>
      </w:r>
    </w:p>
    <w:p w14:paraId="574FF8C6" w14:textId="77777777" w:rsidR="00BA6300" w:rsidRDefault="00BA6300" w:rsidP="00BA6300">
      <w:pPr>
        <w:spacing w:line="360" w:lineRule="auto"/>
        <w:ind w:firstLine="708"/>
        <w:jc w:val="both"/>
      </w:pPr>
      <w:r w:rsidRPr="00813023">
        <w:t>Otra recomendación es identificar a los estudiantes con mayor vulnerabilidad económica para ofrecer becas o apoyos económicos. Dado que algunos estudiantes son económicamente independientes y trabajan para financiar sus estudios o contribuir al gasto familiar, los programas de apoyo pueden marcar una diferencia significativa en su capacidad para completar una carrera profesional.</w:t>
      </w:r>
    </w:p>
    <w:p w14:paraId="32079B99" w14:textId="77777777" w:rsidR="00BA6300" w:rsidRDefault="00BA6300" w:rsidP="00BA6300">
      <w:pPr>
        <w:spacing w:line="360" w:lineRule="auto"/>
        <w:ind w:firstLine="708"/>
        <w:jc w:val="both"/>
      </w:pPr>
      <w:r w:rsidRPr="00813023">
        <w:t>Además, se propone ofrecer modalidades de estudio flexibles que se adapten a las necesidades de los estudiantes que trabajan. Mientras que la educación tradicional puede presentar desafíos para aquellos que buscan combinar trabajo y estudios, las tecnologías de la información han posibilitado el desarrollo de modelos educativos flexibles que permiten mayor independencia en el tiempo de estudio. Esta medida no solo beneficiaría a los estudiantes que trabajan, sino que también podría atraer a otros sectores de la población que, debido a sus responsabilidades laborales, encuentran difícil realizar una carrera profesional por falta de tiempo.</w:t>
      </w:r>
    </w:p>
    <w:p w14:paraId="68E903FD" w14:textId="77777777" w:rsidR="00BA6300" w:rsidRPr="00813023" w:rsidRDefault="00BA6300" w:rsidP="00BA6300">
      <w:pPr>
        <w:spacing w:line="360" w:lineRule="auto"/>
        <w:ind w:firstLine="708"/>
        <w:jc w:val="both"/>
      </w:pPr>
      <w:r w:rsidRPr="00813023">
        <w:t>Por último, se destaca la importancia de crear conciencia en las instancias gubernamentales sobre el alto porcentaje de estudiantes que trabajan con el objetivo de proponer políticas y apoyos específicos para este segmento de la población. A pesar de la existencia de programas de apoyo como las becas, se sugiere considerar la implementación de políticas enfocadas en el trabajo estudiantil o la ampliación de apoyos existentes, dada la magnitud de estudiantes que enfrentan esta situación.</w:t>
      </w:r>
    </w:p>
    <w:p w14:paraId="602CF469" w14:textId="77777777" w:rsidR="005E7155" w:rsidRDefault="005E7155" w:rsidP="006A193A">
      <w:pPr>
        <w:spacing w:line="360" w:lineRule="auto"/>
        <w:ind w:firstLine="240"/>
        <w:jc w:val="both"/>
        <w:rPr>
          <w:rFonts w:eastAsia="Times New Roman"/>
        </w:rPr>
      </w:pPr>
    </w:p>
    <w:p w14:paraId="66047BC0" w14:textId="1687C937" w:rsidR="00BA6300" w:rsidRPr="001D36B9" w:rsidRDefault="005E7155" w:rsidP="001D36B9">
      <w:pPr>
        <w:spacing w:line="360" w:lineRule="auto"/>
        <w:jc w:val="center"/>
        <w:rPr>
          <w:b/>
          <w:bCs/>
          <w:sz w:val="28"/>
          <w:szCs w:val="28"/>
          <w:lang w:val="es-MX"/>
        </w:rPr>
      </w:pPr>
      <w:r w:rsidRPr="001D36B9">
        <w:rPr>
          <w:b/>
          <w:bCs/>
          <w:sz w:val="28"/>
          <w:szCs w:val="28"/>
          <w:lang w:val="es-MX"/>
        </w:rPr>
        <w:t>Futuras líneas de investigación</w:t>
      </w:r>
    </w:p>
    <w:p w14:paraId="05E47D1C" w14:textId="77777777" w:rsidR="0035471F" w:rsidRDefault="0035471F" w:rsidP="0035471F">
      <w:pPr>
        <w:spacing w:line="360" w:lineRule="auto"/>
        <w:ind w:firstLine="708"/>
        <w:jc w:val="both"/>
      </w:pPr>
      <w:r w:rsidRPr="00813023">
        <w:t xml:space="preserve">Los estudios acerca del empleo en estudiantes universitarios adquieren relevancia al evidenciar la presencia de impactos en diversos aspectos del rendimiento académico cuando se combinan las responsabilidades laborales con el estudio, en comparación con aquellos que se dedican exclusivamente a la formación académica. Esta relevancia se acentúa aún más en contextos con un elevado porcentaje de estudiantes universitarios que participan en actividades laborales, una tendencia que, según las estadísticas, sugiere un aumento continuo. </w:t>
      </w:r>
    </w:p>
    <w:p w14:paraId="29A054A5" w14:textId="77777777" w:rsidR="0035471F" w:rsidRPr="00813023" w:rsidRDefault="0035471F" w:rsidP="0035471F">
      <w:pPr>
        <w:spacing w:line="360" w:lineRule="auto"/>
        <w:ind w:firstLine="708"/>
        <w:jc w:val="both"/>
      </w:pPr>
      <w:r>
        <w:t xml:space="preserve">Por eso, </w:t>
      </w:r>
      <w:r w:rsidRPr="00813023">
        <w:t>se considera imperativo llevar a cabo investigaciones más exhaustivas con el fin de comprender de manera más integral los factores relacionados con el empleo que podrían tener un impacto significativo en los resultados académicos</w:t>
      </w:r>
      <w:r>
        <w:t xml:space="preserve">, como </w:t>
      </w:r>
      <w:r w:rsidRPr="00813023">
        <w:t xml:space="preserve">el número de horas laborales, la naturaleza del trabajo, la vinculación con el área de estudios, los tiempos de desplazamiento y la flexibilidad laboral, entre otros. La exploración detallada de estos elementos podría </w:t>
      </w:r>
      <w:r>
        <w:t xml:space="preserve">servir </w:t>
      </w:r>
      <w:r w:rsidRPr="00813023">
        <w:t xml:space="preserve">para la </w:t>
      </w:r>
      <w:r w:rsidRPr="00813023">
        <w:lastRenderedPageBreak/>
        <w:t>formulación de estrategias de apoyo específicamente diseñadas para este segmento de la población estudiantil.</w:t>
      </w:r>
    </w:p>
    <w:p w14:paraId="23000B30" w14:textId="77777777" w:rsidR="001D36B9" w:rsidRPr="00DD322C" w:rsidRDefault="001D36B9" w:rsidP="005E7155">
      <w:pPr>
        <w:spacing w:line="360" w:lineRule="auto"/>
        <w:ind w:firstLine="240"/>
        <w:jc w:val="center"/>
        <w:rPr>
          <w:rFonts w:eastAsia="Times New Roman"/>
        </w:rPr>
      </w:pPr>
    </w:p>
    <w:p w14:paraId="47ED5CD1" w14:textId="6D60B507" w:rsidR="008D7859" w:rsidRPr="001D36B9" w:rsidRDefault="009103DD" w:rsidP="001D36B9">
      <w:pPr>
        <w:spacing w:line="360" w:lineRule="auto"/>
        <w:rPr>
          <w:rFonts w:asciiTheme="minorHAnsi" w:hAnsiTheme="minorHAnsi" w:cstheme="minorHAnsi"/>
          <w:b/>
          <w:bCs/>
          <w:sz w:val="32"/>
          <w:szCs w:val="32"/>
          <w:lang w:val="es-MX"/>
        </w:rPr>
      </w:pPr>
      <w:r w:rsidRPr="001D36B9">
        <w:rPr>
          <w:rFonts w:asciiTheme="minorHAnsi" w:hAnsiTheme="minorHAnsi" w:cstheme="minorHAnsi"/>
          <w:b/>
          <w:bCs/>
          <w:sz w:val="28"/>
          <w:szCs w:val="28"/>
          <w:lang w:val="es-MX"/>
        </w:rPr>
        <w:t>Referencias</w:t>
      </w:r>
      <w:r w:rsidRPr="001D36B9">
        <w:rPr>
          <w:rFonts w:asciiTheme="minorHAnsi" w:hAnsiTheme="minorHAnsi" w:cstheme="minorHAnsi"/>
          <w:b/>
          <w:bCs/>
          <w:sz w:val="32"/>
          <w:szCs w:val="32"/>
          <w:lang w:val="es-MX"/>
        </w:rPr>
        <w:t xml:space="preserve"> </w:t>
      </w:r>
    </w:p>
    <w:p w14:paraId="5936B770" w14:textId="6A7B70E3" w:rsidR="002A385E" w:rsidRPr="007A0FC6" w:rsidRDefault="002A385E" w:rsidP="001D36B9">
      <w:pPr>
        <w:spacing w:line="360" w:lineRule="auto"/>
        <w:ind w:left="709" w:hanging="709"/>
        <w:jc w:val="both"/>
        <w:rPr>
          <w:rFonts w:eastAsia="Times New Roman"/>
          <w:lang w:val="en-US"/>
        </w:rPr>
      </w:pPr>
      <w:proofErr w:type="spellStart"/>
      <w:r w:rsidRPr="007A0FC6">
        <w:rPr>
          <w:rFonts w:eastAsia="Times New Roman"/>
          <w:lang w:val="es-MX"/>
        </w:rPr>
        <w:t>Baert</w:t>
      </w:r>
      <w:proofErr w:type="spellEnd"/>
      <w:r w:rsidRPr="007A0FC6">
        <w:rPr>
          <w:rFonts w:eastAsia="Times New Roman"/>
          <w:lang w:val="es-MX"/>
        </w:rPr>
        <w:t xml:space="preserve">, S., </w:t>
      </w:r>
      <w:proofErr w:type="spellStart"/>
      <w:r w:rsidRPr="007A0FC6">
        <w:rPr>
          <w:rFonts w:eastAsia="Times New Roman"/>
          <w:lang w:val="es-MX"/>
        </w:rPr>
        <w:t>Neyt</w:t>
      </w:r>
      <w:proofErr w:type="spellEnd"/>
      <w:r w:rsidRPr="007A0FC6">
        <w:rPr>
          <w:rFonts w:eastAsia="Times New Roman"/>
          <w:lang w:val="es-MX"/>
        </w:rPr>
        <w:t xml:space="preserve">, B., </w:t>
      </w:r>
      <w:proofErr w:type="spellStart"/>
      <w:r w:rsidRPr="007A0FC6">
        <w:rPr>
          <w:rFonts w:eastAsia="Times New Roman"/>
          <w:lang w:val="es-MX"/>
        </w:rPr>
        <w:t>Omey</w:t>
      </w:r>
      <w:proofErr w:type="spellEnd"/>
      <w:r w:rsidRPr="007A0FC6">
        <w:rPr>
          <w:rFonts w:eastAsia="Times New Roman"/>
          <w:lang w:val="es-MX"/>
        </w:rPr>
        <w:t>, E</w:t>
      </w:r>
      <w:r w:rsidRPr="007A0FC6">
        <w:t>. and</w:t>
      </w:r>
      <w:r w:rsidRPr="007A0FC6">
        <w:rPr>
          <w:rFonts w:eastAsia="Times New Roman"/>
          <w:lang w:val="es-MX"/>
        </w:rPr>
        <w:t xml:space="preserve"> </w:t>
      </w:r>
      <w:proofErr w:type="spellStart"/>
      <w:r w:rsidRPr="007A0FC6">
        <w:rPr>
          <w:rFonts w:eastAsia="Times New Roman"/>
          <w:lang w:val="es-MX"/>
        </w:rPr>
        <w:t>Verhaest</w:t>
      </w:r>
      <w:proofErr w:type="spellEnd"/>
      <w:r w:rsidRPr="007A0FC6">
        <w:rPr>
          <w:rFonts w:eastAsia="Times New Roman"/>
          <w:lang w:val="es-MX"/>
        </w:rPr>
        <w:t xml:space="preserve">, D. </w:t>
      </w:r>
      <w:r w:rsidRPr="007A0FC6">
        <w:rPr>
          <w:rFonts w:eastAsia="Times New Roman"/>
          <w:lang w:val="en-US"/>
        </w:rPr>
        <w:t>(2017). Student Work, Educational Achievement, and Later Employment: A Dynamic Approach.</w:t>
      </w:r>
      <w:r w:rsidR="00F936B7">
        <w:rPr>
          <w:rFonts w:eastAsia="Times New Roman"/>
          <w:lang w:val="en-US"/>
        </w:rPr>
        <w:t xml:space="preserve"> </w:t>
      </w:r>
      <w:r w:rsidRPr="00F936B7">
        <w:rPr>
          <w:rFonts w:eastAsia="Times New Roman"/>
          <w:i/>
          <w:iCs/>
          <w:lang w:val="en-US"/>
        </w:rPr>
        <w:t>IZA</w:t>
      </w:r>
      <w:r w:rsidRPr="007A0FC6">
        <w:rPr>
          <w:rFonts w:eastAsia="Times New Roman"/>
          <w:i/>
          <w:iCs/>
          <w:lang w:val="en-US"/>
        </w:rPr>
        <w:t>. Discussion Paper</w:t>
      </w:r>
      <w:r w:rsidRPr="007A0FC6">
        <w:rPr>
          <w:rFonts w:eastAsia="Times New Roman"/>
          <w:lang w:val="en-US"/>
        </w:rPr>
        <w:t xml:space="preserve">, (11127), 1-33. </w:t>
      </w:r>
      <w:hyperlink r:id="rId18" w:history="1">
        <w:r w:rsidRPr="007A0FC6">
          <w:rPr>
            <w:rStyle w:val="Hipervnculo"/>
            <w:rFonts w:eastAsia="Times New Roman"/>
            <w:lang w:val="en-US"/>
          </w:rPr>
          <w:t>http://dx.doi.org/10.2139/ssrn.4114193</w:t>
        </w:r>
      </w:hyperlink>
    </w:p>
    <w:p w14:paraId="23283A9A" w14:textId="77777777" w:rsidR="002A385E" w:rsidRPr="007A0FC6" w:rsidRDefault="002A385E" w:rsidP="001D36B9">
      <w:pPr>
        <w:spacing w:line="360" w:lineRule="auto"/>
        <w:ind w:left="709" w:hanging="709"/>
        <w:jc w:val="both"/>
        <w:rPr>
          <w:rFonts w:eastAsia="Times New Roman"/>
          <w:lang w:val="es-MX"/>
        </w:rPr>
      </w:pPr>
      <w:r w:rsidRPr="007A0FC6">
        <w:rPr>
          <w:rFonts w:eastAsia="Times New Roman"/>
        </w:rPr>
        <w:t>Baquero, P. J</w:t>
      </w:r>
      <w:r w:rsidRPr="007A0FC6">
        <w:t>. y</w:t>
      </w:r>
      <w:r w:rsidRPr="007A0FC6">
        <w:rPr>
          <w:rFonts w:eastAsia="Times New Roman"/>
        </w:rPr>
        <w:t xml:space="preserve"> Ruesga, B. S. M. (2020). Empleo de los estudiantes universitarios y su inserción laboral. </w:t>
      </w:r>
      <w:r w:rsidRPr="007A0FC6">
        <w:rPr>
          <w:rFonts w:eastAsia="Times New Roman"/>
          <w:i/>
          <w:iCs/>
        </w:rPr>
        <w:t xml:space="preserve">Revista de </w:t>
      </w:r>
      <w:r w:rsidRPr="007A0FC6">
        <w:rPr>
          <w:i/>
          <w:iCs/>
        </w:rPr>
        <w:t>E</w:t>
      </w:r>
      <w:r w:rsidRPr="007A0FC6">
        <w:rPr>
          <w:rFonts w:eastAsia="Times New Roman"/>
          <w:i/>
          <w:iCs/>
        </w:rPr>
        <w:t xml:space="preserve">ducación, </w:t>
      </w:r>
      <w:r w:rsidRPr="007A0FC6">
        <w:rPr>
          <w:rFonts w:eastAsia="Times New Roman"/>
        </w:rPr>
        <w:t xml:space="preserve">(390), 31-51. </w:t>
      </w:r>
      <w:hyperlink r:id="rId19" w:history="1">
        <w:r w:rsidRPr="007A0FC6">
          <w:rPr>
            <w:rFonts w:eastAsia="Times New Roman"/>
            <w:u w:val="single"/>
            <w:shd w:val="clear" w:color="auto" w:fill="FFFFFF"/>
            <w:lang w:val="es-MX"/>
          </w:rPr>
          <w:t>https://doi.org/10.4438/1988-592X-RE-2020-390-464</w:t>
        </w:r>
      </w:hyperlink>
    </w:p>
    <w:p w14:paraId="595CE389" w14:textId="77777777" w:rsidR="002A385E" w:rsidRPr="007A0FC6" w:rsidRDefault="002A385E" w:rsidP="001D36B9">
      <w:pPr>
        <w:spacing w:line="360" w:lineRule="auto"/>
        <w:ind w:left="709" w:hanging="709"/>
        <w:jc w:val="both"/>
        <w:rPr>
          <w:rFonts w:eastAsia="Times New Roman"/>
        </w:rPr>
      </w:pPr>
      <w:r w:rsidRPr="007A0FC6">
        <w:rPr>
          <w:rFonts w:eastAsia="Times New Roman"/>
        </w:rPr>
        <w:t>Cabrera, P. L., Bethencourt, B. J. T., González, A. M. C</w:t>
      </w:r>
      <w:r w:rsidRPr="007A0FC6">
        <w:t>. y</w:t>
      </w:r>
      <w:r w:rsidRPr="007A0FC6">
        <w:rPr>
          <w:rFonts w:eastAsia="Times New Roman"/>
        </w:rPr>
        <w:t xml:space="preserve"> Álvarez, P. P. R. (2006). Un estudio transversal retrospectivo sobre prolongación y abandono de estudios universitarios. </w:t>
      </w:r>
      <w:r w:rsidRPr="007A0FC6">
        <w:rPr>
          <w:rFonts w:eastAsia="Times New Roman"/>
          <w:i/>
          <w:iCs/>
        </w:rPr>
        <w:t>Revista Electrónica de Investigación y Evaluación Educativa</w:t>
      </w:r>
      <w:r w:rsidRPr="007A0FC6">
        <w:rPr>
          <w:rFonts w:eastAsia="Times New Roman"/>
        </w:rPr>
        <w:t xml:space="preserve">, </w:t>
      </w:r>
      <w:r w:rsidRPr="007A0FC6">
        <w:rPr>
          <w:rFonts w:eastAsia="Times New Roman"/>
          <w:i/>
          <w:iCs/>
        </w:rPr>
        <w:t>12</w:t>
      </w:r>
      <w:r w:rsidRPr="007A0FC6">
        <w:rPr>
          <w:rFonts w:eastAsia="Times New Roman"/>
        </w:rPr>
        <w:t xml:space="preserve">(1), 105-127. </w:t>
      </w:r>
      <w:hyperlink r:id="rId20" w:history="1">
        <w:r w:rsidRPr="007A0FC6">
          <w:rPr>
            <w:rFonts w:eastAsia="Times New Roman"/>
            <w:u w:val="single"/>
            <w:shd w:val="clear" w:color="auto" w:fill="FFFFFF"/>
            <w:lang w:val="es-MX"/>
          </w:rPr>
          <w:t>https://doi.org/10.7203/relieve.12.1.4241</w:t>
        </w:r>
      </w:hyperlink>
    </w:p>
    <w:p w14:paraId="5B91E472" w14:textId="77777777" w:rsidR="002A385E" w:rsidRPr="007A0FC6" w:rsidRDefault="002A385E" w:rsidP="001D36B9">
      <w:pPr>
        <w:spacing w:line="360" w:lineRule="auto"/>
        <w:ind w:left="709" w:hanging="709"/>
        <w:jc w:val="both"/>
        <w:rPr>
          <w:rFonts w:eastAsia="Times New Roman"/>
        </w:rPr>
      </w:pPr>
      <w:r w:rsidRPr="007A0FC6">
        <w:rPr>
          <w:rFonts w:eastAsia="Times New Roman"/>
        </w:rPr>
        <w:t>Carrillo, R. S</w:t>
      </w:r>
      <w:r w:rsidRPr="007A0FC6">
        <w:t>. y</w:t>
      </w:r>
      <w:r w:rsidRPr="007A0FC6">
        <w:rPr>
          <w:rFonts w:eastAsia="Times New Roman"/>
        </w:rPr>
        <w:t xml:space="preserve"> Ríos, A. J. G. (2013), Trabajo y rendimiento escolar de los estudiantes universitarios. El caso de la Universidad de Guadalajara, México. </w:t>
      </w:r>
      <w:r w:rsidRPr="007A0FC6">
        <w:rPr>
          <w:rFonts w:eastAsia="Times New Roman"/>
          <w:i/>
        </w:rPr>
        <w:t>Revista de la Educación Superior</w:t>
      </w:r>
      <w:r w:rsidRPr="007A0FC6">
        <w:rPr>
          <w:rFonts w:eastAsia="Times New Roman"/>
        </w:rPr>
        <w:t xml:space="preserve">, </w:t>
      </w:r>
      <w:r w:rsidRPr="007A0FC6">
        <w:rPr>
          <w:rFonts w:eastAsia="Times New Roman"/>
          <w:i/>
          <w:iCs/>
        </w:rPr>
        <w:t>42</w:t>
      </w:r>
      <w:r w:rsidRPr="007A0FC6">
        <w:rPr>
          <w:rFonts w:eastAsia="Times New Roman"/>
        </w:rPr>
        <w:t xml:space="preserve">(166), 9-34. </w:t>
      </w:r>
      <w:hyperlink r:id="rId21" w:history="1">
        <w:r w:rsidRPr="007A0FC6">
          <w:rPr>
            <w:rStyle w:val="Hipervnculo"/>
            <w:rFonts w:eastAsia="Times New Roman"/>
          </w:rPr>
          <w:t>https://www.scielo.org.mx/pdf/resu/v42n166/v42n166a1.pdf</w:t>
        </w:r>
      </w:hyperlink>
    </w:p>
    <w:p w14:paraId="06F5D5EA" w14:textId="77777777" w:rsidR="002A385E" w:rsidRPr="007A0FC6" w:rsidRDefault="002A385E" w:rsidP="001D36B9">
      <w:pPr>
        <w:spacing w:line="360" w:lineRule="auto"/>
        <w:ind w:left="709" w:hanging="709"/>
        <w:jc w:val="both"/>
        <w:rPr>
          <w:rFonts w:eastAsia="Times New Roman"/>
          <w:shd w:val="clear" w:color="auto" w:fill="FFFFFF"/>
          <w:lang w:val="es-MX"/>
        </w:rPr>
      </w:pPr>
      <w:r w:rsidRPr="007A0FC6">
        <w:rPr>
          <w:rFonts w:eastAsia="Times New Roman"/>
        </w:rPr>
        <w:t>Constante-Amores, I. A., Florenciano, M. E., Navarro, A. E</w:t>
      </w:r>
      <w:r w:rsidRPr="007A0FC6">
        <w:t>. y</w:t>
      </w:r>
      <w:r w:rsidRPr="007A0FC6">
        <w:rPr>
          <w:rFonts w:eastAsia="Times New Roman"/>
        </w:rPr>
        <w:t xml:space="preserve"> Fernández-Mellizo, S.M. (2021). Factores asociados al abandono universitario. </w:t>
      </w:r>
      <w:r w:rsidRPr="007A0FC6">
        <w:rPr>
          <w:rFonts w:eastAsia="Times New Roman"/>
          <w:i/>
        </w:rPr>
        <w:t xml:space="preserve">Educación XX1: Revista de la </w:t>
      </w:r>
      <w:r w:rsidRPr="007A0FC6">
        <w:rPr>
          <w:i/>
        </w:rPr>
        <w:t>F</w:t>
      </w:r>
      <w:r w:rsidRPr="007A0FC6">
        <w:rPr>
          <w:rFonts w:eastAsia="Times New Roman"/>
          <w:i/>
        </w:rPr>
        <w:t xml:space="preserve">acultad de </w:t>
      </w:r>
      <w:r w:rsidRPr="007A0FC6">
        <w:rPr>
          <w:i/>
        </w:rPr>
        <w:t>E</w:t>
      </w:r>
      <w:r w:rsidRPr="007A0FC6">
        <w:rPr>
          <w:rFonts w:eastAsia="Times New Roman"/>
          <w:i/>
        </w:rPr>
        <w:t>ducación</w:t>
      </w:r>
      <w:r w:rsidRPr="007A0FC6">
        <w:rPr>
          <w:rFonts w:eastAsia="Times New Roman"/>
        </w:rPr>
        <w:t xml:space="preserve">, </w:t>
      </w:r>
      <w:r w:rsidRPr="007A0FC6">
        <w:rPr>
          <w:rFonts w:eastAsia="Times New Roman"/>
          <w:i/>
          <w:iCs/>
        </w:rPr>
        <w:t>2</w:t>
      </w:r>
      <w:r w:rsidRPr="007A0FC6">
        <w:rPr>
          <w:rFonts w:eastAsia="Times New Roman"/>
        </w:rPr>
        <w:t xml:space="preserve">(1), 17-44. </w:t>
      </w:r>
      <w:hyperlink r:id="rId22" w:history="1">
        <w:r w:rsidRPr="007A0FC6">
          <w:rPr>
            <w:rStyle w:val="Hipervnculo"/>
            <w:rFonts w:eastAsia="Times New Roman"/>
            <w:shd w:val="clear" w:color="auto" w:fill="FFFFFF"/>
            <w:lang w:val="es-MX"/>
          </w:rPr>
          <w:t>https://doi.org/10.5944/educXX1.26889</w:t>
        </w:r>
      </w:hyperlink>
    </w:p>
    <w:p w14:paraId="201C2616" w14:textId="77777777" w:rsidR="002A385E" w:rsidRPr="007A0FC6" w:rsidRDefault="002A385E" w:rsidP="001D36B9">
      <w:pPr>
        <w:spacing w:line="360" w:lineRule="auto"/>
        <w:ind w:left="709" w:hanging="709"/>
        <w:jc w:val="both"/>
        <w:rPr>
          <w:rFonts w:eastAsia="Times New Roman"/>
          <w:shd w:val="clear" w:color="auto" w:fill="FFFFFF"/>
          <w:lang w:val="es-MX"/>
        </w:rPr>
      </w:pPr>
      <w:r w:rsidRPr="007A0FC6">
        <w:rPr>
          <w:rFonts w:eastAsia="Times New Roman"/>
        </w:rPr>
        <w:t xml:space="preserve">Cortez, B. F. M., </w:t>
      </w:r>
      <w:proofErr w:type="spellStart"/>
      <w:r w:rsidRPr="007A0FC6">
        <w:rPr>
          <w:rFonts w:eastAsia="Times New Roman"/>
        </w:rPr>
        <w:t>Tutiven</w:t>
      </w:r>
      <w:proofErr w:type="spellEnd"/>
      <w:r w:rsidRPr="007A0FC6">
        <w:rPr>
          <w:rFonts w:eastAsia="Times New Roman"/>
        </w:rPr>
        <w:t>, C. J. L</w:t>
      </w:r>
      <w:r w:rsidRPr="007A0FC6">
        <w:t>. y</w:t>
      </w:r>
      <w:r w:rsidRPr="007A0FC6">
        <w:rPr>
          <w:rFonts w:eastAsia="Times New Roman"/>
        </w:rPr>
        <w:t xml:space="preserve"> Villavicencio, M. M. N. (2017). Determinantes del Rendimiento Académico Universitario. </w:t>
      </w:r>
      <w:r w:rsidRPr="007A0FC6">
        <w:rPr>
          <w:rFonts w:eastAsia="Times New Roman"/>
          <w:i/>
        </w:rPr>
        <w:t>Revista Publicando</w:t>
      </w:r>
      <w:r w:rsidRPr="007A0FC6">
        <w:rPr>
          <w:rFonts w:eastAsia="Times New Roman"/>
        </w:rPr>
        <w:t xml:space="preserve">, </w:t>
      </w:r>
      <w:r w:rsidRPr="007A0FC6">
        <w:rPr>
          <w:rFonts w:eastAsia="Times New Roman"/>
          <w:i/>
        </w:rPr>
        <w:t>4</w:t>
      </w:r>
      <w:r w:rsidRPr="007A0FC6">
        <w:rPr>
          <w:rFonts w:eastAsia="Times New Roman"/>
          <w:iCs/>
        </w:rPr>
        <w:t>(</w:t>
      </w:r>
      <w:r w:rsidRPr="007A0FC6">
        <w:rPr>
          <w:rFonts w:eastAsia="Times New Roman"/>
        </w:rPr>
        <w:t xml:space="preserve">10), 284-296. </w:t>
      </w:r>
      <w:hyperlink r:id="rId23" w:history="1">
        <w:r w:rsidRPr="007A0FC6">
          <w:rPr>
            <w:rStyle w:val="Hipervnculo"/>
            <w:rFonts w:eastAsia="Times New Roman"/>
            <w:shd w:val="clear" w:color="auto" w:fill="FFFFFF"/>
            <w:lang w:val="es-MX"/>
          </w:rPr>
          <w:t>https://revistapublicando.org/revista/index.php/crv/article/view/427</w:t>
        </w:r>
      </w:hyperlink>
    </w:p>
    <w:p w14:paraId="72EDD6AE" w14:textId="77777777" w:rsidR="002A385E" w:rsidRPr="007A0FC6" w:rsidRDefault="002A385E" w:rsidP="001D36B9">
      <w:pPr>
        <w:spacing w:line="360" w:lineRule="auto"/>
        <w:ind w:left="709" w:hanging="709"/>
        <w:jc w:val="both"/>
        <w:rPr>
          <w:rFonts w:eastAsia="Times New Roman"/>
        </w:rPr>
      </w:pPr>
      <w:r w:rsidRPr="007A0FC6">
        <w:rPr>
          <w:rFonts w:eastAsia="Times New Roman"/>
        </w:rPr>
        <w:t>Cruz, P. R., Vargas, V. E., Hernández, R. A. K</w:t>
      </w:r>
      <w:r w:rsidRPr="007A0FC6">
        <w:t>. y</w:t>
      </w:r>
      <w:r w:rsidRPr="007A0FC6">
        <w:rPr>
          <w:rFonts w:eastAsia="Times New Roman"/>
        </w:rPr>
        <w:t xml:space="preserve"> Rodríguez, C. </w:t>
      </w:r>
      <w:proofErr w:type="spellStart"/>
      <w:r w:rsidRPr="007A0FC6">
        <w:rPr>
          <w:rFonts w:eastAsia="Times New Roman"/>
        </w:rPr>
        <w:t>Ó</w:t>
      </w:r>
      <w:proofErr w:type="spellEnd"/>
      <w:r w:rsidRPr="007A0FC6">
        <w:rPr>
          <w:rFonts w:eastAsia="Times New Roman"/>
        </w:rPr>
        <w:t xml:space="preserve">. (2017). Adolescentes que estudian y trabajan: factores sociodemográficos y contextuales. </w:t>
      </w:r>
      <w:r w:rsidRPr="007A0FC6">
        <w:rPr>
          <w:rFonts w:eastAsia="Times New Roman"/>
          <w:i/>
        </w:rPr>
        <w:t xml:space="preserve">Revista </w:t>
      </w:r>
      <w:r w:rsidRPr="007A0FC6">
        <w:rPr>
          <w:i/>
        </w:rPr>
        <w:t>M</w:t>
      </w:r>
      <w:r w:rsidRPr="007A0FC6">
        <w:rPr>
          <w:rFonts w:eastAsia="Times New Roman"/>
          <w:i/>
        </w:rPr>
        <w:t xml:space="preserve">exicana de </w:t>
      </w:r>
      <w:r w:rsidRPr="007A0FC6">
        <w:rPr>
          <w:i/>
        </w:rPr>
        <w:t>S</w:t>
      </w:r>
      <w:r w:rsidRPr="007A0FC6">
        <w:rPr>
          <w:rFonts w:eastAsia="Times New Roman"/>
          <w:i/>
        </w:rPr>
        <w:t>ociología</w:t>
      </w:r>
      <w:r w:rsidRPr="007A0FC6">
        <w:rPr>
          <w:rFonts w:eastAsia="Times New Roman"/>
        </w:rPr>
        <w:t xml:space="preserve">, </w:t>
      </w:r>
      <w:r w:rsidRPr="007A0FC6">
        <w:rPr>
          <w:rFonts w:eastAsia="Times New Roman"/>
          <w:i/>
          <w:iCs/>
        </w:rPr>
        <w:t>79</w:t>
      </w:r>
      <w:r w:rsidRPr="007A0FC6">
        <w:rPr>
          <w:rFonts w:eastAsia="Times New Roman"/>
        </w:rPr>
        <w:t xml:space="preserve">(3), 571-604. </w:t>
      </w:r>
      <w:hyperlink r:id="rId24" w:history="1">
        <w:r w:rsidRPr="007A0FC6">
          <w:rPr>
            <w:rStyle w:val="Hipervnculo"/>
            <w:rFonts w:eastAsia="Times New Roman"/>
          </w:rPr>
          <w:t>https://www.scielo.org.mx/scielo.php?script=sci_arttext&amp;pid=S0188-25032017000300571</w:t>
        </w:r>
      </w:hyperlink>
    </w:p>
    <w:p w14:paraId="2951D65C" w14:textId="77777777" w:rsidR="002A385E" w:rsidRPr="007A0FC6" w:rsidRDefault="002A385E" w:rsidP="001D36B9">
      <w:pPr>
        <w:spacing w:line="360" w:lineRule="auto"/>
        <w:ind w:left="709" w:hanging="709"/>
        <w:jc w:val="both"/>
        <w:rPr>
          <w:rFonts w:eastAsia="Times New Roman"/>
        </w:rPr>
      </w:pPr>
      <w:r w:rsidRPr="007A0FC6">
        <w:rPr>
          <w:rFonts w:eastAsia="Times New Roman"/>
        </w:rPr>
        <w:t>Cuevas, J. F</w:t>
      </w:r>
      <w:r w:rsidRPr="007A0FC6">
        <w:t>. y</w:t>
      </w:r>
      <w:r w:rsidRPr="007A0FC6">
        <w:rPr>
          <w:rFonts w:eastAsia="Times New Roman"/>
        </w:rPr>
        <w:t xml:space="preserve"> De Ibarrola, M. (2013). Vidas cruzadas. Los estudiantes que trabajan: un análisis de sus aprendizajes. </w:t>
      </w:r>
      <w:r w:rsidRPr="007A0FC6">
        <w:rPr>
          <w:rFonts w:eastAsia="Times New Roman"/>
          <w:i/>
        </w:rPr>
        <w:t xml:space="preserve">Revista de la </w:t>
      </w:r>
      <w:r w:rsidRPr="007A0FC6">
        <w:rPr>
          <w:i/>
        </w:rPr>
        <w:t>E</w:t>
      </w:r>
      <w:r w:rsidRPr="007A0FC6">
        <w:rPr>
          <w:rFonts w:eastAsia="Times New Roman"/>
          <w:i/>
        </w:rPr>
        <w:t xml:space="preserve">ducación </w:t>
      </w:r>
      <w:r w:rsidRPr="007A0FC6">
        <w:rPr>
          <w:i/>
        </w:rPr>
        <w:t>S</w:t>
      </w:r>
      <w:r w:rsidRPr="007A0FC6">
        <w:rPr>
          <w:rFonts w:eastAsia="Times New Roman"/>
          <w:i/>
        </w:rPr>
        <w:t>uperior</w:t>
      </w:r>
      <w:r w:rsidRPr="007A0FC6">
        <w:rPr>
          <w:rFonts w:eastAsia="Times New Roman"/>
        </w:rPr>
        <w:t xml:space="preserve">, </w:t>
      </w:r>
      <w:r w:rsidRPr="007A0FC6">
        <w:rPr>
          <w:rFonts w:eastAsia="Times New Roman"/>
          <w:i/>
          <w:iCs/>
        </w:rPr>
        <w:t>42</w:t>
      </w:r>
      <w:r w:rsidRPr="007A0FC6">
        <w:rPr>
          <w:rFonts w:eastAsia="Times New Roman"/>
        </w:rPr>
        <w:t>(165), 125-148.</w:t>
      </w:r>
      <w:r w:rsidRPr="007A0FC6">
        <w:t xml:space="preserve"> </w:t>
      </w:r>
      <w:hyperlink r:id="rId25" w:history="1">
        <w:r w:rsidRPr="007A0FC6">
          <w:rPr>
            <w:rStyle w:val="Hipervnculo"/>
          </w:rPr>
          <w:t>https://www.scielo.org.mx/scielo.php?pid=S0185-27602013000100007&amp;script=sci_arttext</w:t>
        </w:r>
      </w:hyperlink>
    </w:p>
    <w:p w14:paraId="439958B8" w14:textId="77777777" w:rsidR="002A385E" w:rsidRPr="007A0FC6" w:rsidRDefault="002A385E" w:rsidP="001D36B9">
      <w:pPr>
        <w:spacing w:line="360" w:lineRule="auto"/>
        <w:ind w:left="709" w:hanging="709"/>
        <w:jc w:val="both"/>
        <w:rPr>
          <w:rFonts w:eastAsia="Times New Roman"/>
          <w:lang w:val="en-US"/>
        </w:rPr>
      </w:pPr>
      <w:proofErr w:type="spellStart"/>
      <w:r w:rsidRPr="007A0FC6">
        <w:rPr>
          <w:rFonts w:eastAsia="Times New Roman"/>
          <w:lang w:val="en-US"/>
        </w:rPr>
        <w:lastRenderedPageBreak/>
        <w:t>Darolia</w:t>
      </w:r>
      <w:proofErr w:type="spellEnd"/>
      <w:r w:rsidRPr="007A0FC6">
        <w:rPr>
          <w:rFonts w:eastAsia="Times New Roman"/>
          <w:lang w:val="en-US"/>
        </w:rPr>
        <w:t xml:space="preserve">, R. (2014). Working (and studying) day and night: Heterogeneous effects of working on the academic performance of full-time and part-time students. </w:t>
      </w:r>
      <w:r w:rsidRPr="007A0FC6">
        <w:rPr>
          <w:rFonts w:eastAsia="Times New Roman"/>
          <w:i/>
          <w:lang w:val="en-US"/>
        </w:rPr>
        <w:t>Economics of Education Review</w:t>
      </w:r>
      <w:r w:rsidRPr="007A0FC6">
        <w:rPr>
          <w:rFonts w:eastAsia="Times New Roman"/>
          <w:lang w:val="en-US"/>
        </w:rPr>
        <w:t xml:space="preserve">, </w:t>
      </w:r>
      <w:r w:rsidRPr="007A0FC6">
        <w:rPr>
          <w:rFonts w:eastAsia="Times New Roman"/>
          <w:i/>
          <w:iCs/>
          <w:lang w:val="en-US"/>
        </w:rPr>
        <w:t>38</w:t>
      </w:r>
      <w:r w:rsidRPr="007A0FC6">
        <w:rPr>
          <w:rFonts w:eastAsia="Times New Roman"/>
          <w:lang w:val="en-US"/>
        </w:rPr>
        <w:t xml:space="preserve">, 38-50. </w:t>
      </w:r>
      <w:hyperlink r:id="rId26" w:history="1">
        <w:r w:rsidRPr="007A0FC6">
          <w:rPr>
            <w:rStyle w:val="Hipervnculo"/>
            <w:rFonts w:eastAsia="Times New Roman"/>
            <w:lang w:val="en-US"/>
          </w:rPr>
          <w:t>https://www.sciencedirect.com/science/article/abs/pii/S0272775713001544</w:t>
        </w:r>
      </w:hyperlink>
    </w:p>
    <w:p w14:paraId="6CED67C1" w14:textId="77777777" w:rsidR="002A385E" w:rsidRPr="007A0FC6" w:rsidRDefault="002A385E" w:rsidP="001D36B9">
      <w:pPr>
        <w:pBdr>
          <w:top w:val="nil"/>
          <w:left w:val="nil"/>
          <w:bottom w:val="nil"/>
          <w:right w:val="nil"/>
          <w:between w:val="nil"/>
        </w:pBdr>
        <w:spacing w:line="360" w:lineRule="auto"/>
        <w:ind w:left="709" w:hanging="709"/>
        <w:jc w:val="both"/>
      </w:pPr>
      <w:r w:rsidRPr="007A0FC6">
        <w:t xml:space="preserve">De Garay, S. A. (2009). </w:t>
      </w:r>
      <w:r w:rsidRPr="007A0FC6">
        <w:rPr>
          <w:i/>
        </w:rPr>
        <w:t>¿Y cuatro años después?: de cómo los estudiantes de una generación transitan por la universidad</w:t>
      </w:r>
      <w:r w:rsidRPr="007A0FC6">
        <w:t xml:space="preserve">. Universidad Autónoma Metropolitana, Unidad Azcapotzalco. </w:t>
      </w:r>
      <w:hyperlink r:id="rId27" w:history="1">
        <w:r w:rsidRPr="007A0FC6">
          <w:rPr>
            <w:rStyle w:val="Hipervnculo"/>
          </w:rPr>
          <w:t>http://zaloamati.azc.uam.mx/handle/11191/2433</w:t>
        </w:r>
      </w:hyperlink>
    </w:p>
    <w:p w14:paraId="6AB239F1" w14:textId="77777777" w:rsidR="002A385E" w:rsidRPr="007A0FC6" w:rsidRDefault="002A385E" w:rsidP="001D36B9">
      <w:pPr>
        <w:spacing w:line="360" w:lineRule="auto"/>
        <w:ind w:left="709" w:hanging="709"/>
        <w:jc w:val="both"/>
        <w:rPr>
          <w:lang w:val="en-US"/>
        </w:rPr>
      </w:pPr>
      <w:r w:rsidRPr="007A0FC6">
        <w:rPr>
          <w:lang w:val="en-US"/>
        </w:rPr>
        <w:t xml:space="preserve">DeSimone, J. (2008). </w:t>
      </w:r>
      <w:r w:rsidRPr="007A0FC6">
        <w:rPr>
          <w:i/>
          <w:lang w:val="en-US"/>
        </w:rPr>
        <w:t>The impact of employment during school on college student academic performance</w:t>
      </w:r>
      <w:r w:rsidRPr="007A0FC6">
        <w:rPr>
          <w:lang w:val="en-US"/>
        </w:rPr>
        <w:t xml:space="preserve"> (No. w14006). National Bureau of Economic Research. </w:t>
      </w:r>
      <w:hyperlink r:id="rId28" w:history="1">
        <w:r w:rsidRPr="007A0FC6">
          <w:rPr>
            <w:rStyle w:val="Hipervnculo"/>
            <w:lang w:val="en-US"/>
          </w:rPr>
          <w:t>https://www.nber.org/papers/w14006</w:t>
        </w:r>
      </w:hyperlink>
    </w:p>
    <w:p w14:paraId="5265C2DE" w14:textId="77777777" w:rsidR="002A385E" w:rsidRPr="007A0FC6" w:rsidRDefault="002A385E" w:rsidP="001D36B9">
      <w:pPr>
        <w:spacing w:line="360" w:lineRule="auto"/>
        <w:ind w:left="709" w:hanging="709"/>
        <w:jc w:val="both"/>
        <w:rPr>
          <w:rFonts w:eastAsia="Times New Roman"/>
          <w:shd w:val="clear" w:color="auto" w:fill="FFFFFF"/>
          <w:lang w:val="es-MX"/>
        </w:rPr>
      </w:pPr>
      <w:proofErr w:type="spellStart"/>
      <w:r w:rsidRPr="007A0FC6">
        <w:t>Enkvist</w:t>
      </w:r>
      <w:proofErr w:type="spellEnd"/>
      <w:r w:rsidRPr="007A0FC6">
        <w:t>, I. (2018).</w:t>
      </w:r>
      <w:r w:rsidRPr="007A0FC6">
        <w:rPr>
          <w:iCs/>
        </w:rPr>
        <w:t xml:space="preserve"> Los papeles de los diferentes agentes presentes en la educación: El estado, los profesores, los padres y los alumnos. </w:t>
      </w:r>
      <w:r w:rsidRPr="007A0FC6">
        <w:rPr>
          <w:i/>
          <w:iCs/>
        </w:rPr>
        <w:t>Supervisión 21: Revista de Educación e Inspección</w:t>
      </w:r>
      <w:r w:rsidRPr="007A0FC6">
        <w:t xml:space="preserve">, </w:t>
      </w:r>
      <w:r w:rsidRPr="007A0FC6">
        <w:rPr>
          <w:i/>
          <w:iCs/>
        </w:rPr>
        <w:t>1</w:t>
      </w:r>
      <w:r w:rsidRPr="007A0FC6">
        <w:t xml:space="preserve">(47), 1-8. </w:t>
      </w:r>
      <w:hyperlink r:id="rId29" w:history="1">
        <w:r w:rsidRPr="007A0FC6">
          <w:rPr>
            <w:rStyle w:val="Hipervnculo"/>
            <w:rFonts w:eastAsia="Times New Roman"/>
            <w:shd w:val="clear" w:color="auto" w:fill="FFFFFF"/>
            <w:lang w:val="es-MX"/>
          </w:rPr>
          <w:t>https://usie.es/wp-content/uploads/2018/01/SP21-47-Art%C3%ADculo-Funci%C3%B3n-agentes-educaci%C3%B3n-Inger-Enkvist.pdf</w:t>
        </w:r>
      </w:hyperlink>
    </w:p>
    <w:p w14:paraId="24F1A334" w14:textId="77777777" w:rsidR="002A385E" w:rsidRPr="007A0FC6" w:rsidRDefault="002A385E" w:rsidP="001D36B9">
      <w:pPr>
        <w:spacing w:line="360" w:lineRule="auto"/>
        <w:ind w:left="709" w:hanging="709"/>
        <w:jc w:val="both"/>
        <w:rPr>
          <w:rFonts w:eastAsia="Times New Roman"/>
          <w:shd w:val="clear" w:color="auto" w:fill="FFFFFF"/>
          <w:lang w:val="es-MX"/>
        </w:rPr>
      </w:pPr>
      <w:r w:rsidRPr="007A0FC6">
        <w:t xml:space="preserve">Espinoza, E. (2006). Impacto del maltrato en el rendimiento académico. </w:t>
      </w:r>
      <w:r w:rsidRPr="007A0FC6">
        <w:rPr>
          <w:rFonts w:eastAsia="Times New Roman"/>
          <w:i/>
          <w:iCs/>
        </w:rPr>
        <w:t xml:space="preserve">Revista </w:t>
      </w:r>
      <w:r w:rsidRPr="007A0FC6">
        <w:rPr>
          <w:i/>
          <w:iCs/>
        </w:rPr>
        <w:t>E</w:t>
      </w:r>
      <w:r w:rsidRPr="007A0FC6">
        <w:rPr>
          <w:rFonts w:eastAsia="Times New Roman"/>
          <w:i/>
          <w:iCs/>
        </w:rPr>
        <w:t xml:space="preserve">lectrónica de </w:t>
      </w:r>
      <w:r w:rsidRPr="007A0FC6">
        <w:rPr>
          <w:i/>
          <w:iCs/>
        </w:rPr>
        <w:t>I</w:t>
      </w:r>
      <w:r w:rsidRPr="007A0FC6">
        <w:rPr>
          <w:rFonts w:eastAsia="Times New Roman"/>
          <w:i/>
          <w:iCs/>
        </w:rPr>
        <w:t xml:space="preserve">nvestigación </w:t>
      </w:r>
      <w:r w:rsidRPr="007A0FC6">
        <w:rPr>
          <w:i/>
          <w:iCs/>
        </w:rPr>
        <w:t>P</w:t>
      </w:r>
      <w:r w:rsidRPr="007A0FC6">
        <w:rPr>
          <w:rFonts w:eastAsia="Times New Roman"/>
          <w:i/>
          <w:iCs/>
        </w:rPr>
        <w:t>sicoeducativa</w:t>
      </w:r>
      <w:r w:rsidRPr="007A0FC6">
        <w:rPr>
          <w:rFonts w:eastAsia="Times New Roman"/>
        </w:rPr>
        <w:t xml:space="preserve">, </w:t>
      </w:r>
      <w:r w:rsidRPr="007A0FC6">
        <w:rPr>
          <w:rFonts w:eastAsia="Times New Roman"/>
          <w:i/>
          <w:iCs/>
        </w:rPr>
        <w:t>4</w:t>
      </w:r>
      <w:r w:rsidRPr="007A0FC6">
        <w:rPr>
          <w:rFonts w:eastAsia="Times New Roman"/>
        </w:rPr>
        <w:t xml:space="preserve">(9), 221-238. </w:t>
      </w:r>
      <w:hyperlink r:id="rId30" w:history="1">
        <w:r w:rsidRPr="007A0FC6">
          <w:rPr>
            <w:rStyle w:val="Hipervnculo"/>
            <w:rFonts w:eastAsia="Times New Roman"/>
            <w:shd w:val="clear" w:color="auto" w:fill="FFFFFF"/>
            <w:lang w:val="es-MX"/>
          </w:rPr>
          <w:t>http://repositorio.ual.es/bitstream/handle/10835/638/Art_9_64.pdf?sequence</w:t>
        </w:r>
      </w:hyperlink>
    </w:p>
    <w:p w14:paraId="650ED296" w14:textId="77777777" w:rsidR="002A385E" w:rsidRPr="007A0FC6" w:rsidRDefault="002A385E" w:rsidP="001D36B9">
      <w:pPr>
        <w:spacing w:line="360" w:lineRule="auto"/>
        <w:ind w:left="709" w:hanging="709"/>
        <w:jc w:val="both"/>
        <w:rPr>
          <w:rFonts w:eastAsia="Times New Roman"/>
        </w:rPr>
      </w:pPr>
      <w:r w:rsidRPr="007A0FC6">
        <w:rPr>
          <w:rFonts w:eastAsia="Times New Roman"/>
        </w:rPr>
        <w:t>Fazio, M. V. (2004)</w:t>
      </w:r>
      <w:r w:rsidRPr="007A0FC6">
        <w:t>.</w:t>
      </w:r>
      <w:r w:rsidRPr="007A0FC6">
        <w:rPr>
          <w:rFonts w:eastAsia="Times New Roman"/>
        </w:rPr>
        <w:t xml:space="preserve"> </w:t>
      </w:r>
      <w:r w:rsidRPr="007A0FC6">
        <w:rPr>
          <w:rFonts w:eastAsia="Times New Roman"/>
          <w:i/>
          <w:iCs/>
        </w:rPr>
        <w:t>Incidencia de las Horas Trabajadas en el Rendimiento Académico de Estudiantes Universitarios Argentinos.</w:t>
      </w:r>
      <w:r w:rsidRPr="007A0FC6">
        <w:rPr>
          <w:rFonts w:eastAsia="Times New Roman"/>
        </w:rPr>
        <w:t xml:space="preserve"> Documento de Trabajo, No. 10</w:t>
      </w:r>
      <w:r w:rsidRPr="007A0FC6">
        <w:t>.</w:t>
      </w:r>
      <w:r w:rsidRPr="007A0FC6">
        <w:rPr>
          <w:rFonts w:eastAsia="Times New Roman"/>
        </w:rPr>
        <w:t xml:space="preserve"> Universidad Nacional de La Plata, Centro de Estudios Distributivos, Laborales y Sociales (CEDLAS), La Plata. </w:t>
      </w:r>
      <w:hyperlink r:id="rId31" w:history="1">
        <w:r w:rsidRPr="007A0FC6">
          <w:rPr>
            <w:rStyle w:val="Hipervnculo"/>
            <w:rFonts w:eastAsia="Times New Roman"/>
          </w:rPr>
          <w:t>http://hdl.handle.net/10419/189565</w:t>
        </w:r>
      </w:hyperlink>
    </w:p>
    <w:p w14:paraId="04B1B663" w14:textId="77777777" w:rsidR="002A385E" w:rsidRPr="007A0FC6" w:rsidRDefault="002A385E" w:rsidP="001D36B9">
      <w:pPr>
        <w:spacing w:line="360" w:lineRule="auto"/>
        <w:ind w:left="709" w:hanging="709"/>
        <w:jc w:val="both"/>
        <w:rPr>
          <w:rFonts w:eastAsia="Times New Roman"/>
          <w:shd w:val="clear" w:color="auto" w:fill="FFFFFF"/>
          <w:lang w:val="es-MX"/>
        </w:rPr>
      </w:pPr>
      <w:proofErr w:type="spellStart"/>
      <w:r w:rsidRPr="007A0FC6">
        <w:t>Gavotto</w:t>
      </w:r>
      <w:proofErr w:type="spellEnd"/>
      <w:r w:rsidRPr="007A0FC6">
        <w:t>-Nogales, O. I. y Castellanos-</w:t>
      </w:r>
      <w:proofErr w:type="spellStart"/>
      <w:r w:rsidRPr="007A0FC6">
        <w:t>Pierra</w:t>
      </w:r>
      <w:proofErr w:type="spellEnd"/>
      <w:r w:rsidRPr="007A0FC6">
        <w:t xml:space="preserve">, L. I. (2015). </w:t>
      </w:r>
      <w:r w:rsidRPr="007A0FC6">
        <w:rPr>
          <w:iCs/>
        </w:rPr>
        <w:t xml:space="preserve">Panorama profesional en México, un escenario limitado para el estudiantado universitario. </w:t>
      </w:r>
      <w:r w:rsidRPr="007A0FC6">
        <w:rPr>
          <w:i/>
        </w:rPr>
        <w:t>Revista Educación</w:t>
      </w:r>
      <w:r w:rsidRPr="007A0FC6">
        <w:rPr>
          <w:iCs/>
        </w:rPr>
        <w:t xml:space="preserve">, </w:t>
      </w:r>
      <w:r w:rsidRPr="007A0FC6">
        <w:rPr>
          <w:i/>
        </w:rPr>
        <w:t>39</w:t>
      </w:r>
      <w:r w:rsidRPr="007A0FC6">
        <w:rPr>
          <w:iCs/>
        </w:rPr>
        <w:t xml:space="preserve">(2), 115-122. </w:t>
      </w:r>
      <w:hyperlink r:id="rId32" w:history="1">
        <w:r w:rsidRPr="007A0FC6">
          <w:rPr>
            <w:rStyle w:val="Hipervnculo"/>
            <w:rFonts w:eastAsia="Times New Roman"/>
            <w:shd w:val="clear" w:color="auto" w:fill="FFFFFF"/>
            <w:lang w:val="es-MX"/>
          </w:rPr>
          <w:t>http://dx.doi.org/10.15517/revedu.v39i2.19901</w:t>
        </w:r>
      </w:hyperlink>
    </w:p>
    <w:p w14:paraId="30AEAB0A" w14:textId="77777777" w:rsidR="002A385E" w:rsidRPr="007A0FC6" w:rsidRDefault="002A385E" w:rsidP="001D36B9">
      <w:pPr>
        <w:spacing w:line="360" w:lineRule="auto"/>
        <w:ind w:left="709" w:hanging="709"/>
        <w:jc w:val="both"/>
      </w:pPr>
      <w:r w:rsidRPr="007A0FC6">
        <w:t xml:space="preserve">Guzmán, C. (2004). </w:t>
      </w:r>
      <w:r w:rsidRPr="007A0FC6">
        <w:rPr>
          <w:iCs/>
        </w:rPr>
        <w:t xml:space="preserve">Los estudiantes frente a su trabajo. Un análisis en torno a la construcción del sentido del trabajo. </w:t>
      </w:r>
      <w:r w:rsidRPr="007A0FC6">
        <w:rPr>
          <w:i/>
          <w:iCs/>
        </w:rPr>
        <w:t>Revista Mexicana de Investigación Educativa</w:t>
      </w:r>
      <w:r w:rsidRPr="007A0FC6">
        <w:t xml:space="preserve">, </w:t>
      </w:r>
      <w:r w:rsidRPr="007A0FC6">
        <w:rPr>
          <w:i/>
        </w:rPr>
        <w:t>9</w:t>
      </w:r>
      <w:r w:rsidRPr="007A0FC6">
        <w:rPr>
          <w:iCs/>
        </w:rPr>
        <w:t>(2</w:t>
      </w:r>
      <w:r w:rsidRPr="007A0FC6">
        <w:t xml:space="preserve">2), 747-767. </w:t>
      </w:r>
      <w:hyperlink r:id="rId33" w:history="1">
        <w:r w:rsidRPr="007A0FC6">
          <w:rPr>
            <w:rStyle w:val="Hipervnculo"/>
          </w:rPr>
          <w:t>https://www.redalyc.org/pdf/140/14002210.pdf</w:t>
        </w:r>
      </w:hyperlink>
    </w:p>
    <w:p w14:paraId="37E46584" w14:textId="77777777" w:rsidR="002A385E" w:rsidRPr="007A0FC6" w:rsidRDefault="002A385E" w:rsidP="001D36B9">
      <w:pPr>
        <w:spacing w:line="360" w:lineRule="auto"/>
        <w:ind w:left="709" w:hanging="709"/>
        <w:jc w:val="both"/>
        <w:rPr>
          <w:rFonts w:eastAsia="Times New Roman"/>
          <w:shd w:val="clear" w:color="auto" w:fill="FFFFFF"/>
          <w:lang w:val="es-MX"/>
        </w:rPr>
      </w:pPr>
      <w:bookmarkStart w:id="3" w:name="_Hlk109047981"/>
      <w:r w:rsidRPr="007A0FC6">
        <w:t>Jaya, P. I. I., Novillo, M. E. F., Garcés, Q. R. G. y Palomeque</w:t>
      </w:r>
      <w:bookmarkEnd w:id="3"/>
      <w:r w:rsidRPr="007A0FC6">
        <w:t xml:space="preserve">, S. M. E. (2017). </w:t>
      </w:r>
      <w:r w:rsidRPr="007A0FC6">
        <w:rPr>
          <w:rFonts w:eastAsia="Times New Roman"/>
        </w:rPr>
        <w:t xml:space="preserve">Relación de la dedicación estudiantil en el desempeño académico, caso Universidad Técnica de Machala. </w:t>
      </w:r>
      <w:r w:rsidRPr="007A0FC6">
        <w:rPr>
          <w:rFonts w:eastAsia="Times New Roman"/>
          <w:i/>
          <w:iCs/>
          <w:lang w:val="es-MX"/>
        </w:rPr>
        <w:t>Revista Conrado, 13</w:t>
      </w:r>
      <w:r w:rsidRPr="007A0FC6">
        <w:rPr>
          <w:rFonts w:eastAsia="Times New Roman"/>
          <w:lang w:val="es-MX"/>
        </w:rPr>
        <w:t xml:space="preserve">(58), 68-71. </w:t>
      </w:r>
      <w:hyperlink r:id="rId34" w:history="1">
        <w:r w:rsidRPr="007A0FC6">
          <w:rPr>
            <w:rStyle w:val="Hipervnculo"/>
            <w:rFonts w:eastAsia="Times New Roman"/>
            <w:shd w:val="clear" w:color="auto" w:fill="FFFFFF"/>
            <w:lang w:val="es-MX"/>
          </w:rPr>
          <w:t>https://conrado.ucf.edu.cu/index.php/conrado/article/view/475</w:t>
        </w:r>
      </w:hyperlink>
    </w:p>
    <w:p w14:paraId="50174C59" w14:textId="77777777" w:rsidR="002A385E" w:rsidRPr="007A0FC6" w:rsidRDefault="002A385E" w:rsidP="001D36B9">
      <w:pPr>
        <w:spacing w:line="360" w:lineRule="auto"/>
        <w:ind w:left="709" w:hanging="709"/>
        <w:jc w:val="both"/>
        <w:rPr>
          <w:rFonts w:eastAsia="Times New Roman"/>
          <w:u w:val="single"/>
          <w:lang w:val="en-US"/>
        </w:rPr>
      </w:pPr>
      <w:proofErr w:type="spellStart"/>
      <w:r w:rsidRPr="007A0FC6">
        <w:rPr>
          <w:rFonts w:eastAsia="Times New Roman"/>
          <w:shd w:val="clear" w:color="auto" w:fill="FCFCFC"/>
          <w:lang w:val="es-MX"/>
        </w:rPr>
        <w:lastRenderedPageBreak/>
        <w:t>Kalenkoski</w:t>
      </w:r>
      <w:proofErr w:type="spellEnd"/>
      <w:r w:rsidRPr="007A0FC6">
        <w:rPr>
          <w:rFonts w:eastAsia="Times New Roman"/>
          <w:shd w:val="clear" w:color="auto" w:fill="FCFCFC"/>
          <w:lang w:val="es-MX"/>
        </w:rPr>
        <w:t>, C</w:t>
      </w:r>
      <w:r w:rsidRPr="007A0FC6">
        <w:rPr>
          <w:rFonts w:eastAsia="Georgia"/>
          <w:shd w:val="clear" w:color="auto" w:fill="FCFCFC"/>
        </w:rPr>
        <w:t>. y</w:t>
      </w:r>
      <w:r w:rsidRPr="007A0FC6">
        <w:rPr>
          <w:rFonts w:eastAsia="Times New Roman"/>
          <w:shd w:val="clear" w:color="auto" w:fill="FCFCFC"/>
          <w:lang w:val="es-MX"/>
        </w:rPr>
        <w:t xml:space="preserve"> </w:t>
      </w:r>
      <w:proofErr w:type="spellStart"/>
      <w:r w:rsidRPr="007A0FC6">
        <w:rPr>
          <w:rFonts w:eastAsia="Times New Roman"/>
          <w:shd w:val="clear" w:color="auto" w:fill="FCFCFC"/>
          <w:lang w:val="es-MX"/>
        </w:rPr>
        <w:t>Pabilonia</w:t>
      </w:r>
      <w:proofErr w:type="spellEnd"/>
      <w:r w:rsidRPr="007A0FC6">
        <w:rPr>
          <w:rFonts w:eastAsia="Times New Roman"/>
          <w:shd w:val="clear" w:color="auto" w:fill="FCFCFC"/>
          <w:lang w:val="es-MX"/>
        </w:rPr>
        <w:t xml:space="preserve">, S. </w:t>
      </w:r>
      <w:r w:rsidRPr="007A0FC6">
        <w:rPr>
          <w:rFonts w:eastAsia="Times New Roman"/>
          <w:shd w:val="clear" w:color="auto" w:fill="FCFCFC"/>
          <w:lang w:val="en-US"/>
        </w:rPr>
        <w:t xml:space="preserve">(2010). Parental transfers, student achievement, and the labor supply of college students. </w:t>
      </w:r>
      <w:r w:rsidRPr="007A0FC6">
        <w:rPr>
          <w:rFonts w:eastAsia="Times New Roman"/>
          <w:i/>
          <w:shd w:val="clear" w:color="auto" w:fill="FCFCFC"/>
          <w:lang w:val="en-US"/>
        </w:rPr>
        <w:t>Journal of Population Economics,</w:t>
      </w:r>
      <w:r w:rsidRPr="007A0FC6">
        <w:rPr>
          <w:rFonts w:eastAsia="Times New Roman"/>
          <w:shd w:val="clear" w:color="auto" w:fill="FCFCFC"/>
          <w:lang w:val="en-US"/>
        </w:rPr>
        <w:t xml:space="preserve"> </w:t>
      </w:r>
      <w:r w:rsidRPr="007A0FC6">
        <w:rPr>
          <w:rFonts w:eastAsia="Times New Roman"/>
          <w:i/>
          <w:iCs/>
          <w:shd w:val="clear" w:color="auto" w:fill="FCFCFC"/>
          <w:lang w:val="en-US"/>
        </w:rPr>
        <w:t>23</w:t>
      </w:r>
      <w:r w:rsidRPr="007A0FC6">
        <w:rPr>
          <w:rFonts w:eastAsia="Times New Roman"/>
          <w:shd w:val="clear" w:color="auto" w:fill="FCFCFC"/>
          <w:lang w:val="en-US"/>
        </w:rPr>
        <w:t xml:space="preserve">, 469–496. </w:t>
      </w:r>
      <w:hyperlink r:id="rId35" w:history="1">
        <w:r w:rsidRPr="007A0FC6">
          <w:rPr>
            <w:rStyle w:val="Hipervnculo"/>
            <w:shd w:val="clear" w:color="auto" w:fill="FCFCFC"/>
            <w:lang w:val="en-US"/>
          </w:rPr>
          <w:t>https://link.springer.com/article/10.1007/s00148-008-0221-8</w:t>
        </w:r>
      </w:hyperlink>
      <w:r w:rsidRPr="007A0FC6">
        <w:rPr>
          <w:shd w:val="clear" w:color="auto" w:fill="FCFCFC"/>
          <w:lang w:val="en-US"/>
        </w:rPr>
        <w:t xml:space="preserve"> </w:t>
      </w:r>
    </w:p>
    <w:p w14:paraId="28D8D28B" w14:textId="77777777" w:rsidR="002A385E" w:rsidRPr="007A0FC6" w:rsidRDefault="002A385E" w:rsidP="001D36B9">
      <w:pPr>
        <w:spacing w:line="360" w:lineRule="auto"/>
        <w:ind w:left="709" w:hanging="709"/>
        <w:jc w:val="both"/>
        <w:rPr>
          <w:rFonts w:eastAsia="Times New Roman"/>
          <w:shd w:val="clear" w:color="auto" w:fill="FCFCFC"/>
        </w:rPr>
      </w:pPr>
      <w:r w:rsidRPr="007A0FC6">
        <w:rPr>
          <w:rFonts w:eastAsia="Times New Roman"/>
          <w:shd w:val="clear" w:color="auto" w:fill="FCFCFC"/>
        </w:rPr>
        <w:t>Lerner, M. J., Cano, R. F., Moreno, O. S., Vargas, B. A. M., Flórez, Z. E., Betancur, J. G. E., Bolívar, G. C. D</w:t>
      </w:r>
      <w:r w:rsidRPr="007A0FC6">
        <w:rPr>
          <w:shd w:val="clear" w:color="auto" w:fill="FCFCFC"/>
        </w:rPr>
        <w:t>. y</w:t>
      </w:r>
      <w:r w:rsidRPr="007A0FC6">
        <w:rPr>
          <w:rFonts w:eastAsia="Times New Roman"/>
          <w:shd w:val="clear" w:color="auto" w:fill="FCFCFC"/>
        </w:rPr>
        <w:t xml:space="preserve"> Osorio, S. D. A. (2012). Rendimiento académico de los estudiantes de pregrado de la Universidad EAFIT. </w:t>
      </w:r>
      <w:r w:rsidRPr="007A0FC6">
        <w:rPr>
          <w:rFonts w:eastAsia="Times New Roman"/>
          <w:i/>
          <w:shd w:val="clear" w:color="auto" w:fill="FCFCFC"/>
        </w:rPr>
        <w:t xml:space="preserve">Cuadernos de </w:t>
      </w:r>
      <w:r w:rsidRPr="007A0FC6">
        <w:rPr>
          <w:i/>
          <w:shd w:val="clear" w:color="auto" w:fill="FCFCFC"/>
        </w:rPr>
        <w:t>I</w:t>
      </w:r>
      <w:r w:rsidRPr="007A0FC6">
        <w:rPr>
          <w:rFonts w:eastAsia="Times New Roman"/>
          <w:i/>
          <w:shd w:val="clear" w:color="auto" w:fill="FCFCFC"/>
        </w:rPr>
        <w:t xml:space="preserve">nvestigación. </w:t>
      </w:r>
      <w:hyperlink r:id="rId36" w:history="1">
        <w:r w:rsidRPr="007A0FC6">
          <w:rPr>
            <w:rStyle w:val="Hipervnculo"/>
            <w:shd w:val="clear" w:color="auto" w:fill="FCFCFC"/>
          </w:rPr>
          <w:t>https://publicaciones.eafit.edu.co/index.php/cuadernos-investigacion/issue/download/156/22</w:t>
        </w:r>
      </w:hyperlink>
      <w:r w:rsidRPr="007A0FC6">
        <w:rPr>
          <w:shd w:val="clear" w:color="auto" w:fill="FCFCFC"/>
        </w:rPr>
        <w:t xml:space="preserve"> </w:t>
      </w:r>
    </w:p>
    <w:p w14:paraId="2111DAAA" w14:textId="77777777" w:rsidR="002A385E" w:rsidRPr="007A0FC6" w:rsidRDefault="002A385E" w:rsidP="001D36B9">
      <w:pPr>
        <w:spacing w:line="360" w:lineRule="auto"/>
        <w:ind w:left="709" w:hanging="709"/>
        <w:jc w:val="both"/>
        <w:rPr>
          <w:rFonts w:eastAsia="Times New Roman"/>
          <w:shd w:val="clear" w:color="auto" w:fill="FFFFFF"/>
          <w:lang w:val="es-MX"/>
        </w:rPr>
      </w:pPr>
      <w:r w:rsidRPr="007A0FC6">
        <w:rPr>
          <w:rFonts w:eastAsia="Times New Roman"/>
        </w:rPr>
        <w:t xml:space="preserve">López, G. A. (2020). Las ciudades medias industriales en España: caracterización geográfica, clasificación y tipologías. </w:t>
      </w:r>
      <w:r w:rsidRPr="007A0FC6">
        <w:rPr>
          <w:rFonts w:eastAsia="Times New Roman"/>
          <w:i/>
        </w:rPr>
        <w:t xml:space="preserve">Cuadernos </w:t>
      </w:r>
      <w:r w:rsidRPr="007A0FC6">
        <w:rPr>
          <w:i/>
        </w:rPr>
        <w:t>G</w:t>
      </w:r>
      <w:r w:rsidRPr="007A0FC6">
        <w:rPr>
          <w:rFonts w:eastAsia="Times New Roman"/>
          <w:i/>
        </w:rPr>
        <w:t>eográficos de la Universidad de Granada</w:t>
      </w:r>
      <w:r w:rsidRPr="007A0FC6">
        <w:rPr>
          <w:rFonts w:eastAsia="Times New Roman"/>
        </w:rPr>
        <w:t xml:space="preserve">, </w:t>
      </w:r>
      <w:r w:rsidRPr="007A0FC6">
        <w:rPr>
          <w:rFonts w:eastAsia="Times New Roman"/>
          <w:i/>
        </w:rPr>
        <w:t>59</w:t>
      </w:r>
      <w:r w:rsidRPr="007A0FC6">
        <w:rPr>
          <w:rFonts w:eastAsia="Times New Roman"/>
          <w:iCs/>
        </w:rPr>
        <w:t>(1)</w:t>
      </w:r>
      <w:r w:rsidRPr="007A0FC6">
        <w:rPr>
          <w:rFonts w:eastAsia="Times New Roman"/>
        </w:rPr>
        <w:t xml:space="preserve">, 99-125. </w:t>
      </w:r>
      <w:hyperlink r:id="rId37" w:history="1">
        <w:r w:rsidRPr="007A0FC6">
          <w:rPr>
            <w:rStyle w:val="Hipervnculo"/>
            <w:rFonts w:eastAsia="Times New Roman"/>
            <w:shd w:val="clear" w:color="auto" w:fill="FFFFFF"/>
            <w:lang w:val="es-MX"/>
          </w:rPr>
          <w:t>https://doi.org/10.30827/cuadgeo.v59i1.8225</w:t>
        </w:r>
      </w:hyperlink>
    </w:p>
    <w:p w14:paraId="44FE8021" w14:textId="7F54DEC6" w:rsidR="002A385E" w:rsidRPr="007A0FC6" w:rsidRDefault="002A385E" w:rsidP="001D36B9">
      <w:pPr>
        <w:spacing w:line="360" w:lineRule="auto"/>
        <w:ind w:left="709" w:hanging="709"/>
        <w:jc w:val="both"/>
        <w:rPr>
          <w:rFonts w:eastAsia="Times New Roman"/>
          <w:shd w:val="clear" w:color="auto" w:fill="FFFFFF"/>
          <w:lang w:val="es-MX"/>
        </w:rPr>
      </w:pPr>
      <w:r w:rsidRPr="007A0FC6">
        <w:rPr>
          <w:rFonts w:eastAsia="Times New Roman"/>
          <w:shd w:val="clear" w:color="auto" w:fill="FCFCFC"/>
        </w:rPr>
        <w:t xml:space="preserve">Martínez, M. D., </w:t>
      </w:r>
      <w:proofErr w:type="spellStart"/>
      <w:r w:rsidRPr="007A0FC6">
        <w:rPr>
          <w:rFonts w:eastAsia="Times New Roman"/>
          <w:shd w:val="clear" w:color="auto" w:fill="FCFCFC"/>
        </w:rPr>
        <w:t>Vivaldo</w:t>
      </w:r>
      <w:proofErr w:type="spellEnd"/>
      <w:r w:rsidRPr="007A0FC6">
        <w:rPr>
          <w:rFonts w:eastAsia="Times New Roman"/>
          <w:shd w:val="clear" w:color="auto" w:fill="FCFCFC"/>
        </w:rPr>
        <w:t>, L. J., Navarro, P. M. G., González, D. M. V</w:t>
      </w:r>
      <w:r w:rsidRPr="007A0FC6">
        <w:rPr>
          <w:shd w:val="clear" w:color="auto" w:fill="FCFCFC"/>
        </w:rPr>
        <w:t>. y</w:t>
      </w:r>
      <w:r w:rsidRPr="007A0FC6">
        <w:rPr>
          <w:rFonts w:eastAsia="Times New Roman"/>
          <w:shd w:val="clear" w:color="auto" w:fill="FCFCFC"/>
        </w:rPr>
        <w:t xml:space="preserve"> Jerónimo, M. J. A. (1998). Análisis </w:t>
      </w:r>
      <w:proofErr w:type="spellStart"/>
      <w:r w:rsidRPr="007A0FC6">
        <w:rPr>
          <w:rFonts w:eastAsia="Times New Roman"/>
          <w:shd w:val="clear" w:color="auto" w:fill="FCFCFC"/>
        </w:rPr>
        <w:t>Multirreferencial</w:t>
      </w:r>
      <w:proofErr w:type="spellEnd"/>
      <w:r w:rsidRPr="007A0FC6">
        <w:rPr>
          <w:rFonts w:eastAsia="Times New Roman"/>
          <w:shd w:val="clear" w:color="auto" w:fill="FCFCFC"/>
        </w:rPr>
        <w:t xml:space="preserve"> del fenómeno de la reprobación en estudiantes universitarios mexicanos. </w:t>
      </w:r>
      <w:r w:rsidRPr="007A0FC6">
        <w:rPr>
          <w:rFonts w:eastAsia="Times New Roman"/>
          <w:i/>
          <w:shd w:val="clear" w:color="auto" w:fill="FCFCFC"/>
        </w:rPr>
        <w:t xml:space="preserve">Psicología </w:t>
      </w:r>
      <w:r w:rsidRPr="007A0FC6">
        <w:rPr>
          <w:i/>
          <w:shd w:val="clear" w:color="auto" w:fill="FCFCFC"/>
        </w:rPr>
        <w:t>E</w:t>
      </w:r>
      <w:r w:rsidRPr="007A0FC6">
        <w:rPr>
          <w:rFonts w:eastAsia="Times New Roman"/>
          <w:i/>
          <w:shd w:val="clear" w:color="auto" w:fill="FCFCFC"/>
        </w:rPr>
        <w:t xml:space="preserve">scolar </w:t>
      </w:r>
      <w:r w:rsidRPr="007A0FC6">
        <w:rPr>
          <w:i/>
          <w:shd w:val="clear" w:color="auto" w:fill="FCFCFC"/>
        </w:rPr>
        <w:t>E</w:t>
      </w:r>
      <w:r w:rsidRPr="007A0FC6">
        <w:rPr>
          <w:rFonts w:eastAsia="Times New Roman"/>
          <w:i/>
          <w:shd w:val="clear" w:color="auto" w:fill="FCFCFC"/>
        </w:rPr>
        <w:t xml:space="preserve">ducacional, </w:t>
      </w:r>
      <w:r w:rsidRPr="007A0FC6">
        <w:rPr>
          <w:rFonts w:eastAsia="Times New Roman"/>
          <w:i/>
          <w:iCs/>
          <w:shd w:val="clear" w:color="auto" w:fill="FCFCFC"/>
        </w:rPr>
        <w:t>2</w:t>
      </w:r>
      <w:r w:rsidRPr="007A0FC6">
        <w:rPr>
          <w:rFonts w:eastAsia="Times New Roman"/>
          <w:shd w:val="clear" w:color="auto" w:fill="FCFCFC"/>
        </w:rPr>
        <w:t xml:space="preserve">(2), 161-174. </w:t>
      </w:r>
      <w:hyperlink r:id="rId38" w:history="1">
        <w:r w:rsidRPr="007A0FC6">
          <w:rPr>
            <w:rStyle w:val="Hipervnculo"/>
            <w:rFonts w:eastAsia="Times New Roman"/>
            <w:shd w:val="clear" w:color="auto" w:fill="FFFFFF"/>
            <w:lang w:val="es-MX"/>
          </w:rPr>
          <w:t>http://pepsic.bvsalud.org/pdf/pee/v2n2/v2n2a10.pdf</w:t>
        </w:r>
      </w:hyperlink>
    </w:p>
    <w:p w14:paraId="728639B1" w14:textId="77777777" w:rsidR="002A385E" w:rsidRPr="007A0FC6" w:rsidRDefault="002A385E" w:rsidP="001D36B9">
      <w:pPr>
        <w:spacing w:line="360" w:lineRule="auto"/>
        <w:ind w:left="709" w:hanging="709"/>
        <w:jc w:val="both"/>
      </w:pPr>
      <w:r w:rsidRPr="007A0FC6">
        <w:rPr>
          <w:rFonts w:eastAsia="Times New Roman"/>
          <w:shd w:val="clear" w:color="auto" w:fill="FCFCFC"/>
        </w:rPr>
        <w:t xml:space="preserve">Navarro, R. E. (2003). El rendimiento académico: concepto, investigación y desarrollo. </w:t>
      </w:r>
      <w:r w:rsidRPr="007A0FC6">
        <w:rPr>
          <w:rFonts w:eastAsia="Times New Roman"/>
          <w:i/>
          <w:iCs/>
          <w:shd w:val="clear" w:color="auto" w:fill="FCFCFC"/>
        </w:rPr>
        <w:t>REICE: Revista Electrónica Iberoamericana sobre Calidad, Eficacia y Cambio en Educación, 1</w:t>
      </w:r>
      <w:r w:rsidRPr="007A0FC6">
        <w:rPr>
          <w:rFonts w:eastAsia="Times New Roman"/>
          <w:shd w:val="clear" w:color="auto" w:fill="FCFCFC"/>
        </w:rPr>
        <w:t xml:space="preserve">(2), 1-15. </w:t>
      </w:r>
      <w:hyperlink r:id="rId39" w:history="1">
        <w:r w:rsidRPr="007A0FC6">
          <w:rPr>
            <w:rStyle w:val="Hipervnculo"/>
            <w:rFonts w:eastAsia="Times New Roman"/>
            <w:shd w:val="clear" w:color="auto" w:fill="FCFCFC"/>
            <w:lang w:val="en-US"/>
          </w:rPr>
          <w:t>https://www.redalyc.org/pdf/551/55110208.pdf</w:t>
        </w:r>
      </w:hyperlink>
    </w:p>
    <w:p w14:paraId="226034FD" w14:textId="77777777" w:rsidR="002A385E" w:rsidRPr="007A0FC6" w:rsidRDefault="002A385E" w:rsidP="001D36B9">
      <w:pPr>
        <w:spacing w:line="360" w:lineRule="auto"/>
        <w:ind w:left="709" w:hanging="709"/>
        <w:jc w:val="both"/>
        <w:rPr>
          <w:rFonts w:eastAsia="Times New Roman"/>
          <w:shd w:val="clear" w:color="auto" w:fill="FCFCFC"/>
          <w:lang w:val="en-US"/>
        </w:rPr>
      </w:pPr>
      <w:proofErr w:type="spellStart"/>
      <w:r w:rsidRPr="007A0FC6">
        <w:rPr>
          <w:rFonts w:eastAsia="Times New Roman"/>
          <w:shd w:val="clear" w:color="auto" w:fill="FCFCFC"/>
          <w:lang w:val="en-US"/>
        </w:rPr>
        <w:t>Neyt</w:t>
      </w:r>
      <w:proofErr w:type="spellEnd"/>
      <w:r w:rsidRPr="007A0FC6">
        <w:rPr>
          <w:rFonts w:eastAsia="Times New Roman"/>
          <w:shd w:val="clear" w:color="auto" w:fill="FCFCFC"/>
          <w:lang w:val="en-US"/>
        </w:rPr>
        <w:t xml:space="preserve">, B., Omey, E., </w:t>
      </w:r>
      <w:proofErr w:type="spellStart"/>
      <w:r w:rsidRPr="007A0FC6">
        <w:rPr>
          <w:rFonts w:eastAsia="Times New Roman"/>
          <w:shd w:val="clear" w:color="auto" w:fill="FCFCFC"/>
          <w:lang w:val="en-US"/>
        </w:rPr>
        <w:t>Verhaest</w:t>
      </w:r>
      <w:proofErr w:type="spellEnd"/>
      <w:r w:rsidRPr="007A0FC6">
        <w:rPr>
          <w:rFonts w:eastAsia="Times New Roman"/>
          <w:shd w:val="clear" w:color="auto" w:fill="FCFCFC"/>
          <w:lang w:val="en-US"/>
        </w:rPr>
        <w:t>, D</w:t>
      </w:r>
      <w:r w:rsidRPr="007A0FC6">
        <w:rPr>
          <w:shd w:val="clear" w:color="auto" w:fill="FCFCFC"/>
          <w:lang w:val="en-US"/>
        </w:rPr>
        <w:t>. y</w:t>
      </w:r>
      <w:r w:rsidRPr="007A0FC6">
        <w:rPr>
          <w:rFonts w:eastAsia="Times New Roman"/>
          <w:shd w:val="clear" w:color="auto" w:fill="FCFCFC"/>
          <w:lang w:val="en-US"/>
        </w:rPr>
        <w:t xml:space="preserve"> Baert, S. (2019). Does student work really affect educational outcomes? A review of the literature. </w:t>
      </w:r>
      <w:r w:rsidRPr="007A0FC6">
        <w:rPr>
          <w:rFonts w:eastAsia="Times New Roman"/>
          <w:i/>
          <w:shd w:val="clear" w:color="auto" w:fill="FCFCFC"/>
          <w:lang w:val="en-US"/>
        </w:rPr>
        <w:t>Journal of Economic Surveys,</w:t>
      </w:r>
      <w:r w:rsidRPr="007A0FC6">
        <w:rPr>
          <w:rFonts w:eastAsia="Times New Roman"/>
          <w:shd w:val="clear" w:color="auto" w:fill="FCFCFC"/>
          <w:lang w:val="en-US"/>
        </w:rPr>
        <w:t xml:space="preserve"> </w:t>
      </w:r>
      <w:r w:rsidRPr="007A0FC6">
        <w:rPr>
          <w:rFonts w:eastAsia="Times New Roman"/>
          <w:i/>
          <w:iCs/>
          <w:shd w:val="clear" w:color="auto" w:fill="FCFCFC"/>
          <w:lang w:val="en-US"/>
        </w:rPr>
        <w:t>33</w:t>
      </w:r>
      <w:r w:rsidRPr="007A0FC6">
        <w:rPr>
          <w:rFonts w:eastAsia="Times New Roman"/>
          <w:shd w:val="clear" w:color="auto" w:fill="FCFCFC"/>
          <w:lang w:val="en-US"/>
        </w:rPr>
        <w:t xml:space="preserve">(3), 896-921. </w:t>
      </w:r>
      <w:hyperlink r:id="rId40" w:history="1">
        <w:r w:rsidRPr="007A0FC6">
          <w:rPr>
            <w:rStyle w:val="Hipervnculo"/>
            <w:rFonts w:eastAsia="Times New Roman"/>
            <w:shd w:val="clear" w:color="auto" w:fill="FCFCFC"/>
            <w:lang w:val="en-US"/>
          </w:rPr>
          <w:t>https://onlinelibrary.wiley.com/doi/abs/10.1111/joes.12301</w:t>
        </w:r>
      </w:hyperlink>
    </w:p>
    <w:p w14:paraId="5FDD80C9" w14:textId="77777777" w:rsidR="002A385E" w:rsidRPr="007A0FC6" w:rsidRDefault="002A385E" w:rsidP="001D36B9">
      <w:pPr>
        <w:spacing w:line="360" w:lineRule="auto"/>
        <w:ind w:left="709" w:hanging="709"/>
        <w:jc w:val="both"/>
        <w:rPr>
          <w:rFonts w:eastAsia="Times New Roman"/>
          <w:shd w:val="clear" w:color="auto" w:fill="FCFCFC"/>
          <w:lang w:val="en-US"/>
        </w:rPr>
      </w:pPr>
      <w:r w:rsidRPr="007A0FC6">
        <w:rPr>
          <w:rFonts w:eastAsia="Times New Roman"/>
          <w:shd w:val="clear" w:color="auto" w:fill="FCFCFC"/>
          <w:lang w:val="en-US"/>
        </w:rPr>
        <w:t>Nonis, S</w:t>
      </w:r>
      <w:r w:rsidRPr="007A0FC6">
        <w:rPr>
          <w:shd w:val="clear" w:color="auto" w:fill="FCFCFC"/>
          <w:lang w:val="en-US"/>
        </w:rPr>
        <w:t>. y</w:t>
      </w:r>
      <w:r w:rsidRPr="007A0FC6">
        <w:rPr>
          <w:rFonts w:eastAsia="Times New Roman"/>
          <w:shd w:val="clear" w:color="auto" w:fill="FCFCFC"/>
          <w:lang w:val="en-US"/>
        </w:rPr>
        <w:t xml:space="preserve"> Hudson, G. (2006). Academic Performance of College Students: Influence of Time Spent Studying and Working. </w:t>
      </w:r>
      <w:r w:rsidRPr="007A0FC6">
        <w:rPr>
          <w:rFonts w:eastAsia="Times New Roman"/>
          <w:i/>
          <w:shd w:val="clear" w:color="auto" w:fill="FCFCFC"/>
          <w:lang w:val="en-US"/>
        </w:rPr>
        <w:t>Journal of Education for Business</w:t>
      </w:r>
      <w:r w:rsidRPr="007A0FC6">
        <w:rPr>
          <w:rFonts w:eastAsia="Times New Roman"/>
          <w:shd w:val="clear" w:color="auto" w:fill="FCFCFC"/>
          <w:lang w:val="en-US"/>
        </w:rPr>
        <w:t xml:space="preserve">, </w:t>
      </w:r>
      <w:r w:rsidRPr="007A0FC6">
        <w:rPr>
          <w:rFonts w:eastAsia="Times New Roman"/>
          <w:i/>
          <w:iCs/>
          <w:shd w:val="clear" w:color="auto" w:fill="FCFCFC"/>
          <w:lang w:val="en-US"/>
        </w:rPr>
        <w:t>81</w:t>
      </w:r>
      <w:r w:rsidRPr="007A0FC6">
        <w:rPr>
          <w:rFonts w:eastAsia="Times New Roman"/>
          <w:shd w:val="clear" w:color="auto" w:fill="FCFCFC"/>
          <w:lang w:val="en-US"/>
        </w:rPr>
        <w:t xml:space="preserve">(3), 151-159. </w:t>
      </w:r>
      <w:hyperlink r:id="rId41" w:history="1">
        <w:r w:rsidRPr="007A0FC6">
          <w:rPr>
            <w:rStyle w:val="Hipervnculo"/>
            <w:rFonts w:eastAsia="Times New Roman"/>
            <w:shd w:val="clear" w:color="auto" w:fill="FCFCFC"/>
            <w:lang w:val="en-US"/>
          </w:rPr>
          <w:t>https://www.tandfonline.com/doi/abs/10.3200/JOEB.81.3.151-159</w:t>
        </w:r>
      </w:hyperlink>
    </w:p>
    <w:p w14:paraId="4FA285AC" w14:textId="77777777" w:rsidR="002A385E" w:rsidRPr="007A0FC6" w:rsidRDefault="002A385E" w:rsidP="001D36B9">
      <w:pPr>
        <w:spacing w:line="360" w:lineRule="auto"/>
        <w:ind w:left="709" w:hanging="709"/>
        <w:jc w:val="both"/>
        <w:rPr>
          <w:rFonts w:eastAsia="Times New Roman"/>
          <w:lang w:val="es-MX"/>
        </w:rPr>
      </w:pPr>
      <w:r w:rsidRPr="007A0FC6">
        <w:rPr>
          <w:rFonts w:eastAsia="Times New Roman"/>
          <w:shd w:val="clear" w:color="auto" w:fill="FCFCFC"/>
        </w:rPr>
        <w:t>Pérez, C. M. A</w:t>
      </w:r>
      <w:r w:rsidRPr="007A0FC6">
        <w:rPr>
          <w:shd w:val="clear" w:color="auto" w:fill="FCFCFC"/>
        </w:rPr>
        <w:t>. y</w:t>
      </w:r>
      <w:r w:rsidRPr="007A0FC6">
        <w:rPr>
          <w:rFonts w:eastAsia="Times New Roman"/>
          <w:shd w:val="clear" w:color="auto" w:fill="FCFCFC"/>
        </w:rPr>
        <w:t xml:space="preserve"> Ramos, S. G. (2015). Preferencias de los y las estudiantes universitarias sobre el empleo desde una perspectiva de género. </w:t>
      </w:r>
      <w:r w:rsidRPr="007A0FC6">
        <w:rPr>
          <w:rFonts w:eastAsia="Times New Roman"/>
          <w:i/>
          <w:shd w:val="clear" w:color="auto" w:fill="FCFCFC"/>
        </w:rPr>
        <w:t>Revista Complutense de Educació</w:t>
      </w:r>
      <w:r w:rsidRPr="007A0FC6">
        <w:rPr>
          <w:rFonts w:eastAsia="Times New Roman"/>
          <w:shd w:val="clear" w:color="auto" w:fill="FCFCFC"/>
        </w:rPr>
        <w:t xml:space="preserve">n, </w:t>
      </w:r>
      <w:r w:rsidRPr="007A0FC6">
        <w:rPr>
          <w:rFonts w:eastAsia="Times New Roman"/>
          <w:i/>
          <w:iCs/>
          <w:shd w:val="clear" w:color="auto" w:fill="FCFCFC"/>
        </w:rPr>
        <w:t>26</w:t>
      </w:r>
      <w:r w:rsidRPr="007A0FC6">
        <w:rPr>
          <w:rFonts w:eastAsia="Times New Roman"/>
          <w:shd w:val="clear" w:color="auto" w:fill="FCFCFC"/>
        </w:rPr>
        <w:t>(3), 721-739.</w:t>
      </w:r>
      <w:hyperlink r:id="rId42"/>
      <w:hyperlink r:id="rId43" w:history="1">
        <w:r w:rsidRPr="007A0FC6">
          <w:rPr>
            <w:rFonts w:eastAsia="Times New Roman"/>
            <w:u w:val="single"/>
            <w:shd w:val="clear" w:color="auto" w:fill="FFFFFF"/>
            <w:lang w:val="es-MX"/>
          </w:rPr>
          <w:t>http://dx.doi.org/10.5209/rev_RCED.2015.v26.n3.44804</w:t>
        </w:r>
      </w:hyperlink>
    </w:p>
    <w:p w14:paraId="28EEEB7B" w14:textId="77777777" w:rsidR="002A385E" w:rsidRPr="007A0FC6" w:rsidRDefault="002A385E" w:rsidP="001D36B9">
      <w:pPr>
        <w:spacing w:line="360" w:lineRule="auto"/>
        <w:ind w:left="709" w:hanging="709"/>
        <w:jc w:val="both"/>
        <w:rPr>
          <w:rFonts w:eastAsia="Times New Roman"/>
          <w:u w:val="single"/>
          <w:shd w:val="clear" w:color="auto" w:fill="FCFCFC"/>
        </w:rPr>
      </w:pPr>
      <w:r w:rsidRPr="007A0FC6">
        <w:rPr>
          <w:rFonts w:eastAsia="Times New Roman"/>
          <w:shd w:val="clear" w:color="auto" w:fill="FCFCFC"/>
        </w:rPr>
        <w:t>Planas-Coll, J</w:t>
      </w:r>
      <w:r w:rsidRPr="007A0FC6">
        <w:rPr>
          <w:shd w:val="clear" w:color="auto" w:fill="FCFCFC"/>
        </w:rPr>
        <w:t>. y</w:t>
      </w:r>
      <w:r w:rsidRPr="007A0FC6">
        <w:rPr>
          <w:rFonts w:eastAsia="Times New Roman"/>
          <w:shd w:val="clear" w:color="auto" w:fill="FCFCFC"/>
        </w:rPr>
        <w:t xml:space="preserve"> Enciso-Ávila, M. I. (2013). Los estudiantes que trabajan: ¿tiene valor profesional el trabajo durante los estudios? </w:t>
      </w:r>
      <w:r w:rsidRPr="007A0FC6">
        <w:rPr>
          <w:rFonts w:eastAsia="Times New Roman"/>
          <w:i/>
          <w:shd w:val="clear" w:color="auto" w:fill="FCFCFC"/>
        </w:rPr>
        <w:t>Revista Iberoamericana de Educación Superior</w:t>
      </w:r>
      <w:r w:rsidRPr="007A0FC6">
        <w:rPr>
          <w:rFonts w:eastAsia="Times New Roman"/>
          <w:shd w:val="clear" w:color="auto" w:fill="FCFCFC"/>
        </w:rPr>
        <w:t xml:space="preserve">, </w:t>
      </w:r>
      <w:r w:rsidRPr="007A0FC6">
        <w:rPr>
          <w:rFonts w:eastAsia="Times New Roman"/>
          <w:i/>
          <w:iCs/>
          <w:shd w:val="clear" w:color="auto" w:fill="FCFCFC"/>
        </w:rPr>
        <w:t>5</w:t>
      </w:r>
      <w:r w:rsidRPr="007A0FC6">
        <w:rPr>
          <w:rFonts w:eastAsia="Times New Roman"/>
          <w:shd w:val="clear" w:color="auto" w:fill="FCFCFC"/>
        </w:rPr>
        <w:t xml:space="preserve">(12), 23-45. </w:t>
      </w:r>
      <w:hyperlink r:id="rId44" w:history="1">
        <w:r w:rsidRPr="007A0FC6">
          <w:rPr>
            <w:rFonts w:eastAsia="Times New Roman"/>
            <w:u w:val="single"/>
            <w:shd w:val="clear" w:color="auto" w:fill="FFFFFF"/>
            <w:lang w:val="es-MX"/>
          </w:rPr>
          <w:t>https://doi.org/10.1016/S2007-2872(14)71941-9</w:t>
        </w:r>
      </w:hyperlink>
    </w:p>
    <w:p w14:paraId="70CC98E9" w14:textId="77777777" w:rsidR="002A385E" w:rsidRPr="007A0FC6" w:rsidRDefault="002A385E" w:rsidP="001D36B9">
      <w:pPr>
        <w:spacing w:line="360" w:lineRule="auto"/>
        <w:ind w:left="709" w:hanging="709"/>
        <w:jc w:val="both"/>
        <w:rPr>
          <w:lang w:val="es-MX"/>
        </w:rPr>
      </w:pPr>
      <w:r w:rsidRPr="007A0FC6">
        <w:t xml:space="preserve">Porto, A. y Di </w:t>
      </w:r>
      <w:proofErr w:type="spellStart"/>
      <w:r w:rsidRPr="007A0FC6">
        <w:t>Gresia</w:t>
      </w:r>
      <w:proofErr w:type="spellEnd"/>
      <w:r w:rsidRPr="007A0FC6">
        <w:t xml:space="preserve">, L. M. (2001). Rendimiento de estudiantes universitarios y sus determinantes. </w:t>
      </w:r>
      <w:r w:rsidRPr="007A0FC6">
        <w:rPr>
          <w:i/>
          <w:lang w:val="es-MX"/>
        </w:rPr>
        <w:t>Revista de Economía y Estadística</w:t>
      </w:r>
      <w:r w:rsidRPr="007A0FC6">
        <w:rPr>
          <w:lang w:val="es-MX"/>
        </w:rPr>
        <w:t xml:space="preserve">, </w:t>
      </w:r>
      <w:r w:rsidRPr="007A0FC6">
        <w:rPr>
          <w:i/>
          <w:lang w:val="es-MX"/>
        </w:rPr>
        <w:t>42</w:t>
      </w:r>
      <w:r w:rsidRPr="007A0FC6">
        <w:rPr>
          <w:lang w:val="es-MX"/>
        </w:rPr>
        <w:t xml:space="preserve">(1), 93-113. </w:t>
      </w:r>
      <w:hyperlink r:id="rId45" w:history="1">
        <w:r w:rsidRPr="007A0FC6">
          <w:rPr>
            <w:rFonts w:eastAsia="Times New Roman"/>
            <w:u w:val="single"/>
            <w:shd w:val="clear" w:color="auto" w:fill="FFFFFF"/>
            <w:lang w:val="es-MX"/>
          </w:rPr>
          <w:t xml:space="preserve"> http://sedici.unlp.edu.ar/handle/10915/54674</w:t>
        </w:r>
      </w:hyperlink>
    </w:p>
    <w:p w14:paraId="74130A91" w14:textId="77777777" w:rsidR="002A385E" w:rsidRPr="007A0FC6" w:rsidRDefault="002A385E" w:rsidP="001D36B9">
      <w:pPr>
        <w:spacing w:line="360" w:lineRule="auto"/>
        <w:ind w:left="709" w:hanging="709"/>
        <w:jc w:val="both"/>
        <w:rPr>
          <w:rFonts w:eastAsia="Times New Roman"/>
        </w:rPr>
      </w:pPr>
      <w:proofErr w:type="spellStart"/>
      <w:r w:rsidRPr="007A0FC6">
        <w:rPr>
          <w:rFonts w:eastAsia="Times New Roman"/>
          <w:lang w:val="en-US"/>
        </w:rPr>
        <w:lastRenderedPageBreak/>
        <w:t>Quintini</w:t>
      </w:r>
      <w:proofErr w:type="spellEnd"/>
      <w:r w:rsidRPr="007A0FC6">
        <w:rPr>
          <w:rFonts w:eastAsia="Times New Roman"/>
          <w:lang w:val="en-US"/>
        </w:rPr>
        <w:t xml:space="preserve">, G. (2015), </w:t>
      </w:r>
      <w:r w:rsidRPr="007A0FC6">
        <w:rPr>
          <w:rFonts w:eastAsia="Times New Roman"/>
          <w:iCs/>
          <w:lang w:val="en-US"/>
        </w:rPr>
        <w:t>Working and learning: A diversity of patterns</w:t>
      </w:r>
      <w:r w:rsidRPr="007A0FC6">
        <w:rPr>
          <w:rFonts w:eastAsia="Times New Roman"/>
          <w:i/>
          <w:iCs/>
          <w:lang w:val="en-US"/>
        </w:rPr>
        <w:t>.</w:t>
      </w:r>
      <w:r w:rsidRPr="007A0FC6">
        <w:rPr>
          <w:rFonts w:eastAsia="Times New Roman"/>
          <w:lang w:val="en-US"/>
        </w:rPr>
        <w:t xml:space="preserve"> </w:t>
      </w:r>
      <w:r w:rsidRPr="007A0FC6">
        <w:rPr>
          <w:rFonts w:eastAsia="Times New Roman"/>
          <w:i/>
          <w:lang w:val="en-US"/>
        </w:rPr>
        <w:t>OECD Social, Employment and Migration Working Papers</w:t>
      </w:r>
      <w:r w:rsidRPr="007A0FC6">
        <w:rPr>
          <w:rFonts w:eastAsia="Times New Roman"/>
          <w:lang w:val="en-US"/>
        </w:rPr>
        <w:t xml:space="preserve">, </w:t>
      </w:r>
      <w:r w:rsidRPr="007A0FC6">
        <w:rPr>
          <w:rFonts w:eastAsia="Times New Roman"/>
          <w:i/>
        </w:rPr>
        <w:t>1</w:t>
      </w:r>
      <w:r w:rsidRPr="007A0FC6">
        <w:rPr>
          <w:rFonts w:eastAsia="Times New Roman"/>
          <w:i/>
          <w:lang w:val="en-US"/>
        </w:rPr>
        <w:t>69</w:t>
      </w:r>
      <w:r w:rsidRPr="007A0FC6">
        <w:rPr>
          <w:rFonts w:eastAsia="Times New Roman"/>
          <w:lang w:val="en-US"/>
        </w:rPr>
        <w:t>. Paris.</w:t>
      </w:r>
      <w:hyperlink r:id="rId46" w:history="1">
        <w:r w:rsidRPr="007A0FC6">
          <w:rPr>
            <w:rStyle w:val="Hipervnculo"/>
            <w:rFonts w:eastAsia="Times New Roman"/>
          </w:rPr>
          <w:t>https://doi.org/10.1787/5jrw4bz6hl43-en</w:t>
        </w:r>
      </w:hyperlink>
    </w:p>
    <w:p w14:paraId="19895A7C" w14:textId="77777777" w:rsidR="002A385E" w:rsidRPr="007A0FC6" w:rsidRDefault="002A385E" w:rsidP="001D36B9">
      <w:pPr>
        <w:spacing w:line="360" w:lineRule="auto"/>
        <w:ind w:left="709" w:hanging="709"/>
        <w:jc w:val="both"/>
      </w:pPr>
      <w:r w:rsidRPr="007A0FC6">
        <w:t xml:space="preserve">Ruesga, B. S. M., Da Silva, B. J. y Eduardo, M. S. (2014). Estudiantes universitarios, experiencia laboral y desempeño académico en España. </w:t>
      </w:r>
      <w:r w:rsidRPr="007A0FC6">
        <w:rPr>
          <w:i/>
        </w:rPr>
        <w:t>Revista de Educación,</w:t>
      </w:r>
      <w:r w:rsidRPr="007A0FC6">
        <w:t xml:space="preserve"> </w:t>
      </w:r>
      <w:r w:rsidRPr="007A0FC6">
        <w:rPr>
          <w:i/>
          <w:iCs/>
        </w:rPr>
        <w:t>365</w:t>
      </w:r>
      <w:r w:rsidRPr="007A0FC6">
        <w:t xml:space="preserve">, 67-95. </w:t>
      </w:r>
      <w:hyperlink r:id="rId47" w:history="1">
        <w:r w:rsidRPr="007A0FC6">
          <w:rPr>
            <w:rFonts w:eastAsia="Times New Roman"/>
            <w:u w:val="single"/>
            <w:shd w:val="clear" w:color="auto" w:fill="FFFFFF"/>
            <w:lang w:val="es-MX"/>
          </w:rPr>
          <w:t>http://www.scielo.org.mx/pdf/rmie/v12n34/1405-6666-rmie-12-34-1021.pdf</w:t>
        </w:r>
      </w:hyperlink>
    </w:p>
    <w:p w14:paraId="4560F9A0" w14:textId="77777777" w:rsidR="002A385E" w:rsidRPr="007A0FC6" w:rsidRDefault="002A385E" w:rsidP="001D36B9">
      <w:pPr>
        <w:spacing w:line="360" w:lineRule="auto"/>
        <w:ind w:left="709" w:hanging="709"/>
        <w:jc w:val="both"/>
      </w:pPr>
      <w:r w:rsidRPr="007A0FC6">
        <w:t xml:space="preserve">Universidad del Valle de México (2017). </w:t>
      </w:r>
      <w:r w:rsidRPr="007A0FC6">
        <w:rPr>
          <w:i/>
          <w:iCs/>
        </w:rPr>
        <w:t>Encuesta nacional de egresados (ENE) 2017</w:t>
      </w:r>
      <w:r w:rsidRPr="007A0FC6">
        <w:t xml:space="preserve">. </w:t>
      </w:r>
      <w:hyperlink r:id="rId48" w:history="1">
        <w:r w:rsidRPr="007A0FC6">
          <w:rPr>
            <w:rStyle w:val="Hipervnculo"/>
          </w:rPr>
          <w:t>http://profesionistas.org.mx/wp-content/uploads/2017/06/Encuesta-Nacional-de-Egresados.pdf</w:t>
        </w:r>
      </w:hyperlink>
    </w:p>
    <w:p w14:paraId="345539E8" w14:textId="77777777" w:rsidR="002A385E" w:rsidRPr="007A0FC6" w:rsidRDefault="002A385E" w:rsidP="001D36B9">
      <w:pPr>
        <w:spacing w:line="360" w:lineRule="auto"/>
        <w:ind w:left="709" w:hanging="709"/>
        <w:jc w:val="both"/>
      </w:pPr>
      <w:r w:rsidRPr="007A0FC6">
        <w:t xml:space="preserve">Universidad del Valle de México. (2021). </w:t>
      </w:r>
      <w:r w:rsidRPr="007A0FC6">
        <w:rPr>
          <w:i/>
          <w:iCs/>
        </w:rPr>
        <w:t>Encuesta nacional de egresados (ENE) 2021</w:t>
      </w:r>
      <w:r w:rsidRPr="007A0FC6">
        <w:t xml:space="preserve">. </w:t>
      </w:r>
      <w:hyperlink r:id="rId49" w:history="1">
        <w:r w:rsidRPr="007A0FC6">
          <w:rPr>
            <w:rStyle w:val="Hipervnculo"/>
          </w:rPr>
          <w:t>https://opinionpublica.uvm.mx/sites/default/files/reportes/UVM_Brochure_V30062021.pdf</w:t>
        </w:r>
      </w:hyperlink>
    </w:p>
    <w:p w14:paraId="449B3766" w14:textId="77777777" w:rsidR="002A385E" w:rsidRDefault="002A385E" w:rsidP="001D36B9">
      <w:pPr>
        <w:spacing w:line="360" w:lineRule="auto"/>
        <w:ind w:left="709" w:hanging="709"/>
        <w:jc w:val="both"/>
      </w:pPr>
      <w:r w:rsidRPr="007A0FC6">
        <w:rPr>
          <w:rFonts w:eastAsia="Times New Roman"/>
        </w:rPr>
        <w:t xml:space="preserve">Weller, J. (2003). </w:t>
      </w:r>
      <w:r w:rsidRPr="007A0FC6">
        <w:t xml:space="preserve">La problemática inserción laboral de los y las jóvenes. </w:t>
      </w:r>
      <w:proofErr w:type="spellStart"/>
      <w:r w:rsidRPr="007A0FC6">
        <w:rPr>
          <w:i/>
        </w:rPr>
        <w:t>United</w:t>
      </w:r>
      <w:proofErr w:type="spellEnd"/>
      <w:r w:rsidRPr="007A0FC6">
        <w:rPr>
          <w:i/>
        </w:rPr>
        <w:t xml:space="preserve"> </w:t>
      </w:r>
      <w:proofErr w:type="spellStart"/>
      <w:r w:rsidRPr="007A0FC6">
        <w:rPr>
          <w:i/>
        </w:rPr>
        <w:t>Nations</w:t>
      </w:r>
      <w:proofErr w:type="spellEnd"/>
      <w:r w:rsidRPr="007A0FC6">
        <w:rPr>
          <w:i/>
        </w:rPr>
        <w:t xml:space="preserve"> </w:t>
      </w:r>
      <w:proofErr w:type="spellStart"/>
      <w:r w:rsidRPr="007A0FC6">
        <w:rPr>
          <w:i/>
        </w:rPr>
        <w:t>Publications</w:t>
      </w:r>
      <w:proofErr w:type="spellEnd"/>
      <w:r w:rsidRPr="007A0FC6">
        <w:rPr>
          <w:i/>
        </w:rPr>
        <w:t>,</w:t>
      </w:r>
      <w:r w:rsidRPr="007A0FC6">
        <w:t xml:space="preserve"> </w:t>
      </w:r>
      <w:r w:rsidRPr="007A0FC6">
        <w:rPr>
          <w:i/>
        </w:rPr>
        <w:t>28</w:t>
      </w:r>
      <w:r w:rsidRPr="007A0FC6">
        <w:t xml:space="preserve">. </w:t>
      </w:r>
      <w:hyperlink r:id="rId50">
        <w:r w:rsidRPr="007A0FC6">
          <w:rPr>
            <w:rFonts w:eastAsia="Times New Roman"/>
          </w:rPr>
          <w:t>http://hdl.handle.net/11362/5391</w:t>
        </w:r>
      </w:hyperlink>
    </w:p>
    <w:p w14:paraId="5C6FE280" w14:textId="77777777" w:rsidR="002A385E" w:rsidRDefault="002A385E" w:rsidP="009103DD">
      <w:pPr>
        <w:jc w:val="center"/>
        <w:rPr>
          <w:b/>
          <w:bCs/>
          <w:sz w:val="32"/>
          <w:szCs w:val="32"/>
          <w:lang w:val="es-MX"/>
        </w:rPr>
      </w:pPr>
    </w:p>
    <w:p w14:paraId="376215D2" w14:textId="77777777" w:rsidR="00374363" w:rsidRDefault="00374363" w:rsidP="009103DD">
      <w:pPr>
        <w:jc w:val="center"/>
        <w:rPr>
          <w:b/>
          <w:bCs/>
          <w:sz w:val="32"/>
          <w:szCs w:val="32"/>
          <w:lang w:val="es-MX"/>
        </w:rPr>
      </w:pPr>
    </w:p>
    <w:p w14:paraId="1B5A3303" w14:textId="77777777" w:rsidR="00374363" w:rsidRDefault="00374363" w:rsidP="009103DD">
      <w:pPr>
        <w:jc w:val="center"/>
        <w:rPr>
          <w:b/>
          <w:bCs/>
          <w:sz w:val="32"/>
          <w:szCs w:val="32"/>
          <w:lang w:val="es-MX"/>
        </w:rPr>
      </w:pPr>
    </w:p>
    <w:p w14:paraId="7162B005" w14:textId="77777777" w:rsidR="00F56DB9" w:rsidRDefault="00F56DB9" w:rsidP="009103DD">
      <w:pPr>
        <w:jc w:val="center"/>
        <w:rPr>
          <w:b/>
          <w:bCs/>
          <w:sz w:val="32"/>
          <w:szCs w:val="32"/>
          <w:lang w:val="es-MX"/>
        </w:rPr>
      </w:pPr>
    </w:p>
    <w:p w14:paraId="2BE18299" w14:textId="77777777" w:rsidR="00F56DB9" w:rsidRDefault="00F56DB9" w:rsidP="009103DD">
      <w:pPr>
        <w:jc w:val="center"/>
        <w:rPr>
          <w:b/>
          <w:bCs/>
          <w:sz w:val="32"/>
          <w:szCs w:val="32"/>
          <w:lang w:val="es-MX"/>
        </w:rPr>
      </w:pPr>
    </w:p>
    <w:p w14:paraId="35DD5BD7" w14:textId="77777777" w:rsidR="00F56DB9" w:rsidRDefault="00F56DB9" w:rsidP="009103DD">
      <w:pPr>
        <w:jc w:val="center"/>
        <w:rPr>
          <w:b/>
          <w:bCs/>
          <w:sz w:val="32"/>
          <w:szCs w:val="32"/>
          <w:lang w:val="es-MX"/>
        </w:rPr>
      </w:pPr>
    </w:p>
    <w:p w14:paraId="42DEA5F4" w14:textId="77777777" w:rsidR="00F56DB9" w:rsidRDefault="00F56DB9" w:rsidP="009103DD">
      <w:pPr>
        <w:jc w:val="center"/>
        <w:rPr>
          <w:b/>
          <w:bCs/>
          <w:sz w:val="32"/>
          <w:szCs w:val="32"/>
          <w:lang w:val="es-MX"/>
        </w:rPr>
      </w:pPr>
    </w:p>
    <w:p w14:paraId="4E60C47E" w14:textId="77777777" w:rsidR="00F56DB9" w:rsidRDefault="00F56DB9" w:rsidP="009103DD">
      <w:pPr>
        <w:jc w:val="center"/>
        <w:rPr>
          <w:b/>
          <w:bCs/>
          <w:sz w:val="32"/>
          <w:szCs w:val="32"/>
          <w:lang w:val="es-MX"/>
        </w:rPr>
      </w:pPr>
    </w:p>
    <w:p w14:paraId="61ED2DC6" w14:textId="77777777" w:rsidR="00F56DB9" w:rsidRDefault="00F56DB9" w:rsidP="009103DD">
      <w:pPr>
        <w:jc w:val="center"/>
        <w:rPr>
          <w:b/>
          <w:bCs/>
          <w:sz w:val="32"/>
          <w:szCs w:val="32"/>
          <w:lang w:val="es-MX"/>
        </w:rPr>
      </w:pPr>
    </w:p>
    <w:p w14:paraId="5DE24E2A" w14:textId="77777777" w:rsidR="00F56DB9" w:rsidRDefault="00F56DB9" w:rsidP="009103DD">
      <w:pPr>
        <w:jc w:val="center"/>
        <w:rPr>
          <w:b/>
          <w:bCs/>
          <w:sz w:val="32"/>
          <w:szCs w:val="32"/>
          <w:lang w:val="es-MX"/>
        </w:rPr>
      </w:pPr>
    </w:p>
    <w:p w14:paraId="44218741" w14:textId="77777777" w:rsidR="00F56DB9" w:rsidRDefault="00F56DB9" w:rsidP="009103DD">
      <w:pPr>
        <w:jc w:val="center"/>
        <w:rPr>
          <w:b/>
          <w:bCs/>
          <w:sz w:val="32"/>
          <w:szCs w:val="32"/>
          <w:lang w:val="es-MX"/>
        </w:rPr>
      </w:pPr>
    </w:p>
    <w:p w14:paraId="45FCFF54" w14:textId="77777777" w:rsidR="00F56DB9" w:rsidRDefault="00F56DB9" w:rsidP="009103DD">
      <w:pPr>
        <w:jc w:val="center"/>
        <w:rPr>
          <w:b/>
          <w:bCs/>
          <w:sz w:val="32"/>
          <w:szCs w:val="32"/>
          <w:lang w:val="es-MX"/>
        </w:rPr>
      </w:pPr>
    </w:p>
    <w:p w14:paraId="36A01E94" w14:textId="77777777" w:rsidR="00F56DB9" w:rsidRDefault="00F56DB9" w:rsidP="009103DD">
      <w:pPr>
        <w:jc w:val="center"/>
        <w:rPr>
          <w:b/>
          <w:bCs/>
          <w:sz w:val="32"/>
          <w:szCs w:val="32"/>
          <w:lang w:val="es-MX"/>
        </w:rPr>
      </w:pPr>
    </w:p>
    <w:p w14:paraId="220ACFEB" w14:textId="77777777" w:rsidR="00F56DB9" w:rsidRDefault="00F56DB9" w:rsidP="009103DD">
      <w:pPr>
        <w:jc w:val="center"/>
        <w:rPr>
          <w:b/>
          <w:bCs/>
          <w:sz w:val="32"/>
          <w:szCs w:val="32"/>
          <w:lang w:val="es-MX"/>
        </w:rPr>
      </w:pPr>
    </w:p>
    <w:p w14:paraId="4260F44F" w14:textId="77777777" w:rsidR="00F56DB9" w:rsidRDefault="00F56DB9" w:rsidP="009103DD">
      <w:pPr>
        <w:jc w:val="center"/>
        <w:rPr>
          <w:b/>
          <w:bCs/>
          <w:sz w:val="32"/>
          <w:szCs w:val="32"/>
          <w:lang w:val="es-MX"/>
        </w:rPr>
      </w:pPr>
    </w:p>
    <w:p w14:paraId="5C1DFC90" w14:textId="77777777" w:rsidR="00F56DB9" w:rsidRDefault="00F56DB9" w:rsidP="009103DD">
      <w:pPr>
        <w:jc w:val="center"/>
        <w:rPr>
          <w:b/>
          <w:bCs/>
          <w:sz w:val="32"/>
          <w:szCs w:val="32"/>
          <w:lang w:val="es-MX"/>
        </w:rPr>
      </w:pPr>
    </w:p>
    <w:p w14:paraId="03EC03FC" w14:textId="77777777" w:rsidR="00374363" w:rsidRDefault="00374363" w:rsidP="009103DD">
      <w:pPr>
        <w:jc w:val="center"/>
        <w:rPr>
          <w:b/>
          <w:bCs/>
          <w:sz w:val="32"/>
          <w:szCs w:val="32"/>
          <w:lang w:val="es-MX"/>
        </w:rPr>
      </w:pPr>
    </w:p>
    <w:p w14:paraId="0B24BBC0" w14:textId="77777777" w:rsidR="00374363" w:rsidRDefault="00374363" w:rsidP="009103DD">
      <w:pPr>
        <w:jc w:val="center"/>
        <w:rPr>
          <w:b/>
          <w:bCs/>
          <w:sz w:val="32"/>
          <w:szCs w:val="32"/>
          <w:lang w:val="es-MX"/>
        </w:rPr>
      </w:pPr>
    </w:p>
    <w:p w14:paraId="03B78E1C" w14:textId="77777777" w:rsidR="00374363" w:rsidRDefault="00374363" w:rsidP="009103DD">
      <w:pPr>
        <w:jc w:val="center"/>
        <w:rPr>
          <w:b/>
          <w:bCs/>
          <w:sz w:val="32"/>
          <w:szCs w:val="32"/>
          <w:lang w:val="es-MX"/>
        </w:rPr>
      </w:pPr>
    </w:p>
    <w:p w14:paraId="0D573DA7" w14:textId="77777777" w:rsidR="00F56DB9" w:rsidRDefault="00F56DB9" w:rsidP="009103DD">
      <w:pPr>
        <w:jc w:val="center"/>
        <w:rPr>
          <w:b/>
          <w:bCs/>
          <w:sz w:val="32"/>
          <w:szCs w:val="32"/>
          <w:lang w:val="es-MX"/>
        </w:rPr>
      </w:pPr>
    </w:p>
    <w:p w14:paraId="78BF3385" w14:textId="77777777" w:rsidR="00F56DB9" w:rsidRDefault="00F56DB9" w:rsidP="009103DD">
      <w:pPr>
        <w:jc w:val="center"/>
        <w:rPr>
          <w:b/>
          <w:bCs/>
          <w:sz w:val="32"/>
          <w:szCs w:val="32"/>
          <w:lang w:val="es-MX"/>
        </w:rPr>
      </w:pPr>
    </w:p>
    <w:p w14:paraId="5CB8867E" w14:textId="77777777" w:rsidR="00F56DB9" w:rsidRDefault="00F56DB9" w:rsidP="009103DD">
      <w:pPr>
        <w:jc w:val="center"/>
        <w:rPr>
          <w:b/>
          <w:bCs/>
          <w:sz w:val="32"/>
          <w:szCs w:val="32"/>
          <w:lang w:val="es-MX"/>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74363" w:rsidRPr="00374363" w14:paraId="79B83547" w14:textId="77777777" w:rsidTr="00A87943">
        <w:tc>
          <w:tcPr>
            <w:tcW w:w="3045" w:type="dxa"/>
            <w:shd w:val="clear" w:color="auto" w:fill="auto"/>
            <w:tcMar>
              <w:top w:w="100" w:type="dxa"/>
              <w:left w:w="100" w:type="dxa"/>
              <w:bottom w:w="100" w:type="dxa"/>
              <w:right w:w="100" w:type="dxa"/>
            </w:tcMar>
          </w:tcPr>
          <w:p w14:paraId="1FB0DB50" w14:textId="77777777" w:rsidR="00374363" w:rsidRPr="00374363" w:rsidRDefault="00374363" w:rsidP="00A87943">
            <w:pPr>
              <w:pStyle w:val="Ttulo3"/>
              <w:widowControl w:val="0"/>
              <w:spacing w:before="0" w:line="240" w:lineRule="auto"/>
              <w:ind w:left="0"/>
              <w:rPr>
                <w:rFonts w:ascii="Times New Roman" w:hAnsi="Times New Roman" w:cs="Times New Roman"/>
                <w:b w:val="0"/>
                <w:bCs/>
                <w:color w:val="000000" w:themeColor="text1"/>
                <w:lang w:val="es-MX"/>
              </w:rPr>
            </w:pPr>
            <w:r w:rsidRPr="00374363">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5EDA59E9" w14:textId="400E96A7" w:rsidR="00374363" w:rsidRPr="00374363" w:rsidRDefault="00374363" w:rsidP="00A87943">
            <w:pPr>
              <w:pStyle w:val="Ttulo3"/>
              <w:widowControl w:val="0"/>
              <w:spacing w:before="0" w:line="240" w:lineRule="auto"/>
              <w:ind w:left="0"/>
              <w:rPr>
                <w:rFonts w:ascii="Times New Roman" w:hAnsi="Times New Roman" w:cs="Times New Roman"/>
                <w:b w:val="0"/>
                <w:bCs/>
                <w:color w:val="000000" w:themeColor="text1"/>
                <w:lang w:val="es-MX"/>
              </w:rPr>
            </w:pPr>
            <w:bookmarkStart w:id="4" w:name="_btsjgdfgjwkr" w:colFirst="0" w:colLast="0"/>
            <w:bookmarkEnd w:id="4"/>
            <w:r w:rsidRPr="00374363">
              <w:rPr>
                <w:rFonts w:ascii="Times New Roman" w:hAnsi="Times New Roman" w:cs="Times New Roman"/>
                <w:b w:val="0"/>
                <w:bCs/>
                <w:color w:val="000000" w:themeColor="text1"/>
                <w:lang w:val="es-MX"/>
              </w:rPr>
              <w:t>Autor (es)</w:t>
            </w:r>
          </w:p>
        </w:tc>
      </w:tr>
      <w:tr w:rsidR="00374363" w:rsidRPr="00374363" w14:paraId="237DB61F" w14:textId="77777777" w:rsidTr="00A87943">
        <w:tc>
          <w:tcPr>
            <w:tcW w:w="3045" w:type="dxa"/>
            <w:shd w:val="clear" w:color="auto" w:fill="auto"/>
            <w:tcMar>
              <w:top w:w="100" w:type="dxa"/>
              <w:left w:w="100" w:type="dxa"/>
              <w:bottom w:w="100" w:type="dxa"/>
              <w:right w:w="100" w:type="dxa"/>
            </w:tcMar>
          </w:tcPr>
          <w:p w14:paraId="2AE0EBBE" w14:textId="77777777" w:rsidR="00374363" w:rsidRPr="00374363" w:rsidRDefault="00374363" w:rsidP="00A87943">
            <w:pPr>
              <w:widowControl w:val="0"/>
              <w:rPr>
                <w:bCs/>
                <w:color w:val="000000" w:themeColor="text1"/>
                <w:lang w:val="es-MX"/>
              </w:rPr>
            </w:pPr>
            <w:r w:rsidRPr="00374363">
              <w:rPr>
                <w:bCs/>
                <w:color w:val="000000" w:themeColor="text1"/>
                <w:lang w:val="es-MX"/>
              </w:rPr>
              <w:t>Conceptualización</w:t>
            </w:r>
          </w:p>
        </w:tc>
        <w:tc>
          <w:tcPr>
            <w:tcW w:w="6315" w:type="dxa"/>
            <w:shd w:val="clear" w:color="auto" w:fill="auto"/>
            <w:tcMar>
              <w:top w:w="100" w:type="dxa"/>
              <w:left w:w="100" w:type="dxa"/>
              <w:bottom w:w="100" w:type="dxa"/>
              <w:right w:w="100" w:type="dxa"/>
            </w:tcMar>
          </w:tcPr>
          <w:p w14:paraId="11C090BF" w14:textId="77777777" w:rsidR="00374363" w:rsidRPr="00374363" w:rsidRDefault="00374363" w:rsidP="00A87943">
            <w:pPr>
              <w:widowControl w:val="0"/>
              <w:rPr>
                <w:bCs/>
                <w:color w:val="000000" w:themeColor="text1"/>
                <w:lang w:val="es-MX"/>
              </w:rPr>
            </w:pPr>
            <w:r w:rsidRPr="00374363">
              <w:rPr>
                <w:bCs/>
                <w:color w:val="000000" w:themeColor="text1"/>
                <w:lang w:val="es-MX"/>
              </w:rPr>
              <w:t xml:space="preserve">Carlos Miguel Amador </w:t>
            </w:r>
            <w:proofErr w:type="spellStart"/>
            <w:r w:rsidRPr="00374363">
              <w:rPr>
                <w:bCs/>
                <w:color w:val="000000" w:themeColor="text1"/>
                <w:lang w:val="es-MX"/>
              </w:rPr>
              <w:t>Ortíz</w:t>
            </w:r>
            <w:proofErr w:type="spellEnd"/>
          </w:p>
        </w:tc>
      </w:tr>
      <w:tr w:rsidR="00374363" w:rsidRPr="00374363" w14:paraId="16A19608" w14:textId="77777777" w:rsidTr="00A87943">
        <w:tc>
          <w:tcPr>
            <w:tcW w:w="3045" w:type="dxa"/>
            <w:shd w:val="clear" w:color="auto" w:fill="auto"/>
            <w:tcMar>
              <w:top w:w="100" w:type="dxa"/>
              <w:left w:w="100" w:type="dxa"/>
              <w:bottom w:w="100" w:type="dxa"/>
              <w:right w:w="100" w:type="dxa"/>
            </w:tcMar>
          </w:tcPr>
          <w:p w14:paraId="28C088B9" w14:textId="77777777" w:rsidR="00374363" w:rsidRPr="00374363" w:rsidRDefault="00374363" w:rsidP="00A87943">
            <w:pPr>
              <w:widowControl w:val="0"/>
              <w:rPr>
                <w:bCs/>
                <w:color w:val="000000" w:themeColor="text1"/>
                <w:lang w:val="es-MX"/>
              </w:rPr>
            </w:pPr>
            <w:r w:rsidRPr="00374363">
              <w:rPr>
                <w:bCs/>
                <w:color w:val="000000" w:themeColor="text1"/>
                <w:lang w:val="es-MX"/>
              </w:rPr>
              <w:t>Metodología</w:t>
            </w:r>
          </w:p>
        </w:tc>
        <w:tc>
          <w:tcPr>
            <w:tcW w:w="6315" w:type="dxa"/>
            <w:shd w:val="clear" w:color="auto" w:fill="auto"/>
            <w:tcMar>
              <w:top w:w="100" w:type="dxa"/>
              <w:left w:w="100" w:type="dxa"/>
              <w:bottom w:w="100" w:type="dxa"/>
              <w:right w:w="100" w:type="dxa"/>
            </w:tcMar>
          </w:tcPr>
          <w:p w14:paraId="7D49E34A" w14:textId="77777777" w:rsidR="00374363" w:rsidRPr="00374363" w:rsidRDefault="00374363" w:rsidP="00A87943">
            <w:pPr>
              <w:widowControl w:val="0"/>
              <w:rPr>
                <w:bCs/>
                <w:color w:val="000000" w:themeColor="text1"/>
                <w:lang w:val="es-MX"/>
              </w:rPr>
            </w:pPr>
            <w:r w:rsidRPr="00374363">
              <w:rPr>
                <w:bCs/>
                <w:color w:val="000000" w:themeColor="text1"/>
                <w:lang w:val="es-MX"/>
              </w:rPr>
              <w:t xml:space="preserve">Álvaro Sánchez Navarrete </w:t>
            </w:r>
          </w:p>
        </w:tc>
      </w:tr>
      <w:tr w:rsidR="00374363" w:rsidRPr="00374363" w14:paraId="6E57D169" w14:textId="77777777" w:rsidTr="00A87943">
        <w:tc>
          <w:tcPr>
            <w:tcW w:w="3045" w:type="dxa"/>
            <w:shd w:val="clear" w:color="auto" w:fill="auto"/>
            <w:tcMar>
              <w:top w:w="100" w:type="dxa"/>
              <w:left w:w="100" w:type="dxa"/>
              <w:bottom w:w="100" w:type="dxa"/>
              <w:right w:w="100" w:type="dxa"/>
            </w:tcMar>
          </w:tcPr>
          <w:p w14:paraId="50056608" w14:textId="77777777" w:rsidR="00374363" w:rsidRPr="00374363" w:rsidRDefault="00374363" w:rsidP="00A87943">
            <w:pPr>
              <w:widowControl w:val="0"/>
              <w:rPr>
                <w:bCs/>
                <w:color w:val="000000" w:themeColor="text1"/>
                <w:lang w:val="es-MX"/>
              </w:rPr>
            </w:pPr>
            <w:r w:rsidRPr="00374363">
              <w:rPr>
                <w:bCs/>
                <w:color w:val="000000" w:themeColor="text1"/>
                <w:lang w:val="es-MX"/>
              </w:rPr>
              <w:t>Software</w:t>
            </w:r>
          </w:p>
        </w:tc>
        <w:tc>
          <w:tcPr>
            <w:tcW w:w="6315" w:type="dxa"/>
            <w:shd w:val="clear" w:color="auto" w:fill="auto"/>
            <w:tcMar>
              <w:top w:w="100" w:type="dxa"/>
              <w:left w:w="100" w:type="dxa"/>
              <w:bottom w:w="100" w:type="dxa"/>
              <w:right w:w="100" w:type="dxa"/>
            </w:tcMar>
          </w:tcPr>
          <w:p w14:paraId="7A28126D" w14:textId="77777777" w:rsidR="00374363" w:rsidRPr="00374363" w:rsidRDefault="00374363" w:rsidP="00A87943">
            <w:pPr>
              <w:widowControl w:val="0"/>
              <w:rPr>
                <w:bCs/>
                <w:color w:val="000000" w:themeColor="text1"/>
                <w:lang w:val="es-MX"/>
              </w:rPr>
            </w:pPr>
            <w:r w:rsidRPr="00374363">
              <w:rPr>
                <w:bCs/>
                <w:color w:val="000000" w:themeColor="text1"/>
                <w:lang w:val="es-MX"/>
              </w:rPr>
              <w:t>No aplica</w:t>
            </w:r>
          </w:p>
        </w:tc>
      </w:tr>
      <w:tr w:rsidR="00374363" w:rsidRPr="00374363" w14:paraId="2BC0E570" w14:textId="77777777" w:rsidTr="00A87943">
        <w:tc>
          <w:tcPr>
            <w:tcW w:w="3045" w:type="dxa"/>
            <w:shd w:val="clear" w:color="auto" w:fill="auto"/>
            <w:tcMar>
              <w:top w:w="100" w:type="dxa"/>
              <w:left w:w="100" w:type="dxa"/>
              <w:bottom w:w="100" w:type="dxa"/>
              <w:right w:w="100" w:type="dxa"/>
            </w:tcMar>
          </w:tcPr>
          <w:p w14:paraId="3A09A60D" w14:textId="77777777" w:rsidR="00374363" w:rsidRPr="00374363" w:rsidRDefault="00374363" w:rsidP="00A87943">
            <w:pPr>
              <w:widowControl w:val="0"/>
              <w:rPr>
                <w:bCs/>
                <w:color w:val="000000" w:themeColor="text1"/>
                <w:lang w:val="es-MX"/>
              </w:rPr>
            </w:pPr>
            <w:r w:rsidRPr="00374363">
              <w:rPr>
                <w:bCs/>
                <w:color w:val="000000" w:themeColor="text1"/>
                <w:lang w:val="es-MX"/>
              </w:rPr>
              <w:t>Validación</w:t>
            </w:r>
          </w:p>
        </w:tc>
        <w:tc>
          <w:tcPr>
            <w:tcW w:w="6315" w:type="dxa"/>
            <w:shd w:val="clear" w:color="auto" w:fill="auto"/>
            <w:tcMar>
              <w:top w:w="100" w:type="dxa"/>
              <w:left w:w="100" w:type="dxa"/>
              <w:bottom w:w="100" w:type="dxa"/>
              <w:right w:w="100" w:type="dxa"/>
            </w:tcMar>
          </w:tcPr>
          <w:p w14:paraId="1F3412C5" w14:textId="77777777" w:rsidR="00374363" w:rsidRPr="00374363" w:rsidRDefault="00374363" w:rsidP="00A87943">
            <w:pPr>
              <w:widowControl w:val="0"/>
              <w:rPr>
                <w:bCs/>
                <w:color w:val="000000" w:themeColor="text1"/>
                <w:lang w:val="es-MX"/>
              </w:rPr>
            </w:pPr>
            <w:r w:rsidRPr="00374363">
              <w:rPr>
                <w:bCs/>
                <w:color w:val="000000" w:themeColor="text1"/>
                <w:lang w:val="es-MX"/>
              </w:rPr>
              <w:t xml:space="preserve">María Luisa Torres </w:t>
            </w:r>
            <w:proofErr w:type="spellStart"/>
            <w:r w:rsidRPr="00374363">
              <w:rPr>
                <w:bCs/>
                <w:color w:val="000000" w:themeColor="text1"/>
                <w:lang w:val="es-MX"/>
              </w:rPr>
              <w:t>Isiordia</w:t>
            </w:r>
            <w:proofErr w:type="spellEnd"/>
          </w:p>
        </w:tc>
      </w:tr>
      <w:tr w:rsidR="00374363" w:rsidRPr="00374363" w14:paraId="79366FE2" w14:textId="77777777" w:rsidTr="00A87943">
        <w:tc>
          <w:tcPr>
            <w:tcW w:w="3045" w:type="dxa"/>
            <w:shd w:val="clear" w:color="auto" w:fill="auto"/>
            <w:tcMar>
              <w:top w:w="100" w:type="dxa"/>
              <w:left w:w="100" w:type="dxa"/>
              <w:bottom w:w="100" w:type="dxa"/>
              <w:right w:w="100" w:type="dxa"/>
            </w:tcMar>
          </w:tcPr>
          <w:p w14:paraId="222EB34F" w14:textId="77777777" w:rsidR="00374363" w:rsidRPr="00374363" w:rsidRDefault="00374363" w:rsidP="00A87943">
            <w:pPr>
              <w:widowControl w:val="0"/>
              <w:rPr>
                <w:bCs/>
                <w:color w:val="000000" w:themeColor="text1"/>
                <w:lang w:val="es-MX"/>
              </w:rPr>
            </w:pPr>
            <w:r w:rsidRPr="00374363">
              <w:rPr>
                <w:bCs/>
                <w:color w:val="000000" w:themeColor="text1"/>
                <w:lang w:val="es-MX"/>
              </w:rPr>
              <w:t>Análisis Formal</w:t>
            </w:r>
          </w:p>
        </w:tc>
        <w:tc>
          <w:tcPr>
            <w:tcW w:w="6315" w:type="dxa"/>
            <w:shd w:val="clear" w:color="auto" w:fill="auto"/>
            <w:tcMar>
              <w:top w:w="100" w:type="dxa"/>
              <w:left w:w="100" w:type="dxa"/>
              <w:bottom w:w="100" w:type="dxa"/>
              <w:right w:w="100" w:type="dxa"/>
            </w:tcMar>
          </w:tcPr>
          <w:p w14:paraId="74A1AB52" w14:textId="77777777" w:rsidR="00374363" w:rsidRPr="00374363" w:rsidRDefault="00374363" w:rsidP="00A87943">
            <w:pPr>
              <w:widowControl w:val="0"/>
              <w:rPr>
                <w:bCs/>
                <w:color w:val="000000" w:themeColor="text1"/>
                <w:lang w:val="es-MX"/>
              </w:rPr>
            </w:pPr>
            <w:r w:rsidRPr="00374363">
              <w:rPr>
                <w:bCs/>
                <w:color w:val="000000" w:themeColor="text1"/>
                <w:lang w:val="es-MX"/>
              </w:rPr>
              <w:t>Jorge Rodríguez Palomera</w:t>
            </w:r>
          </w:p>
        </w:tc>
      </w:tr>
      <w:tr w:rsidR="00374363" w:rsidRPr="00374363" w14:paraId="4553D4FA" w14:textId="77777777" w:rsidTr="00A87943">
        <w:tc>
          <w:tcPr>
            <w:tcW w:w="3045" w:type="dxa"/>
            <w:shd w:val="clear" w:color="auto" w:fill="auto"/>
            <w:tcMar>
              <w:top w:w="100" w:type="dxa"/>
              <w:left w:w="100" w:type="dxa"/>
              <w:bottom w:w="100" w:type="dxa"/>
              <w:right w:w="100" w:type="dxa"/>
            </w:tcMar>
          </w:tcPr>
          <w:p w14:paraId="386F1E1F" w14:textId="77777777" w:rsidR="00374363" w:rsidRPr="00374363" w:rsidRDefault="00374363" w:rsidP="00A87943">
            <w:pPr>
              <w:widowControl w:val="0"/>
              <w:rPr>
                <w:bCs/>
                <w:color w:val="000000" w:themeColor="text1"/>
                <w:lang w:val="es-MX"/>
              </w:rPr>
            </w:pPr>
            <w:r w:rsidRPr="00374363">
              <w:rPr>
                <w:bCs/>
                <w:color w:val="000000" w:themeColor="text1"/>
                <w:lang w:val="es-MX"/>
              </w:rPr>
              <w:t>Investigación</w:t>
            </w:r>
          </w:p>
        </w:tc>
        <w:tc>
          <w:tcPr>
            <w:tcW w:w="6315" w:type="dxa"/>
            <w:shd w:val="clear" w:color="auto" w:fill="auto"/>
            <w:tcMar>
              <w:top w:w="100" w:type="dxa"/>
              <w:left w:w="100" w:type="dxa"/>
              <w:bottom w:w="100" w:type="dxa"/>
              <w:right w:w="100" w:type="dxa"/>
            </w:tcMar>
          </w:tcPr>
          <w:p w14:paraId="19E37031" w14:textId="77777777" w:rsidR="00374363" w:rsidRPr="00374363" w:rsidRDefault="00374363" w:rsidP="00A87943">
            <w:pPr>
              <w:widowControl w:val="0"/>
              <w:rPr>
                <w:bCs/>
                <w:color w:val="000000" w:themeColor="text1"/>
                <w:lang w:val="es-MX"/>
              </w:rPr>
            </w:pPr>
            <w:r w:rsidRPr="00374363">
              <w:rPr>
                <w:bCs/>
                <w:color w:val="000000" w:themeColor="text1"/>
                <w:lang w:val="es-MX"/>
              </w:rPr>
              <w:t xml:space="preserve">María Luisa Torres </w:t>
            </w:r>
            <w:proofErr w:type="spellStart"/>
            <w:r w:rsidRPr="00374363">
              <w:rPr>
                <w:bCs/>
                <w:color w:val="000000" w:themeColor="text1"/>
                <w:lang w:val="es-MX"/>
              </w:rPr>
              <w:t>Isiordia</w:t>
            </w:r>
            <w:proofErr w:type="spellEnd"/>
          </w:p>
        </w:tc>
      </w:tr>
      <w:tr w:rsidR="00374363" w:rsidRPr="00374363" w14:paraId="35E3D189" w14:textId="77777777" w:rsidTr="00A87943">
        <w:tc>
          <w:tcPr>
            <w:tcW w:w="3045" w:type="dxa"/>
            <w:shd w:val="clear" w:color="auto" w:fill="auto"/>
            <w:tcMar>
              <w:top w:w="100" w:type="dxa"/>
              <w:left w:w="100" w:type="dxa"/>
              <w:bottom w:w="100" w:type="dxa"/>
              <w:right w:w="100" w:type="dxa"/>
            </w:tcMar>
          </w:tcPr>
          <w:p w14:paraId="3C1E581B" w14:textId="77777777" w:rsidR="00374363" w:rsidRPr="00374363" w:rsidRDefault="00374363" w:rsidP="00A87943">
            <w:pPr>
              <w:widowControl w:val="0"/>
              <w:rPr>
                <w:bCs/>
                <w:color w:val="000000" w:themeColor="text1"/>
                <w:lang w:val="es-MX"/>
              </w:rPr>
            </w:pPr>
            <w:r w:rsidRPr="00374363">
              <w:rPr>
                <w:bCs/>
                <w:color w:val="000000" w:themeColor="text1"/>
                <w:lang w:val="es-MX"/>
              </w:rPr>
              <w:t>Recursos</w:t>
            </w:r>
          </w:p>
        </w:tc>
        <w:tc>
          <w:tcPr>
            <w:tcW w:w="6315" w:type="dxa"/>
            <w:shd w:val="clear" w:color="auto" w:fill="auto"/>
            <w:tcMar>
              <w:top w:w="100" w:type="dxa"/>
              <w:left w:w="100" w:type="dxa"/>
              <w:bottom w:w="100" w:type="dxa"/>
              <w:right w:w="100" w:type="dxa"/>
            </w:tcMar>
          </w:tcPr>
          <w:p w14:paraId="7326E31D" w14:textId="77777777" w:rsidR="00374363" w:rsidRPr="00374363" w:rsidRDefault="00374363" w:rsidP="00A87943">
            <w:pPr>
              <w:widowControl w:val="0"/>
              <w:rPr>
                <w:bCs/>
                <w:color w:val="000000" w:themeColor="text1"/>
                <w:lang w:val="es-MX"/>
              </w:rPr>
            </w:pPr>
            <w:r w:rsidRPr="00374363">
              <w:rPr>
                <w:bCs/>
                <w:color w:val="000000" w:themeColor="text1"/>
                <w:lang w:val="es-MX"/>
              </w:rPr>
              <w:t>Leticia Velarde Peña</w:t>
            </w:r>
          </w:p>
        </w:tc>
      </w:tr>
      <w:tr w:rsidR="00374363" w:rsidRPr="00374363" w14:paraId="3020E133" w14:textId="77777777" w:rsidTr="00A87943">
        <w:tc>
          <w:tcPr>
            <w:tcW w:w="3045" w:type="dxa"/>
            <w:shd w:val="clear" w:color="auto" w:fill="auto"/>
            <w:tcMar>
              <w:top w:w="100" w:type="dxa"/>
              <w:left w:w="100" w:type="dxa"/>
              <w:bottom w:w="100" w:type="dxa"/>
              <w:right w:w="100" w:type="dxa"/>
            </w:tcMar>
          </w:tcPr>
          <w:p w14:paraId="7FEA544D" w14:textId="77777777" w:rsidR="00374363" w:rsidRPr="00374363" w:rsidRDefault="00374363" w:rsidP="00A87943">
            <w:pPr>
              <w:widowControl w:val="0"/>
              <w:rPr>
                <w:bCs/>
                <w:color w:val="000000" w:themeColor="text1"/>
                <w:lang w:val="es-MX"/>
              </w:rPr>
            </w:pPr>
            <w:r w:rsidRPr="00374363">
              <w:rPr>
                <w:bCs/>
                <w:color w:val="000000" w:themeColor="text1"/>
                <w:lang w:val="es-MX"/>
              </w:rPr>
              <w:t>Curación de datos</w:t>
            </w:r>
          </w:p>
        </w:tc>
        <w:tc>
          <w:tcPr>
            <w:tcW w:w="6315" w:type="dxa"/>
            <w:shd w:val="clear" w:color="auto" w:fill="auto"/>
            <w:tcMar>
              <w:top w:w="100" w:type="dxa"/>
              <w:left w:w="100" w:type="dxa"/>
              <w:bottom w:w="100" w:type="dxa"/>
              <w:right w:w="100" w:type="dxa"/>
            </w:tcMar>
          </w:tcPr>
          <w:p w14:paraId="5BB0FE83" w14:textId="77777777" w:rsidR="00374363" w:rsidRPr="00374363" w:rsidRDefault="00374363" w:rsidP="00A87943">
            <w:pPr>
              <w:widowControl w:val="0"/>
              <w:rPr>
                <w:bCs/>
                <w:color w:val="000000" w:themeColor="text1"/>
                <w:lang w:val="es-MX"/>
              </w:rPr>
            </w:pPr>
            <w:r w:rsidRPr="00374363">
              <w:rPr>
                <w:bCs/>
                <w:color w:val="000000" w:themeColor="text1"/>
                <w:lang w:val="es-MX"/>
              </w:rPr>
              <w:t>Álvaro Sánchez Navarrete</w:t>
            </w:r>
          </w:p>
        </w:tc>
      </w:tr>
      <w:tr w:rsidR="00374363" w:rsidRPr="00374363" w14:paraId="15E83C32" w14:textId="77777777" w:rsidTr="00A87943">
        <w:tc>
          <w:tcPr>
            <w:tcW w:w="3045" w:type="dxa"/>
            <w:shd w:val="clear" w:color="auto" w:fill="auto"/>
            <w:tcMar>
              <w:top w:w="100" w:type="dxa"/>
              <w:left w:w="100" w:type="dxa"/>
              <w:bottom w:w="100" w:type="dxa"/>
              <w:right w:w="100" w:type="dxa"/>
            </w:tcMar>
          </w:tcPr>
          <w:p w14:paraId="786C33CC" w14:textId="77777777" w:rsidR="00374363" w:rsidRPr="00374363" w:rsidRDefault="00374363" w:rsidP="00A87943">
            <w:pPr>
              <w:widowControl w:val="0"/>
              <w:rPr>
                <w:bCs/>
                <w:color w:val="000000" w:themeColor="text1"/>
                <w:lang w:val="es-MX"/>
              </w:rPr>
            </w:pPr>
            <w:r w:rsidRPr="00374363">
              <w:rPr>
                <w:bCs/>
                <w:color w:val="000000" w:themeColor="text1"/>
                <w:lang w:val="es-MX"/>
              </w:rPr>
              <w:t>Escritura - Preparación del borrador original</w:t>
            </w:r>
          </w:p>
        </w:tc>
        <w:tc>
          <w:tcPr>
            <w:tcW w:w="6315" w:type="dxa"/>
            <w:shd w:val="clear" w:color="auto" w:fill="auto"/>
            <w:tcMar>
              <w:top w:w="100" w:type="dxa"/>
              <w:left w:w="100" w:type="dxa"/>
              <w:bottom w:w="100" w:type="dxa"/>
              <w:right w:w="100" w:type="dxa"/>
            </w:tcMar>
          </w:tcPr>
          <w:p w14:paraId="6A0C03E1" w14:textId="77777777" w:rsidR="00374363" w:rsidRPr="00374363" w:rsidRDefault="00374363" w:rsidP="00A87943">
            <w:pPr>
              <w:widowControl w:val="0"/>
              <w:rPr>
                <w:bCs/>
                <w:color w:val="000000" w:themeColor="text1"/>
                <w:lang w:val="es-MX"/>
              </w:rPr>
            </w:pPr>
            <w:r w:rsidRPr="00374363">
              <w:rPr>
                <w:bCs/>
                <w:color w:val="000000" w:themeColor="text1"/>
                <w:lang w:val="es-MX"/>
              </w:rPr>
              <w:t xml:space="preserve">Carlos Miguel Amador </w:t>
            </w:r>
            <w:proofErr w:type="spellStart"/>
            <w:r w:rsidRPr="00374363">
              <w:rPr>
                <w:bCs/>
                <w:color w:val="000000" w:themeColor="text1"/>
                <w:lang w:val="es-MX"/>
              </w:rPr>
              <w:t>Ortíz</w:t>
            </w:r>
            <w:proofErr w:type="spellEnd"/>
            <w:r w:rsidRPr="00374363">
              <w:rPr>
                <w:bCs/>
                <w:color w:val="000000" w:themeColor="text1"/>
                <w:lang w:val="es-MX"/>
              </w:rPr>
              <w:t xml:space="preserve"> (principal)</w:t>
            </w:r>
          </w:p>
          <w:p w14:paraId="69FDC8CB" w14:textId="77777777" w:rsidR="00374363" w:rsidRPr="00374363" w:rsidRDefault="00374363" w:rsidP="00A87943">
            <w:pPr>
              <w:widowControl w:val="0"/>
              <w:rPr>
                <w:bCs/>
                <w:color w:val="000000" w:themeColor="text1"/>
                <w:lang w:val="es-MX"/>
              </w:rPr>
            </w:pPr>
            <w:r w:rsidRPr="00374363">
              <w:rPr>
                <w:bCs/>
                <w:color w:val="000000" w:themeColor="text1"/>
                <w:lang w:val="es-MX"/>
              </w:rPr>
              <w:t>Leticia Velarde Peña (colaborador)</w:t>
            </w:r>
          </w:p>
          <w:p w14:paraId="480D0FD4" w14:textId="77777777" w:rsidR="00374363" w:rsidRPr="00374363" w:rsidRDefault="00374363" w:rsidP="00A87943">
            <w:pPr>
              <w:widowControl w:val="0"/>
              <w:rPr>
                <w:bCs/>
                <w:color w:val="000000" w:themeColor="text1"/>
                <w:lang w:val="es-MX"/>
              </w:rPr>
            </w:pPr>
            <w:r w:rsidRPr="00374363">
              <w:rPr>
                <w:bCs/>
                <w:color w:val="000000" w:themeColor="text1"/>
                <w:lang w:val="es-MX"/>
              </w:rPr>
              <w:t xml:space="preserve">María Luisa Torres </w:t>
            </w:r>
            <w:proofErr w:type="spellStart"/>
            <w:r w:rsidRPr="00374363">
              <w:rPr>
                <w:bCs/>
                <w:color w:val="000000" w:themeColor="text1"/>
                <w:lang w:val="es-MX"/>
              </w:rPr>
              <w:t>Isiordia</w:t>
            </w:r>
            <w:proofErr w:type="spellEnd"/>
            <w:r w:rsidRPr="00374363">
              <w:rPr>
                <w:bCs/>
                <w:color w:val="000000" w:themeColor="text1"/>
                <w:lang w:val="es-MX"/>
              </w:rPr>
              <w:t xml:space="preserve"> (colaborador)</w:t>
            </w:r>
          </w:p>
          <w:p w14:paraId="38250A10" w14:textId="77777777" w:rsidR="00374363" w:rsidRPr="00374363" w:rsidRDefault="00374363" w:rsidP="00A87943">
            <w:pPr>
              <w:widowControl w:val="0"/>
              <w:rPr>
                <w:bCs/>
                <w:color w:val="000000" w:themeColor="text1"/>
                <w:lang w:val="es-MX"/>
              </w:rPr>
            </w:pPr>
            <w:r w:rsidRPr="00374363">
              <w:rPr>
                <w:bCs/>
                <w:color w:val="000000" w:themeColor="text1"/>
                <w:lang w:val="es-MX"/>
              </w:rPr>
              <w:t>Jorge Rodríguez Palomera (colaborador)</w:t>
            </w:r>
          </w:p>
          <w:p w14:paraId="7FFFDDAD" w14:textId="77777777" w:rsidR="00374363" w:rsidRPr="00374363" w:rsidRDefault="00374363" w:rsidP="00A87943">
            <w:pPr>
              <w:widowControl w:val="0"/>
              <w:rPr>
                <w:bCs/>
                <w:color w:val="000000" w:themeColor="text1"/>
                <w:lang w:val="es-MX"/>
              </w:rPr>
            </w:pPr>
            <w:r w:rsidRPr="00374363">
              <w:rPr>
                <w:bCs/>
                <w:color w:val="000000" w:themeColor="text1"/>
                <w:lang w:val="es-MX"/>
              </w:rPr>
              <w:t>Álvaro Sánchez Navarrete (colaborador)</w:t>
            </w:r>
          </w:p>
        </w:tc>
      </w:tr>
      <w:tr w:rsidR="00374363" w:rsidRPr="00374363" w14:paraId="7044C352" w14:textId="77777777" w:rsidTr="00A87943">
        <w:tc>
          <w:tcPr>
            <w:tcW w:w="3045" w:type="dxa"/>
            <w:shd w:val="clear" w:color="auto" w:fill="auto"/>
            <w:tcMar>
              <w:top w:w="100" w:type="dxa"/>
              <w:left w:w="100" w:type="dxa"/>
              <w:bottom w:w="100" w:type="dxa"/>
              <w:right w:w="100" w:type="dxa"/>
            </w:tcMar>
          </w:tcPr>
          <w:p w14:paraId="095A17DE" w14:textId="77777777" w:rsidR="00374363" w:rsidRPr="00374363" w:rsidRDefault="00374363" w:rsidP="00A87943">
            <w:pPr>
              <w:widowControl w:val="0"/>
              <w:rPr>
                <w:bCs/>
                <w:color w:val="000000" w:themeColor="text1"/>
                <w:lang w:val="es-MX"/>
              </w:rPr>
            </w:pPr>
            <w:r w:rsidRPr="00374363">
              <w:rPr>
                <w:bCs/>
                <w:color w:val="000000" w:themeColor="text1"/>
                <w:lang w:val="es-MX"/>
              </w:rPr>
              <w:t>Escritura - Revisión y edición</w:t>
            </w:r>
          </w:p>
        </w:tc>
        <w:tc>
          <w:tcPr>
            <w:tcW w:w="6315" w:type="dxa"/>
            <w:shd w:val="clear" w:color="auto" w:fill="auto"/>
            <w:tcMar>
              <w:top w:w="100" w:type="dxa"/>
              <w:left w:w="100" w:type="dxa"/>
              <w:bottom w:w="100" w:type="dxa"/>
              <w:right w:w="100" w:type="dxa"/>
            </w:tcMar>
          </w:tcPr>
          <w:p w14:paraId="605260FC" w14:textId="77777777" w:rsidR="00374363" w:rsidRPr="00374363" w:rsidRDefault="00374363" w:rsidP="00A87943">
            <w:pPr>
              <w:widowControl w:val="0"/>
              <w:rPr>
                <w:bCs/>
                <w:color w:val="000000" w:themeColor="text1"/>
                <w:lang w:val="es-MX"/>
              </w:rPr>
            </w:pPr>
            <w:r w:rsidRPr="00374363">
              <w:rPr>
                <w:bCs/>
                <w:color w:val="000000" w:themeColor="text1"/>
                <w:lang w:val="es-MX"/>
              </w:rPr>
              <w:t>Leticia Velarde Peña (principal)</w:t>
            </w:r>
          </w:p>
          <w:p w14:paraId="535F8C5F" w14:textId="77777777" w:rsidR="00374363" w:rsidRPr="00374363" w:rsidRDefault="00374363" w:rsidP="00A87943">
            <w:pPr>
              <w:widowControl w:val="0"/>
              <w:rPr>
                <w:bCs/>
                <w:color w:val="000000" w:themeColor="text1"/>
                <w:lang w:val="es-MX"/>
              </w:rPr>
            </w:pPr>
            <w:r w:rsidRPr="00374363">
              <w:rPr>
                <w:bCs/>
                <w:color w:val="000000" w:themeColor="text1"/>
                <w:lang w:val="es-MX"/>
              </w:rPr>
              <w:t xml:space="preserve">Carlos Miguel Amador </w:t>
            </w:r>
            <w:proofErr w:type="spellStart"/>
            <w:r w:rsidRPr="00374363">
              <w:rPr>
                <w:bCs/>
                <w:color w:val="000000" w:themeColor="text1"/>
                <w:lang w:val="es-MX"/>
              </w:rPr>
              <w:t>Ortíz</w:t>
            </w:r>
            <w:proofErr w:type="spellEnd"/>
            <w:r w:rsidRPr="00374363">
              <w:rPr>
                <w:bCs/>
                <w:color w:val="000000" w:themeColor="text1"/>
                <w:lang w:val="es-MX"/>
              </w:rPr>
              <w:t xml:space="preserve"> (colaborador)</w:t>
            </w:r>
          </w:p>
          <w:p w14:paraId="1398F6C6" w14:textId="77777777" w:rsidR="00374363" w:rsidRPr="00374363" w:rsidRDefault="00374363" w:rsidP="00A87943">
            <w:pPr>
              <w:widowControl w:val="0"/>
              <w:rPr>
                <w:bCs/>
                <w:color w:val="000000" w:themeColor="text1"/>
                <w:lang w:val="es-MX"/>
              </w:rPr>
            </w:pPr>
            <w:r w:rsidRPr="00374363">
              <w:rPr>
                <w:bCs/>
                <w:color w:val="000000" w:themeColor="text1"/>
                <w:lang w:val="es-MX"/>
              </w:rPr>
              <w:t xml:space="preserve">María Luisa Torres </w:t>
            </w:r>
            <w:proofErr w:type="spellStart"/>
            <w:r w:rsidRPr="00374363">
              <w:rPr>
                <w:bCs/>
                <w:color w:val="000000" w:themeColor="text1"/>
                <w:lang w:val="es-MX"/>
              </w:rPr>
              <w:t>Isiordia</w:t>
            </w:r>
            <w:proofErr w:type="spellEnd"/>
            <w:r w:rsidRPr="00374363">
              <w:rPr>
                <w:bCs/>
                <w:color w:val="000000" w:themeColor="text1"/>
                <w:lang w:val="es-MX"/>
              </w:rPr>
              <w:t xml:space="preserve"> (colaborador)</w:t>
            </w:r>
          </w:p>
          <w:p w14:paraId="6E3FD0BC" w14:textId="77777777" w:rsidR="00374363" w:rsidRPr="00374363" w:rsidRDefault="00374363" w:rsidP="00A87943">
            <w:pPr>
              <w:widowControl w:val="0"/>
              <w:rPr>
                <w:bCs/>
                <w:color w:val="000000" w:themeColor="text1"/>
                <w:lang w:val="es-MX"/>
              </w:rPr>
            </w:pPr>
            <w:r w:rsidRPr="00374363">
              <w:rPr>
                <w:bCs/>
                <w:color w:val="000000" w:themeColor="text1"/>
                <w:lang w:val="es-MX"/>
              </w:rPr>
              <w:t>Jorge Rodríguez Palomera (colaborador)</w:t>
            </w:r>
          </w:p>
          <w:p w14:paraId="2137AF17" w14:textId="77777777" w:rsidR="00374363" w:rsidRPr="00374363" w:rsidRDefault="00374363" w:rsidP="00A87943">
            <w:pPr>
              <w:widowControl w:val="0"/>
              <w:rPr>
                <w:bCs/>
                <w:color w:val="000000" w:themeColor="text1"/>
                <w:lang w:val="es-MX"/>
              </w:rPr>
            </w:pPr>
            <w:r w:rsidRPr="00374363">
              <w:rPr>
                <w:bCs/>
                <w:color w:val="000000" w:themeColor="text1"/>
                <w:lang w:val="es-MX"/>
              </w:rPr>
              <w:t>Álvaro Sánchez Navarrete (colaborador)</w:t>
            </w:r>
          </w:p>
        </w:tc>
      </w:tr>
      <w:tr w:rsidR="00374363" w:rsidRPr="00374363" w14:paraId="593BDBE3" w14:textId="77777777" w:rsidTr="00A87943">
        <w:tc>
          <w:tcPr>
            <w:tcW w:w="3045" w:type="dxa"/>
            <w:shd w:val="clear" w:color="auto" w:fill="auto"/>
            <w:tcMar>
              <w:top w:w="100" w:type="dxa"/>
              <w:left w:w="100" w:type="dxa"/>
              <w:bottom w:w="100" w:type="dxa"/>
              <w:right w:w="100" w:type="dxa"/>
            </w:tcMar>
          </w:tcPr>
          <w:p w14:paraId="190602F3" w14:textId="77777777" w:rsidR="00374363" w:rsidRPr="00374363" w:rsidRDefault="00374363" w:rsidP="00A87943">
            <w:pPr>
              <w:widowControl w:val="0"/>
              <w:rPr>
                <w:bCs/>
                <w:color w:val="000000" w:themeColor="text1"/>
                <w:lang w:val="es-MX"/>
              </w:rPr>
            </w:pPr>
            <w:r w:rsidRPr="00374363">
              <w:rPr>
                <w:bCs/>
                <w:color w:val="000000" w:themeColor="text1"/>
                <w:lang w:val="es-MX"/>
              </w:rPr>
              <w:t>Visualización</w:t>
            </w:r>
          </w:p>
        </w:tc>
        <w:tc>
          <w:tcPr>
            <w:tcW w:w="6315" w:type="dxa"/>
            <w:shd w:val="clear" w:color="auto" w:fill="auto"/>
            <w:tcMar>
              <w:top w:w="100" w:type="dxa"/>
              <w:left w:w="100" w:type="dxa"/>
              <w:bottom w:w="100" w:type="dxa"/>
              <w:right w:w="100" w:type="dxa"/>
            </w:tcMar>
          </w:tcPr>
          <w:p w14:paraId="16ABD5F5" w14:textId="77777777" w:rsidR="00374363" w:rsidRPr="00374363" w:rsidRDefault="00374363" w:rsidP="00A87943">
            <w:pPr>
              <w:widowControl w:val="0"/>
              <w:rPr>
                <w:bCs/>
                <w:color w:val="000000" w:themeColor="text1"/>
                <w:lang w:val="es-MX"/>
              </w:rPr>
            </w:pPr>
            <w:r w:rsidRPr="00374363">
              <w:rPr>
                <w:bCs/>
                <w:color w:val="000000" w:themeColor="text1"/>
                <w:lang w:val="es-MX"/>
              </w:rPr>
              <w:t>Jorge Rodríguez Palomera</w:t>
            </w:r>
          </w:p>
        </w:tc>
      </w:tr>
      <w:tr w:rsidR="00374363" w:rsidRPr="00374363" w14:paraId="17F9E969" w14:textId="77777777" w:rsidTr="00A87943">
        <w:tc>
          <w:tcPr>
            <w:tcW w:w="3045" w:type="dxa"/>
            <w:shd w:val="clear" w:color="auto" w:fill="auto"/>
            <w:tcMar>
              <w:top w:w="100" w:type="dxa"/>
              <w:left w:w="100" w:type="dxa"/>
              <w:bottom w:w="100" w:type="dxa"/>
              <w:right w:w="100" w:type="dxa"/>
            </w:tcMar>
          </w:tcPr>
          <w:p w14:paraId="686F8308" w14:textId="77777777" w:rsidR="00374363" w:rsidRPr="00374363" w:rsidRDefault="00374363" w:rsidP="00A87943">
            <w:pPr>
              <w:widowControl w:val="0"/>
              <w:rPr>
                <w:bCs/>
                <w:color w:val="000000" w:themeColor="text1"/>
                <w:lang w:val="es-MX"/>
              </w:rPr>
            </w:pPr>
            <w:r w:rsidRPr="00374363">
              <w:rPr>
                <w:bCs/>
                <w:color w:val="000000" w:themeColor="text1"/>
                <w:lang w:val="es-MX"/>
              </w:rPr>
              <w:t>Supervisión</w:t>
            </w:r>
          </w:p>
        </w:tc>
        <w:tc>
          <w:tcPr>
            <w:tcW w:w="6315" w:type="dxa"/>
            <w:shd w:val="clear" w:color="auto" w:fill="auto"/>
            <w:tcMar>
              <w:top w:w="100" w:type="dxa"/>
              <w:left w:w="100" w:type="dxa"/>
              <w:bottom w:w="100" w:type="dxa"/>
              <w:right w:w="100" w:type="dxa"/>
            </w:tcMar>
          </w:tcPr>
          <w:p w14:paraId="1902B582" w14:textId="77777777" w:rsidR="00374363" w:rsidRPr="00374363" w:rsidRDefault="00374363" w:rsidP="00A87943">
            <w:pPr>
              <w:widowControl w:val="0"/>
              <w:rPr>
                <w:bCs/>
                <w:color w:val="000000" w:themeColor="text1"/>
                <w:lang w:val="es-MX"/>
              </w:rPr>
            </w:pPr>
            <w:r w:rsidRPr="00374363">
              <w:rPr>
                <w:bCs/>
                <w:color w:val="000000" w:themeColor="text1"/>
                <w:lang w:val="es-MX"/>
              </w:rPr>
              <w:t xml:space="preserve">María Luisa Torres </w:t>
            </w:r>
            <w:proofErr w:type="spellStart"/>
            <w:r w:rsidRPr="00374363">
              <w:rPr>
                <w:bCs/>
                <w:color w:val="000000" w:themeColor="text1"/>
                <w:lang w:val="es-MX"/>
              </w:rPr>
              <w:t>Isiordia</w:t>
            </w:r>
            <w:proofErr w:type="spellEnd"/>
          </w:p>
        </w:tc>
      </w:tr>
      <w:tr w:rsidR="00374363" w:rsidRPr="00374363" w14:paraId="7DA53914" w14:textId="77777777" w:rsidTr="00A87943">
        <w:tc>
          <w:tcPr>
            <w:tcW w:w="3045" w:type="dxa"/>
            <w:shd w:val="clear" w:color="auto" w:fill="auto"/>
            <w:tcMar>
              <w:top w:w="100" w:type="dxa"/>
              <w:left w:w="100" w:type="dxa"/>
              <w:bottom w:w="100" w:type="dxa"/>
              <w:right w:w="100" w:type="dxa"/>
            </w:tcMar>
          </w:tcPr>
          <w:p w14:paraId="697C28EC" w14:textId="77777777" w:rsidR="00374363" w:rsidRPr="00374363" w:rsidRDefault="00374363" w:rsidP="00A87943">
            <w:pPr>
              <w:widowControl w:val="0"/>
              <w:rPr>
                <w:bCs/>
                <w:color w:val="000000" w:themeColor="text1"/>
                <w:lang w:val="es-MX"/>
              </w:rPr>
            </w:pPr>
            <w:r w:rsidRPr="00374363">
              <w:rPr>
                <w:bCs/>
                <w:color w:val="000000" w:themeColor="text1"/>
                <w:lang w:val="es-MX"/>
              </w:rPr>
              <w:t>Administración de Proyectos</w:t>
            </w:r>
          </w:p>
        </w:tc>
        <w:tc>
          <w:tcPr>
            <w:tcW w:w="6315" w:type="dxa"/>
            <w:shd w:val="clear" w:color="auto" w:fill="auto"/>
            <w:tcMar>
              <w:top w:w="100" w:type="dxa"/>
              <w:left w:w="100" w:type="dxa"/>
              <w:bottom w:w="100" w:type="dxa"/>
              <w:right w:w="100" w:type="dxa"/>
            </w:tcMar>
          </w:tcPr>
          <w:p w14:paraId="5B3AE663" w14:textId="77777777" w:rsidR="00374363" w:rsidRPr="00374363" w:rsidRDefault="00374363" w:rsidP="00A87943">
            <w:pPr>
              <w:widowControl w:val="0"/>
              <w:rPr>
                <w:bCs/>
                <w:color w:val="000000" w:themeColor="text1"/>
                <w:lang w:val="es-MX"/>
              </w:rPr>
            </w:pPr>
            <w:r w:rsidRPr="00374363">
              <w:rPr>
                <w:bCs/>
                <w:color w:val="000000" w:themeColor="text1"/>
                <w:lang w:val="es-MX"/>
              </w:rPr>
              <w:t xml:space="preserve">Carlos Miguel Amador </w:t>
            </w:r>
            <w:proofErr w:type="spellStart"/>
            <w:r w:rsidRPr="00374363">
              <w:rPr>
                <w:bCs/>
                <w:color w:val="000000" w:themeColor="text1"/>
                <w:lang w:val="es-MX"/>
              </w:rPr>
              <w:t>Ortíz</w:t>
            </w:r>
            <w:proofErr w:type="spellEnd"/>
          </w:p>
        </w:tc>
      </w:tr>
      <w:tr w:rsidR="00374363" w:rsidRPr="00374363" w14:paraId="2BB583B9" w14:textId="77777777" w:rsidTr="00A87943">
        <w:tc>
          <w:tcPr>
            <w:tcW w:w="3045" w:type="dxa"/>
            <w:shd w:val="clear" w:color="auto" w:fill="auto"/>
            <w:tcMar>
              <w:top w:w="100" w:type="dxa"/>
              <w:left w:w="100" w:type="dxa"/>
              <w:bottom w:w="100" w:type="dxa"/>
              <w:right w:w="100" w:type="dxa"/>
            </w:tcMar>
          </w:tcPr>
          <w:p w14:paraId="468BC1A8" w14:textId="77777777" w:rsidR="00374363" w:rsidRPr="00374363" w:rsidRDefault="00374363" w:rsidP="00A87943">
            <w:pPr>
              <w:widowControl w:val="0"/>
              <w:rPr>
                <w:bCs/>
                <w:color w:val="000000" w:themeColor="text1"/>
                <w:lang w:val="es-MX"/>
              </w:rPr>
            </w:pPr>
            <w:r w:rsidRPr="00374363">
              <w:rPr>
                <w:bCs/>
                <w:color w:val="000000" w:themeColor="text1"/>
                <w:lang w:val="es-MX"/>
              </w:rPr>
              <w:t>Adquisición de fondos</w:t>
            </w:r>
          </w:p>
        </w:tc>
        <w:tc>
          <w:tcPr>
            <w:tcW w:w="6315" w:type="dxa"/>
            <w:shd w:val="clear" w:color="auto" w:fill="auto"/>
            <w:tcMar>
              <w:top w:w="100" w:type="dxa"/>
              <w:left w:w="100" w:type="dxa"/>
              <w:bottom w:w="100" w:type="dxa"/>
              <w:right w:w="100" w:type="dxa"/>
            </w:tcMar>
          </w:tcPr>
          <w:p w14:paraId="7A911A93" w14:textId="77777777" w:rsidR="00374363" w:rsidRPr="00374363" w:rsidRDefault="00374363" w:rsidP="00A87943">
            <w:pPr>
              <w:widowControl w:val="0"/>
              <w:rPr>
                <w:bCs/>
                <w:color w:val="000000" w:themeColor="text1"/>
                <w:lang w:val="es-MX"/>
              </w:rPr>
            </w:pPr>
            <w:r w:rsidRPr="00374363">
              <w:rPr>
                <w:bCs/>
                <w:color w:val="000000" w:themeColor="text1"/>
                <w:lang w:val="es-MX"/>
              </w:rPr>
              <w:t xml:space="preserve">Carlos Miguel Amador </w:t>
            </w:r>
            <w:proofErr w:type="spellStart"/>
            <w:r w:rsidRPr="00374363">
              <w:rPr>
                <w:bCs/>
                <w:color w:val="000000" w:themeColor="text1"/>
                <w:lang w:val="es-MX"/>
              </w:rPr>
              <w:t>Ortíz</w:t>
            </w:r>
            <w:proofErr w:type="spellEnd"/>
          </w:p>
        </w:tc>
      </w:tr>
    </w:tbl>
    <w:p w14:paraId="51F96F76" w14:textId="77777777" w:rsidR="00374363" w:rsidRDefault="00374363" w:rsidP="009103DD">
      <w:pPr>
        <w:jc w:val="center"/>
        <w:rPr>
          <w:b/>
          <w:bCs/>
          <w:sz w:val="32"/>
          <w:szCs w:val="32"/>
          <w:lang w:val="es-MX"/>
        </w:rPr>
      </w:pPr>
    </w:p>
    <w:sectPr w:rsidR="00374363" w:rsidSect="00F1530B">
      <w:headerReference w:type="default" r:id="rId51"/>
      <w:footerReference w:type="even" r:id="rId52"/>
      <w:footerReference w:type="default" r:id="rId53"/>
      <w:pgSz w:w="12240" w:h="15840"/>
      <w:pgMar w:top="1276" w:right="1418" w:bottom="709"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E6E02" w14:textId="77777777" w:rsidR="009A6958" w:rsidRDefault="009A6958" w:rsidP="00BA7D26">
      <w:r>
        <w:separator/>
      </w:r>
    </w:p>
  </w:endnote>
  <w:endnote w:type="continuationSeparator" w:id="0">
    <w:p w14:paraId="7FFAB869" w14:textId="77777777" w:rsidR="009A6958" w:rsidRDefault="009A6958" w:rsidP="00BA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788504413"/>
      <w:docPartObj>
        <w:docPartGallery w:val="Page Numbers (Bottom of Page)"/>
        <w:docPartUnique/>
      </w:docPartObj>
    </w:sdtPr>
    <w:sdtContent>
      <w:p w14:paraId="6290D6E4" w14:textId="77777777" w:rsidR="00072A2D" w:rsidRDefault="006F030C" w:rsidP="00250B3D">
        <w:pPr>
          <w:pStyle w:val="Piedepgina"/>
          <w:framePr w:wrap="none" w:vAnchor="text" w:hAnchor="margin" w:xAlign="right" w:y="1"/>
          <w:rPr>
            <w:rStyle w:val="Nmerodepgina"/>
          </w:rPr>
        </w:pPr>
        <w:r>
          <w:rPr>
            <w:rStyle w:val="Nmerodepgina"/>
          </w:rPr>
          <w:fldChar w:fldCharType="begin"/>
        </w:r>
        <w:r w:rsidR="00072A2D">
          <w:rPr>
            <w:rStyle w:val="Nmerodepgina"/>
          </w:rPr>
          <w:instrText xml:space="preserve"> PAGE </w:instrText>
        </w:r>
        <w:r>
          <w:rPr>
            <w:rStyle w:val="Nmerodepgina"/>
          </w:rPr>
          <w:fldChar w:fldCharType="separate"/>
        </w:r>
        <w:r w:rsidR="00072A2D">
          <w:rPr>
            <w:rStyle w:val="Nmerodepgina"/>
            <w:noProof/>
          </w:rPr>
          <w:t>22</w:t>
        </w:r>
        <w:r>
          <w:rPr>
            <w:rStyle w:val="Nmerodepgina"/>
          </w:rPr>
          <w:fldChar w:fldCharType="end"/>
        </w:r>
      </w:p>
    </w:sdtContent>
  </w:sdt>
  <w:p w14:paraId="6990E369" w14:textId="77777777" w:rsidR="00072A2D" w:rsidRDefault="00072A2D" w:rsidP="00250B3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1D2E4" w14:textId="38DF47A4" w:rsidR="00072A2D" w:rsidRDefault="00F1530B" w:rsidP="00F1530B">
    <w:pPr>
      <w:pStyle w:val="Piedepgina"/>
      <w:jc w:val="center"/>
    </w:pPr>
    <w:r w:rsidRPr="002A3D98">
      <w:rPr>
        <w:noProof/>
        <w:lang w:val="es-ES" w:eastAsia="es-ES"/>
      </w:rPr>
      <w:drawing>
        <wp:inline distT="0" distB="0" distL="0" distR="0" wp14:anchorId="78926877" wp14:editId="23BE9F15">
          <wp:extent cx="1600200" cy="419100"/>
          <wp:effectExtent l="0" t="0" r="0" b="0"/>
          <wp:docPr id="2021657101" name="Imagen 202165710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F1530B">
      <w:rPr>
        <w:rFonts w:cstheme="minorHAnsi"/>
        <w:b/>
        <w:sz w:val="22"/>
        <w:szCs w:val="12"/>
      </w:rPr>
      <w:t xml:space="preserve">Vol. 14, Núm. 27 Julio - </w:t>
    </w:r>
    <w:proofErr w:type="gramStart"/>
    <w:r w:rsidRPr="00F1530B">
      <w:rPr>
        <w:rFonts w:cstheme="minorHAnsi"/>
        <w:b/>
        <w:sz w:val="22"/>
        <w:szCs w:val="12"/>
      </w:rPr>
      <w:t>Diciembre</w:t>
    </w:r>
    <w:proofErr w:type="gramEnd"/>
    <w:r w:rsidRPr="00F1530B">
      <w:rPr>
        <w:rFonts w:cstheme="minorHAnsi"/>
        <w:b/>
        <w:sz w:val="22"/>
        <w:szCs w:val="12"/>
      </w:rPr>
      <w:t xml:space="preserve"> 2023, e</w:t>
    </w:r>
    <w:r w:rsidR="008B5E36">
      <w:rPr>
        <w:rFonts w:cstheme="minorHAnsi"/>
        <w:b/>
        <w:sz w:val="22"/>
        <w:szCs w:val="12"/>
      </w:rPr>
      <w:t>58</w:t>
    </w:r>
    <w:r w:rsidR="00F26BE6">
      <w:rPr>
        <w:rFonts w:cstheme="minorHAnsi"/>
        <w:b/>
        <w:sz w:val="22"/>
        <w:szCs w:val="12"/>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8850B" w14:textId="77777777" w:rsidR="009A6958" w:rsidRDefault="009A6958" w:rsidP="00BA7D26">
      <w:r>
        <w:separator/>
      </w:r>
    </w:p>
  </w:footnote>
  <w:footnote w:type="continuationSeparator" w:id="0">
    <w:p w14:paraId="0E822EE8" w14:textId="77777777" w:rsidR="009A6958" w:rsidRDefault="009A6958" w:rsidP="00BA7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59598" w14:textId="3177C9E3" w:rsidR="00F1530B" w:rsidRDefault="00F1530B" w:rsidP="00F1530B">
    <w:pPr>
      <w:pStyle w:val="Encabezado"/>
      <w:jc w:val="center"/>
    </w:pPr>
    <w:r w:rsidRPr="002A3D98">
      <w:rPr>
        <w:noProof/>
        <w:lang w:val="es-ES" w:eastAsia="es-ES"/>
      </w:rPr>
      <w:drawing>
        <wp:inline distT="0" distB="0" distL="0" distR="0" wp14:anchorId="5B88D750" wp14:editId="2BB90DB4">
          <wp:extent cx="5397500" cy="635000"/>
          <wp:effectExtent l="0" t="0" r="0" b="0"/>
          <wp:docPr id="980617922" name="Imagen 98061792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96166"/>
    <w:multiLevelType w:val="hybridMultilevel"/>
    <w:tmpl w:val="8D6CF638"/>
    <w:lvl w:ilvl="0" w:tplc="56068B24">
      <w:start w:val="1"/>
      <w:numFmt w:val="decimal"/>
      <w:lvlText w:val="%1)"/>
      <w:lvlJc w:val="left"/>
      <w:pPr>
        <w:ind w:left="600" w:hanging="360"/>
      </w:pPr>
      <w:rPr>
        <w:rFonts w:hint="default"/>
      </w:rPr>
    </w:lvl>
    <w:lvl w:ilvl="1" w:tplc="080A0019" w:tentative="1">
      <w:start w:val="1"/>
      <w:numFmt w:val="lowerLetter"/>
      <w:lvlText w:val="%2."/>
      <w:lvlJc w:val="left"/>
      <w:pPr>
        <w:ind w:left="1320" w:hanging="360"/>
      </w:pPr>
    </w:lvl>
    <w:lvl w:ilvl="2" w:tplc="080A001B" w:tentative="1">
      <w:start w:val="1"/>
      <w:numFmt w:val="lowerRoman"/>
      <w:lvlText w:val="%3."/>
      <w:lvlJc w:val="right"/>
      <w:pPr>
        <w:ind w:left="2040" w:hanging="180"/>
      </w:pPr>
    </w:lvl>
    <w:lvl w:ilvl="3" w:tplc="080A000F" w:tentative="1">
      <w:start w:val="1"/>
      <w:numFmt w:val="decimal"/>
      <w:lvlText w:val="%4."/>
      <w:lvlJc w:val="left"/>
      <w:pPr>
        <w:ind w:left="2760" w:hanging="360"/>
      </w:pPr>
    </w:lvl>
    <w:lvl w:ilvl="4" w:tplc="080A0019" w:tentative="1">
      <w:start w:val="1"/>
      <w:numFmt w:val="lowerLetter"/>
      <w:lvlText w:val="%5."/>
      <w:lvlJc w:val="left"/>
      <w:pPr>
        <w:ind w:left="3480" w:hanging="360"/>
      </w:pPr>
    </w:lvl>
    <w:lvl w:ilvl="5" w:tplc="080A001B" w:tentative="1">
      <w:start w:val="1"/>
      <w:numFmt w:val="lowerRoman"/>
      <w:lvlText w:val="%6."/>
      <w:lvlJc w:val="right"/>
      <w:pPr>
        <w:ind w:left="4200" w:hanging="180"/>
      </w:pPr>
    </w:lvl>
    <w:lvl w:ilvl="6" w:tplc="080A000F" w:tentative="1">
      <w:start w:val="1"/>
      <w:numFmt w:val="decimal"/>
      <w:lvlText w:val="%7."/>
      <w:lvlJc w:val="left"/>
      <w:pPr>
        <w:ind w:left="4920" w:hanging="360"/>
      </w:pPr>
    </w:lvl>
    <w:lvl w:ilvl="7" w:tplc="080A0019" w:tentative="1">
      <w:start w:val="1"/>
      <w:numFmt w:val="lowerLetter"/>
      <w:lvlText w:val="%8."/>
      <w:lvlJc w:val="left"/>
      <w:pPr>
        <w:ind w:left="5640" w:hanging="360"/>
      </w:pPr>
    </w:lvl>
    <w:lvl w:ilvl="8" w:tplc="080A001B" w:tentative="1">
      <w:start w:val="1"/>
      <w:numFmt w:val="lowerRoman"/>
      <w:lvlText w:val="%9."/>
      <w:lvlJc w:val="right"/>
      <w:pPr>
        <w:ind w:left="6360" w:hanging="180"/>
      </w:pPr>
    </w:lvl>
  </w:abstractNum>
  <w:abstractNum w:abstractNumId="1" w15:restartNumberingAfterBreak="0">
    <w:nsid w:val="1AEE4A21"/>
    <w:multiLevelType w:val="hybridMultilevel"/>
    <w:tmpl w:val="238C0396"/>
    <w:lvl w:ilvl="0" w:tplc="C96A7BE2">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5B84356"/>
    <w:multiLevelType w:val="hybridMultilevel"/>
    <w:tmpl w:val="04D010F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15:restartNumberingAfterBreak="0">
    <w:nsid w:val="590C5B89"/>
    <w:multiLevelType w:val="hybridMultilevel"/>
    <w:tmpl w:val="4172262A"/>
    <w:lvl w:ilvl="0" w:tplc="1FB49652">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5A164D42"/>
    <w:multiLevelType w:val="hybridMultilevel"/>
    <w:tmpl w:val="3D3A597A"/>
    <w:lvl w:ilvl="0" w:tplc="13B43FE8">
      <w:start w:val="2"/>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C9C05FD"/>
    <w:multiLevelType w:val="hybridMultilevel"/>
    <w:tmpl w:val="C6F677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24459E2"/>
    <w:multiLevelType w:val="hybridMultilevel"/>
    <w:tmpl w:val="C298B9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82918354">
    <w:abstractNumId w:val="1"/>
  </w:num>
  <w:num w:numId="2" w16cid:durableId="2117674379">
    <w:abstractNumId w:val="3"/>
  </w:num>
  <w:num w:numId="3" w16cid:durableId="793409864">
    <w:abstractNumId w:val="5"/>
  </w:num>
  <w:num w:numId="4" w16cid:durableId="480655118">
    <w:abstractNumId w:val="4"/>
  </w:num>
  <w:num w:numId="5" w16cid:durableId="1638413788">
    <w:abstractNumId w:val="0"/>
  </w:num>
  <w:num w:numId="6" w16cid:durableId="1720856137">
    <w:abstractNumId w:val="6"/>
  </w:num>
  <w:num w:numId="7" w16cid:durableId="1496414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859"/>
    <w:rsid w:val="0000173E"/>
    <w:rsid w:val="00010CB7"/>
    <w:rsid w:val="000115E2"/>
    <w:rsid w:val="000133F0"/>
    <w:rsid w:val="00013767"/>
    <w:rsid w:val="00021DB0"/>
    <w:rsid w:val="00023763"/>
    <w:rsid w:val="00023FE8"/>
    <w:rsid w:val="0003392B"/>
    <w:rsid w:val="000343BA"/>
    <w:rsid w:val="00037E6B"/>
    <w:rsid w:val="00043334"/>
    <w:rsid w:val="00044DFF"/>
    <w:rsid w:val="00047DEE"/>
    <w:rsid w:val="00054979"/>
    <w:rsid w:val="00057B06"/>
    <w:rsid w:val="0006209A"/>
    <w:rsid w:val="00063BE5"/>
    <w:rsid w:val="00066996"/>
    <w:rsid w:val="000679D8"/>
    <w:rsid w:val="00071189"/>
    <w:rsid w:val="000727B0"/>
    <w:rsid w:val="00072A2D"/>
    <w:rsid w:val="00073625"/>
    <w:rsid w:val="00075F41"/>
    <w:rsid w:val="00077B13"/>
    <w:rsid w:val="00083AC6"/>
    <w:rsid w:val="000911D0"/>
    <w:rsid w:val="00092EC2"/>
    <w:rsid w:val="000A1751"/>
    <w:rsid w:val="000A2305"/>
    <w:rsid w:val="000A329F"/>
    <w:rsid w:val="000A341F"/>
    <w:rsid w:val="000A581E"/>
    <w:rsid w:val="000A5E4B"/>
    <w:rsid w:val="000B5F16"/>
    <w:rsid w:val="000C25D6"/>
    <w:rsid w:val="000C485C"/>
    <w:rsid w:val="000D2219"/>
    <w:rsid w:val="000D2661"/>
    <w:rsid w:val="000D6DF9"/>
    <w:rsid w:val="000E19B8"/>
    <w:rsid w:val="000E1E5D"/>
    <w:rsid w:val="000E50BE"/>
    <w:rsid w:val="000F6FEE"/>
    <w:rsid w:val="00101088"/>
    <w:rsid w:val="0011172A"/>
    <w:rsid w:val="001128E2"/>
    <w:rsid w:val="00112CA7"/>
    <w:rsid w:val="00133545"/>
    <w:rsid w:val="001350B2"/>
    <w:rsid w:val="00143B3E"/>
    <w:rsid w:val="00145F9D"/>
    <w:rsid w:val="00152544"/>
    <w:rsid w:val="00152EE4"/>
    <w:rsid w:val="00154887"/>
    <w:rsid w:val="00157717"/>
    <w:rsid w:val="00157AA4"/>
    <w:rsid w:val="00161979"/>
    <w:rsid w:val="00161BF5"/>
    <w:rsid w:val="001637C9"/>
    <w:rsid w:val="001712D0"/>
    <w:rsid w:val="00176221"/>
    <w:rsid w:val="00176C54"/>
    <w:rsid w:val="00183340"/>
    <w:rsid w:val="00185377"/>
    <w:rsid w:val="001905CB"/>
    <w:rsid w:val="00190C80"/>
    <w:rsid w:val="001926CC"/>
    <w:rsid w:val="00194F07"/>
    <w:rsid w:val="00196630"/>
    <w:rsid w:val="001A5411"/>
    <w:rsid w:val="001A65A4"/>
    <w:rsid w:val="001A6B2E"/>
    <w:rsid w:val="001C16FA"/>
    <w:rsid w:val="001C423E"/>
    <w:rsid w:val="001C7F70"/>
    <w:rsid w:val="001D36B9"/>
    <w:rsid w:val="001D687A"/>
    <w:rsid w:val="001E49B2"/>
    <w:rsid w:val="001E5A4F"/>
    <w:rsid w:val="001F2B7B"/>
    <w:rsid w:val="001F4D3E"/>
    <w:rsid w:val="00200533"/>
    <w:rsid w:val="00205B6A"/>
    <w:rsid w:val="00210E32"/>
    <w:rsid w:val="00211AA1"/>
    <w:rsid w:val="00213EA6"/>
    <w:rsid w:val="00215049"/>
    <w:rsid w:val="00220DE3"/>
    <w:rsid w:val="00222D34"/>
    <w:rsid w:val="00230654"/>
    <w:rsid w:val="00232D07"/>
    <w:rsid w:val="00242385"/>
    <w:rsid w:val="00242876"/>
    <w:rsid w:val="00242AC5"/>
    <w:rsid w:val="002505CD"/>
    <w:rsid w:val="00250815"/>
    <w:rsid w:val="00250B3D"/>
    <w:rsid w:val="002541F6"/>
    <w:rsid w:val="0025487A"/>
    <w:rsid w:val="002553BF"/>
    <w:rsid w:val="00256022"/>
    <w:rsid w:val="00256531"/>
    <w:rsid w:val="00261BF5"/>
    <w:rsid w:val="00262F97"/>
    <w:rsid w:val="002662D3"/>
    <w:rsid w:val="00272A84"/>
    <w:rsid w:val="00274C63"/>
    <w:rsid w:val="00277388"/>
    <w:rsid w:val="00277B68"/>
    <w:rsid w:val="00284E7C"/>
    <w:rsid w:val="00290839"/>
    <w:rsid w:val="00294344"/>
    <w:rsid w:val="002A257C"/>
    <w:rsid w:val="002A385E"/>
    <w:rsid w:val="002A440E"/>
    <w:rsid w:val="002A7EA1"/>
    <w:rsid w:val="002B0EE6"/>
    <w:rsid w:val="002B56EE"/>
    <w:rsid w:val="002C0419"/>
    <w:rsid w:val="002C344E"/>
    <w:rsid w:val="002C59D1"/>
    <w:rsid w:val="002E0913"/>
    <w:rsid w:val="002E1DF2"/>
    <w:rsid w:val="002F26BC"/>
    <w:rsid w:val="002F5258"/>
    <w:rsid w:val="002F6BE4"/>
    <w:rsid w:val="003012D7"/>
    <w:rsid w:val="00305467"/>
    <w:rsid w:val="003153D0"/>
    <w:rsid w:val="00320861"/>
    <w:rsid w:val="00320E6F"/>
    <w:rsid w:val="00322934"/>
    <w:rsid w:val="00322AE0"/>
    <w:rsid w:val="0033056B"/>
    <w:rsid w:val="00334115"/>
    <w:rsid w:val="00343E6F"/>
    <w:rsid w:val="00343F3E"/>
    <w:rsid w:val="00344CD9"/>
    <w:rsid w:val="0035471F"/>
    <w:rsid w:val="00366DBC"/>
    <w:rsid w:val="00374363"/>
    <w:rsid w:val="00375339"/>
    <w:rsid w:val="00376675"/>
    <w:rsid w:val="0039093F"/>
    <w:rsid w:val="00394E05"/>
    <w:rsid w:val="003A1E73"/>
    <w:rsid w:val="003A2406"/>
    <w:rsid w:val="003B5139"/>
    <w:rsid w:val="003B5153"/>
    <w:rsid w:val="003B66D7"/>
    <w:rsid w:val="003C02DC"/>
    <w:rsid w:val="003C0549"/>
    <w:rsid w:val="003C201F"/>
    <w:rsid w:val="003C2507"/>
    <w:rsid w:val="003C40ED"/>
    <w:rsid w:val="003C6774"/>
    <w:rsid w:val="003C6EE0"/>
    <w:rsid w:val="003D26E6"/>
    <w:rsid w:val="003D5A34"/>
    <w:rsid w:val="003D73E8"/>
    <w:rsid w:val="003D780A"/>
    <w:rsid w:val="003E27B3"/>
    <w:rsid w:val="003E28EB"/>
    <w:rsid w:val="003E3991"/>
    <w:rsid w:val="003E6827"/>
    <w:rsid w:val="003E7493"/>
    <w:rsid w:val="003F1C2C"/>
    <w:rsid w:val="003F351E"/>
    <w:rsid w:val="004049AF"/>
    <w:rsid w:val="004050C5"/>
    <w:rsid w:val="00405D29"/>
    <w:rsid w:val="00414504"/>
    <w:rsid w:val="0042095E"/>
    <w:rsid w:val="004216F0"/>
    <w:rsid w:val="00425C0D"/>
    <w:rsid w:val="004318DA"/>
    <w:rsid w:val="0044146B"/>
    <w:rsid w:val="00447578"/>
    <w:rsid w:val="00450548"/>
    <w:rsid w:val="00466403"/>
    <w:rsid w:val="00476133"/>
    <w:rsid w:val="00482B9F"/>
    <w:rsid w:val="00485396"/>
    <w:rsid w:val="00490A38"/>
    <w:rsid w:val="004924DE"/>
    <w:rsid w:val="00492745"/>
    <w:rsid w:val="00493E5F"/>
    <w:rsid w:val="00493FE5"/>
    <w:rsid w:val="00494B51"/>
    <w:rsid w:val="004A1836"/>
    <w:rsid w:val="004A2DB6"/>
    <w:rsid w:val="004A34E3"/>
    <w:rsid w:val="004A6919"/>
    <w:rsid w:val="004B6AB0"/>
    <w:rsid w:val="004D4D24"/>
    <w:rsid w:val="004E7CDC"/>
    <w:rsid w:val="004F236F"/>
    <w:rsid w:val="004F3232"/>
    <w:rsid w:val="004F3925"/>
    <w:rsid w:val="00501CB0"/>
    <w:rsid w:val="005103FE"/>
    <w:rsid w:val="00514787"/>
    <w:rsid w:val="00520F65"/>
    <w:rsid w:val="005240A0"/>
    <w:rsid w:val="0052476E"/>
    <w:rsid w:val="00525882"/>
    <w:rsid w:val="00525F50"/>
    <w:rsid w:val="00532D17"/>
    <w:rsid w:val="005334AD"/>
    <w:rsid w:val="00540AF6"/>
    <w:rsid w:val="0054164A"/>
    <w:rsid w:val="00541A91"/>
    <w:rsid w:val="00542EFF"/>
    <w:rsid w:val="005443E9"/>
    <w:rsid w:val="00547253"/>
    <w:rsid w:val="005606A4"/>
    <w:rsid w:val="00574FEC"/>
    <w:rsid w:val="00584BBD"/>
    <w:rsid w:val="005856A1"/>
    <w:rsid w:val="00593786"/>
    <w:rsid w:val="005A0FA0"/>
    <w:rsid w:val="005A293F"/>
    <w:rsid w:val="005B4FBA"/>
    <w:rsid w:val="005D2FE2"/>
    <w:rsid w:val="005D44F6"/>
    <w:rsid w:val="005D6B12"/>
    <w:rsid w:val="005D6D29"/>
    <w:rsid w:val="005D74C6"/>
    <w:rsid w:val="005E2C1F"/>
    <w:rsid w:val="005E37B3"/>
    <w:rsid w:val="005E5C88"/>
    <w:rsid w:val="005E7155"/>
    <w:rsid w:val="005F2149"/>
    <w:rsid w:val="005F254D"/>
    <w:rsid w:val="005F2877"/>
    <w:rsid w:val="005F75B7"/>
    <w:rsid w:val="00600FC7"/>
    <w:rsid w:val="00602485"/>
    <w:rsid w:val="006062C8"/>
    <w:rsid w:val="006118C5"/>
    <w:rsid w:val="00614FBB"/>
    <w:rsid w:val="00616F03"/>
    <w:rsid w:val="00617082"/>
    <w:rsid w:val="00625C99"/>
    <w:rsid w:val="0064074D"/>
    <w:rsid w:val="00644FB3"/>
    <w:rsid w:val="006457A6"/>
    <w:rsid w:val="00646134"/>
    <w:rsid w:val="00646BDF"/>
    <w:rsid w:val="00657BE4"/>
    <w:rsid w:val="00666FE1"/>
    <w:rsid w:val="00670754"/>
    <w:rsid w:val="00680D6A"/>
    <w:rsid w:val="006817E0"/>
    <w:rsid w:val="00684ADC"/>
    <w:rsid w:val="006868AF"/>
    <w:rsid w:val="00690AEA"/>
    <w:rsid w:val="006A193A"/>
    <w:rsid w:val="006A2993"/>
    <w:rsid w:val="006A2DE7"/>
    <w:rsid w:val="006A535B"/>
    <w:rsid w:val="006A6ADD"/>
    <w:rsid w:val="006B0AAD"/>
    <w:rsid w:val="006C6500"/>
    <w:rsid w:val="006E34DF"/>
    <w:rsid w:val="006E4670"/>
    <w:rsid w:val="006E6507"/>
    <w:rsid w:val="006E7A1C"/>
    <w:rsid w:val="006F030C"/>
    <w:rsid w:val="006F04E7"/>
    <w:rsid w:val="006F0E91"/>
    <w:rsid w:val="006F3799"/>
    <w:rsid w:val="006F519F"/>
    <w:rsid w:val="006F563A"/>
    <w:rsid w:val="006F5BAD"/>
    <w:rsid w:val="006F6338"/>
    <w:rsid w:val="006F63F7"/>
    <w:rsid w:val="00700D0A"/>
    <w:rsid w:val="00701177"/>
    <w:rsid w:val="007011B2"/>
    <w:rsid w:val="007027A9"/>
    <w:rsid w:val="00704556"/>
    <w:rsid w:val="0070462D"/>
    <w:rsid w:val="0070622E"/>
    <w:rsid w:val="007067A8"/>
    <w:rsid w:val="00706D5F"/>
    <w:rsid w:val="00710597"/>
    <w:rsid w:val="0071267D"/>
    <w:rsid w:val="00715AD0"/>
    <w:rsid w:val="00717F72"/>
    <w:rsid w:val="00722FE0"/>
    <w:rsid w:val="00723A85"/>
    <w:rsid w:val="00727B71"/>
    <w:rsid w:val="00732A5E"/>
    <w:rsid w:val="00733E94"/>
    <w:rsid w:val="00736A49"/>
    <w:rsid w:val="007418C9"/>
    <w:rsid w:val="00741F12"/>
    <w:rsid w:val="00742BF0"/>
    <w:rsid w:val="00747669"/>
    <w:rsid w:val="00763439"/>
    <w:rsid w:val="007709A9"/>
    <w:rsid w:val="00773041"/>
    <w:rsid w:val="00773399"/>
    <w:rsid w:val="007737A7"/>
    <w:rsid w:val="00773A44"/>
    <w:rsid w:val="00777003"/>
    <w:rsid w:val="00784B9E"/>
    <w:rsid w:val="00797F2C"/>
    <w:rsid w:val="007A30F9"/>
    <w:rsid w:val="007A45E2"/>
    <w:rsid w:val="007A6C0A"/>
    <w:rsid w:val="007A732A"/>
    <w:rsid w:val="007A7F35"/>
    <w:rsid w:val="007B39C3"/>
    <w:rsid w:val="007D1874"/>
    <w:rsid w:val="007D457E"/>
    <w:rsid w:val="007D71C5"/>
    <w:rsid w:val="007D7E66"/>
    <w:rsid w:val="007E2779"/>
    <w:rsid w:val="007E5D89"/>
    <w:rsid w:val="007F3A56"/>
    <w:rsid w:val="00800A12"/>
    <w:rsid w:val="0080470E"/>
    <w:rsid w:val="00811365"/>
    <w:rsid w:val="008123E0"/>
    <w:rsid w:val="00813823"/>
    <w:rsid w:val="008174A4"/>
    <w:rsid w:val="00817CA0"/>
    <w:rsid w:val="0082747D"/>
    <w:rsid w:val="008274D7"/>
    <w:rsid w:val="00834128"/>
    <w:rsid w:val="00842CAF"/>
    <w:rsid w:val="0084380F"/>
    <w:rsid w:val="008443FE"/>
    <w:rsid w:val="008444C1"/>
    <w:rsid w:val="0084755A"/>
    <w:rsid w:val="00852D59"/>
    <w:rsid w:val="00854C70"/>
    <w:rsid w:val="00855435"/>
    <w:rsid w:val="0086001F"/>
    <w:rsid w:val="00860C7F"/>
    <w:rsid w:val="0086287B"/>
    <w:rsid w:val="00864B83"/>
    <w:rsid w:val="00866DAF"/>
    <w:rsid w:val="00870683"/>
    <w:rsid w:val="00870F6D"/>
    <w:rsid w:val="0087687E"/>
    <w:rsid w:val="00883747"/>
    <w:rsid w:val="0088374C"/>
    <w:rsid w:val="00895E11"/>
    <w:rsid w:val="008966D7"/>
    <w:rsid w:val="008967B5"/>
    <w:rsid w:val="008A2391"/>
    <w:rsid w:val="008A2B9F"/>
    <w:rsid w:val="008B0CEF"/>
    <w:rsid w:val="008B4867"/>
    <w:rsid w:val="008B4B6E"/>
    <w:rsid w:val="008B5E36"/>
    <w:rsid w:val="008C799B"/>
    <w:rsid w:val="008D5FAA"/>
    <w:rsid w:val="008D7859"/>
    <w:rsid w:val="008D7E70"/>
    <w:rsid w:val="008F16A5"/>
    <w:rsid w:val="008F2102"/>
    <w:rsid w:val="009012B9"/>
    <w:rsid w:val="009067CC"/>
    <w:rsid w:val="009103DD"/>
    <w:rsid w:val="0091122C"/>
    <w:rsid w:val="009152B4"/>
    <w:rsid w:val="00915BEB"/>
    <w:rsid w:val="00921998"/>
    <w:rsid w:val="0092210B"/>
    <w:rsid w:val="00923807"/>
    <w:rsid w:val="00923FDC"/>
    <w:rsid w:val="00931EDF"/>
    <w:rsid w:val="00933291"/>
    <w:rsid w:val="00944B63"/>
    <w:rsid w:val="00945A0F"/>
    <w:rsid w:val="0096516E"/>
    <w:rsid w:val="0096561E"/>
    <w:rsid w:val="00972DF5"/>
    <w:rsid w:val="009733A1"/>
    <w:rsid w:val="00973B60"/>
    <w:rsid w:val="009742C6"/>
    <w:rsid w:val="00980161"/>
    <w:rsid w:val="00990ACE"/>
    <w:rsid w:val="00992132"/>
    <w:rsid w:val="009933BB"/>
    <w:rsid w:val="009966BC"/>
    <w:rsid w:val="00997FA6"/>
    <w:rsid w:val="009A0300"/>
    <w:rsid w:val="009A1AEA"/>
    <w:rsid w:val="009A1D1D"/>
    <w:rsid w:val="009A6958"/>
    <w:rsid w:val="009B29AB"/>
    <w:rsid w:val="009B2BED"/>
    <w:rsid w:val="009C3160"/>
    <w:rsid w:val="009C532C"/>
    <w:rsid w:val="009D01E6"/>
    <w:rsid w:val="009D08AC"/>
    <w:rsid w:val="009D0B33"/>
    <w:rsid w:val="009D3C3E"/>
    <w:rsid w:val="009D3EC7"/>
    <w:rsid w:val="009D6173"/>
    <w:rsid w:val="009D65A2"/>
    <w:rsid w:val="009D694A"/>
    <w:rsid w:val="009D6F06"/>
    <w:rsid w:val="009E1254"/>
    <w:rsid w:val="009E6070"/>
    <w:rsid w:val="009E77B5"/>
    <w:rsid w:val="009F2FE7"/>
    <w:rsid w:val="009F4ADB"/>
    <w:rsid w:val="009F4C73"/>
    <w:rsid w:val="009F5E91"/>
    <w:rsid w:val="00A100BB"/>
    <w:rsid w:val="00A13EB2"/>
    <w:rsid w:val="00A214FD"/>
    <w:rsid w:val="00A21E95"/>
    <w:rsid w:val="00A23E93"/>
    <w:rsid w:val="00A3649B"/>
    <w:rsid w:val="00A372E7"/>
    <w:rsid w:val="00A37B54"/>
    <w:rsid w:val="00A52369"/>
    <w:rsid w:val="00A52626"/>
    <w:rsid w:val="00A534A8"/>
    <w:rsid w:val="00A63418"/>
    <w:rsid w:val="00A652F8"/>
    <w:rsid w:val="00A65E4A"/>
    <w:rsid w:val="00A706B6"/>
    <w:rsid w:val="00A73463"/>
    <w:rsid w:val="00A742D9"/>
    <w:rsid w:val="00A75337"/>
    <w:rsid w:val="00A8050D"/>
    <w:rsid w:val="00A841DB"/>
    <w:rsid w:val="00A95DD0"/>
    <w:rsid w:val="00A95F87"/>
    <w:rsid w:val="00AA0A56"/>
    <w:rsid w:val="00AA0FD0"/>
    <w:rsid w:val="00AA21AA"/>
    <w:rsid w:val="00AA29E7"/>
    <w:rsid w:val="00AA6550"/>
    <w:rsid w:val="00AA7D8A"/>
    <w:rsid w:val="00AB1A94"/>
    <w:rsid w:val="00AB59AB"/>
    <w:rsid w:val="00AC2979"/>
    <w:rsid w:val="00AC43F8"/>
    <w:rsid w:val="00AC5FCA"/>
    <w:rsid w:val="00AC668A"/>
    <w:rsid w:val="00AE4B56"/>
    <w:rsid w:val="00AE6A8E"/>
    <w:rsid w:val="00AF0978"/>
    <w:rsid w:val="00AF2F45"/>
    <w:rsid w:val="00AF577F"/>
    <w:rsid w:val="00B00407"/>
    <w:rsid w:val="00B01A3C"/>
    <w:rsid w:val="00B060D4"/>
    <w:rsid w:val="00B11BD5"/>
    <w:rsid w:val="00B12D10"/>
    <w:rsid w:val="00B1561D"/>
    <w:rsid w:val="00B24BBB"/>
    <w:rsid w:val="00B27647"/>
    <w:rsid w:val="00B350B3"/>
    <w:rsid w:val="00B4017C"/>
    <w:rsid w:val="00B44E16"/>
    <w:rsid w:val="00B4587B"/>
    <w:rsid w:val="00B5101B"/>
    <w:rsid w:val="00B64E36"/>
    <w:rsid w:val="00B67AF2"/>
    <w:rsid w:val="00B7375A"/>
    <w:rsid w:val="00B73E77"/>
    <w:rsid w:val="00B73F37"/>
    <w:rsid w:val="00B8087B"/>
    <w:rsid w:val="00B82637"/>
    <w:rsid w:val="00B85B68"/>
    <w:rsid w:val="00B90A45"/>
    <w:rsid w:val="00B91CA3"/>
    <w:rsid w:val="00B92231"/>
    <w:rsid w:val="00B93C2D"/>
    <w:rsid w:val="00B93CCB"/>
    <w:rsid w:val="00B9657F"/>
    <w:rsid w:val="00BA301B"/>
    <w:rsid w:val="00BA405A"/>
    <w:rsid w:val="00BA49DD"/>
    <w:rsid w:val="00BA4B05"/>
    <w:rsid w:val="00BA6300"/>
    <w:rsid w:val="00BA6557"/>
    <w:rsid w:val="00BA7D26"/>
    <w:rsid w:val="00BB70C1"/>
    <w:rsid w:val="00BC2BC3"/>
    <w:rsid w:val="00BC4472"/>
    <w:rsid w:val="00BC7D73"/>
    <w:rsid w:val="00BE65F4"/>
    <w:rsid w:val="00BF5CBB"/>
    <w:rsid w:val="00BF6F96"/>
    <w:rsid w:val="00BF73EC"/>
    <w:rsid w:val="00C04EF7"/>
    <w:rsid w:val="00C06CE9"/>
    <w:rsid w:val="00C144D0"/>
    <w:rsid w:val="00C31189"/>
    <w:rsid w:val="00C353D4"/>
    <w:rsid w:val="00C4322C"/>
    <w:rsid w:val="00C43844"/>
    <w:rsid w:val="00C50CBF"/>
    <w:rsid w:val="00C54F81"/>
    <w:rsid w:val="00C63089"/>
    <w:rsid w:val="00C652B0"/>
    <w:rsid w:val="00C83BB0"/>
    <w:rsid w:val="00C945D7"/>
    <w:rsid w:val="00C97381"/>
    <w:rsid w:val="00CA1B0B"/>
    <w:rsid w:val="00CA2A0F"/>
    <w:rsid w:val="00CA4B52"/>
    <w:rsid w:val="00CA7621"/>
    <w:rsid w:val="00CC2A6A"/>
    <w:rsid w:val="00CC7A9F"/>
    <w:rsid w:val="00CD40DF"/>
    <w:rsid w:val="00CE02C3"/>
    <w:rsid w:val="00CE7B37"/>
    <w:rsid w:val="00CF27FA"/>
    <w:rsid w:val="00CF7AEB"/>
    <w:rsid w:val="00D01AB4"/>
    <w:rsid w:val="00D03B49"/>
    <w:rsid w:val="00D0720F"/>
    <w:rsid w:val="00D10D66"/>
    <w:rsid w:val="00D11A38"/>
    <w:rsid w:val="00D166B8"/>
    <w:rsid w:val="00D34301"/>
    <w:rsid w:val="00D37B70"/>
    <w:rsid w:val="00D41E31"/>
    <w:rsid w:val="00D44BF6"/>
    <w:rsid w:val="00D45EB6"/>
    <w:rsid w:val="00D54809"/>
    <w:rsid w:val="00D555C6"/>
    <w:rsid w:val="00D60A9D"/>
    <w:rsid w:val="00D6581D"/>
    <w:rsid w:val="00D65FA0"/>
    <w:rsid w:val="00D6742E"/>
    <w:rsid w:val="00D75EB5"/>
    <w:rsid w:val="00D816C8"/>
    <w:rsid w:val="00D84CC8"/>
    <w:rsid w:val="00D86CC4"/>
    <w:rsid w:val="00D9177C"/>
    <w:rsid w:val="00D93D9E"/>
    <w:rsid w:val="00D962EF"/>
    <w:rsid w:val="00D967A2"/>
    <w:rsid w:val="00D97947"/>
    <w:rsid w:val="00DA06D0"/>
    <w:rsid w:val="00DA5E16"/>
    <w:rsid w:val="00DC0BEB"/>
    <w:rsid w:val="00DC1957"/>
    <w:rsid w:val="00DC2888"/>
    <w:rsid w:val="00DC3B80"/>
    <w:rsid w:val="00DC4AE7"/>
    <w:rsid w:val="00DD0211"/>
    <w:rsid w:val="00DD0B84"/>
    <w:rsid w:val="00DD187C"/>
    <w:rsid w:val="00DD2D37"/>
    <w:rsid w:val="00DD322C"/>
    <w:rsid w:val="00DD3721"/>
    <w:rsid w:val="00DE777E"/>
    <w:rsid w:val="00DF5A78"/>
    <w:rsid w:val="00E01E24"/>
    <w:rsid w:val="00E02C8D"/>
    <w:rsid w:val="00E02F32"/>
    <w:rsid w:val="00E03B37"/>
    <w:rsid w:val="00E06B04"/>
    <w:rsid w:val="00E07F19"/>
    <w:rsid w:val="00E20B06"/>
    <w:rsid w:val="00E20F5A"/>
    <w:rsid w:val="00E21F75"/>
    <w:rsid w:val="00E2797F"/>
    <w:rsid w:val="00E30853"/>
    <w:rsid w:val="00E30916"/>
    <w:rsid w:val="00E30C46"/>
    <w:rsid w:val="00E3305E"/>
    <w:rsid w:val="00E3599D"/>
    <w:rsid w:val="00E35FE1"/>
    <w:rsid w:val="00E42D58"/>
    <w:rsid w:val="00E437CF"/>
    <w:rsid w:val="00E45290"/>
    <w:rsid w:val="00E4568D"/>
    <w:rsid w:val="00E45F07"/>
    <w:rsid w:val="00E46FFD"/>
    <w:rsid w:val="00E557EE"/>
    <w:rsid w:val="00E5585E"/>
    <w:rsid w:val="00E57602"/>
    <w:rsid w:val="00E64253"/>
    <w:rsid w:val="00E86D5D"/>
    <w:rsid w:val="00E9088E"/>
    <w:rsid w:val="00E924AD"/>
    <w:rsid w:val="00EA70BE"/>
    <w:rsid w:val="00EA784A"/>
    <w:rsid w:val="00EB0326"/>
    <w:rsid w:val="00EB1647"/>
    <w:rsid w:val="00EB2AA7"/>
    <w:rsid w:val="00EB2F93"/>
    <w:rsid w:val="00EB5F68"/>
    <w:rsid w:val="00EB6E2C"/>
    <w:rsid w:val="00EC20DA"/>
    <w:rsid w:val="00EC5C63"/>
    <w:rsid w:val="00EC6E3C"/>
    <w:rsid w:val="00ED1219"/>
    <w:rsid w:val="00ED2721"/>
    <w:rsid w:val="00ED7BEF"/>
    <w:rsid w:val="00EE09C2"/>
    <w:rsid w:val="00EE14A5"/>
    <w:rsid w:val="00EE300B"/>
    <w:rsid w:val="00EE5F44"/>
    <w:rsid w:val="00EF0186"/>
    <w:rsid w:val="00EF2221"/>
    <w:rsid w:val="00EF5F6C"/>
    <w:rsid w:val="00EF73FE"/>
    <w:rsid w:val="00F016EE"/>
    <w:rsid w:val="00F03BEA"/>
    <w:rsid w:val="00F047B4"/>
    <w:rsid w:val="00F07FA1"/>
    <w:rsid w:val="00F1018B"/>
    <w:rsid w:val="00F1530B"/>
    <w:rsid w:val="00F22611"/>
    <w:rsid w:val="00F25006"/>
    <w:rsid w:val="00F26BE6"/>
    <w:rsid w:val="00F276FA"/>
    <w:rsid w:val="00F306DC"/>
    <w:rsid w:val="00F30A7D"/>
    <w:rsid w:val="00F32230"/>
    <w:rsid w:val="00F36584"/>
    <w:rsid w:val="00F445F6"/>
    <w:rsid w:val="00F45AC9"/>
    <w:rsid w:val="00F47C75"/>
    <w:rsid w:val="00F5035C"/>
    <w:rsid w:val="00F50B19"/>
    <w:rsid w:val="00F51733"/>
    <w:rsid w:val="00F55C1C"/>
    <w:rsid w:val="00F56DB9"/>
    <w:rsid w:val="00F639C7"/>
    <w:rsid w:val="00F64F08"/>
    <w:rsid w:val="00F651F4"/>
    <w:rsid w:val="00F66DCB"/>
    <w:rsid w:val="00F721AD"/>
    <w:rsid w:val="00F72CD6"/>
    <w:rsid w:val="00F735A5"/>
    <w:rsid w:val="00F80CF9"/>
    <w:rsid w:val="00F81D9C"/>
    <w:rsid w:val="00F82969"/>
    <w:rsid w:val="00F85A72"/>
    <w:rsid w:val="00F928DD"/>
    <w:rsid w:val="00F936B7"/>
    <w:rsid w:val="00FA7B6A"/>
    <w:rsid w:val="00FB1D0F"/>
    <w:rsid w:val="00FC1133"/>
    <w:rsid w:val="00FC1604"/>
    <w:rsid w:val="00FC30A3"/>
    <w:rsid w:val="00FC4710"/>
    <w:rsid w:val="00FD7819"/>
    <w:rsid w:val="00FE428F"/>
    <w:rsid w:val="00FE7D4A"/>
    <w:rsid w:val="00FF054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F82ED"/>
  <w15:docId w15:val="{AC9E9E6B-AB38-4123-BE5F-598A4D81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859"/>
    <w:pPr>
      <w:spacing w:after="0" w:line="240" w:lineRule="auto"/>
    </w:pPr>
    <w:rPr>
      <w:rFonts w:ascii="Times New Roman" w:hAnsi="Times New Roman" w:cs="Times New Roman"/>
      <w:sz w:val="24"/>
      <w:szCs w:val="24"/>
      <w:lang w:val="es-ES_tradnl" w:eastAsia="es-ES_tradnl"/>
    </w:rPr>
  </w:style>
  <w:style w:type="paragraph" w:styleId="Ttulo3">
    <w:name w:val="heading 3"/>
    <w:basedOn w:val="Normal"/>
    <w:next w:val="Normal"/>
    <w:link w:val="Ttulo3Car"/>
    <w:rsid w:val="00374363"/>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7859"/>
    <w:pPr>
      <w:ind w:left="720"/>
      <w:contextualSpacing/>
    </w:pPr>
    <w:rPr>
      <w:rFonts w:asciiTheme="minorHAnsi" w:hAnsiTheme="minorHAnsi" w:cstheme="minorBidi"/>
      <w:lang w:eastAsia="en-US"/>
    </w:rPr>
  </w:style>
  <w:style w:type="paragraph" w:styleId="Encabezado">
    <w:name w:val="header"/>
    <w:basedOn w:val="Normal"/>
    <w:link w:val="EncabezadoCar"/>
    <w:uiPriority w:val="99"/>
    <w:unhideWhenUsed/>
    <w:rsid w:val="008D7859"/>
    <w:pPr>
      <w:tabs>
        <w:tab w:val="center" w:pos="4419"/>
        <w:tab w:val="right" w:pos="8838"/>
      </w:tabs>
    </w:pPr>
    <w:rPr>
      <w:rFonts w:asciiTheme="minorHAnsi" w:hAnsiTheme="minorHAnsi" w:cstheme="minorBidi"/>
      <w:lang w:eastAsia="en-US"/>
    </w:rPr>
  </w:style>
  <w:style w:type="character" w:customStyle="1" w:styleId="EncabezadoCar">
    <w:name w:val="Encabezado Car"/>
    <w:basedOn w:val="Fuentedeprrafopredeter"/>
    <w:link w:val="Encabezado"/>
    <w:uiPriority w:val="99"/>
    <w:rsid w:val="008D7859"/>
    <w:rPr>
      <w:sz w:val="24"/>
      <w:szCs w:val="24"/>
      <w:lang w:val="es-ES_tradnl"/>
    </w:rPr>
  </w:style>
  <w:style w:type="paragraph" w:styleId="Piedepgina">
    <w:name w:val="footer"/>
    <w:basedOn w:val="Normal"/>
    <w:link w:val="PiedepginaCar"/>
    <w:uiPriority w:val="99"/>
    <w:unhideWhenUsed/>
    <w:rsid w:val="008D7859"/>
    <w:pPr>
      <w:tabs>
        <w:tab w:val="center" w:pos="4419"/>
        <w:tab w:val="right" w:pos="8838"/>
      </w:tabs>
    </w:pPr>
    <w:rPr>
      <w:rFonts w:asciiTheme="minorHAnsi" w:hAnsiTheme="minorHAnsi" w:cstheme="minorBidi"/>
      <w:lang w:eastAsia="en-US"/>
    </w:rPr>
  </w:style>
  <w:style w:type="character" w:customStyle="1" w:styleId="PiedepginaCar">
    <w:name w:val="Pie de página Car"/>
    <w:basedOn w:val="Fuentedeprrafopredeter"/>
    <w:link w:val="Piedepgina"/>
    <w:uiPriority w:val="99"/>
    <w:rsid w:val="008D7859"/>
    <w:rPr>
      <w:sz w:val="24"/>
      <w:szCs w:val="24"/>
      <w:lang w:val="es-ES_tradnl"/>
    </w:rPr>
  </w:style>
  <w:style w:type="paragraph" w:styleId="Textonotapie">
    <w:name w:val="footnote text"/>
    <w:basedOn w:val="Normal"/>
    <w:link w:val="TextonotapieCar"/>
    <w:uiPriority w:val="99"/>
    <w:unhideWhenUsed/>
    <w:rsid w:val="008D7859"/>
    <w:rPr>
      <w:rFonts w:asciiTheme="minorHAnsi" w:hAnsiTheme="minorHAnsi" w:cstheme="minorBidi"/>
      <w:lang w:eastAsia="en-US"/>
    </w:rPr>
  </w:style>
  <w:style w:type="character" w:customStyle="1" w:styleId="TextonotapieCar">
    <w:name w:val="Texto nota pie Car"/>
    <w:basedOn w:val="Fuentedeprrafopredeter"/>
    <w:link w:val="Textonotapie"/>
    <w:uiPriority w:val="99"/>
    <w:rsid w:val="008D7859"/>
    <w:rPr>
      <w:sz w:val="24"/>
      <w:szCs w:val="24"/>
      <w:lang w:val="es-ES_tradnl"/>
    </w:rPr>
  </w:style>
  <w:style w:type="character" w:styleId="Refdenotaalpie">
    <w:name w:val="footnote reference"/>
    <w:basedOn w:val="Fuentedeprrafopredeter"/>
    <w:uiPriority w:val="99"/>
    <w:unhideWhenUsed/>
    <w:rsid w:val="008D7859"/>
    <w:rPr>
      <w:vertAlign w:val="superscript"/>
    </w:rPr>
  </w:style>
  <w:style w:type="table" w:styleId="Tablaconcuadrcula">
    <w:name w:val="Table Grid"/>
    <w:basedOn w:val="Tablanormal"/>
    <w:uiPriority w:val="39"/>
    <w:rsid w:val="008D7859"/>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8D7859"/>
    <w:pPr>
      <w:spacing w:after="63" w:line="240" w:lineRule="atLeast"/>
    </w:pPr>
    <w:rPr>
      <w:rFonts w:ascii="Helvetica" w:hAnsi="Helvetica"/>
      <w:sz w:val="21"/>
      <w:szCs w:val="21"/>
    </w:rPr>
  </w:style>
  <w:style w:type="character" w:styleId="Hipervnculo">
    <w:name w:val="Hyperlink"/>
    <w:basedOn w:val="Fuentedeprrafopredeter"/>
    <w:uiPriority w:val="99"/>
    <w:unhideWhenUsed/>
    <w:rsid w:val="008D7859"/>
    <w:rPr>
      <w:color w:val="0563C1" w:themeColor="hyperlink"/>
      <w:u w:val="single"/>
    </w:rPr>
  </w:style>
  <w:style w:type="character" w:styleId="Hipervnculovisitado">
    <w:name w:val="FollowedHyperlink"/>
    <w:basedOn w:val="Fuentedeprrafopredeter"/>
    <w:uiPriority w:val="99"/>
    <w:semiHidden/>
    <w:unhideWhenUsed/>
    <w:rsid w:val="008D7859"/>
    <w:rPr>
      <w:color w:val="954F72" w:themeColor="followedHyperlink"/>
      <w:u w:val="single"/>
    </w:rPr>
  </w:style>
  <w:style w:type="paragraph" w:styleId="Sinespaciado">
    <w:name w:val="No Spacing"/>
    <w:uiPriority w:val="1"/>
    <w:qFormat/>
    <w:rsid w:val="008D7859"/>
    <w:pPr>
      <w:spacing w:after="0" w:line="240" w:lineRule="auto"/>
    </w:pPr>
    <w:rPr>
      <w:sz w:val="24"/>
      <w:szCs w:val="24"/>
      <w:lang w:val="es-ES_tradnl"/>
    </w:rPr>
  </w:style>
  <w:style w:type="character" w:styleId="Nmerodelnea">
    <w:name w:val="line number"/>
    <w:basedOn w:val="Fuentedeprrafopredeter"/>
    <w:uiPriority w:val="99"/>
    <w:semiHidden/>
    <w:unhideWhenUsed/>
    <w:rsid w:val="008D7859"/>
  </w:style>
  <w:style w:type="character" w:styleId="Textodelmarcadordeposicin">
    <w:name w:val="Placeholder Text"/>
    <w:basedOn w:val="Fuentedeprrafopredeter"/>
    <w:uiPriority w:val="99"/>
    <w:semiHidden/>
    <w:rsid w:val="008D7859"/>
    <w:rPr>
      <w:color w:val="808080"/>
    </w:rPr>
  </w:style>
  <w:style w:type="character" w:styleId="Refdecomentario">
    <w:name w:val="annotation reference"/>
    <w:basedOn w:val="Fuentedeprrafopredeter"/>
    <w:uiPriority w:val="99"/>
    <w:semiHidden/>
    <w:unhideWhenUsed/>
    <w:rsid w:val="008D7859"/>
    <w:rPr>
      <w:sz w:val="16"/>
      <w:szCs w:val="16"/>
    </w:rPr>
  </w:style>
  <w:style w:type="paragraph" w:styleId="Textocomentario">
    <w:name w:val="annotation text"/>
    <w:basedOn w:val="Normal"/>
    <w:link w:val="TextocomentarioCar"/>
    <w:uiPriority w:val="99"/>
    <w:unhideWhenUsed/>
    <w:rsid w:val="008D7859"/>
    <w:rPr>
      <w:sz w:val="20"/>
      <w:szCs w:val="20"/>
    </w:rPr>
  </w:style>
  <w:style w:type="character" w:customStyle="1" w:styleId="TextocomentarioCar">
    <w:name w:val="Texto comentario Car"/>
    <w:basedOn w:val="Fuentedeprrafopredeter"/>
    <w:link w:val="Textocomentario"/>
    <w:uiPriority w:val="99"/>
    <w:rsid w:val="008D7859"/>
    <w:rPr>
      <w:rFonts w:ascii="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8D7859"/>
    <w:rPr>
      <w:b/>
      <w:bCs/>
    </w:rPr>
  </w:style>
  <w:style w:type="character" w:customStyle="1" w:styleId="AsuntodelcomentarioCar">
    <w:name w:val="Asunto del comentario Car"/>
    <w:basedOn w:val="TextocomentarioCar"/>
    <w:link w:val="Asuntodelcomentario"/>
    <w:uiPriority w:val="99"/>
    <w:semiHidden/>
    <w:rsid w:val="008D7859"/>
    <w:rPr>
      <w:rFonts w:ascii="Times New Roman" w:hAnsi="Times New Roman" w:cs="Times New Roman"/>
      <w:b/>
      <w:bCs/>
      <w:sz w:val="20"/>
      <w:szCs w:val="20"/>
      <w:lang w:val="es-ES_tradnl" w:eastAsia="es-ES_tradnl"/>
    </w:rPr>
  </w:style>
  <w:style w:type="character" w:customStyle="1" w:styleId="Mencinsinresolver1">
    <w:name w:val="Mención sin resolver1"/>
    <w:basedOn w:val="Fuentedeprrafopredeter"/>
    <w:uiPriority w:val="99"/>
    <w:rsid w:val="008D7859"/>
    <w:rPr>
      <w:color w:val="605E5C"/>
      <w:shd w:val="clear" w:color="auto" w:fill="E1DFDD"/>
    </w:rPr>
  </w:style>
  <w:style w:type="character" w:styleId="Nmerodepgina">
    <w:name w:val="page number"/>
    <w:basedOn w:val="Fuentedeprrafopredeter"/>
    <w:uiPriority w:val="99"/>
    <w:semiHidden/>
    <w:unhideWhenUsed/>
    <w:rsid w:val="008D7859"/>
  </w:style>
  <w:style w:type="paragraph" w:styleId="NormalWeb">
    <w:name w:val="Normal (Web)"/>
    <w:basedOn w:val="Normal"/>
    <w:uiPriority w:val="99"/>
    <w:unhideWhenUsed/>
    <w:rsid w:val="008D7859"/>
    <w:pPr>
      <w:spacing w:before="100" w:beforeAutospacing="1" w:after="100" w:afterAutospacing="1"/>
    </w:pPr>
    <w:rPr>
      <w:rFonts w:eastAsia="Times New Roman"/>
      <w:lang w:val="es-MX" w:eastAsia="es-MX"/>
    </w:rPr>
  </w:style>
  <w:style w:type="paragraph" w:styleId="Textodeglobo">
    <w:name w:val="Balloon Text"/>
    <w:basedOn w:val="Normal"/>
    <w:link w:val="TextodegloboCar"/>
    <w:uiPriority w:val="99"/>
    <w:semiHidden/>
    <w:unhideWhenUsed/>
    <w:rsid w:val="002F6BE4"/>
    <w:rPr>
      <w:rFonts w:ascii="Tahoma" w:hAnsi="Tahoma" w:cs="Tahoma"/>
      <w:sz w:val="16"/>
      <w:szCs w:val="16"/>
    </w:rPr>
  </w:style>
  <w:style w:type="character" w:customStyle="1" w:styleId="TextodegloboCar">
    <w:name w:val="Texto de globo Car"/>
    <w:basedOn w:val="Fuentedeprrafopredeter"/>
    <w:link w:val="Textodeglobo"/>
    <w:uiPriority w:val="99"/>
    <w:semiHidden/>
    <w:rsid w:val="002F6BE4"/>
    <w:rPr>
      <w:rFonts w:ascii="Tahoma" w:hAnsi="Tahoma" w:cs="Tahoma"/>
      <w:sz w:val="16"/>
      <w:szCs w:val="16"/>
      <w:lang w:val="es-ES_tradnl" w:eastAsia="es-ES_tradnl"/>
    </w:rPr>
  </w:style>
  <w:style w:type="character" w:customStyle="1" w:styleId="Mencinsinresolver2">
    <w:name w:val="Mención sin resolver2"/>
    <w:basedOn w:val="Fuentedeprrafopredeter"/>
    <w:uiPriority w:val="99"/>
    <w:semiHidden/>
    <w:unhideWhenUsed/>
    <w:rsid w:val="006E4670"/>
    <w:rPr>
      <w:color w:val="605E5C"/>
      <w:shd w:val="clear" w:color="auto" w:fill="E1DFDD"/>
    </w:rPr>
  </w:style>
  <w:style w:type="character" w:styleId="Mencinsinresolver">
    <w:name w:val="Unresolved Mention"/>
    <w:basedOn w:val="Fuentedeprrafopredeter"/>
    <w:uiPriority w:val="99"/>
    <w:semiHidden/>
    <w:unhideWhenUsed/>
    <w:rsid w:val="00E3599D"/>
    <w:rPr>
      <w:color w:val="605E5C"/>
      <w:shd w:val="clear" w:color="auto" w:fill="E1DFDD"/>
    </w:rPr>
  </w:style>
  <w:style w:type="paragraph" w:styleId="HTMLconformatoprevio">
    <w:name w:val="HTML Preformatted"/>
    <w:basedOn w:val="Normal"/>
    <w:link w:val="HTMLconformatoprevioCar"/>
    <w:uiPriority w:val="99"/>
    <w:unhideWhenUsed/>
    <w:rsid w:val="00F15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F1530B"/>
    <w:rPr>
      <w:rFonts w:ascii="Courier New" w:eastAsia="Times New Roman" w:hAnsi="Courier New" w:cs="Courier New"/>
      <w:sz w:val="20"/>
      <w:szCs w:val="20"/>
      <w:lang w:eastAsia="es-MX"/>
    </w:rPr>
  </w:style>
  <w:style w:type="character" w:customStyle="1" w:styleId="Ttulo3Car">
    <w:name w:val="Título 3 Car"/>
    <w:basedOn w:val="Fuentedeprrafopredeter"/>
    <w:link w:val="Ttulo3"/>
    <w:rsid w:val="00374363"/>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dx.doi.org/10.2139/ssrn.4114193" TargetMode="External"/><Relationship Id="rId26" Type="http://schemas.openxmlformats.org/officeDocument/2006/relationships/hyperlink" Target="https://www.sciencedirect.com/science/article/abs/pii/S0272775713001544" TargetMode="External"/><Relationship Id="rId39" Type="http://schemas.openxmlformats.org/officeDocument/2006/relationships/hyperlink" Target="https://www.redalyc.org/pdf/551/55110208.pdf" TargetMode="External"/><Relationship Id="rId21" Type="http://schemas.openxmlformats.org/officeDocument/2006/relationships/hyperlink" Target="https://www.scielo.org.mx/pdf/resu/v42n166/v42n166a1.pdf" TargetMode="External"/><Relationship Id="rId34" Type="http://schemas.openxmlformats.org/officeDocument/2006/relationships/hyperlink" Target="https://conrado.ucf.edu.cu/index.php/conrado/article/view/475" TargetMode="External"/><Relationship Id="rId42" Type="http://schemas.openxmlformats.org/officeDocument/2006/relationships/hyperlink" Target="http://dx.doi.org/10.5209/rev_RCED.2015.v26.n3.44804" TargetMode="External"/><Relationship Id="rId47" Type="http://schemas.openxmlformats.org/officeDocument/2006/relationships/hyperlink" Target="http://www.scielo.org.mx/pdf/rmie/v12n34/1405-6666-rmie-12-34-1021.pdf" TargetMode="External"/><Relationship Id="rId50" Type="http://schemas.openxmlformats.org/officeDocument/2006/relationships/hyperlink" Target="http://hdl.handle.net/11362/5391"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s://usie.es/wp-content/uploads/2018/01/SP21-47-Art%C3%ADculo-Funci%C3%B3n-agentes-educaci%C3%B3n-Inger-Enkvist.pdf" TargetMode="External"/><Relationship Id="rId11" Type="http://schemas.openxmlformats.org/officeDocument/2006/relationships/hyperlink" Target="mailto:jorge.rodriguez@vallarta.tecmm.edu.mx" TargetMode="External"/><Relationship Id="rId24" Type="http://schemas.openxmlformats.org/officeDocument/2006/relationships/hyperlink" Target="https://www.scielo.org.mx/scielo.php?script=sci_arttext&amp;pid=S0188-25032017000300571" TargetMode="External"/><Relationship Id="rId32" Type="http://schemas.openxmlformats.org/officeDocument/2006/relationships/hyperlink" Target="http://dx.doi.org/10.15517/revedu.v39i2.19901" TargetMode="External"/><Relationship Id="rId37" Type="http://schemas.openxmlformats.org/officeDocument/2006/relationships/hyperlink" Target="https://doi.org/10.30827/cuadgeo.v59i1.8225" TargetMode="External"/><Relationship Id="rId40" Type="http://schemas.openxmlformats.org/officeDocument/2006/relationships/hyperlink" Target="https://onlinelibrary.wiley.com/doi/abs/10.1111/joes.12301" TargetMode="External"/><Relationship Id="rId45" Type="http://schemas.openxmlformats.org/officeDocument/2006/relationships/hyperlink" Target="http://sedici.unlp.edu.ar/handle/10915/54674"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mar&#237;a.torres@vallarta.tecmm.edu.mx" TargetMode="External"/><Relationship Id="rId19" Type="http://schemas.openxmlformats.org/officeDocument/2006/relationships/hyperlink" Target="https://doi.org/10.4438/1988-592X-RE-2020-390-464" TargetMode="External"/><Relationship Id="rId31" Type="http://schemas.openxmlformats.org/officeDocument/2006/relationships/hyperlink" Target="http://hdl.handle.net/10419/189565" TargetMode="External"/><Relationship Id="rId44" Type="http://schemas.openxmlformats.org/officeDocument/2006/relationships/hyperlink" Target="https://doi.org/10.1016/S2007-2872(14)71941-9"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eticia.velarde@vallarta.tecmm.edu.mx" TargetMode="External"/><Relationship Id="rId14" Type="http://schemas.openxmlformats.org/officeDocument/2006/relationships/image" Target="media/image2.jpeg"/><Relationship Id="rId22" Type="http://schemas.openxmlformats.org/officeDocument/2006/relationships/hyperlink" Target="https://doi.org/10.5944/educXX1.26889" TargetMode="External"/><Relationship Id="rId27" Type="http://schemas.openxmlformats.org/officeDocument/2006/relationships/hyperlink" Target="http://zaloamati.azc.uam.mx/handle/11191/2433" TargetMode="External"/><Relationship Id="rId30" Type="http://schemas.openxmlformats.org/officeDocument/2006/relationships/hyperlink" Target="http://repositorio.ual.es/bitstream/handle/10835/638/Art_9_64.pdf?sequence" TargetMode="External"/><Relationship Id="rId35" Type="http://schemas.openxmlformats.org/officeDocument/2006/relationships/hyperlink" Target="https://link.springer.com/article/10.1007/s00148-008-0221-8" TargetMode="External"/><Relationship Id="rId43" Type="http://schemas.openxmlformats.org/officeDocument/2006/relationships/hyperlink" Target="http://dx.doi.org/10.5209/rev_RCED.2015.v26.n3.44804" TargetMode="External"/><Relationship Id="rId48" Type="http://schemas.openxmlformats.org/officeDocument/2006/relationships/hyperlink" Target="http://profesionistas.org.mx/wp-content/uploads/2017/06/Encuesta-Nacional-de-Egresados.pdf" TargetMode="External"/><Relationship Id="rId8" Type="http://schemas.openxmlformats.org/officeDocument/2006/relationships/hyperlink" Target="mailto:carlos.amador@vallarta.tecmm.edu.mx"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alvaro.sanchez@vallarta.tecmm.edu.mx" TargetMode="External"/><Relationship Id="rId17" Type="http://schemas.openxmlformats.org/officeDocument/2006/relationships/image" Target="media/image5.png"/><Relationship Id="rId25" Type="http://schemas.openxmlformats.org/officeDocument/2006/relationships/hyperlink" Target="https://www.scielo.org.mx/scielo.php?pid=S0185-27602013000100007&amp;script=sci_arttext" TargetMode="External"/><Relationship Id="rId33" Type="http://schemas.openxmlformats.org/officeDocument/2006/relationships/hyperlink" Target="https://www.redalyc.org/pdf/140/14002210.pdf" TargetMode="External"/><Relationship Id="rId38" Type="http://schemas.openxmlformats.org/officeDocument/2006/relationships/hyperlink" Target="http://pepsic.bvsalud.org/pdf/pee/v2n2/v2n2a10.pdf" TargetMode="External"/><Relationship Id="rId46" Type="http://schemas.openxmlformats.org/officeDocument/2006/relationships/hyperlink" Target="https://doi.org/10.1787/5jrw4bz6hl43-en" TargetMode="External"/><Relationship Id="rId20" Type="http://schemas.openxmlformats.org/officeDocument/2006/relationships/hyperlink" Target="https://doi.org/10.7203/relieve.12.1.4241" TargetMode="External"/><Relationship Id="rId41" Type="http://schemas.openxmlformats.org/officeDocument/2006/relationships/hyperlink" Target="https://www.tandfonline.com/doi/abs/10.3200/JOEB.81.3.151-159"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revistapublicando.org/revista/index.php/crv/article/view/427" TargetMode="External"/><Relationship Id="rId28" Type="http://schemas.openxmlformats.org/officeDocument/2006/relationships/hyperlink" Target="https://www.nber.org/papers/w14006" TargetMode="External"/><Relationship Id="rId36" Type="http://schemas.openxmlformats.org/officeDocument/2006/relationships/hyperlink" Target="https://publicaciones.eafit.edu.co/index.php/cuadernos-investigacion/issue/download/156/22" TargetMode="External"/><Relationship Id="rId49" Type="http://schemas.openxmlformats.org/officeDocument/2006/relationships/hyperlink" Target="https://opinionpublica.uvm.mx/sites/default/files/reportes/UVM_Brochure_V30062021.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6A2AA-B6BC-432F-B81B-B6953703F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27</Pages>
  <Words>8813</Words>
  <Characters>48477</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Gustavo Toledo</cp:lastModifiedBy>
  <cp:revision>17</cp:revision>
  <cp:lastPrinted>2024-06-21T23:10:00Z</cp:lastPrinted>
  <dcterms:created xsi:type="dcterms:W3CDTF">2023-11-27T05:03:00Z</dcterms:created>
  <dcterms:modified xsi:type="dcterms:W3CDTF">2024-06-21T23:10:00Z</dcterms:modified>
</cp:coreProperties>
</file>