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ECFE4" w14:textId="70991860" w:rsidR="00D53B2F" w:rsidRPr="0056654A" w:rsidRDefault="0056654A" w:rsidP="009D28BE">
      <w:pPr>
        <w:spacing w:before="240" w:line="360" w:lineRule="auto"/>
        <w:ind w:firstLine="0"/>
        <w:contextualSpacing w:val="0"/>
        <w:jc w:val="right"/>
        <w:rPr>
          <w:rFonts w:ascii="Times New Roman" w:hAnsi="Times New Roman"/>
          <w:b/>
          <w:bCs/>
          <w:i/>
          <w:iCs/>
          <w:color w:val="000000" w:themeColor="text1"/>
          <w:sz w:val="24"/>
          <w:szCs w:val="24"/>
          <w:lang w:val="en-US"/>
        </w:rPr>
      </w:pPr>
      <w:r w:rsidRPr="0056654A">
        <w:rPr>
          <w:rFonts w:ascii="Times New Roman" w:hAnsi="Times New Roman"/>
          <w:b/>
          <w:bCs/>
          <w:i/>
          <w:iCs/>
          <w:color w:val="000000" w:themeColor="text1"/>
          <w:sz w:val="24"/>
          <w:szCs w:val="24"/>
          <w:lang w:val="en-US"/>
        </w:rPr>
        <w:t>https://doi.org/10.23913/ride.v16i31.2569</w:t>
      </w:r>
    </w:p>
    <w:p w14:paraId="7F0B0403" w14:textId="3DF62BF6" w:rsidR="00D53B2F" w:rsidRDefault="009D28BE" w:rsidP="009D28BE">
      <w:pPr>
        <w:spacing w:before="240" w:line="360" w:lineRule="auto"/>
        <w:ind w:firstLine="0"/>
        <w:contextualSpacing w:val="0"/>
        <w:jc w:val="right"/>
        <w:rPr>
          <w:rFonts w:ascii="Times New Roman" w:hAnsi="Times New Roman" w:cs="Times New Roman"/>
          <w:b/>
          <w:bCs/>
          <w:sz w:val="32"/>
          <w:szCs w:val="32"/>
          <w:lang w:val="en-US"/>
        </w:rPr>
      </w:pPr>
      <w:proofErr w:type="spellStart"/>
      <w:r w:rsidRPr="00F25151">
        <w:rPr>
          <w:rFonts w:ascii="Times New Roman" w:hAnsi="Times New Roman"/>
          <w:b/>
          <w:bCs/>
          <w:i/>
          <w:iCs/>
          <w:color w:val="000000" w:themeColor="text1"/>
          <w:sz w:val="24"/>
          <w:szCs w:val="24"/>
          <w:lang w:val="en-US"/>
        </w:rPr>
        <w:t>Artículos</w:t>
      </w:r>
      <w:proofErr w:type="spellEnd"/>
      <w:r w:rsidRPr="00F25151">
        <w:rPr>
          <w:rFonts w:ascii="Times New Roman" w:hAnsi="Times New Roman"/>
          <w:b/>
          <w:bCs/>
          <w:i/>
          <w:iCs/>
          <w:color w:val="000000" w:themeColor="text1"/>
          <w:sz w:val="24"/>
          <w:szCs w:val="24"/>
          <w:lang w:val="en-US"/>
        </w:rPr>
        <w:t xml:space="preserve"> </w:t>
      </w:r>
      <w:proofErr w:type="spellStart"/>
      <w:r w:rsidRPr="00F25151">
        <w:rPr>
          <w:rFonts w:ascii="Times New Roman" w:hAnsi="Times New Roman"/>
          <w:b/>
          <w:bCs/>
          <w:i/>
          <w:iCs/>
          <w:color w:val="000000" w:themeColor="text1"/>
          <w:sz w:val="24"/>
          <w:szCs w:val="24"/>
          <w:lang w:val="en-US"/>
        </w:rPr>
        <w:t>científicos</w:t>
      </w:r>
      <w:proofErr w:type="spellEnd"/>
    </w:p>
    <w:p w14:paraId="6C4B601F" w14:textId="371A17AC" w:rsidR="00AF27F4" w:rsidRPr="00F25151" w:rsidRDefault="00C648B8" w:rsidP="009D28BE">
      <w:pPr>
        <w:spacing w:line="276" w:lineRule="auto"/>
        <w:ind w:firstLine="0"/>
        <w:jc w:val="right"/>
        <w:rPr>
          <w:rFonts w:ascii="Calibri" w:hAnsi="Calibri" w:cs="Calibri"/>
          <w:b/>
          <w:sz w:val="32"/>
          <w:szCs w:val="32"/>
          <w:lang w:val="en-US"/>
        </w:rPr>
      </w:pPr>
      <w:r w:rsidRPr="00F25151">
        <w:rPr>
          <w:rFonts w:ascii="Calibri" w:hAnsi="Calibri" w:cs="Calibri"/>
          <w:b/>
          <w:sz w:val="32"/>
          <w:szCs w:val="32"/>
          <w:lang w:val="en-US"/>
        </w:rPr>
        <w:t>Socioeconomic and demographic determinants of cognitive skills in Mexico: PIAAC evidence</w:t>
      </w:r>
    </w:p>
    <w:p w14:paraId="1AC66F15" w14:textId="77777777" w:rsidR="00FC18BF" w:rsidRPr="00F25151" w:rsidRDefault="00C648B8" w:rsidP="009D28BE">
      <w:pPr>
        <w:spacing w:line="276" w:lineRule="auto"/>
        <w:ind w:firstLine="0"/>
        <w:jc w:val="right"/>
        <w:rPr>
          <w:rFonts w:ascii="Calibri" w:hAnsi="Calibri" w:cs="Calibri"/>
          <w:b/>
          <w:sz w:val="32"/>
          <w:szCs w:val="32"/>
          <w:lang w:val="en-US"/>
        </w:rPr>
      </w:pPr>
      <w:r w:rsidRPr="00F25151">
        <w:rPr>
          <w:rFonts w:ascii="Calibri" w:hAnsi="Calibri" w:cs="Calibri"/>
          <w:b/>
          <w:sz w:val="32"/>
          <w:szCs w:val="32"/>
          <w:lang w:val="en-US"/>
        </w:rPr>
        <w:t xml:space="preserve"> </w:t>
      </w:r>
    </w:p>
    <w:p w14:paraId="5B2B9C97" w14:textId="0B5364A4" w:rsidR="000F48CF" w:rsidRPr="009D28BE" w:rsidRDefault="00C648B8" w:rsidP="009D28BE">
      <w:pPr>
        <w:spacing w:line="276" w:lineRule="auto"/>
        <w:ind w:firstLine="0"/>
        <w:jc w:val="right"/>
        <w:rPr>
          <w:rFonts w:ascii="Calibri" w:hAnsi="Calibri" w:cs="Calibri"/>
          <w:b/>
          <w:i/>
          <w:iCs/>
          <w:sz w:val="28"/>
          <w:szCs w:val="28"/>
        </w:rPr>
      </w:pPr>
      <w:r w:rsidRPr="009D28BE">
        <w:rPr>
          <w:rFonts w:ascii="Calibri" w:hAnsi="Calibri" w:cs="Calibri"/>
          <w:b/>
          <w:i/>
          <w:iCs/>
          <w:sz w:val="28"/>
          <w:szCs w:val="28"/>
        </w:rPr>
        <w:t xml:space="preserve">Determinantes socioeconómicos y demográficos de las habilidades cognitivas en </w:t>
      </w:r>
      <w:r w:rsidR="00E840A5" w:rsidRPr="009D28BE">
        <w:rPr>
          <w:rFonts w:ascii="Calibri" w:hAnsi="Calibri" w:cs="Calibri"/>
          <w:b/>
          <w:i/>
          <w:iCs/>
          <w:sz w:val="28"/>
          <w:szCs w:val="28"/>
        </w:rPr>
        <w:t>M</w:t>
      </w:r>
      <w:r w:rsidRPr="009D28BE">
        <w:rPr>
          <w:rFonts w:ascii="Calibri" w:hAnsi="Calibri" w:cs="Calibri"/>
          <w:b/>
          <w:i/>
          <w:iCs/>
          <w:sz w:val="28"/>
          <w:szCs w:val="28"/>
        </w:rPr>
        <w:t xml:space="preserve">éxico: evidencia </w:t>
      </w:r>
      <w:r w:rsidR="00E840A5" w:rsidRPr="009D28BE">
        <w:rPr>
          <w:rFonts w:ascii="Calibri" w:hAnsi="Calibri" w:cs="Calibri"/>
          <w:b/>
          <w:i/>
          <w:iCs/>
          <w:sz w:val="28"/>
          <w:szCs w:val="28"/>
        </w:rPr>
        <w:t>PIAAC</w:t>
      </w:r>
    </w:p>
    <w:p w14:paraId="2608812E" w14:textId="77777777" w:rsidR="009D28BE" w:rsidRPr="009D28BE" w:rsidRDefault="009D28BE" w:rsidP="009D28BE">
      <w:pPr>
        <w:spacing w:line="276" w:lineRule="auto"/>
        <w:ind w:firstLine="0"/>
        <w:jc w:val="right"/>
        <w:rPr>
          <w:rFonts w:ascii="Calibri" w:hAnsi="Calibri" w:cs="Calibri"/>
          <w:b/>
          <w:i/>
          <w:iCs/>
          <w:sz w:val="24"/>
          <w:szCs w:val="24"/>
        </w:rPr>
      </w:pPr>
    </w:p>
    <w:p w14:paraId="2483C323" w14:textId="1C092621" w:rsidR="009D28BE" w:rsidRPr="00F25151" w:rsidRDefault="009D28BE" w:rsidP="009D28BE">
      <w:pPr>
        <w:spacing w:line="276" w:lineRule="auto"/>
        <w:ind w:firstLine="0"/>
        <w:jc w:val="right"/>
        <w:rPr>
          <w:rFonts w:ascii="Calibri" w:hAnsi="Calibri" w:cs="Calibri"/>
          <w:b/>
          <w:i/>
          <w:iCs/>
          <w:sz w:val="28"/>
          <w:szCs w:val="28"/>
          <w:lang w:val="pt-BR"/>
        </w:rPr>
      </w:pPr>
      <w:r w:rsidRPr="00F25151">
        <w:rPr>
          <w:rFonts w:ascii="Calibri" w:hAnsi="Calibri" w:cs="Calibri"/>
          <w:b/>
          <w:i/>
          <w:iCs/>
          <w:sz w:val="28"/>
          <w:szCs w:val="28"/>
          <w:lang w:val="pt-BR"/>
        </w:rPr>
        <w:t>Determinantes socioeconômicos e demográficos das habilidades cognitivas no México: evidências do PIAAC</w:t>
      </w:r>
    </w:p>
    <w:p w14:paraId="6366CA03" w14:textId="77777777" w:rsidR="00E85431" w:rsidRPr="00F25151" w:rsidRDefault="00E85431" w:rsidP="009D28BE">
      <w:pPr>
        <w:spacing w:line="360" w:lineRule="auto"/>
        <w:ind w:firstLine="0"/>
        <w:jc w:val="right"/>
        <w:rPr>
          <w:rFonts w:ascii="Calibri" w:hAnsi="Calibri" w:cs="Calibri"/>
          <w:b/>
          <w:bCs/>
          <w:sz w:val="24"/>
          <w:szCs w:val="24"/>
          <w:lang w:val="pt-BR"/>
        </w:rPr>
      </w:pPr>
    </w:p>
    <w:p w14:paraId="0F0F3C05" w14:textId="7D7F85EF" w:rsidR="00E85431" w:rsidRPr="009D28BE" w:rsidRDefault="00C648B8" w:rsidP="009D28BE">
      <w:pPr>
        <w:spacing w:after="0" w:line="276" w:lineRule="auto"/>
        <w:ind w:firstLine="0"/>
        <w:jc w:val="right"/>
        <w:rPr>
          <w:rFonts w:cstheme="minorHAnsi"/>
          <w:b/>
          <w:bCs/>
          <w:sz w:val="24"/>
          <w:szCs w:val="24"/>
        </w:rPr>
      </w:pPr>
      <w:r w:rsidRPr="009D28BE">
        <w:rPr>
          <w:rFonts w:cstheme="minorHAnsi"/>
          <w:b/>
          <w:bCs/>
          <w:sz w:val="24"/>
          <w:szCs w:val="24"/>
        </w:rPr>
        <w:t>Beatriz M. Terán-Pérez</w:t>
      </w:r>
    </w:p>
    <w:p w14:paraId="2093E129" w14:textId="110E3841" w:rsidR="00F45D68" w:rsidRPr="009D28BE" w:rsidRDefault="00C648B8" w:rsidP="009D28BE">
      <w:pPr>
        <w:spacing w:after="0" w:line="276" w:lineRule="auto"/>
        <w:ind w:firstLine="0"/>
        <w:jc w:val="right"/>
        <w:rPr>
          <w:rFonts w:ascii="Times New Roman" w:hAnsi="Times New Roman" w:cs="Times New Roman"/>
          <w:sz w:val="24"/>
          <w:szCs w:val="24"/>
        </w:rPr>
      </w:pPr>
      <w:r w:rsidRPr="009D28BE">
        <w:rPr>
          <w:rFonts w:ascii="Times New Roman" w:hAnsi="Times New Roman" w:cs="Times New Roman"/>
          <w:sz w:val="24"/>
          <w:szCs w:val="24"/>
        </w:rPr>
        <w:t xml:space="preserve">Universidad Autónoma de Sinaloa, </w:t>
      </w:r>
      <w:r w:rsidR="00983F59" w:rsidRPr="009D28BE">
        <w:rPr>
          <w:rFonts w:ascii="Times New Roman" w:hAnsi="Times New Roman" w:cs="Times New Roman"/>
          <w:sz w:val="24"/>
          <w:szCs w:val="24"/>
        </w:rPr>
        <w:t>Facultad de Ciencias Económicas y Sociales</w:t>
      </w:r>
      <w:r w:rsidR="009D28BE">
        <w:rPr>
          <w:rFonts w:ascii="Times New Roman" w:hAnsi="Times New Roman" w:cs="Times New Roman"/>
          <w:sz w:val="24"/>
          <w:szCs w:val="24"/>
        </w:rPr>
        <w:t>, México</w:t>
      </w:r>
    </w:p>
    <w:p w14:paraId="24E10156" w14:textId="4EE395AC" w:rsidR="008F2CE7" w:rsidRPr="009D28BE" w:rsidRDefault="008F2CE7" w:rsidP="009D28BE">
      <w:pPr>
        <w:spacing w:after="0" w:line="276" w:lineRule="auto"/>
        <w:ind w:firstLine="0"/>
        <w:jc w:val="right"/>
        <w:rPr>
          <w:rFonts w:cstheme="minorHAnsi"/>
          <w:color w:val="EE0000"/>
          <w:sz w:val="24"/>
          <w:szCs w:val="24"/>
        </w:rPr>
      </w:pPr>
      <w:r w:rsidRPr="009D28BE">
        <w:rPr>
          <w:rFonts w:cstheme="minorHAnsi"/>
          <w:color w:val="EE0000"/>
          <w:sz w:val="24"/>
          <w:szCs w:val="24"/>
        </w:rPr>
        <w:t>bea.teran@uas.edu.mx</w:t>
      </w:r>
    </w:p>
    <w:p w14:paraId="12BC1456" w14:textId="52EEB1B4" w:rsidR="001B70B0" w:rsidRPr="009D28BE" w:rsidRDefault="001B70B0" w:rsidP="009D28BE">
      <w:pPr>
        <w:spacing w:after="0" w:line="276" w:lineRule="auto"/>
        <w:ind w:firstLine="0"/>
        <w:jc w:val="right"/>
        <w:rPr>
          <w:rFonts w:ascii="Times New Roman" w:hAnsi="Times New Roman" w:cs="Times New Roman"/>
          <w:sz w:val="24"/>
          <w:szCs w:val="24"/>
        </w:rPr>
      </w:pPr>
      <w:r w:rsidRPr="009D28BE">
        <w:rPr>
          <w:rFonts w:ascii="Times New Roman" w:hAnsi="Times New Roman" w:cs="Times New Roman"/>
          <w:sz w:val="24"/>
          <w:szCs w:val="24"/>
        </w:rPr>
        <w:t>https://orcid.org/0000-0002-7561-9938</w:t>
      </w:r>
    </w:p>
    <w:p w14:paraId="323BE914" w14:textId="77777777" w:rsidR="00983F59" w:rsidRPr="003F47B1" w:rsidRDefault="00983F59" w:rsidP="009D28BE">
      <w:pPr>
        <w:spacing w:after="0" w:line="276" w:lineRule="auto"/>
        <w:ind w:firstLine="0"/>
        <w:jc w:val="right"/>
        <w:rPr>
          <w:rFonts w:ascii="Times New Roman" w:hAnsi="Times New Roman" w:cs="Times New Roman"/>
          <w:sz w:val="28"/>
          <w:szCs w:val="28"/>
        </w:rPr>
      </w:pPr>
    </w:p>
    <w:p w14:paraId="5DE5C78D" w14:textId="10642103" w:rsidR="00F45D68" w:rsidRPr="009D28BE" w:rsidRDefault="00C648B8" w:rsidP="009D28BE">
      <w:pPr>
        <w:spacing w:after="0" w:line="276" w:lineRule="auto"/>
        <w:ind w:firstLine="0"/>
        <w:jc w:val="right"/>
        <w:rPr>
          <w:rFonts w:cstheme="minorHAnsi"/>
          <w:b/>
          <w:bCs/>
          <w:sz w:val="24"/>
          <w:szCs w:val="24"/>
        </w:rPr>
      </w:pPr>
      <w:r w:rsidRPr="009D28BE">
        <w:rPr>
          <w:rFonts w:cstheme="minorHAnsi"/>
          <w:b/>
          <w:bCs/>
          <w:sz w:val="24"/>
          <w:szCs w:val="24"/>
        </w:rPr>
        <w:t>Norma Aida Valenzuela S</w:t>
      </w:r>
      <w:r w:rsidR="001110D1" w:rsidRPr="009D28BE">
        <w:rPr>
          <w:rFonts w:cstheme="minorHAnsi"/>
          <w:b/>
          <w:bCs/>
          <w:sz w:val="24"/>
          <w:szCs w:val="24"/>
        </w:rPr>
        <w:t>á</w:t>
      </w:r>
      <w:r w:rsidRPr="009D28BE">
        <w:rPr>
          <w:rFonts w:cstheme="minorHAnsi"/>
          <w:b/>
          <w:bCs/>
          <w:sz w:val="24"/>
          <w:szCs w:val="24"/>
        </w:rPr>
        <w:t>nchez</w:t>
      </w:r>
    </w:p>
    <w:p w14:paraId="40358D04" w14:textId="4AD21C9E" w:rsidR="00983F59" w:rsidRPr="009D28BE" w:rsidRDefault="009D28BE" w:rsidP="009D28BE">
      <w:pPr>
        <w:spacing w:after="0" w:line="276" w:lineRule="auto"/>
        <w:ind w:firstLine="0"/>
        <w:jc w:val="right"/>
        <w:rPr>
          <w:rFonts w:cstheme="minorHAnsi"/>
          <w:color w:val="EE0000"/>
          <w:sz w:val="24"/>
          <w:szCs w:val="24"/>
        </w:rPr>
      </w:pPr>
      <w:r w:rsidRPr="009D28BE">
        <w:rPr>
          <w:rFonts w:ascii="Times New Roman" w:hAnsi="Times New Roman" w:cs="Times New Roman"/>
          <w:sz w:val="24"/>
          <w:szCs w:val="24"/>
        </w:rPr>
        <w:t>Universidad Autónoma de Sinaloa, Facultad de Ciencias Económicas y Sociales</w:t>
      </w:r>
      <w:r>
        <w:rPr>
          <w:rFonts w:ascii="Times New Roman" w:hAnsi="Times New Roman" w:cs="Times New Roman"/>
          <w:sz w:val="24"/>
          <w:szCs w:val="24"/>
        </w:rPr>
        <w:t>, México</w:t>
      </w:r>
      <w:r>
        <w:t xml:space="preserve"> </w:t>
      </w:r>
      <w:r w:rsidR="00983F59" w:rsidRPr="009D28BE">
        <w:rPr>
          <w:rFonts w:cstheme="minorHAnsi"/>
          <w:color w:val="EE0000"/>
          <w:sz w:val="24"/>
          <w:szCs w:val="24"/>
        </w:rPr>
        <w:t>normavalenzuela@uas.edu.mx</w:t>
      </w:r>
    </w:p>
    <w:p w14:paraId="22FDE027" w14:textId="253CBA82" w:rsidR="00531283" w:rsidRPr="00F25151" w:rsidRDefault="00531283" w:rsidP="009D28BE">
      <w:pPr>
        <w:spacing w:after="0" w:line="276" w:lineRule="auto"/>
        <w:ind w:firstLine="0"/>
        <w:jc w:val="right"/>
        <w:rPr>
          <w:rFonts w:ascii="Times New Roman" w:hAnsi="Times New Roman" w:cs="Times New Roman"/>
          <w:sz w:val="24"/>
          <w:szCs w:val="24"/>
          <w:lang w:val="en-US"/>
        </w:rPr>
      </w:pPr>
      <w:r w:rsidRPr="00F25151">
        <w:rPr>
          <w:rFonts w:ascii="Times New Roman" w:hAnsi="Times New Roman" w:cs="Times New Roman"/>
          <w:sz w:val="24"/>
          <w:szCs w:val="24"/>
          <w:lang w:val="en-US"/>
        </w:rPr>
        <w:t>https://orcid.org/0000-0003-3415-182X</w:t>
      </w:r>
    </w:p>
    <w:p w14:paraId="421A8FAA" w14:textId="77777777" w:rsidR="00531283" w:rsidRPr="00F25151" w:rsidRDefault="00531283" w:rsidP="00F45D68">
      <w:pPr>
        <w:spacing w:line="240" w:lineRule="auto"/>
        <w:ind w:firstLine="0"/>
        <w:jc w:val="both"/>
        <w:rPr>
          <w:rFonts w:ascii="Times New Roman" w:hAnsi="Times New Roman" w:cs="Times New Roman"/>
          <w:sz w:val="24"/>
          <w:szCs w:val="24"/>
          <w:lang w:val="en-US"/>
        </w:rPr>
      </w:pPr>
    </w:p>
    <w:p w14:paraId="39F22927" w14:textId="77777777" w:rsidR="00FC18BF" w:rsidRDefault="00FC18BF" w:rsidP="00C93E2A">
      <w:pPr>
        <w:spacing w:line="240" w:lineRule="auto"/>
        <w:ind w:firstLine="0"/>
        <w:jc w:val="both"/>
        <w:rPr>
          <w:rFonts w:ascii="Calibri" w:hAnsi="Calibri" w:cs="Calibri"/>
          <w:b/>
          <w:bCs/>
          <w:sz w:val="24"/>
          <w:szCs w:val="24"/>
          <w:lang w:val="en-US"/>
        </w:rPr>
      </w:pPr>
    </w:p>
    <w:p w14:paraId="7170ABE8" w14:textId="0A0A59EB" w:rsidR="003A3034" w:rsidRPr="002B5B1C" w:rsidRDefault="00C648B8" w:rsidP="009D28BE">
      <w:pPr>
        <w:spacing w:line="360" w:lineRule="auto"/>
        <w:ind w:firstLine="0"/>
        <w:jc w:val="both"/>
        <w:rPr>
          <w:rFonts w:ascii="Times New Roman" w:hAnsi="Times New Roman" w:cs="Times New Roman"/>
          <w:b/>
          <w:sz w:val="28"/>
          <w:szCs w:val="28"/>
          <w:lang w:val="en-US"/>
        </w:rPr>
      </w:pPr>
      <w:r w:rsidRPr="002B5B1C">
        <w:rPr>
          <w:rFonts w:ascii="Times New Roman" w:hAnsi="Times New Roman" w:cs="Times New Roman"/>
          <w:b/>
          <w:sz w:val="28"/>
          <w:szCs w:val="28"/>
          <w:lang w:val="en-US"/>
        </w:rPr>
        <w:t>Abstract</w:t>
      </w:r>
    </w:p>
    <w:p w14:paraId="45A9B967" w14:textId="02F39715" w:rsidR="003F60BB" w:rsidRPr="009D28BE" w:rsidRDefault="003F60BB" w:rsidP="002B5B1C">
      <w:pPr>
        <w:spacing w:line="360" w:lineRule="auto"/>
        <w:ind w:firstLine="0"/>
        <w:jc w:val="both"/>
        <w:rPr>
          <w:rFonts w:ascii="Times New Roman" w:hAnsi="Times New Roman" w:cs="Times New Roman"/>
          <w:bCs/>
          <w:sz w:val="24"/>
          <w:szCs w:val="24"/>
          <w:lang w:val="en-US"/>
        </w:rPr>
      </w:pPr>
      <w:r w:rsidRPr="009D28BE">
        <w:rPr>
          <w:rFonts w:ascii="Times New Roman" w:hAnsi="Times New Roman" w:cs="Times New Roman"/>
          <w:bCs/>
          <w:sz w:val="24"/>
          <w:szCs w:val="24"/>
          <w:lang w:val="en-US"/>
        </w:rPr>
        <w:t>The main objective of this article is to examine the determinants of cognitive skills in the adult population of Mexico, as measured by the Program for the International Assessment of Adult Competencies (PIAAC). A multiple linear regression model is estimated, which enables the quantification of the effect of various socioeconomic and demographic variables on individuals’ cognitive skills. Regarding gender, men show an advantage in numeracy skills, while women tend to excel in literacy skills. However, deteriorating health and advancing age negatively affect cognitive performance. Furthermore, education level, work experience, and participation in training courses positively and significantly influence these skills. These findings provide robust evidence on the importance of investment in formal and non-formal education and training, as well as the need for policies that promote the continuous improvement of cognitive skills throughout working life.</w:t>
      </w:r>
    </w:p>
    <w:p w14:paraId="6829F3A6" w14:textId="40AECF9B" w:rsidR="003A3034" w:rsidRPr="009D28BE" w:rsidRDefault="00C648B8" w:rsidP="002B5B1C">
      <w:pPr>
        <w:spacing w:line="360" w:lineRule="auto"/>
        <w:ind w:firstLine="0"/>
        <w:jc w:val="both"/>
        <w:rPr>
          <w:rFonts w:ascii="Times New Roman" w:hAnsi="Times New Roman" w:cs="Times New Roman"/>
          <w:sz w:val="24"/>
          <w:szCs w:val="24"/>
          <w:lang w:val="en-US"/>
        </w:rPr>
      </w:pPr>
      <w:r w:rsidRPr="0056654A">
        <w:rPr>
          <w:rFonts w:cstheme="minorHAnsi"/>
          <w:b/>
          <w:sz w:val="28"/>
          <w:szCs w:val="28"/>
          <w:lang w:val="en-US"/>
        </w:rPr>
        <w:lastRenderedPageBreak/>
        <w:t>Keywords:</w:t>
      </w:r>
      <w:r w:rsidRPr="009D28BE">
        <w:rPr>
          <w:rFonts w:ascii="Times New Roman" w:hAnsi="Times New Roman" w:cs="Times New Roman"/>
          <w:sz w:val="24"/>
          <w:szCs w:val="24"/>
          <w:lang w:val="en-US"/>
        </w:rPr>
        <w:t xml:space="preserve"> </w:t>
      </w:r>
      <w:r w:rsidR="004A2B89" w:rsidRPr="009D28BE">
        <w:rPr>
          <w:rFonts w:ascii="Times New Roman" w:hAnsi="Times New Roman" w:cs="Times New Roman"/>
          <w:sz w:val="24"/>
          <w:szCs w:val="24"/>
          <w:lang w:val="en-US"/>
        </w:rPr>
        <w:t xml:space="preserve">competencies, </w:t>
      </w:r>
      <w:r w:rsidRPr="009D28BE">
        <w:rPr>
          <w:rFonts w:ascii="Times New Roman" w:hAnsi="Times New Roman" w:cs="Times New Roman"/>
          <w:sz w:val="24"/>
          <w:szCs w:val="24"/>
          <w:lang w:val="en-US"/>
        </w:rPr>
        <w:t xml:space="preserve">education, human capital, </w:t>
      </w:r>
      <w:r w:rsidR="00B909CF" w:rsidRPr="009D28BE">
        <w:rPr>
          <w:rFonts w:ascii="Times New Roman" w:hAnsi="Times New Roman" w:cs="Times New Roman"/>
          <w:sz w:val="24"/>
          <w:szCs w:val="24"/>
          <w:lang w:val="en-US"/>
        </w:rPr>
        <w:t xml:space="preserve">PIAAC, </w:t>
      </w:r>
      <w:r w:rsidRPr="009D28BE">
        <w:rPr>
          <w:rFonts w:ascii="Times New Roman" w:hAnsi="Times New Roman" w:cs="Times New Roman"/>
          <w:sz w:val="24"/>
          <w:szCs w:val="24"/>
          <w:lang w:val="en-US"/>
        </w:rPr>
        <w:t>skills</w:t>
      </w:r>
      <w:r w:rsidR="009D28BE">
        <w:rPr>
          <w:rFonts w:ascii="Times New Roman" w:hAnsi="Times New Roman" w:cs="Times New Roman"/>
          <w:sz w:val="24"/>
          <w:szCs w:val="24"/>
          <w:lang w:val="en-US"/>
        </w:rPr>
        <w:t>.</w:t>
      </w:r>
    </w:p>
    <w:p w14:paraId="4B3037C5" w14:textId="77777777" w:rsidR="00C70732" w:rsidRPr="00F25151" w:rsidRDefault="00C70732" w:rsidP="00733D2F">
      <w:pPr>
        <w:spacing w:line="360" w:lineRule="auto"/>
        <w:ind w:firstLine="0"/>
        <w:rPr>
          <w:rFonts w:ascii="Times New Roman" w:hAnsi="Times New Roman" w:cs="Times New Roman"/>
          <w:b/>
          <w:bCs/>
          <w:sz w:val="24"/>
          <w:szCs w:val="24"/>
          <w:lang w:val="en-US"/>
        </w:rPr>
      </w:pPr>
    </w:p>
    <w:p w14:paraId="237193BB" w14:textId="3213A333" w:rsidR="002E4BF8" w:rsidRPr="009D28BE" w:rsidRDefault="00C648B8" w:rsidP="002B5B1C">
      <w:pPr>
        <w:spacing w:line="360" w:lineRule="auto"/>
        <w:ind w:firstLine="0"/>
        <w:jc w:val="both"/>
        <w:rPr>
          <w:rFonts w:cstheme="minorHAnsi"/>
          <w:bCs/>
          <w:sz w:val="28"/>
          <w:szCs w:val="28"/>
        </w:rPr>
      </w:pPr>
      <w:r w:rsidRPr="009D28BE">
        <w:rPr>
          <w:rFonts w:cstheme="minorHAnsi"/>
          <w:b/>
          <w:sz w:val="28"/>
          <w:szCs w:val="28"/>
        </w:rPr>
        <w:t>Resumen</w:t>
      </w:r>
      <w:r w:rsidR="0069389B" w:rsidRPr="009D28BE">
        <w:rPr>
          <w:rFonts w:cstheme="minorHAnsi"/>
          <w:bCs/>
          <w:sz w:val="28"/>
          <w:szCs w:val="28"/>
        </w:rPr>
        <w:tab/>
      </w:r>
      <w:r w:rsidR="0069389B" w:rsidRPr="009D28BE">
        <w:rPr>
          <w:rFonts w:cstheme="minorHAnsi"/>
          <w:bCs/>
          <w:sz w:val="28"/>
          <w:szCs w:val="28"/>
        </w:rPr>
        <w:tab/>
      </w:r>
    </w:p>
    <w:p w14:paraId="665F659B" w14:textId="7CB0B02A" w:rsidR="0062160F" w:rsidRPr="009D28BE" w:rsidRDefault="0062160F" w:rsidP="00B9619F">
      <w:pPr>
        <w:spacing w:line="360" w:lineRule="auto"/>
        <w:ind w:firstLine="0"/>
        <w:jc w:val="both"/>
        <w:rPr>
          <w:rFonts w:ascii="Times New Roman" w:hAnsi="Times New Roman" w:cs="Times New Roman"/>
          <w:sz w:val="24"/>
          <w:szCs w:val="24"/>
        </w:rPr>
      </w:pPr>
      <w:r w:rsidRPr="009D28BE">
        <w:rPr>
          <w:rFonts w:ascii="Times New Roman" w:hAnsi="Times New Roman" w:cs="Times New Roman"/>
          <w:sz w:val="24"/>
          <w:szCs w:val="24"/>
        </w:rPr>
        <w:t>El objetivo principal de este artículo es analizar los determinantes de las habilidades cognitivas en la población adulta de México, según las habilidades evaluadas por el Programa para la Evaluación Internacional de las Competencias de los Adultos (PIAAC). Se estima un modelo de regresión lineal múltiple que permite cuantificar el efecto de diversas variables socioeconómicas y demográficas sobre las habilidades cognitivas de los individuos. Los resultados muestran que, respecto al género, los hombres presentan una ventaja en habilidades numéricas, mientras que las mujeres tienden a sobresalir en lectoescritura. Sin embargo, el deterioro de la salud y el aumento de la edad tienen un efecto negativo en las competencias. Además, el nivel de escolaridad, la experiencia laboral y la participación en cursos de capacitación ejercen un efecto positivo y significativo sobre dichas habilidades. Estos hallazgos proporcionan evidencia robusta sobre la importancia de invertir en educación y capacitación, tanto formal como no formal, así como la necesidad de políticas que promuevan la mejora continua de las competencias cognitivas a lo largo de la vida laboral.</w:t>
      </w:r>
    </w:p>
    <w:p w14:paraId="79143D1B" w14:textId="7DBA125D" w:rsidR="00E57695" w:rsidRDefault="00C648B8" w:rsidP="00F52C46">
      <w:pPr>
        <w:spacing w:line="360" w:lineRule="auto"/>
        <w:ind w:firstLine="0"/>
        <w:rPr>
          <w:rFonts w:ascii="Times New Roman" w:eastAsia="Times New Roman" w:hAnsi="Times New Roman" w:cs="Times New Roman"/>
          <w:color w:val="000000"/>
          <w:sz w:val="24"/>
          <w:szCs w:val="24"/>
          <w:lang w:eastAsia="es-MX"/>
        </w:rPr>
      </w:pPr>
      <w:r w:rsidRPr="009D28BE">
        <w:rPr>
          <w:rFonts w:eastAsia="Times New Roman" w:cstheme="minorHAnsi"/>
          <w:b/>
          <w:bCs/>
          <w:color w:val="000000"/>
          <w:sz w:val="28"/>
          <w:szCs w:val="28"/>
          <w:lang w:eastAsia="es-MX"/>
        </w:rPr>
        <w:t>Palabras Clave</w:t>
      </w:r>
      <w:r w:rsidR="004A61EA" w:rsidRPr="009D28BE">
        <w:rPr>
          <w:rFonts w:eastAsia="Times New Roman" w:cstheme="minorHAnsi"/>
          <w:color w:val="000000"/>
          <w:sz w:val="28"/>
          <w:szCs w:val="28"/>
          <w:lang w:eastAsia="es-MX"/>
        </w:rPr>
        <w:t>:</w:t>
      </w:r>
      <w:r w:rsidR="004A61EA" w:rsidRPr="009D28BE">
        <w:rPr>
          <w:rFonts w:ascii="Times New Roman" w:eastAsia="Times New Roman" w:hAnsi="Times New Roman" w:cs="Times New Roman"/>
          <w:color w:val="000000"/>
          <w:sz w:val="24"/>
          <w:szCs w:val="24"/>
          <w:lang w:eastAsia="es-MX"/>
        </w:rPr>
        <w:t xml:space="preserve"> </w:t>
      </w:r>
      <w:r w:rsidR="008B45C3" w:rsidRPr="009D28BE">
        <w:rPr>
          <w:rFonts w:ascii="Times New Roman" w:eastAsia="Times New Roman" w:hAnsi="Times New Roman" w:cs="Times New Roman"/>
          <w:color w:val="000000"/>
          <w:sz w:val="24"/>
          <w:szCs w:val="24"/>
          <w:lang w:eastAsia="es-MX"/>
        </w:rPr>
        <w:t xml:space="preserve">competencias, </w:t>
      </w:r>
      <w:r w:rsidR="004A61EA" w:rsidRPr="009D28BE">
        <w:rPr>
          <w:rFonts w:ascii="Times New Roman" w:eastAsia="Times New Roman" w:hAnsi="Times New Roman" w:cs="Times New Roman"/>
          <w:color w:val="000000"/>
          <w:sz w:val="24"/>
          <w:szCs w:val="24"/>
          <w:lang w:eastAsia="es-MX"/>
        </w:rPr>
        <w:t xml:space="preserve">educación, </w:t>
      </w:r>
      <w:r w:rsidR="0050431F" w:rsidRPr="009D28BE">
        <w:rPr>
          <w:rFonts w:ascii="Times New Roman" w:eastAsia="Times New Roman" w:hAnsi="Times New Roman" w:cs="Times New Roman"/>
          <w:color w:val="000000"/>
          <w:sz w:val="24"/>
          <w:szCs w:val="24"/>
          <w:lang w:eastAsia="es-MX"/>
        </w:rPr>
        <w:t xml:space="preserve">capital humano, </w:t>
      </w:r>
      <w:r w:rsidR="008B45C3" w:rsidRPr="009D28BE">
        <w:rPr>
          <w:rFonts w:ascii="Times New Roman" w:eastAsia="Times New Roman" w:hAnsi="Times New Roman" w:cs="Times New Roman"/>
          <w:color w:val="000000"/>
          <w:sz w:val="24"/>
          <w:szCs w:val="24"/>
          <w:lang w:eastAsia="es-MX"/>
        </w:rPr>
        <w:t xml:space="preserve">PIAAC, </w:t>
      </w:r>
      <w:r w:rsidR="003C3316" w:rsidRPr="009D28BE">
        <w:rPr>
          <w:rFonts w:ascii="Times New Roman" w:eastAsia="Times New Roman" w:hAnsi="Times New Roman" w:cs="Times New Roman"/>
          <w:color w:val="000000"/>
          <w:sz w:val="24"/>
          <w:szCs w:val="24"/>
          <w:lang w:eastAsia="es-MX"/>
        </w:rPr>
        <w:t>habilidade</w:t>
      </w:r>
      <w:r w:rsidR="008B45C3" w:rsidRPr="009D28BE">
        <w:rPr>
          <w:rFonts w:ascii="Times New Roman" w:eastAsia="Times New Roman" w:hAnsi="Times New Roman" w:cs="Times New Roman"/>
          <w:color w:val="000000"/>
          <w:sz w:val="24"/>
          <w:szCs w:val="24"/>
          <w:lang w:eastAsia="es-MX"/>
        </w:rPr>
        <w:t>s.</w:t>
      </w:r>
      <w:r w:rsidR="00F3787E" w:rsidRPr="009D28BE">
        <w:rPr>
          <w:rFonts w:ascii="Times New Roman" w:eastAsia="Times New Roman" w:hAnsi="Times New Roman" w:cs="Times New Roman"/>
          <w:color w:val="000000"/>
          <w:sz w:val="24"/>
          <w:szCs w:val="24"/>
          <w:lang w:eastAsia="es-MX"/>
        </w:rPr>
        <w:t xml:space="preserve"> </w:t>
      </w:r>
    </w:p>
    <w:p w14:paraId="1825B1EA" w14:textId="77777777" w:rsidR="009D28BE" w:rsidRDefault="009D28BE" w:rsidP="00F52C46">
      <w:pPr>
        <w:spacing w:line="360" w:lineRule="auto"/>
        <w:ind w:firstLine="0"/>
        <w:rPr>
          <w:rFonts w:ascii="Times New Roman" w:eastAsia="Times New Roman" w:hAnsi="Times New Roman" w:cs="Times New Roman"/>
          <w:color w:val="000000"/>
          <w:sz w:val="24"/>
          <w:szCs w:val="24"/>
          <w:lang w:eastAsia="es-MX"/>
        </w:rPr>
      </w:pPr>
    </w:p>
    <w:p w14:paraId="6D4377C8" w14:textId="5F312526" w:rsidR="009D28BE" w:rsidRPr="009D28BE" w:rsidRDefault="009D28BE" w:rsidP="009D28BE">
      <w:pPr>
        <w:spacing w:line="360" w:lineRule="auto"/>
        <w:ind w:firstLine="0"/>
        <w:jc w:val="both"/>
        <w:rPr>
          <w:rFonts w:cstheme="minorHAnsi"/>
          <w:b/>
          <w:sz w:val="28"/>
          <w:szCs w:val="28"/>
        </w:rPr>
      </w:pPr>
      <w:r w:rsidRPr="009D28BE">
        <w:rPr>
          <w:rFonts w:cstheme="minorHAnsi"/>
          <w:b/>
          <w:sz w:val="28"/>
          <w:szCs w:val="28"/>
        </w:rPr>
        <w:t>Resumo</w:t>
      </w:r>
    </w:p>
    <w:p w14:paraId="05B521F1" w14:textId="77777777" w:rsidR="00524658" w:rsidRDefault="009D28BE" w:rsidP="00524658">
      <w:pPr>
        <w:spacing w:after="0" w:line="360" w:lineRule="auto"/>
        <w:ind w:firstLine="0"/>
        <w:jc w:val="both"/>
        <w:rPr>
          <w:rFonts w:ascii="Times New Roman" w:eastAsia="Times New Roman" w:hAnsi="Times New Roman" w:cs="Times New Roman"/>
          <w:color w:val="000000"/>
          <w:sz w:val="24"/>
          <w:szCs w:val="24"/>
          <w:lang w:val="pt-BR" w:eastAsia="es-MX"/>
        </w:rPr>
      </w:pPr>
      <w:r w:rsidRPr="00F25151">
        <w:rPr>
          <w:rFonts w:ascii="Times New Roman" w:eastAsia="Times New Roman" w:hAnsi="Times New Roman" w:cs="Times New Roman"/>
          <w:color w:val="000000"/>
          <w:sz w:val="24"/>
          <w:szCs w:val="24"/>
          <w:lang w:val="pt-BR" w:eastAsia="es-MX"/>
        </w:rPr>
        <w:t>O principal objetivo deste artigo é analisar os determinantes das habilidades cognitivas na população adulta mexicana, com base nas habilidades avaliadas pelo Programa Internacional de Avaliação de Competências de Adultos (PIAAC). Um modelo de regressão linear múltipla é estimado para quantificar o efeito de várias variáveis ​​socioeconômicas e demográficas nas habilidades cognitivas dos indivíduos. Os resultados mostram que, em relação ao gênero, os homens têm uma vantagem em habilidades numéricas, enquanto as mulheres tendem a se destacar em alfabetização. No entanto, o declínio da saúde e o aumento da idade têm um efeito negativo sobre essas habilidades. Além disso, o nível educacional, a experiência de trabalho e a participação em cursos de treinamento têm um efeito positivo e significativo sobre essas habilidades. Essas descobertas fornecem evidências robustas da importância de investir em educação e treinamento, tanto formal quanto não formal, bem como da necessidade de políticas que promovam a melhoria contínua das habilidades cognitivas ao longo da vida profissional.</w:t>
      </w:r>
    </w:p>
    <w:p w14:paraId="55AF4117" w14:textId="5ED3FD9C" w:rsidR="009D28BE" w:rsidRDefault="009D28BE" w:rsidP="00524658">
      <w:pPr>
        <w:spacing w:after="0" w:line="360" w:lineRule="auto"/>
        <w:ind w:firstLine="0"/>
        <w:jc w:val="both"/>
        <w:rPr>
          <w:rFonts w:ascii="Times New Roman" w:eastAsia="Times New Roman" w:hAnsi="Times New Roman" w:cs="Times New Roman"/>
          <w:color w:val="000000"/>
          <w:sz w:val="24"/>
          <w:szCs w:val="24"/>
          <w:lang w:eastAsia="es-MX"/>
        </w:rPr>
      </w:pPr>
      <w:r w:rsidRPr="00F25151">
        <w:rPr>
          <w:rFonts w:ascii="Times New Roman" w:eastAsia="Times New Roman" w:hAnsi="Times New Roman" w:cs="Times New Roman"/>
          <w:color w:val="000000"/>
          <w:sz w:val="24"/>
          <w:szCs w:val="24"/>
          <w:lang w:val="pt-BR" w:eastAsia="es-MX"/>
        </w:rPr>
        <w:lastRenderedPageBreak/>
        <w:t xml:space="preserve"> </w:t>
      </w:r>
      <w:proofErr w:type="spellStart"/>
      <w:r w:rsidRPr="009D28BE">
        <w:rPr>
          <w:rFonts w:cstheme="minorHAnsi"/>
          <w:b/>
          <w:sz w:val="28"/>
          <w:szCs w:val="28"/>
        </w:rPr>
        <w:t>Palavras</w:t>
      </w:r>
      <w:proofErr w:type="spellEnd"/>
      <w:r w:rsidRPr="009D28BE">
        <w:rPr>
          <w:rFonts w:cstheme="minorHAnsi"/>
          <w:b/>
          <w:sz w:val="28"/>
          <w:szCs w:val="28"/>
        </w:rPr>
        <w:t>-chave:</w:t>
      </w:r>
      <w:r w:rsidRPr="009D28BE">
        <w:rPr>
          <w:rFonts w:ascii="Times New Roman" w:eastAsia="Times New Roman" w:hAnsi="Times New Roman" w:cs="Times New Roman"/>
          <w:color w:val="000000"/>
          <w:sz w:val="24"/>
          <w:szCs w:val="24"/>
          <w:lang w:eastAsia="es-MX"/>
        </w:rPr>
        <w:t xml:space="preserve"> </w:t>
      </w:r>
      <w:proofErr w:type="spellStart"/>
      <w:r w:rsidRPr="009D28BE">
        <w:rPr>
          <w:rFonts w:ascii="Times New Roman" w:eastAsia="Times New Roman" w:hAnsi="Times New Roman" w:cs="Times New Roman"/>
          <w:color w:val="000000"/>
          <w:sz w:val="24"/>
          <w:szCs w:val="24"/>
          <w:lang w:eastAsia="es-MX"/>
        </w:rPr>
        <w:t>competências</w:t>
      </w:r>
      <w:proofErr w:type="spellEnd"/>
      <w:r w:rsidRPr="009D28BE">
        <w:rPr>
          <w:rFonts w:ascii="Times New Roman" w:eastAsia="Times New Roman" w:hAnsi="Times New Roman" w:cs="Times New Roman"/>
          <w:color w:val="000000"/>
          <w:sz w:val="24"/>
          <w:szCs w:val="24"/>
          <w:lang w:eastAsia="es-MX"/>
        </w:rPr>
        <w:t xml:space="preserve">, </w:t>
      </w:r>
      <w:proofErr w:type="spellStart"/>
      <w:r w:rsidRPr="009D28BE">
        <w:rPr>
          <w:rFonts w:ascii="Times New Roman" w:eastAsia="Times New Roman" w:hAnsi="Times New Roman" w:cs="Times New Roman"/>
          <w:color w:val="000000"/>
          <w:sz w:val="24"/>
          <w:szCs w:val="24"/>
          <w:lang w:eastAsia="es-MX"/>
        </w:rPr>
        <w:t>educação</w:t>
      </w:r>
      <w:proofErr w:type="spellEnd"/>
      <w:r w:rsidRPr="009D28BE">
        <w:rPr>
          <w:rFonts w:ascii="Times New Roman" w:eastAsia="Times New Roman" w:hAnsi="Times New Roman" w:cs="Times New Roman"/>
          <w:color w:val="000000"/>
          <w:sz w:val="24"/>
          <w:szCs w:val="24"/>
          <w:lang w:eastAsia="es-MX"/>
        </w:rPr>
        <w:t>, capital humano, PIAAC, habilidades.</w:t>
      </w:r>
    </w:p>
    <w:p w14:paraId="6CE9B739" w14:textId="77777777" w:rsidR="009D28BE" w:rsidRPr="004334EF" w:rsidRDefault="009D28BE" w:rsidP="009D28BE">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2025</w:t>
      </w:r>
    </w:p>
    <w:p w14:paraId="5D26E7F0" w14:textId="77777777" w:rsidR="009D28BE" w:rsidRDefault="00000000" w:rsidP="009D28BE">
      <w:pPr>
        <w:spacing w:after="0" w:line="360" w:lineRule="auto"/>
        <w:ind w:firstLine="0"/>
        <w:jc w:val="both"/>
      </w:pPr>
      <w:r>
        <w:rPr>
          <w:noProof/>
        </w:rPr>
        <w:pict w14:anchorId="7180953A">
          <v:rect id="_x0000_i1025" style="width:441.9pt;height:.05pt" o:hralign="center" o:hrstd="t" o:hr="t" fillcolor="#a0a0a0" stroked="f"/>
        </w:pict>
      </w:r>
    </w:p>
    <w:p w14:paraId="726383B9" w14:textId="28EF8F8C" w:rsidR="002E4BF8" w:rsidRPr="00F25151" w:rsidRDefault="00C648B8" w:rsidP="009D28BE">
      <w:pPr>
        <w:spacing w:after="0" w:line="360" w:lineRule="auto"/>
        <w:ind w:firstLine="0"/>
        <w:jc w:val="center"/>
        <w:rPr>
          <w:rFonts w:ascii="Times New Roman" w:hAnsi="Times New Roman" w:cs="Times New Roman"/>
          <w:b/>
          <w:sz w:val="32"/>
          <w:szCs w:val="32"/>
          <w:lang w:val="en-US"/>
        </w:rPr>
      </w:pPr>
      <w:r w:rsidRPr="00F25151">
        <w:rPr>
          <w:rFonts w:ascii="Times New Roman" w:hAnsi="Times New Roman" w:cs="Times New Roman"/>
          <w:b/>
          <w:sz w:val="32"/>
          <w:szCs w:val="32"/>
          <w:lang w:val="en-US"/>
        </w:rPr>
        <w:t>Introduc</w:t>
      </w:r>
      <w:r w:rsidR="00CF3444" w:rsidRPr="00F25151">
        <w:rPr>
          <w:rFonts w:ascii="Times New Roman" w:hAnsi="Times New Roman" w:cs="Times New Roman"/>
          <w:b/>
          <w:sz w:val="32"/>
          <w:szCs w:val="32"/>
          <w:lang w:val="en-US"/>
        </w:rPr>
        <w:t>tion</w:t>
      </w:r>
    </w:p>
    <w:p w14:paraId="4C9D3C99" w14:textId="062061D4" w:rsidR="00B10230" w:rsidRPr="00B10230" w:rsidRDefault="00C648B8" w:rsidP="009D28BE">
      <w:pPr>
        <w:spacing w:after="0" w:line="360" w:lineRule="auto"/>
        <w:ind w:firstLine="0"/>
        <w:contextualSpacing w:val="0"/>
        <w:jc w:val="both"/>
        <w:rPr>
          <w:rFonts w:ascii="Times New Roman" w:hAnsi="Times New Roman" w:cs="Times New Roman"/>
          <w:sz w:val="24"/>
          <w:szCs w:val="24"/>
          <w:lang w:val="en-US"/>
        </w:rPr>
      </w:pPr>
      <w:r w:rsidRPr="00B10230">
        <w:rPr>
          <w:rFonts w:ascii="Times New Roman" w:hAnsi="Times New Roman" w:cs="Times New Roman"/>
          <w:sz w:val="24"/>
          <w:szCs w:val="24"/>
          <w:lang w:val="en-US"/>
        </w:rPr>
        <w:t>Human capital is defined as the stock of knowledge, competencies</w:t>
      </w:r>
      <w:r>
        <w:rPr>
          <w:rFonts w:ascii="Times New Roman" w:hAnsi="Times New Roman" w:cs="Times New Roman"/>
          <w:sz w:val="24"/>
          <w:szCs w:val="24"/>
          <w:lang w:val="en-US"/>
        </w:rPr>
        <w:t>, or skills that an employee accumulates throughout their life. It represents an increasingly relevant element for a country's economic development and income distribution</w:t>
      </w:r>
      <w:r w:rsidRPr="00B10230">
        <w:rPr>
          <w:rFonts w:ascii="Times New Roman" w:hAnsi="Times New Roman" w:cs="Times New Roman"/>
          <w:sz w:val="24"/>
          <w:szCs w:val="24"/>
          <w:lang w:val="en-US"/>
        </w:rPr>
        <w:t xml:space="preserve"> (Serrano et al., 2017; </w:t>
      </w:r>
      <w:proofErr w:type="spellStart"/>
      <w:r w:rsidRPr="00B10230">
        <w:rPr>
          <w:rFonts w:ascii="Times New Roman" w:hAnsi="Times New Roman" w:cs="Times New Roman"/>
          <w:sz w:val="24"/>
          <w:szCs w:val="24"/>
          <w:lang w:val="en-US"/>
        </w:rPr>
        <w:t>Égert</w:t>
      </w:r>
      <w:proofErr w:type="spellEnd"/>
      <w:r w:rsidR="00B65AEE">
        <w:rPr>
          <w:rFonts w:ascii="Times New Roman" w:hAnsi="Times New Roman" w:cs="Times New Roman"/>
          <w:sz w:val="24"/>
          <w:szCs w:val="24"/>
          <w:lang w:val="en-US"/>
        </w:rPr>
        <w:t xml:space="preserve"> et al.</w:t>
      </w:r>
      <w:r w:rsidRPr="00B10230">
        <w:rPr>
          <w:rFonts w:ascii="Times New Roman" w:hAnsi="Times New Roman" w:cs="Times New Roman"/>
          <w:sz w:val="24"/>
          <w:szCs w:val="24"/>
          <w:lang w:val="en-US"/>
        </w:rPr>
        <w:t>, 2024</w:t>
      </w:r>
      <w:r w:rsidR="00C93419">
        <w:rPr>
          <w:rFonts w:ascii="Times New Roman" w:hAnsi="Times New Roman" w:cs="Times New Roman"/>
          <w:sz w:val="24"/>
          <w:szCs w:val="24"/>
          <w:lang w:val="en-US"/>
        </w:rPr>
        <w:t xml:space="preserve">; </w:t>
      </w:r>
      <w:r w:rsidR="00C93419" w:rsidRPr="00871069">
        <w:rPr>
          <w:rFonts w:ascii="Times New Roman" w:hAnsi="Times New Roman" w:cs="Times New Roman"/>
          <w:sz w:val="24"/>
          <w:szCs w:val="24"/>
          <w:lang w:val="en-US"/>
        </w:rPr>
        <w:t>Sobiech</w:t>
      </w:r>
      <w:r w:rsidR="00B65AEE">
        <w:rPr>
          <w:rFonts w:ascii="Times New Roman" w:hAnsi="Times New Roman" w:cs="Times New Roman"/>
          <w:sz w:val="24"/>
          <w:szCs w:val="24"/>
          <w:lang w:val="en-US"/>
        </w:rPr>
        <w:t xml:space="preserve"> et al.</w:t>
      </w:r>
      <w:r w:rsidR="00871069" w:rsidRPr="00871069">
        <w:rPr>
          <w:rFonts w:ascii="Times New Roman" w:hAnsi="Times New Roman" w:cs="Times New Roman"/>
          <w:sz w:val="24"/>
          <w:szCs w:val="24"/>
          <w:lang w:val="en-US"/>
        </w:rPr>
        <w:t xml:space="preserve">, </w:t>
      </w:r>
      <w:r w:rsidR="00C93419" w:rsidRPr="00871069">
        <w:rPr>
          <w:rFonts w:ascii="Times New Roman" w:hAnsi="Times New Roman" w:cs="Times New Roman"/>
          <w:sz w:val="24"/>
          <w:szCs w:val="24"/>
          <w:lang w:val="en-US"/>
        </w:rPr>
        <w:t>2025</w:t>
      </w:r>
      <w:r w:rsidRPr="00B10230">
        <w:rPr>
          <w:rFonts w:ascii="Times New Roman" w:hAnsi="Times New Roman" w:cs="Times New Roman"/>
          <w:sz w:val="24"/>
          <w:szCs w:val="24"/>
          <w:lang w:val="en-US"/>
        </w:rPr>
        <w:t xml:space="preserve">). In this sense, </w:t>
      </w:r>
      <w:r>
        <w:rPr>
          <w:rFonts w:ascii="Times New Roman" w:hAnsi="Times New Roman" w:cs="Times New Roman"/>
          <w:sz w:val="24"/>
          <w:szCs w:val="24"/>
          <w:lang w:val="en-US"/>
        </w:rPr>
        <w:t>developing</w:t>
      </w:r>
      <w:r w:rsidRPr="00B10230">
        <w:rPr>
          <w:rFonts w:ascii="Times New Roman" w:hAnsi="Times New Roman" w:cs="Times New Roman"/>
          <w:sz w:val="24"/>
          <w:szCs w:val="24"/>
          <w:lang w:val="en-US"/>
        </w:rPr>
        <w:t xml:space="preserve"> cognitive skills, such as arithmetic and literacy, is essential for individuals to successfully integrate into a labor market that demands adaptability and constant learning.</w:t>
      </w:r>
    </w:p>
    <w:p w14:paraId="6248BBC2" w14:textId="7B1937E0" w:rsidR="00B10230" w:rsidRDefault="00C648B8" w:rsidP="009D28BE">
      <w:pPr>
        <w:spacing w:after="0" w:line="360" w:lineRule="auto"/>
        <w:ind w:firstLine="708"/>
        <w:contextualSpacing w:val="0"/>
        <w:jc w:val="both"/>
        <w:rPr>
          <w:rFonts w:ascii="Times New Roman" w:hAnsi="Times New Roman" w:cs="Times New Roman"/>
          <w:sz w:val="24"/>
          <w:szCs w:val="24"/>
          <w:lang w:val="en-US"/>
        </w:rPr>
      </w:pPr>
      <w:r w:rsidRPr="00B10230">
        <w:rPr>
          <w:rFonts w:ascii="Times New Roman" w:hAnsi="Times New Roman" w:cs="Times New Roman"/>
          <w:sz w:val="24"/>
          <w:szCs w:val="24"/>
          <w:lang w:val="en-US"/>
        </w:rPr>
        <w:t xml:space="preserve">The </w:t>
      </w:r>
      <w:r>
        <w:rPr>
          <w:rFonts w:ascii="Times New Roman" w:hAnsi="Times New Roman" w:cs="Times New Roman"/>
          <w:sz w:val="24"/>
          <w:szCs w:val="24"/>
          <w:lang w:val="en-US"/>
        </w:rPr>
        <w:t>population's skills</w:t>
      </w:r>
      <w:r w:rsidRPr="00B10230">
        <w:rPr>
          <w:rFonts w:ascii="Times New Roman" w:hAnsi="Times New Roman" w:cs="Times New Roman"/>
          <w:sz w:val="24"/>
          <w:szCs w:val="24"/>
          <w:lang w:val="en-US"/>
        </w:rPr>
        <w:t xml:space="preserve"> are </w:t>
      </w:r>
      <w:r w:rsidR="00E86D65">
        <w:rPr>
          <w:rFonts w:ascii="Times New Roman" w:hAnsi="Times New Roman" w:cs="Times New Roman"/>
          <w:sz w:val="24"/>
          <w:szCs w:val="24"/>
          <w:lang w:val="en-US"/>
        </w:rPr>
        <w:t xml:space="preserve">vital </w:t>
      </w:r>
      <w:r w:rsidRPr="00B10230">
        <w:rPr>
          <w:rFonts w:ascii="Times New Roman" w:hAnsi="Times New Roman" w:cs="Times New Roman"/>
          <w:sz w:val="24"/>
          <w:szCs w:val="24"/>
          <w:lang w:val="en-US"/>
        </w:rPr>
        <w:t>in modern knowledge-based economies (</w:t>
      </w:r>
      <w:r w:rsidRPr="006014C5">
        <w:rPr>
          <w:rFonts w:ascii="Times New Roman" w:hAnsi="Times New Roman" w:cs="Times New Roman"/>
          <w:sz w:val="24"/>
          <w:szCs w:val="24"/>
          <w:lang w:val="en-US"/>
        </w:rPr>
        <w:t>Hanushek</w:t>
      </w:r>
      <w:r w:rsidR="00B65AEE" w:rsidRPr="006014C5">
        <w:rPr>
          <w:rFonts w:ascii="Times New Roman" w:hAnsi="Times New Roman" w:cs="Times New Roman"/>
          <w:sz w:val="24"/>
          <w:szCs w:val="24"/>
          <w:lang w:val="en-US"/>
        </w:rPr>
        <w:t xml:space="preserve"> et al., </w:t>
      </w:r>
      <w:r w:rsidRPr="006014C5">
        <w:rPr>
          <w:rFonts w:ascii="Times New Roman" w:hAnsi="Times New Roman" w:cs="Times New Roman"/>
          <w:sz w:val="24"/>
          <w:szCs w:val="24"/>
          <w:lang w:val="en-US"/>
        </w:rPr>
        <w:t>2015; Jimeno et al., 2016).</w:t>
      </w:r>
      <w:r w:rsidRPr="00B10230">
        <w:rPr>
          <w:rFonts w:ascii="Times New Roman" w:hAnsi="Times New Roman" w:cs="Times New Roman"/>
          <w:sz w:val="24"/>
          <w:szCs w:val="24"/>
          <w:lang w:val="en-US"/>
        </w:rPr>
        <w:t xml:space="preserve"> </w:t>
      </w:r>
      <w:r>
        <w:rPr>
          <w:rFonts w:ascii="Times New Roman" w:hAnsi="Times New Roman" w:cs="Times New Roman"/>
          <w:sz w:val="24"/>
          <w:szCs w:val="24"/>
          <w:lang w:val="en-US"/>
        </w:rPr>
        <w:t>Economic research has</w:t>
      </w:r>
      <w:r w:rsidRPr="00B10230">
        <w:rPr>
          <w:rFonts w:ascii="Times New Roman" w:hAnsi="Times New Roman" w:cs="Times New Roman"/>
          <w:sz w:val="24"/>
          <w:szCs w:val="24"/>
          <w:lang w:val="en-US"/>
        </w:rPr>
        <w:t xml:space="preserve"> a large body of work on cognitive skills and the notable positive effect on departmental GDP per capita growth (Jiménez-Ramírez </w:t>
      </w:r>
      <w:r w:rsidR="00E52ECA">
        <w:rPr>
          <w:rFonts w:ascii="Times New Roman" w:hAnsi="Times New Roman" w:cs="Times New Roman"/>
          <w:sz w:val="24"/>
          <w:szCs w:val="24"/>
          <w:lang w:val="en-US"/>
        </w:rPr>
        <w:t>&amp;</w:t>
      </w:r>
      <w:r w:rsidR="00534AD3">
        <w:rPr>
          <w:rFonts w:ascii="Times New Roman" w:hAnsi="Times New Roman" w:cs="Times New Roman"/>
          <w:sz w:val="24"/>
          <w:szCs w:val="24"/>
          <w:lang w:val="en-US"/>
        </w:rPr>
        <w:t xml:space="preserve"> </w:t>
      </w:r>
      <w:r w:rsidRPr="00B10230">
        <w:rPr>
          <w:rFonts w:ascii="Times New Roman" w:hAnsi="Times New Roman" w:cs="Times New Roman"/>
          <w:sz w:val="24"/>
          <w:szCs w:val="24"/>
          <w:lang w:val="en-US"/>
        </w:rPr>
        <w:t xml:space="preserve">Reyes-Camargo, 2024). Likewise, the development of cognitive skills </w:t>
      </w:r>
      <w:r w:rsidR="00E86D65">
        <w:rPr>
          <w:rFonts w:ascii="Times New Roman" w:hAnsi="Times New Roman" w:cs="Times New Roman"/>
          <w:sz w:val="24"/>
          <w:szCs w:val="24"/>
          <w:lang w:val="en-US"/>
        </w:rPr>
        <w:t>is a measure of educational success and a predictor of labor market outcomes</w:t>
      </w:r>
      <w:r w:rsidRPr="00B10230">
        <w:rPr>
          <w:rFonts w:ascii="Times New Roman" w:hAnsi="Times New Roman" w:cs="Times New Roman"/>
          <w:sz w:val="24"/>
          <w:szCs w:val="24"/>
          <w:lang w:val="en-US"/>
        </w:rPr>
        <w:t xml:space="preserve"> (Rebollo-Sanz </w:t>
      </w:r>
      <w:r w:rsidR="00E52ECA">
        <w:rPr>
          <w:rFonts w:ascii="Times New Roman" w:hAnsi="Times New Roman" w:cs="Times New Roman"/>
          <w:sz w:val="24"/>
          <w:szCs w:val="24"/>
          <w:lang w:val="en-US"/>
        </w:rPr>
        <w:t>&amp;</w:t>
      </w:r>
      <w:r w:rsidRPr="00B10230">
        <w:rPr>
          <w:rFonts w:ascii="Times New Roman" w:hAnsi="Times New Roman" w:cs="Times New Roman"/>
          <w:sz w:val="24"/>
          <w:szCs w:val="24"/>
          <w:lang w:val="en-US"/>
        </w:rPr>
        <w:t xml:space="preserve"> De la Rica, 2020</w:t>
      </w:r>
      <w:r w:rsidR="007032A3">
        <w:rPr>
          <w:rFonts w:ascii="Times New Roman" w:hAnsi="Times New Roman" w:cs="Times New Roman"/>
          <w:sz w:val="24"/>
          <w:szCs w:val="24"/>
          <w:lang w:val="en-US"/>
        </w:rPr>
        <w:t xml:space="preserve">; </w:t>
      </w:r>
      <w:r w:rsidR="007032A3" w:rsidRPr="00172D05">
        <w:rPr>
          <w:rFonts w:ascii="Times New Roman" w:hAnsi="Times New Roman" w:cs="Times New Roman"/>
          <w:sz w:val="24"/>
          <w:szCs w:val="24"/>
          <w:lang w:val="en-US"/>
        </w:rPr>
        <w:t>Mishra et al.</w:t>
      </w:r>
      <w:r w:rsidR="00564DF8" w:rsidRPr="00172D05">
        <w:rPr>
          <w:rFonts w:ascii="Times New Roman" w:hAnsi="Times New Roman" w:cs="Times New Roman"/>
          <w:sz w:val="24"/>
          <w:szCs w:val="24"/>
          <w:lang w:val="en-US"/>
        </w:rPr>
        <w:t>,</w:t>
      </w:r>
      <w:r w:rsidR="007032A3" w:rsidRPr="00172D05">
        <w:rPr>
          <w:rFonts w:ascii="Times New Roman" w:hAnsi="Times New Roman" w:cs="Times New Roman"/>
          <w:sz w:val="24"/>
          <w:szCs w:val="24"/>
          <w:lang w:val="en-US"/>
        </w:rPr>
        <w:t xml:space="preserve"> 2025</w:t>
      </w:r>
      <w:r w:rsidRPr="00172D05">
        <w:rPr>
          <w:rFonts w:ascii="Times New Roman" w:hAnsi="Times New Roman" w:cs="Times New Roman"/>
          <w:sz w:val="24"/>
          <w:szCs w:val="24"/>
          <w:lang w:val="en-US"/>
        </w:rPr>
        <w:t>). Research, such as that of Chetty</w:t>
      </w:r>
      <w:r w:rsidR="00602AF2" w:rsidRPr="00172D05">
        <w:rPr>
          <w:rFonts w:ascii="Times New Roman" w:hAnsi="Times New Roman" w:cs="Times New Roman"/>
          <w:sz w:val="24"/>
          <w:szCs w:val="24"/>
          <w:lang w:val="en-US"/>
        </w:rPr>
        <w:t xml:space="preserve"> et al. </w:t>
      </w:r>
      <w:r w:rsidR="00E86D65" w:rsidRPr="00172D05">
        <w:rPr>
          <w:rFonts w:ascii="Times New Roman" w:hAnsi="Times New Roman" w:cs="Times New Roman"/>
          <w:sz w:val="24"/>
          <w:szCs w:val="24"/>
          <w:lang w:val="en-US"/>
        </w:rPr>
        <w:t xml:space="preserve">(2014), has highlighted the impact of social and educational factors on the acquisition of these skills. Other authors, including </w:t>
      </w:r>
      <w:r w:rsidR="00564DF8" w:rsidRPr="00172D05">
        <w:rPr>
          <w:rFonts w:ascii="Times New Roman" w:hAnsi="Times New Roman" w:cs="Times New Roman"/>
          <w:sz w:val="24"/>
          <w:szCs w:val="24"/>
          <w:lang w:val="en-US"/>
        </w:rPr>
        <w:t xml:space="preserve">Wiener et al. (2025) and </w:t>
      </w:r>
      <w:r w:rsidR="00E86D65" w:rsidRPr="00172D05">
        <w:rPr>
          <w:rFonts w:ascii="Times New Roman" w:hAnsi="Times New Roman" w:cs="Times New Roman"/>
          <w:sz w:val="24"/>
          <w:szCs w:val="24"/>
          <w:lang w:val="en-US"/>
        </w:rPr>
        <w:t>Hanushek</w:t>
      </w:r>
      <w:r w:rsidR="00CB38D9" w:rsidRPr="00172D05">
        <w:rPr>
          <w:rFonts w:ascii="Times New Roman" w:hAnsi="Times New Roman" w:cs="Times New Roman"/>
          <w:sz w:val="24"/>
          <w:szCs w:val="24"/>
          <w:lang w:val="en-US"/>
        </w:rPr>
        <w:t xml:space="preserve"> et al.</w:t>
      </w:r>
      <w:r w:rsidR="00E86D65" w:rsidRPr="00172D05">
        <w:rPr>
          <w:rFonts w:ascii="Times New Roman" w:hAnsi="Times New Roman" w:cs="Times New Roman"/>
          <w:sz w:val="24"/>
          <w:szCs w:val="24"/>
          <w:lang w:val="en-US"/>
        </w:rPr>
        <w:t xml:space="preserve"> (20</w:t>
      </w:r>
      <w:r w:rsidR="00CB38D9" w:rsidRPr="00172D05">
        <w:rPr>
          <w:rFonts w:ascii="Times New Roman" w:hAnsi="Times New Roman" w:cs="Times New Roman"/>
          <w:sz w:val="24"/>
          <w:szCs w:val="24"/>
          <w:lang w:val="en-US"/>
        </w:rPr>
        <w:t>25</w:t>
      </w:r>
      <w:r w:rsidR="00E86D65" w:rsidRPr="00172D05">
        <w:rPr>
          <w:rFonts w:ascii="Times New Roman" w:hAnsi="Times New Roman" w:cs="Times New Roman"/>
          <w:sz w:val="24"/>
          <w:szCs w:val="24"/>
          <w:lang w:val="en-US"/>
        </w:rPr>
        <w:t>),</w:t>
      </w:r>
      <w:r w:rsidRPr="00172D05">
        <w:rPr>
          <w:rFonts w:ascii="Times New Roman" w:hAnsi="Times New Roman" w:cs="Times New Roman"/>
          <w:sz w:val="24"/>
          <w:szCs w:val="24"/>
          <w:lang w:val="en-US"/>
        </w:rPr>
        <w:t xml:space="preserve"> have shown that cognitive skills have a direct influence on economic development.</w:t>
      </w:r>
    </w:p>
    <w:p w14:paraId="6DF92F2C" w14:textId="21F46630" w:rsidR="00BA0080" w:rsidRPr="00F82658" w:rsidRDefault="00F82658" w:rsidP="009D28BE">
      <w:pPr>
        <w:spacing w:after="0" w:line="360" w:lineRule="auto"/>
        <w:ind w:firstLine="708"/>
        <w:contextualSpacing w:val="0"/>
        <w:jc w:val="both"/>
        <w:rPr>
          <w:rFonts w:ascii="Times New Roman" w:hAnsi="Times New Roman" w:cs="Times New Roman"/>
          <w:sz w:val="24"/>
          <w:szCs w:val="24"/>
          <w:highlight w:val="yellow"/>
          <w:lang w:val="en-US"/>
        </w:rPr>
      </w:pPr>
      <w:r w:rsidRPr="00F82658">
        <w:rPr>
          <w:rFonts w:ascii="Times New Roman" w:hAnsi="Times New Roman" w:cs="Times New Roman"/>
          <w:sz w:val="24"/>
          <w:szCs w:val="24"/>
          <w:lang w:val="en-US"/>
        </w:rPr>
        <w:t>Although consensus is lacking on which skills most influence labor market success, studies agree that cognitive skills (e.g., literacy, numeracy) are particularly relevant</w:t>
      </w:r>
      <w:r>
        <w:rPr>
          <w:rFonts w:ascii="Times New Roman" w:hAnsi="Times New Roman" w:cs="Times New Roman"/>
          <w:sz w:val="24"/>
          <w:szCs w:val="24"/>
          <w:lang w:val="en-US"/>
        </w:rPr>
        <w:t xml:space="preserve">, </w:t>
      </w:r>
      <w:r w:rsidR="00C648B8" w:rsidRPr="00BA0080">
        <w:rPr>
          <w:rFonts w:ascii="Times New Roman" w:hAnsi="Times New Roman" w:cs="Times New Roman"/>
          <w:bCs/>
          <w:sz w:val="24"/>
          <w:szCs w:val="24"/>
          <w:lang w:val="en-US"/>
        </w:rPr>
        <w:t xml:space="preserve">those related to personal characteristics (emotional stability, empathy), and others that arise from the interaction of both components, for example, communication and self-organization (Arroyo </w:t>
      </w:r>
      <w:r w:rsidR="00E52ECA">
        <w:rPr>
          <w:rFonts w:ascii="Times New Roman" w:hAnsi="Times New Roman" w:cs="Times New Roman"/>
          <w:bCs/>
          <w:sz w:val="24"/>
          <w:szCs w:val="24"/>
          <w:lang w:val="en-US"/>
        </w:rPr>
        <w:t>&amp;</w:t>
      </w:r>
      <w:r w:rsidR="00C648B8" w:rsidRPr="00BA0080">
        <w:rPr>
          <w:rFonts w:ascii="Times New Roman" w:hAnsi="Times New Roman" w:cs="Times New Roman"/>
          <w:bCs/>
          <w:sz w:val="24"/>
          <w:szCs w:val="24"/>
          <w:lang w:val="en-US"/>
        </w:rPr>
        <w:t xml:space="preserve"> Valenzuela, 2018). According to Van Laar et al. (2020), demographic and socioeconomic factors, such as age, gender, and educational level, are significant determinants of technical and informational skills</w:t>
      </w:r>
      <w:r w:rsidR="00762483">
        <w:rPr>
          <w:rFonts w:ascii="Times New Roman" w:hAnsi="Times New Roman" w:cs="Times New Roman"/>
          <w:bCs/>
          <w:sz w:val="24"/>
          <w:szCs w:val="24"/>
          <w:lang w:val="en-US"/>
        </w:rPr>
        <w:t>. In contrast,</w:t>
      </w:r>
      <w:r w:rsidR="00C648B8" w:rsidRPr="00BA0080">
        <w:rPr>
          <w:rFonts w:ascii="Times New Roman" w:hAnsi="Times New Roman" w:cs="Times New Roman"/>
          <w:bCs/>
          <w:sz w:val="24"/>
          <w:szCs w:val="24"/>
          <w:lang w:val="en-US"/>
        </w:rPr>
        <w:t xml:space="preserve"> psychological factors </w:t>
      </w:r>
      <w:r w:rsidR="00DE1917">
        <w:rPr>
          <w:rFonts w:ascii="Times New Roman" w:hAnsi="Times New Roman" w:cs="Times New Roman"/>
          <w:bCs/>
          <w:sz w:val="24"/>
          <w:szCs w:val="24"/>
          <w:lang w:val="en-US"/>
        </w:rPr>
        <w:t>significantly influence</w:t>
      </w:r>
      <w:r w:rsidR="00C648B8" w:rsidRPr="00BA0080">
        <w:rPr>
          <w:rFonts w:ascii="Times New Roman" w:hAnsi="Times New Roman" w:cs="Times New Roman"/>
          <w:bCs/>
          <w:sz w:val="24"/>
          <w:szCs w:val="24"/>
          <w:lang w:val="en-US"/>
        </w:rPr>
        <w:t xml:space="preserve"> creativity and critical thinking. </w:t>
      </w:r>
    </w:p>
    <w:p w14:paraId="339A7C6D" w14:textId="15938EAC" w:rsidR="00BA0080" w:rsidRDefault="00C648B8" w:rsidP="009D28BE">
      <w:pPr>
        <w:spacing w:after="0" w:line="360" w:lineRule="auto"/>
        <w:ind w:firstLine="708"/>
        <w:contextualSpacing w:val="0"/>
        <w:jc w:val="both"/>
        <w:rPr>
          <w:rFonts w:ascii="Times New Roman" w:hAnsi="Times New Roman" w:cs="Times New Roman"/>
          <w:bCs/>
          <w:sz w:val="24"/>
          <w:szCs w:val="24"/>
          <w:lang w:val="en-US"/>
        </w:rPr>
      </w:pPr>
      <w:r w:rsidRPr="00BA0080">
        <w:rPr>
          <w:rFonts w:ascii="Times New Roman" w:hAnsi="Times New Roman" w:cs="Times New Roman"/>
          <w:bCs/>
          <w:sz w:val="24"/>
          <w:szCs w:val="24"/>
          <w:lang w:val="en-US"/>
        </w:rPr>
        <w:t xml:space="preserve">In the case of Mexico, data from the </w:t>
      </w:r>
      <w:proofErr w:type="spellStart"/>
      <w:r w:rsidRPr="00BA0080">
        <w:rPr>
          <w:rFonts w:ascii="Times New Roman" w:hAnsi="Times New Roman" w:cs="Times New Roman"/>
          <w:bCs/>
          <w:sz w:val="24"/>
          <w:szCs w:val="24"/>
          <w:lang w:val="en-US"/>
        </w:rPr>
        <w:t>Programme</w:t>
      </w:r>
      <w:proofErr w:type="spellEnd"/>
      <w:r w:rsidRPr="00BA0080">
        <w:rPr>
          <w:rFonts w:ascii="Times New Roman" w:hAnsi="Times New Roman" w:cs="Times New Roman"/>
          <w:bCs/>
          <w:sz w:val="24"/>
          <w:szCs w:val="24"/>
          <w:lang w:val="en-US"/>
        </w:rPr>
        <w:t xml:space="preserve"> for the International Assessment of Adult Competencies (PIAAC) reveal that a significant part of the adult population has low levels of cognitive skills compared to other countries in the </w:t>
      </w:r>
      <w:proofErr w:type="spellStart"/>
      <w:r w:rsidRPr="00BA0080">
        <w:rPr>
          <w:rFonts w:ascii="Times New Roman" w:hAnsi="Times New Roman" w:cs="Times New Roman"/>
          <w:bCs/>
          <w:sz w:val="24"/>
          <w:szCs w:val="24"/>
          <w:lang w:val="en-US"/>
        </w:rPr>
        <w:t>Organisation</w:t>
      </w:r>
      <w:proofErr w:type="spellEnd"/>
      <w:r w:rsidRPr="00BA0080">
        <w:rPr>
          <w:rFonts w:ascii="Times New Roman" w:hAnsi="Times New Roman" w:cs="Times New Roman"/>
          <w:bCs/>
          <w:sz w:val="24"/>
          <w:szCs w:val="24"/>
          <w:lang w:val="en-US"/>
        </w:rPr>
        <w:t xml:space="preserve"> for Economic Cooperation and Development (OECD), with averages of around level 1.7 in reading and 1.5 in mathematics, on a scale where the maximum level is </w:t>
      </w:r>
      <w:r w:rsidR="000173E3">
        <w:rPr>
          <w:rFonts w:ascii="Times New Roman" w:hAnsi="Times New Roman" w:cs="Times New Roman"/>
          <w:bCs/>
          <w:sz w:val="24"/>
          <w:szCs w:val="24"/>
          <w:lang w:val="en-US"/>
        </w:rPr>
        <w:t>five</w:t>
      </w:r>
      <w:r w:rsidRPr="00BA0080">
        <w:rPr>
          <w:rFonts w:ascii="Times New Roman" w:hAnsi="Times New Roman" w:cs="Times New Roman"/>
          <w:bCs/>
          <w:sz w:val="24"/>
          <w:szCs w:val="24"/>
          <w:lang w:val="en-US"/>
        </w:rPr>
        <w:t xml:space="preserve"> (Valenzuela </w:t>
      </w:r>
      <w:r w:rsidR="00146569">
        <w:rPr>
          <w:rFonts w:ascii="Times New Roman" w:hAnsi="Times New Roman" w:cs="Times New Roman"/>
          <w:bCs/>
          <w:sz w:val="24"/>
          <w:szCs w:val="24"/>
          <w:lang w:val="en-US"/>
        </w:rPr>
        <w:t>&amp;</w:t>
      </w:r>
      <w:r w:rsidRPr="00BA0080">
        <w:rPr>
          <w:rFonts w:ascii="Times New Roman" w:hAnsi="Times New Roman" w:cs="Times New Roman"/>
          <w:bCs/>
          <w:sz w:val="24"/>
          <w:szCs w:val="24"/>
          <w:lang w:val="en-US"/>
        </w:rPr>
        <w:t xml:space="preserve"> Palomares, 2023). This scenario presents significant challenges for </w:t>
      </w:r>
      <w:r>
        <w:rPr>
          <w:rFonts w:ascii="Times New Roman" w:hAnsi="Times New Roman" w:cs="Times New Roman"/>
          <w:bCs/>
          <w:sz w:val="24"/>
          <w:szCs w:val="24"/>
          <w:lang w:val="en-US"/>
        </w:rPr>
        <w:t>developing</w:t>
      </w:r>
      <w:r w:rsidRPr="00BA0080">
        <w:rPr>
          <w:rFonts w:ascii="Times New Roman" w:hAnsi="Times New Roman" w:cs="Times New Roman"/>
          <w:bCs/>
          <w:sz w:val="24"/>
          <w:szCs w:val="24"/>
          <w:lang w:val="en-US"/>
        </w:rPr>
        <w:t xml:space="preserve"> human capital and, </w:t>
      </w:r>
      <w:r w:rsidRPr="00BA0080">
        <w:rPr>
          <w:rFonts w:ascii="Times New Roman" w:hAnsi="Times New Roman" w:cs="Times New Roman"/>
          <w:bCs/>
          <w:sz w:val="24"/>
          <w:szCs w:val="24"/>
          <w:lang w:val="en-US"/>
        </w:rPr>
        <w:lastRenderedPageBreak/>
        <w:t xml:space="preserve">consequently, for the country's growth and competitiveness in the global market. </w:t>
      </w:r>
      <w:r w:rsidR="00E3542F">
        <w:rPr>
          <w:rFonts w:ascii="Times New Roman" w:hAnsi="Times New Roman" w:cs="Times New Roman"/>
          <w:bCs/>
          <w:sz w:val="24"/>
          <w:szCs w:val="24"/>
          <w:lang w:val="en-US"/>
        </w:rPr>
        <w:t>Mexico's problem</w:t>
      </w:r>
      <w:r w:rsidRPr="00BA0080">
        <w:rPr>
          <w:rFonts w:ascii="Times New Roman" w:hAnsi="Times New Roman" w:cs="Times New Roman"/>
          <w:bCs/>
          <w:sz w:val="24"/>
          <w:szCs w:val="24"/>
          <w:lang w:val="en-US"/>
        </w:rPr>
        <w:t xml:space="preserve"> lies in significant disparities in the development of cognitive skills, associated </w:t>
      </w:r>
      <w:r>
        <w:rPr>
          <w:rFonts w:ascii="Times New Roman" w:hAnsi="Times New Roman" w:cs="Times New Roman"/>
          <w:bCs/>
          <w:sz w:val="24"/>
          <w:szCs w:val="24"/>
          <w:lang w:val="en-US"/>
        </w:rPr>
        <w:t>with structural factors such as inequality in access to education and</w:t>
      </w:r>
      <w:r w:rsidRPr="00BA0080">
        <w:rPr>
          <w:rFonts w:ascii="Times New Roman" w:hAnsi="Times New Roman" w:cs="Times New Roman"/>
          <w:bCs/>
          <w:sz w:val="24"/>
          <w:szCs w:val="24"/>
          <w:lang w:val="en-US"/>
        </w:rPr>
        <w:t xml:space="preserve"> individual and family conditions.</w:t>
      </w:r>
    </w:p>
    <w:p w14:paraId="6992CA6A" w14:textId="1CFF0B71" w:rsidR="000D2232" w:rsidRPr="00172D05" w:rsidRDefault="00C648B8" w:rsidP="009D28BE">
      <w:pPr>
        <w:spacing w:after="0" w:line="360" w:lineRule="auto"/>
        <w:ind w:firstLine="708"/>
        <w:contextualSpacing w:val="0"/>
        <w:jc w:val="both"/>
        <w:rPr>
          <w:rFonts w:ascii="Times New Roman" w:hAnsi="Times New Roman" w:cs="Times New Roman"/>
          <w:bCs/>
          <w:sz w:val="24"/>
          <w:szCs w:val="24"/>
          <w:lang w:val="en-US"/>
        </w:rPr>
      </w:pPr>
      <w:r w:rsidRPr="00172D05">
        <w:rPr>
          <w:rFonts w:ascii="Times New Roman" w:hAnsi="Times New Roman" w:cs="Times New Roman"/>
          <w:bCs/>
          <w:sz w:val="24"/>
          <w:szCs w:val="24"/>
          <w:lang w:val="en-US"/>
        </w:rPr>
        <w:t xml:space="preserve">This study examines the sociodemographic, educational, and occupational factors influencing cognitive skills in the Mexican adult population, utilizing data from the Program for the International Assessment of Adult Competencies (PIAAC). A multiple linear regression model is used to quantify the effect of variables such as educational level, age, gender, parental education, work experience, participation in training courses, and health status on </w:t>
      </w:r>
      <w:r w:rsidRPr="00172D05">
        <w:rPr>
          <w:rFonts w:ascii="Times New Roman" w:hAnsi="Times New Roman" w:cs="Times New Roman"/>
          <w:bCs/>
          <w:i/>
          <w:iCs/>
          <w:sz w:val="24"/>
          <w:szCs w:val="24"/>
          <w:lang w:val="en-US"/>
        </w:rPr>
        <w:t>literacy</w:t>
      </w:r>
      <w:r w:rsidRPr="00172D05">
        <w:rPr>
          <w:rFonts w:ascii="Times New Roman" w:hAnsi="Times New Roman" w:cs="Times New Roman"/>
          <w:bCs/>
          <w:sz w:val="24"/>
          <w:szCs w:val="24"/>
          <w:lang w:val="en-US"/>
        </w:rPr>
        <w:t xml:space="preserve"> and </w:t>
      </w:r>
      <w:r w:rsidRPr="00172D05">
        <w:rPr>
          <w:rFonts w:ascii="Times New Roman" w:hAnsi="Times New Roman" w:cs="Times New Roman"/>
          <w:bCs/>
          <w:i/>
          <w:iCs/>
          <w:sz w:val="24"/>
          <w:szCs w:val="24"/>
          <w:lang w:val="en-US"/>
        </w:rPr>
        <w:t xml:space="preserve">numeracy </w:t>
      </w:r>
      <w:r w:rsidRPr="00172D05">
        <w:rPr>
          <w:rFonts w:ascii="Times New Roman" w:hAnsi="Times New Roman" w:cs="Times New Roman"/>
          <w:bCs/>
          <w:sz w:val="24"/>
          <w:szCs w:val="24"/>
          <w:lang w:val="en-US"/>
        </w:rPr>
        <w:t>skills.</w:t>
      </w:r>
    </w:p>
    <w:p w14:paraId="46C925CE" w14:textId="504DB641" w:rsidR="000D2232" w:rsidRPr="00172D05" w:rsidRDefault="00C648B8" w:rsidP="009D28BE">
      <w:pPr>
        <w:spacing w:after="0" w:line="360" w:lineRule="auto"/>
        <w:ind w:firstLine="708"/>
        <w:contextualSpacing w:val="0"/>
        <w:jc w:val="both"/>
        <w:rPr>
          <w:rFonts w:ascii="Times New Roman" w:hAnsi="Times New Roman" w:cs="Times New Roman"/>
          <w:bCs/>
          <w:sz w:val="24"/>
          <w:szCs w:val="24"/>
          <w:lang w:val="en-US"/>
        </w:rPr>
      </w:pPr>
      <w:r w:rsidRPr="00172D05">
        <w:rPr>
          <w:rFonts w:ascii="Times New Roman" w:hAnsi="Times New Roman" w:cs="Times New Roman"/>
          <w:bCs/>
          <w:sz w:val="24"/>
          <w:szCs w:val="24"/>
          <w:lang w:val="en-US"/>
        </w:rPr>
        <w:t xml:space="preserve">The main contribution of this work lies in providing recent and specific empirical evidence for the case of Mexico. This country has been underexplored in this type of analysis based on microdata from the PIAAC. Unlike studies focused on developed country contexts or those that employ aggregate approaches, this analysis </w:t>
      </w:r>
      <w:r w:rsidR="0032758A" w:rsidRPr="00172D05">
        <w:rPr>
          <w:rFonts w:ascii="Times New Roman" w:hAnsi="Times New Roman" w:cs="Times New Roman"/>
          <w:bCs/>
          <w:sz w:val="24"/>
          <w:szCs w:val="24"/>
          <w:lang w:val="en-US"/>
        </w:rPr>
        <w:t>adopts an individual perspective, enabling</w:t>
      </w:r>
      <w:r w:rsidRPr="00172D05">
        <w:rPr>
          <w:rFonts w:ascii="Times New Roman" w:hAnsi="Times New Roman" w:cs="Times New Roman"/>
          <w:bCs/>
          <w:sz w:val="24"/>
          <w:szCs w:val="24"/>
          <w:lang w:val="en-US"/>
        </w:rPr>
        <w:t xml:space="preserve"> the identification of inequalities in human capital development. Furthermore, the methodological use of plausible scores and the proposed statistical approach </w:t>
      </w:r>
      <w:r w:rsidR="00FD2747" w:rsidRPr="00172D05">
        <w:rPr>
          <w:rFonts w:ascii="Times New Roman" w:hAnsi="Times New Roman" w:cs="Times New Roman"/>
          <w:bCs/>
          <w:sz w:val="24"/>
          <w:szCs w:val="24"/>
          <w:lang w:val="en-US"/>
        </w:rPr>
        <w:t>reinforces</w:t>
      </w:r>
      <w:r w:rsidRPr="00172D05">
        <w:rPr>
          <w:rFonts w:ascii="Times New Roman" w:hAnsi="Times New Roman" w:cs="Times New Roman"/>
          <w:bCs/>
          <w:sz w:val="24"/>
          <w:szCs w:val="24"/>
          <w:lang w:val="en-US"/>
        </w:rPr>
        <w:t xml:space="preserve"> the robustness of the analysis and makes it replicable for future studies.</w:t>
      </w:r>
    </w:p>
    <w:p w14:paraId="49AAB3AF" w14:textId="7AFC1D3D" w:rsidR="00BA0080" w:rsidRPr="00462429" w:rsidRDefault="00C648B8" w:rsidP="009D28BE">
      <w:pPr>
        <w:spacing w:after="0" w:line="360" w:lineRule="auto"/>
        <w:ind w:firstLine="708"/>
        <w:contextualSpacing w:val="0"/>
        <w:jc w:val="both"/>
        <w:rPr>
          <w:rFonts w:ascii="Times New Roman" w:hAnsi="Times New Roman" w:cs="Times New Roman"/>
          <w:bCs/>
          <w:sz w:val="24"/>
          <w:szCs w:val="24"/>
          <w:lang w:val="en-US"/>
        </w:rPr>
      </w:pPr>
      <w:r w:rsidRPr="00172D05">
        <w:rPr>
          <w:rFonts w:ascii="Times New Roman" w:hAnsi="Times New Roman" w:cs="Times New Roman"/>
          <w:bCs/>
          <w:sz w:val="24"/>
          <w:szCs w:val="24"/>
          <w:lang w:val="en-US"/>
        </w:rPr>
        <w:t xml:space="preserve">In this way, the study not only deepens our understanding of the factors that influence the development of cognitive </w:t>
      </w:r>
      <w:r w:rsidR="00FD2747" w:rsidRPr="00172D05">
        <w:rPr>
          <w:rFonts w:ascii="Times New Roman" w:hAnsi="Times New Roman" w:cs="Times New Roman"/>
          <w:bCs/>
          <w:sz w:val="24"/>
          <w:szCs w:val="24"/>
          <w:lang w:val="en-US"/>
        </w:rPr>
        <w:t>skills but</w:t>
      </w:r>
      <w:r w:rsidRPr="00172D05">
        <w:rPr>
          <w:rFonts w:ascii="Times New Roman" w:hAnsi="Times New Roman" w:cs="Times New Roman"/>
          <w:bCs/>
          <w:sz w:val="24"/>
          <w:szCs w:val="24"/>
          <w:lang w:val="en-US"/>
        </w:rPr>
        <w:t xml:space="preserve"> also offers valuable analytical tools for designing public policies aimed at strengthening lifelong learning, improving employability, and reducing structural gaps among vulnerable groups in the Mexican adult population.</w:t>
      </w:r>
    </w:p>
    <w:p w14:paraId="4EA90C4B" w14:textId="77777777" w:rsidR="00B875E0" w:rsidRPr="00BB7276" w:rsidRDefault="00B875E0" w:rsidP="009D28BE">
      <w:pPr>
        <w:spacing w:after="0" w:line="360" w:lineRule="auto"/>
        <w:ind w:firstLine="0"/>
        <w:rPr>
          <w:rFonts w:ascii="Times New Roman" w:hAnsi="Times New Roman" w:cs="Times New Roman"/>
          <w:b/>
          <w:sz w:val="24"/>
          <w:szCs w:val="24"/>
          <w:lang w:val="en-US"/>
        </w:rPr>
      </w:pPr>
    </w:p>
    <w:p w14:paraId="35BE1922" w14:textId="721C923B" w:rsidR="00C216AF" w:rsidRDefault="00C648B8" w:rsidP="009D28BE">
      <w:pPr>
        <w:spacing w:after="0" w:line="360" w:lineRule="auto"/>
        <w:ind w:firstLine="0"/>
        <w:jc w:val="center"/>
        <w:rPr>
          <w:rFonts w:ascii="Times New Roman" w:hAnsi="Times New Roman" w:cs="Times New Roman"/>
          <w:b/>
          <w:bCs/>
          <w:sz w:val="28"/>
          <w:szCs w:val="28"/>
          <w:lang w:val="en-US"/>
        </w:rPr>
      </w:pPr>
      <w:r w:rsidRPr="003A5450">
        <w:rPr>
          <w:rFonts w:ascii="Times New Roman" w:hAnsi="Times New Roman" w:cs="Times New Roman"/>
          <w:b/>
          <w:bCs/>
          <w:sz w:val="28"/>
          <w:szCs w:val="28"/>
          <w:lang w:val="en-US"/>
        </w:rPr>
        <w:t>Human capital and cognitive skills</w:t>
      </w:r>
    </w:p>
    <w:p w14:paraId="5CADE163" w14:textId="719B2F76" w:rsidR="003A5450" w:rsidRPr="008056B0" w:rsidRDefault="00C648B8" w:rsidP="009D28BE">
      <w:pPr>
        <w:spacing w:after="0" w:line="360" w:lineRule="auto"/>
        <w:ind w:firstLine="0"/>
        <w:jc w:val="both"/>
        <w:rPr>
          <w:rFonts w:ascii="Times New Roman" w:hAnsi="Times New Roman" w:cs="Times New Roman"/>
          <w:sz w:val="24"/>
          <w:szCs w:val="24"/>
          <w:lang w:val="en-US"/>
        </w:rPr>
      </w:pPr>
      <w:r w:rsidRPr="00172D05">
        <w:rPr>
          <w:rFonts w:ascii="Times New Roman" w:hAnsi="Times New Roman" w:cs="Times New Roman"/>
          <w:sz w:val="24"/>
          <w:szCs w:val="24"/>
          <w:lang w:val="en-US"/>
        </w:rPr>
        <w:t xml:space="preserve">The concept of human capital, developed by Gary Becker </w:t>
      </w:r>
      <w:r w:rsidR="00895B94" w:rsidRPr="00172D05">
        <w:rPr>
          <w:rFonts w:ascii="Times New Roman" w:hAnsi="Times New Roman" w:cs="Times New Roman"/>
          <w:sz w:val="24"/>
          <w:szCs w:val="24"/>
          <w:lang w:val="en-US"/>
        </w:rPr>
        <w:t xml:space="preserve">in </w:t>
      </w:r>
      <w:r w:rsidRPr="00172D05">
        <w:rPr>
          <w:rFonts w:ascii="Times New Roman" w:hAnsi="Times New Roman" w:cs="Times New Roman"/>
          <w:sz w:val="24"/>
          <w:szCs w:val="24"/>
          <w:lang w:val="en-US"/>
        </w:rPr>
        <w:t>1964, refers to the knowledge, skills, competencies, and attributes that individuals acquire through education, training, and experience, thereby increasing their productivity in the labor market</w:t>
      </w:r>
      <w:r w:rsidR="00895B94" w:rsidRPr="00172D05">
        <w:rPr>
          <w:rFonts w:ascii="Times New Roman" w:hAnsi="Times New Roman" w:cs="Times New Roman"/>
          <w:sz w:val="24"/>
          <w:szCs w:val="24"/>
          <w:lang w:val="en-US"/>
        </w:rPr>
        <w:t xml:space="preserve"> (Becker, 1993)</w:t>
      </w:r>
      <w:r w:rsidRPr="00172D05">
        <w:rPr>
          <w:rFonts w:ascii="Times New Roman" w:hAnsi="Times New Roman" w:cs="Times New Roman"/>
          <w:sz w:val="24"/>
          <w:szCs w:val="24"/>
          <w:lang w:val="en-US"/>
        </w:rPr>
        <w:t xml:space="preserve">. Its most relevant components include formal education, professional experience, health, and, notably, cognitive skills, which are understood as the ability to comprehend, process, and utilize information effectively. These skills, including </w:t>
      </w:r>
      <w:r w:rsidR="00F70BB2" w:rsidRPr="00172D05">
        <w:rPr>
          <w:rFonts w:ascii="Times New Roman" w:hAnsi="Times New Roman" w:cs="Times New Roman"/>
          <w:sz w:val="24"/>
          <w:szCs w:val="24"/>
          <w:lang w:val="en-US"/>
        </w:rPr>
        <w:t>literacy</w:t>
      </w:r>
      <w:r w:rsidRPr="00172D05">
        <w:rPr>
          <w:rFonts w:ascii="Times New Roman" w:hAnsi="Times New Roman" w:cs="Times New Roman"/>
          <w:sz w:val="24"/>
          <w:szCs w:val="24"/>
          <w:lang w:val="en-US"/>
        </w:rPr>
        <w:t>, mathematical reasoning, and problem-solving, are essential for lifelong learning, effective job performance, and civic participation (OECD, 2012). According to Hanushek et al. (2015</w:t>
      </w:r>
      <w:r w:rsidR="00EA29FD" w:rsidRPr="00172D05">
        <w:rPr>
          <w:rFonts w:ascii="Times New Roman" w:hAnsi="Times New Roman" w:cs="Times New Roman"/>
          <w:sz w:val="24"/>
          <w:szCs w:val="24"/>
          <w:lang w:val="en-US"/>
        </w:rPr>
        <w:t>, 2025</w:t>
      </w:r>
      <w:r w:rsidRPr="00172D05">
        <w:rPr>
          <w:rFonts w:ascii="Times New Roman" w:hAnsi="Times New Roman" w:cs="Times New Roman"/>
          <w:sz w:val="24"/>
          <w:szCs w:val="24"/>
          <w:lang w:val="en-US"/>
        </w:rPr>
        <w:t xml:space="preserve">), cognitive skills encompass the ability to comprehend complex ideas, adapt effectively to the environment, </w:t>
      </w:r>
      <w:r w:rsidRPr="00172D05">
        <w:rPr>
          <w:rFonts w:ascii="Times New Roman" w:hAnsi="Times New Roman" w:cs="Times New Roman"/>
          <w:sz w:val="24"/>
          <w:szCs w:val="24"/>
          <w:lang w:val="en-US"/>
        </w:rPr>
        <w:lastRenderedPageBreak/>
        <w:t>learn from experience, employ diverse forms of reasoning, and overcome obstacles through thoughtful analysis.</w:t>
      </w:r>
    </w:p>
    <w:p w14:paraId="159CDDFD" w14:textId="77777777" w:rsidR="003A5450" w:rsidRPr="004C140A" w:rsidRDefault="00C648B8" w:rsidP="009D28BE">
      <w:pPr>
        <w:spacing w:after="0" w:line="360" w:lineRule="auto"/>
        <w:ind w:firstLine="708"/>
        <w:jc w:val="both"/>
        <w:rPr>
          <w:rFonts w:ascii="Times New Roman" w:hAnsi="Times New Roman" w:cs="Times New Roman"/>
          <w:sz w:val="24"/>
          <w:szCs w:val="24"/>
          <w:lang w:val="en-US"/>
        </w:rPr>
      </w:pPr>
      <w:r w:rsidRPr="004C140A">
        <w:rPr>
          <w:rFonts w:ascii="Times New Roman" w:hAnsi="Times New Roman" w:cs="Times New Roman"/>
          <w:sz w:val="24"/>
          <w:szCs w:val="24"/>
          <w:lang w:val="en-US"/>
        </w:rPr>
        <w:t>Various studies on human capital accumulation have traditionally used indicators such as years of schooling or educational level to represent knowledge. Although these indirect indicators are common in empirical research, they have significant limitations: they do not adequately capture the quality of education nor allow for establishing a precise relationship between schooling and effective skills, especially when analyzing the competencies of the adult population (Calero et al., 2019).</w:t>
      </w:r>
    </w:p>
    <w:p w14:paraId="3DFD0269" w14:textId="13364AC8" w:rsidR="003A5450" w:rsidRPr="004C140A" w:rsidRDefault="00C648B8" w:rsidP="009D28BE">
      <w:pPr>
        <w:spacing w:after="0" w:line="360" w:lineRule="auto"/>
        <w:ind w:firstLine="708"/>
        <w:jc w:val="both"/>
        <w:rPr>
          <w:rFonts w:ascii="Times New Roman" w:hAnsi="Times New Roman" w:cs="Times New Roman"/>
          <w:sz w:val="24"/>
          <w:szCs w:val="24"/>
          <w:lang w:val="en-US"/>
        </w:rPr>
      </w:pPr>
      <w:r w:rsidRPr="004C140A">
        <w:rPr>
          <w:rFonts w:ascii="Times New Roman" w:hAnsi="Times New Roman" w:cs="Times New Roman"/>
          <w:sz w:val="24"/>
          <w:szCs w:val="24"/>
          <w:lang w:val="en-US"/>
        </w:rPr>
        <w:t xml:space="preserve">The knowledge acquired can vary significantly depending on how effectively schooling is transformed into skills. Furthermore, using (or disusing) these skills in the workplace </w:t>
      </w:r>
      <w:r w:rsidR="00D236F1" w:rsidRPr="004C140A">
        <w:rPr>
          <w:rFonts w:ascii="Times New Roman" w:hAnsi="Times New Roman" w:cs="Times New Roman"/>
          <w:sz w:val="24"/>
          <w:szCs w:val="24"/>
          <w:lang w:val="en-US"/>
        </w:rPr>
        <w:t>overtime</w:t>
      </w:r>
      <w:r w:rsidRPr="004C140A">
        <w:rPr>
          <w:rFonts w:ascii="Times New Roman" w:hAnsi="Times New Roman" w:cs="Times New Roman"/>
          <w:sz w:val="24"/>
          <w:szCs w:val="24"/>
          <w:lang w:val="en-US"/>
        </w:rPr>
        <w:t xml:space="preserve"> also determines how effectively formal education reflects individuals' actual competencies (Hanushek et al., 2015).</w:t>
      </w:r>
    </w:p>
    <w:p w14:paraId="2E524545" w14:textId="0BC7A45E" w:rsidR="003A5450" w:rsidRPr="004C140A" w:rsidRDefault="00C648B8" w:rsidP="009D28BE">
      <w:pPr>
        <w:spacing w:after="0" w:line="360" w:lineRule="auto"/>
        <w:ind w:firstLine="708"/>
        <w:jc w:val="both"/>
        <w:rPr>
          <w:rFonts w:ascii="Times New Roman" w:hAnsi="Times New Roman" w:cs="Times New Roman"/>
          <w:sz w:val="24"/>
          <w:szCs w:val="24"/>
          <w:lang w:val="en-US"/>
        </w:rPr>
      </w:pPr>
      <w:r w:rsidRPr="004C140A">
        <w:rPr>
          <w:rFonts w:ascii="Times New Roman" w:hAnsi="Times New Roman" w:cs="Times New Roman"/>
          <w:sz w:val="24"/>
          <w:szCs w:val="24"/>
          <w:lang w:val="en-US"/>
        </w:rPr>
        <w:t xml:space="preserve">One of the first studies introducing cognitive skills as a direct measure of human capital was that of Hanushek </w:t>
      </w:r>
      <w:r w:rsidR="005348B5">
        <w:rPr>
          <w:rFonts w:ascii="Times New Roman" w:hAnsi="Times New Roman" w:cs="Times New Roman"/>
          <w:sz w:val="24"/>
          <w:szCs w:val="24"/>
          <w:lang w:val="en-US"/>
        </w:rPr>
        <w:t>&amp;</w:t>
      </w:r>
      <w:r w:rsidRPr="004C140A">
        <w:rPr>
          <w:rFonts w:ascii="Times New Roman" w:hAnsi="Times New Roman" w:cs="Times New Roman"/>
          <w:sz w:val="24"/>
          <w:szCs w:val="24"/>
          <w:lang w:val="en-US"/>
        </w:rPr>
        <w:t xml:space="preserve"> </w:t>
      </w:r>
      <w:proofErr w:type="spellStart"/>
      <w:r w:rsidRPr="004C140A">
        <w:rPr>
          <w:rFonts w:ascii="Times New Roman" w:hAnsi="Times New Roman" w:cs="Times New Roman"/>
          <w:sz w:val="24"/>
          <w:szCs w:val="24"/>
          <w:lang w:val="en-US"/>
        </w:rPr>
        <w:t>Kimko</w:t>
      </w:r>
      <w:proofErr w:type="spellEnd"/>
      <w:r w:rsidRPr="004C140A">
        <w:rPr>
          <w:rFonts w:ascii="Times New Roman" w:hAnsi="Times New Roman" w:cs="Times New Roman"/>
          <w:sz w:val="24"/>
          <w:szCs w:val="24"/>
          <w:lang w:val="en-US"/>
        </w:rPr>
        <w:t xml:space="preserve"> (2000). Using the results of international tests administered by the International Association for the Evaluation of Educational Achievement </w:t>
      </w:r>
      <w:r w:rsidRPr="002E5764">
        <w:rPr>
          <w:rFonts w:ascii="Times New Roman" w:hAnsi="Times New Roman" w:cs="Times New Roman"/>
          <w:sz w:val="24"/>
          <w:szCs w:val="24"/>
          <w:lang w:val="en-US"/>
        </w:rPr>
        <w:t>(</w:t>
      </w:r>
      <w:r w:rsidR="002E5764" w:rsidRPr="002E5764">
        <w:rPr>
          <w:rFonts w:ascii="Times New Roman" w:hAnsi="Times New Roman" w:cs="Times New Roman"/>
          <w:sz w:val="24"/>
          <w:szCs w:val="24"/>
          <w:lang w:val="en-US"/>
        </w:rPr>
        <w:t>I</w:t>
      </w:r>
      <w:r w:rsidRPr="002E5764">
        <w:rPr>
          <w:rFonts w:ascii="Times New Roman" w:hAnsi="Times New Roman" w:cs="Times New Roman"/>
          <w:sz w:val="24"/>
          <w:szCs w:val="24"/>
          <w:lang w:val="en-US"/>
        </w:rPr>
        <w:t>EA)</w:t>
      </w:r>
      <w:r w:rsidRPr="003918A2">
        <w:rPr>
          <w:rFonts w:ascii="Times New Roman" w:hAnsi="Times New Roman" w:cs="Times New Roman"/>
          <w:color w:val="EE0000"/>
          <w:sz w:val="24"/>
          <w:szCs w:val="24"/>
          <w:lang w:val="en-US"/>
        </w:rPr>
        <w:t xml:space="preserve"> </w:t>
      </w:r>
      <w:r w:rsidRPr="004C140A">
        <w:rPr>
          <w:rFonts w:ascii="Times New Roman" w:hAnsi="Times New Roman" w:cs="Times New Roman"/>
          <w:sz w:val="24"/>
          <w:szCs w:val="24"/>
          <w:lang w:val="en-US"/>
        </w:rPr>
        <w:t>and the International Assessment of Educational Progress (IAEP) in 31 countries between 1960 and 1990, the authors found a strong positive relationship between cognitive skills and economic growth.</w:t>
      </w:r>
    </w:p>
    <w:p w14:paraId="25383AB7" w14:textId="3CD99BA6" w:rsidR="003A5450" w:rsidRPr="004C140A" w:rsidRDefault="00C648B8" w:rsidP="009D28BE">
      <w:pPr>
        <w:spacing w:after="0" w:line="360" w:lineRule="auto"/>
        <w:ind w:firstLine="708"/>
        <w:jc w:val="both"/>
        <w:rPr>
          <w:rFonts w:ascii="Times New Roman" w:hAnsi="Times New Roman" w:cs="Times New Roman"/>
          <w:sz w:val="24"/>
          <w:szCs w:val="24"/>
          <w:lang w:val="en-US"/>
        </w:rPr>
      </w:pPr>
      <w:r w:rsidRPr="004C140A">
        <w:rPr>
          <w:rFonts w:ascii="Times New Roman" w:hAnsi="Times New Roman" w:cs="Times New Roman"/>
          <w:sz w:val="24"/>
          <w:szCs w:val="24"/>
          <w:lang w:val="en-US"/>
        </w:rPr>
        <w:t>Since then, several studies have delved deeper into the empirical measurement of skills, demonstrating that not only formal education but also the skills acquired have a significant impact on income, inequality, and economic growth (</w:t>
      </w:r>
      <w:proofErr w:type="spellStart"/>
      <w:r w:rsidRPr="004C140A">
        <w:rPr>
          <w:rFonts w:ascii="Times New Roman" w:hAnsi="Times New Roman" w:cs="Times New Roman"/>
          <w:sz w:val="24"/>
          <w:szCs w:val="24"/>
          <w:lang w:val="en-US"/>
        </w:rPr>
        <w:t>Agasisti</w:t>
      </w:r>
      <w:proofErr w:type="spellEnd"/>
      <w:r w:rsidR="00146569">
        <w:rPr>
          <w:rFonts w:ascii="Times New Roman" w:hAnsi="Times New Roman" w:cs="Times New Roman"/>
          <w:sz w:val="24"/>
          <w:szCs w:val="24"/>
          <w:lang w:val="en-US"/>
        </w:rPr>
        <w:t xml:space="preserve"> et al., </w:t>
      </w:r>
      <w:r w:rsidRPr="004C140A">
        <w:rPr>
          <w:rFonts w:ascii="Times New Roman" w:hAnsi="Times New Roman" w:cs="Times New Roman"/>
          <w:sz w:val="24"/>
          <w:szCs w:val="24"/>
          <w:lang w:val="en-US"/>
        </w:rPr>
        <w:t>2020; Bechichi et al., 2018). This research has opened up new avenues for exploring the factors that determine how skills are acquired and maintained in adulthood.</w:t>
      </w:r>
    </w:p>
    <w:p w14:paraId="79313F5D" w14:textId="77777777" w:rsidR="003A5450" w:rsidRDefault="00C648B8" w:rsidP="009D28BE">
      <w:pPr>
        <w:spacing w:after="0" w:line="360" w:lineRule="auto"/>
        <w:ind w:firstLine="708"/>
        <w:jc w:val="both"/>
        <w:rPr>
          <w:rFonts w:ascii="Times New Roman" w:hAnsi="Times New Roman" w:cs="Times New Roman"/>
          <w:sz w:val="24"/>
          <w:szCs w:val="24"/>
          <w:lang w:val="en-US"/>
        </w:rPr>
      </w:pPr>
      <w:r w:rsidRPr="004C140A">
        <w:rPr>
          <w:rFonts w:ascii="Times New Roman" w:hAnsi="Times New Roman" w:cs="Times New Roman"/>
          <w:sz w:val="24"/>
          <w:szCs w:val="24"/>
          <w:lang w:val="en-US"/>
        </w:rPr>
        <w:t>According to Villar (2013), the dynamics of cognitive skills are complex and respond to both individual and social factors. At the individual level, these factors are influenced by neuronal maturation processes, the accumulation of knowledge and experience, and continuous interaction with a changing environment. At the societal level, structural changes, such as the expansion of compulsory education or generational shifts, affect cohorts differently, modifying skill acquisition and retention patterns.</w:t>
      </w:r>
    </w:p>
    <w:p w14:paraId="7158DE86" w14:textId="35D03235" w:rsidR="003A5450" w:rsidRPr="00F34BF0" w:rsidRDefault="00C648B8" w:rsidP="009D28BE">
      <w:pPr>
        <w:spacing w:after="0" w:line="360" w:lineRule="auto"/>
        <w:ind w:firstLine="708"/>
        <w:jc w:val="both"/>
        <w:rPr>
          <w:rFonts w:ascii="Times New Roman" w:hAnsi="Times New Roman" w:cs="Times New Roman"/>
          <w:sz w:val="24"/>
          <w:szCs w:val="24"/>
          <w:lang w:val="en-US"/>
        </w:rPr>
      </w:pPr>
      <w:r w:rsidRPr="00F34BF0">
        <w:rPr>
          <w:rFonts w:ascii="Times New Roman" w:hAnsi="Times New Roman" w:cs="Times New Roman"/>
          <w:sz w:val="24"/>
          <w:szCs w:val="24"/>
          <w:lang w:val="en-US"/>
        </w:rPr>
        <w:t xml:space="preserve">In this regard, Anghel </w:t>
      </w:r>
      <w:r w:rsidR="00146569">
        <w:rPr>
          <w:rFonts w:ascii="Times New Roman" w:hAnsi="Times New Roman" w:cs="Times New Roman"/>
          <w:sz w:val="24"/>
          <w:szCs w:val="24"/>
          <w:lang w:val="en-US"/>
        </w:rPr>
        <w:t>&amp;</w:t>
      </w:r>
      <w:r w:rsidRPr="00F34BF0">
        <w:rPr>
          <w:rFonts w:ascii="Times New Roman" w:hAnsi="Times New Roman" w:cs="Times New Roman"/>
          <w:sz w:val="24"/>
          <w:szCs w:val="24"/>
          <w:lang w:val="en-US"/>
        </w:rPr>
        <w:t xml:space="preserve"> Lacuesta (2020) point out that physical, numeracy, </w:t>
      </w:r>
      <w:r w:rsidR="00F70BB2">
        <w:rPr>
          <w:rFonts w:ascii="Times New Roman" w:hAnsi="Times New Roman" w:cs="Times New Roman"/>
          <w:sz w:val="24"/>
          <w:szCs w:val="24"/>
          <w:lang w:val="en-US"/>
        </w:rPr>
        <w:t>literacy</w:t>
      </w:r>
      <w:r w:rsidRPr="00F34BF0">
        <w:rPr>
          <w:rFonts w:ascii="Times New Roman" w:hAnsi="Times New Roman" w:cs="Times New Roman"/>
          <w:sz w:val="24"/>
          <w:szCs w:val="24"/>
          <w:lang w:val="en-US"/>
        </w:rPr>
        <w:t xml:space="preserve">, and digital skills tend to deteriorate with age, which can limit productivity in specific sectors. However, factors such as company size, labor flexibility, retirement plans tailored to the </w:t>
      </w:r>
      <w:r w:rsidRPr="00F34BF0">
        <w:rPr>
          <w:rFonts w:ascii="Times New Roman" w:hAnsi="Times New Roman" w:cs="Times New Roman"/>
          <w:sz w:val="24"/>
          <w:szCs w:val="24"/>
          <w:lang w:val="en-US"/>
        </w:rPr>
        <w:lastRenderedPageBreak/>
        <w:t>required skills, and a robust continuing education offering can mitigate this loss and increase the employability of older workers.</w:t>
      </w:r>
    </w:p>
    <w:p w14:paraId="795DB1BD" w14:textId="77777777" w:rsidR="003A5450" w:rsidRPr="00F34BF0" w:rsidRDefault="00C648B8" w:rsidP="009D28BE">
      <w:pPr>
        <w:spacing w:after="0" w:line="360" w:lineRule="auto"/>
        <w:ind w:firstLine="708"/>
        <w:jc w:val="both"/>
        <w:rPr>
          <w:rFonts w:ascii="Times New Roman" w:hAnsi="Times New Roman" w:cs="Times New Roman"/>
          <w:sz w:val="24"/>
          <w:szCs w:val="24"/>
          <w:lang w:val="en-US"/>
        </w:rPr>
      </w:pPr>
      <w:r w:rsidRPr="00F34BF0">
        <w:rPr>
          <w:rFonts w:ascii="Times New Roman" w:hAnsi="Times New Roman" w:cs="Times New Roman"/>
          <w:sz w:val="24"/>
          <w:szCs w:val="24"/>
          <w:lang w:val="en-US"/>
        </w:rPr>
        <w:t>Another crucial element in skills development is gender. Battisti et al. (2023) identify that while progress has been made in educational equity, considerable gaps persist in numeracy skills, favoring men. Women face greater disadvantages, especially in the upper segments of the wage distribution. These gaps reflect not only inequalities in training but also the lower returns to skills for women.</w:t>
      </w:r>
    </w:p>
    <w:p w14:paraId="1A7891A1" w14:textId="0FF816F1" w:rsidR="003A5450" w:rsidRPr="00F34BF0" w:rsidRDefault="00C648B8" w:rsidP="009D28BE">
      <w:pPr>
        <w:spacing w:after="0" w:line="360" w:lineRule="auto"/>
        <w:ind w:firstLine="708"/>
        <w:jc w:val="both"/>
        <w:rPr>
          <w:rFonts w:ascii="Times New Roman" w:hAnsi="Times New Roman" w:cs="Times New Roman"/>
          <w:sz w:val="24"/>
          <w:szCs w:val="24"/>
          <w:lang w:val="en-US"/>
        </w:rPr>
      </w:pPr>
      <w:r w:rsidRPr="00F34BF0">
        <w:rPr>
          <w:rFonts w:ascii="Times New Roman" w:hAnsi="Times New Roman" w:cs="Times New Roman"/>
          <w:sz w:val="24"/>
          <w:szCs w:val="24"/>
          <w:lang w:val="en-US"/>
        </w:rPr>
        <w:t>Likewise, Acosta</w:t>
      </w:r>
      <w:r w:rsidR="00146569">
        <w:rPr>
          <w:rFonts w:ascii="Times New Roman" w:hAnsi="Times New Roman" w:cs="Times New Roman"/>
          <w:sz w:val="24"/>
          <w:szCs w:val="24"/>
          <w:lang w:val="en-US"/>
        </w:rPr>
        <w:t xml:space="preserve"> et al.</w:t>
      </w:r>
      <w:r w:rsidR="00D236F1">
        <w:rPr>
          <w:rFonts w:ascii="Times New Roman" w:hAnsi="Times New Roman" w:cs="Times New Roman"/>
          <w:sz w:val="24"/>
          <w:szCs w:val="24"/>
          <w:lang w:val="en-US"/>
        </w:rPr>
        <w:t xml:space="preserve"> </w:t>
      </w:r>
      <w:r w:rsidRPr="00F34BF0">
        <w:rPr>
          <w:rFonts w:ascii="Times New Roman" w:hAnsi="Times New Roman" w:cs="Times New Roman"/>
          <w:sz w:val="24"/>
          <w:szCs w:val="24"/>
          <w:lang w:val="en-US"/>
        </w:rPr>
        <w:t>(2020)</w:t>
      </w:r>
      <w:r w:rsidR="009A15D3">
        <w:rPr>
          <w:rFonts w:ascii="Times New Roman" w:hAnsi="Times New Roman" w:cs="Times New Roman"/>
          <w:sz w:val="24"/>
          <w:szCs w:val="24"/>
          <w:lang w:val="en-US"/>
        </w:rPr>
        <w:t xml:space="preserve"> found, in a study of the adult population in Colombia, </w:t>
      </w:r>
      <w:r w:rsidRPr="00F34BF0">
        <w:rPr>
          <w:rFonts w:ascii="Times New Roman" w:hAnsi="Times New Roman" w:cs="Times New Roman"/>
          <w:sz w:val="24"/>
          <w:szCs w:val="24"/>
          <w:lang w:val="en-US"/>
        </w:rPr>
        <w:t>that individuals with higher levels of cognitive and socioemotional skills secure better jobs—more formal, higher-paying, and less manual labor-intensive—and are more likely to have completed higher education. While socioemotional skills have a positive effect, their impact is less than that of cognitive skills.</w:t>
      </w:r>
    </w:p>
    <w:p w14:paraId="1E778B9B" w14:textId="65587918" w:rsidR="003A5450" w:rsidRDefault="00C648B8" w:rsidP="009D28BE">
      <w:pPr>
        <w:spacing w:after="0" w:line="360" w:lineRule="auto"/>
        <w:ind w:firstLine="708"/>
        <w:jc w:val="both"/>
        <w:rPr>
          <w:rFonts w:ascii="Times New Roman" w:hAnsi="Times New Roman" w:cs="Times New Roman"/>
          <w:sz w:val="24"/>
          <w:szCs w:val="24"/>
          <w:lang w:val="en-US"/>
        </w:rPr>
      </w:pPr>
      <w:r w:rsidRPr="00F34BF0">
        <w:rPr>
          <w:rFonts w:ascii="Times New Roman" w:hAnsi="Times New Roman" w:cs="Times New Roman"/>
          <w:sz w:val="24"/>
          <w:szCs w:val="24"/>
          <w:lang w:val="en-US"/>
        </w:rPr>
        <w:t xml:space="preserve">Most empirical estimates have been based on cross-sectional surveys such as the International Adult Literacy Survey (IALS), the Adult Literacy and Life Skills Survey (ALL), and the Longitudinal Study of Adult Learning (LSAL), which suggest that skills begin to decline after age 30 (Abrassart, 2013; </w:t>
      </w:r>
      <w:proofErr w:type="spellStart"/>
      <w:r w:rsidRPr="00F34BF0">
        <w:rPr>
          <w:rFonts w:ascii="Times New Roman" w:hAnsi="Times New Roman" w:cs="Times New Roman"/>
          <w:sz w:val="24"/>
          <w:szCs w:val="24"/>
          <w:lang w:val="en-US"/>
        </w:rPr>
        <w:t>Flisi</w:t>
      </w:r>
      <w:proofErr w:type="spellEnd"/>
      <w:r w:rsidRPr="00F34BF0">
        <w:rPr>
          <w:rFonts w:ascii="Times New Roman" w:hAnsi="Times New Roman" w:cs="Times New Roman"/>
          <w:sz w:val="24"/>
          <w:szCs w:val="24"/>
          <w:lang w:val="en-US"/>
        </w:rPr>
        <w:t xml:space="preserve"> et al., 2017). However, more recent studies combining these sources with data from the PIAAC have found that the decline can begin as early as age 16, depending on the educational level achieved and the type of skills assessed (Calero et al., 2019; </w:t>
      </w:r>
      <w:r w:rsidR="001D6BE2" w:rsidRPr="0006529C">
        <w:rPr>
          <w:rFonts w:ascii="Times New Roman" w:hAnsi="Times New Roman" w:cs="Times New Roman"/>
          <w:sz w:val="24"/>
          <w:szCs w:val="24"/>
          <w:lang w:val="en-US"/>
        </w:rPr>
        <w:t>Barth</w:t>
      </w:r>
      <w:r w:rsidR="008904B2" w:rsidRPr="0006529C">
        <w:rPr>
          <w:rFonts w:ascii="Times New Roman" w:hAnsi="Times New Roman" w:cs="Times New Roman"/>
          <w:lang w:val="en-US"/>
        </w:rPr>
        <w:t xml:space="preserve"> et al.</w:t>
      </w:r>
      <w:r w:rsidR="007E3826" w:rsidRPr="0006529C">
        <w:rPr>
          <w:rFonts w:ascii="Times New Roman" w:hAnsi="Times New Roman" w:cs="Times New Roman"/>
          <w:sz w:val="24"/>
          <w:szCs w:val="24"/>
          <w:lang w:val="en-US"/>
        </w:rPr>
        <w:t xml:space="preserve">, </w:t>
      </w:r>
      <w:r w:rsidR="001D6BE2" w:rsidRPr="0006529C">
        <w:rPr>
          <w:rFonts w:ascii="Times New Roman" w:hAnsi="Times New Roman" w:cs="Times New Roman"/>
          <w:sz w:val="24"/>
          <w:szCs w:val="24"/>
          <w:lang w:val="en-US"/>
        </w:rPr>
        <w:t>2021;</w:t>
      </w:r>
      <w:r w:rsidR="001D6BE2">
        <w:rPr>
          <w:rFonts w:ascii="Times New Roman" w:hAnsi="Times New Roman" w:cs="Times New Roman"/>
          <w:sz w:val="24"/>
          <w:szCs w:val="24"/>
          <w:lang w:val="en-US"/>
        </w:rPr>
        <w:t xml:space="preserve"> </w:t>
      </w:r>
      <w:r w:rsidRPr="00F34BF0">
        <w:rPr>
          <w:rFonts w:ascii="Times New Roman" w:hAnsi="Times New Roman" w:cs="Times New Roman"/>
          <w:sz w:val="24"/>
          <w:szCs w:val="24"/>
          <w:lang w:val="en-US"/>
        </w:rPr>
        <w:t xml:space="preserve">Shields </w:t>
      </w:r>
      <w:r w:rsidR="00146569">
        <w:rPr>
          <w:rFonts w:ascii="Times New Roman" w:hAnsi="Times New Roman" w:cs="Times New Roman"/>
          <w:sz w:val="24"/>
          <w:szCs w:val="24"/>
          <w:lang w:val="en-US"/>
        </w:rPr>
        <w:t>&amp;</w:t>
      </w:r>
      <w:r w:rsidRPr="00F34BF0">
        <w:rPr>
          <w:rFonts w:ascii="Times New Roman" w:hAnsi="Times New Roman" w:cs="Times New Roman"/>
          <w:sz w:val="24"/>
          <w:szCs w:val="24"/>
          <w:lang w:val="en-US"/>
        </w:rPr>
        <w:t xml:space="preserve"> Sandoval Hernández, 2020). </w:t>
      </w:r>
    </w:p>
    <w:p w14:paraId="6B338309" w14:textId="69AC2616" w:rsidR="003A5450" w:rsidRDefault="00C648B8" w:rsidP="009D28BE">
      <w:pPr>
        <w:spacing w:after="0" w:line="360" w:lineRule="auto"/>
        <w:ind w:firstLine="708"/>
        <w:jc w:val="both"/>
        <w:rPr>
          <w:rFonts w:ascii="Times New Roman" w:hAnsi="Times New Roman" w:cs="Times New Roman"/>
          <w:sz w:val="24"/>
          <w:szCs w:val="24"/>
          <w:lang w:val="en-US"/>
        </w:rPr>
      </w:pPr>
      <w:r w:rsidRPr="00F34BF0">
        <w:rPr>
          <w:rFonts w:ascii="Times New Roman" w:hAnsi="Times New Roman" w:cs="Times New Roman"/>
          <w:sz w:val="24"/>
          <w:szCs w:val="24"/>
          <w:lang w:val="en-US"/>
        </w:rPr>
        <w:t xml:space="preserve">Finally, several studies have shown that the development of cognitive skills is closely linked to socioeconomic, educational, and gender factors. In Latin America, </w:t>
      </w:r>
      <w:proofErr w:type="spellStart"/>
      <w:r w:rsidRPr="00F34BF0">
        <w:rPr>
          <w:rFonts w:ascii="Times New Roman" w:hAnsi="Times New Roman" w:cs="Times New Roman"/>
          <w:sz w:val="24"/>
          <w:szCs w:val="24"/>
          <w:lang w:val="en-US"/>
        </w:rPr>
        <w:t>Bonavida</w:t>
      </w:r>
      <w:proofErr w:type="spellEnd"/>
      <w:r w:rsidRPr="00F34BF0">
        <w:rPr>
          <w:rFonts w:ascii="Times New Roman" w:hAnsi="Times New Roman" w:cs="Times New Roman"/>
          <w:sz w:val="24"/>
          <w:szCs w:val="24"/>
          <w:lang w:val="en-US"/>
        </w:rPr>
        <w:t xml:space="preserve"> </w:t>
      </w:r>
      <w:r w:rsidR="00D2327B">
        <w:rPr>
          <w:rFonts w:ascii="Times New Roman" w:hAnsi="Times New Roman" w:cs="Times New Roman"/>
          <w:sz w:val="24"/>
          <w:szCs w:val="24"/>
          <w:lang w:val="en-US"/>
        </w:rPr>
        <w:t>&amp;</w:t>
      </w:r>
      <w:r w:rsidRPr="00F34BF0">
        <w:rPr>
          <w:rFonts w:ascii="Times New Roman" w:hAnsi="Times New Roman" w:cs="Times New Roman"/>
          <w:sz w:val="24"/>
          <w:szCs w:val="24"/>
          <w:lang w:val="en-US"/>
        </w:rPr>
        <w:t xml:space="preserve"> Gasparini (2024) utilize data from the PIAAC to demonstrate how gaps in numerical skills identified at school age persist into adulthood, influencing the types of tasks performed by men and women and contributing to part of the wage gap. Internationally, </w:t>
      </w:r>
      <w:proofErr w:type="spellStart"/>
      <w:r w:rsidRPr="00F34BF0">
        <w:rPr>
          <w:rFonts w:ascii="Times New Roman" w:hAnsi="Times New Roman" w:cs="Times New Roman"/>
          <w:sz w:val="24"/>
          <w:szCs w:val="24"/>
          <w:lang w:val="en-US"/>
        </w:rPr>
        <w:t>Aesaert</w:t>
      </w:r>
      <w:proofErr w:type="spellEnd"/>
      <w:r w:rsidRPr="00F34BF0">
        <w:rPr>
          <w:rFonts w:ascii="Times New Roman" w:hAnsi="Times New Roman" w:cs="Times New Roman"/>
          <w:sz w:val="24"/>
          <w:szCs w:val="24"/>
          <w:lang w:val="en-US"/>
        </w:rPr>
        <w:t xml:space="preserve"> </w:t>
      </w:r>
      <w:r w:rsidR="00D2327B">
        <w:rPr>
          <w:rFonts w:ascii="Times New Roman" w:hAnsi="Times New Roman" w:cs="Times New Roman"/>
          <w:sz w:val="24"/>
          <w:szCs w:val="24"/>
          <w:lang w:val="en-US"/>
        </w:rPr>
        <w:t>&amp;</w:t>
      </w:r>
      <w:r w:rsidRPr="00F34BF0">
        <w:rPr>
          <w:rFonts w:ascii="Times New Roman" w:hAnsi="Times New Roman" w:cs="Times New Roman"/>
          <w:sz w:val="24"/>
          <w:szCs w:val="24"/>
          <w:lang w:val="en-US"/>
        </w:rPr>
        <w:t xml:space="preserve"> </w:t>
      </w:r>
      <w:r w:rsidR="0001290B">
        <w:rPr>
          <w:rFonts w:ascii="Times New Roman" w:hAnsi="Times New Roman" w:cs="Times New Roman"/>
          <w:sz w:val="24"/>
          <w:szCs w:val="24"/>
          <w:lang w:val="en-US"/>
        </w:rPr>
        <w:t>v</w:t>
      </w:r>
      <w:r w:rsidRPr="00F34BF0">
        <w:rPr>
          <w:rFonts w:ascii="Times New Roman" w:hAnsi="Times New Roman" w:cs="Times New Roman"/>
          <w:sz w:val="24"/>
          <w:szCs w:val="24"/>
          <w:lang w:val="en-US"/>
        </w:rPr>
        <w:t>an Braak (2015) demonstrate that differences in gender and socioeconomic status also significantly impact digital skills, particularly when measured through achievement tests rather than self-assessments.</w:t>
      </w:r>
    </w:p>
    <w:p w14:paraId="22B9E8B6" w14:textId="77777777" w:rsidR="00070F31" w:rsidRDefault="00070F31" w:rsidP="009D28BE">
      <w:pPr>
        <w:spacing w:after="0" w:line="360" w:lineRule="auto"/>
        <w:ind w:firstLine="708"/>
        <w:jc w:val="both"/>
        <w:rPr>
          <w:rFonts w:ascii="Times New Roman" w:hAnsi="Times New Roman" w:cs="Times New Roman"/>
          <w:sz w:val="24"/>
          <w:szCs w:val="24"/>
          <w:lang w:val="en-US"/>
        </w:rPr>
      </w:pPr>
    </w:p>
    <w:p w14:paraId="2EA4106A" w14:textId="77777777" w:rsidR="0056654A" w:rsidRDefault="0056654A" w:rsidP="009D28BE">
      <w:pPr>
        <w:spacing w:after="0" w:line="360" w:lineRule="auto"/>
        <w:ind w:firstLine="708"/>
        <w:jc w:val="both"/>
        <w:rPr>
          <w:rFonts w:ascii="Times New Roman" w:hAnsi="Times New Roman" w:cs="Times New Roman"/>
          <w:sz w:val="24"/>
          <w:szCs w:val="24"/>
          <w:lang w:val="en-US"/>
        </w:rPr>
      </w:pPr>
    </w:p>
    <w:p w14:paraId="652EA9CB" w14:textId="77777777" w:rsidR="0056654A" w:rsidRDefault="0056654A" w:rsidP="009D28BE">
      <w:pPr>
        <w:spacing w:after="0" w:line="360" w:lineRule="auto"/>
        <w:ind w:firstLine="708"/>
        <w:jc w:val="both"/>
        <w:rPr>
          <w:rFonts w:ascii="Times New Roman" w:hAnsi="Times New Roman" w:cs="Times New Roman"/>
          <w:sz w:val="24"/>
          <w:szCs w:val="24"/>
          <w:lang w:val="en-US"/>
        </w:rPr>
      </w:pPr>
    </w:p>
    <w:p w14:paraId="64E2473C" w14:textId="77777777" w:rsidR="0056654A" w:rsidRDefault="0056654A" w:rsidP="009D28BE">
      <w:pPr>
        <w:spacing w:after="0" w:line="360" w:lineRule="auto"/>
        <w:ind w:firstLine="708"/>
        <w:jc w:val="both"/>
        <w:rPr>
          <w:rFonts w:ascii="Times New Roman" w:hAnsi="Times New Roman" w:cs="Times New Roman"/>
          <w:sz w:val="24"/>
          <w:szCs w:val="24"/>
          <w:lang w:val="en-US"/>
        </w:rPr>
      </w:pPr>
    </w:p>
    <w:p w14:paraId="70D60D8F" w14:textId="77777777" w:rsidR="0056654A" w:rsidRDefault="0056654A" w:rsidP="009D28BE">
      <w:pPr>
        <w:spacing w:after="0" w:line="360" w:lineRule="auto"/>
        <w:ind w:firstLine="708"/>
        <w:jc w:val="both"/>
        <w:rPr>
          <w:rFonts w:ascii="Times New Roman" w:hAnsi="Times New Roman" w:cs="Times New Roman"/>
          <w:sz w:val="24"/>
          <w:szCs w:val="24"/>
          <w:lang w:val="en-US"/>
        </w:rPr>
      </w:pPr>
    </w:p>
    <w:p w14:paraId="6594B4B5" w14:textId="77777777" w:rsidR="0056654A" w:rsidRDefault="0056654A" w:rsidP="009D28BE">
      <w:pPr>
        <w:spacing w:after="0" w:line="360" w:lineRule="auto"/>
        <w:ind w:firstLine="708"/>
        <w:jc w:val="both"/>
        <w:rPr>
          <w:rFonts w:ascii="Times New Roman" w:hAnsi="Times New Roman" w:cs="Times New Roman"/>
          <w:sz w:val="24"/>
          <w:szCs w:val="24"/>
          <w:lang w:val="en-US"/>
        </w:rPr>
      </w:pPr>
    </w:p>
    <w:p w14:paraId="37F8C9D5" w14:textId="735FBCA6" w:rsidR="00262532" w:rsidRPr="00262532" w:rsidRDefault="00262532" w:rsidP="009D28BE">
      <w:pPr>
        <w:spacing w:after="0" w:line="360" w:lineRule="auto"/>
        <w:ind w:firstLine="708"/>
        <w:jc w:val="center"/>
        <w:rPr>
          <w:rFonts w:ascii="Times New Roman" w:hAnsi="Times New Roman" w:cs="Times New Roman"/>
          <w:b/>
          <w:bCs/>
          <w:sz w:val="28"/>
          <w:szCs w:val="28"/>
          <w:lang w:val="en-US"/>
        </w:rPr>
      </w:pPr>
      <w:r w:rsidRPr="00262532">
        <w:rPr>
          <w:rFonts w:ascii="Times New Roman" w:hAnsi="Times New Roman" w:cs="Times New Roman"/>
          <w:b/>
          <w:bCs/>
          <w:sz w:val="28"/>
          <w:szCs w:val="28"/>
          <w:lang w:val="en-US"/>
        </w:rPr>
        <w:lastRenderedPageBreak/>
        <w:t>Mexican context and skills gaps</w:t>
      </w:r>
    </w:p>
    <w:p w14:paraId="3236E648" w14:textId="63100480" w:rsidR="003A5450" w:rsidRPr="00F25151" w:rsidRDefault="00C648B8" w:rsidP="009D28BE">
      <w:pPr>
        <w:spacing w:after="0" w:line="360" w:lineRule="auto"/>
        <w:jc w:val="both"/>
        <w:rPr>
          <w:rFonts w:ascii="Times New Roman" w:hAnsi="Times New Roman" w:cs="Times New Roman"/>
          <w:sz w:val="24"/>
          <w:szCs w:val="24"/>
          <w:lang w:val="en-US"/>
        </w:rPr>
      </w:pPr>
      <w:r w:rsidRPr="007C6D43">
        <w:rPr>
          <w:rFonts w:ascii="Times New Roman" w:hAnsi="Times New Roman" w:cs="Times New Roman"/>
          <w:sz w:val="24"/>
          <w:szCs w:val="24"/>
          <w:lang w:val="en-US"/>
        </w:rPr>
        <w:t xml:space="preserve">In the Mexican context, Vázquez </w:t>
      </w:r>
      <w:r w:rsidR="00502CA3">
        <w:rPr>
          <w:rFonts w:ascii="Times New Roman" w:hAnsi="Times New Roman" w:cs="Times New Roman"/>
          <w:sz w:val="24"/>
          <w:szCs w:val="24"/>
          <w:lang w:val="en-US"/>
        </w:rPr>
        <w:t>&amp;</w:t>
      </w:r>
      <w:r w:rsidRPr="007C6D43">
        <w:rPr>
          <w:rFonts w:ascii="Times New Roman" w:hAnsi="Times New Roman" w:cs="Times New Roman"/>
          <w:sz w:val="24"/>
          <w:szCs w:val="24"/>
          <w:lang w:val="en-US"/>
        </w:rPr>
        <w:t xml:space="preserve"> Mireles</w:t>
      </w:r>
      <w:r w:rsidR="00D042C6">
        <w:rPr>
          <w:rFonts w:ascii="Times New Roman" w:hAnsi="Times New Roman" w:cs="Times New Roman"/>
          <w:sz w:val="24"/>
          <w:szCs w:val="24"/>
          <w:lang w:val="en-US"/>
        </w:rPr>
        <w:t>-Cárdenas</w:t>
      </w:r>
      <w:r w:rsidRPr="007C6D43">
        <w:rPr>
          <w:rFonts w:ascii="Times New Roman" w:hAnsi="Times New Roman" w:cs="Times New Roman"/>
          <w:sz w:val="24"/>
          <w:szCs w:val="24"/>
          <w:lang w:val="en-US"/>
        </w:rPr>
        <w:t xml:space="preserve"> (2024) highlight the importance of critical thinking and information literacy skills in upper secondary education as key tools for university and career readiness. In turn, Heffington et al. (2023) emphasize that although the development of higher-order thinking skills is included in the basic education curriculum, its implementation faces methodological and conceptual obstacles. </w:t>
      </w:r>
      <w:r w:rsidRPr="00F25151">
        <w:rPr>
          <w:rFonts w:ascii="Times New Roman" w:hAnsi="Times New Roman" w:cs="Times New Roman"/>
          <w:sz w:val="24"/>
          <w:szCs w:val="24"/>
          <w:lang w:val="en-US"/>
        </w:rPr>
        <w:t xml:space="preserve">These challenges limit the education system's capacity to foster transferable skills. Overall, the literature agrees that the quality and type of education received at early stages are determinants of human capital, which can be effectively measured using instruments such as the PIAAC (OECD, 2020; </w:t>
      </w:r>
      <w:proofErr w:type="spellStart"/>
      <w:r w:rsidRPr="00F25151">
        <w:rPr>
          <w:rFonts w:ascii="Times New Roman" w:hAnsi="Times New Roman" w:cs="Times New Roman"/>
          <w:sz w:val="24"/>
          <w:szCs w:val="24"/>
          <w:lang w:val="en-US"/>
        </w:rPr>
        <w:t>Bonavida</w:t>
      </w:r>
      <w:proofErr w:type="spellEnd"/>
      <w:r w:rsidRPr="00F25151">
        <w:rPr>
          <w:rFonts w:ascii="Times New Roman" w:hAnsi="Times New Roman" w:cs="Times New Roman"/>
          <w:sz w:val="24"/>
          <w:szCs w:val="24"/>
          <w:lang w:val="en-US"/>
        </w:rPr>
        <w:t xml:space="preserve"> </w:t>
      </w:r>
      <w:r w:rsidR="00502CA3" w:rsidRPr="00F25151">
        <w:rPr>
          <w:rFonts w:ascii="Times New Roman" w:hAnsi="Times New Roman" w:cs="Times New Roman"/>
          <w:sz w:val="24"/>
          <w:szCs w:val="24"/>
          <w:lang w:val="en-US"/>
        </w:rPr>
        <w:t>&amp;</w:t>
      </w:r>
      <w:r w:rsidRPr="00F25151">
        <w:rPr>
          <w:rFonts w:ascii="Times New Roman" w:hAnsi="Times New Roman" w:cs="Times New Roman"/>
          <w:sz w:val="24"/>
          <w:szCs w:val="24"/>
          <w:lang w:val="en-US"/>
        </w:rPr>
        <w:t xml:space="preserve"> Gasparini, 2024). This reaffirms the need for more targeted and inclusive education and labor market policies. </w:t>
      </w:r>
    </w:p>
    <w:p w14:paraId="7F2D354A" w14:textId="4E2BDF00" w:rsidR="003A5450" w:rsidRPr="00F25151" w:rsidRDefault="00C648B8" w:rsidP="009D28BE">
      <w:pPr>
        <w:spacing w:after="0" w:line="360" w:lineRule="auto"/>
        <w:jc w:val="both"/>
        <w:rPr>
          <w:rFonts w:ascii="Times New Roman" w:hAnsi="Times New Roman" w:cs="Times New Roman"/>
          <w:sz w:val="24"/>
          <w:szCs w:val="24"/>
          <w:lang w:val="en-US"/>
        </w:rPr>
      </w:pPr>
      <w:r w:rsidRPr="00F25151">
        <w:rPr>
          <w:rFonts w:ascii="Times New Roman" w:hAnsi="Times New Roman" w:cs="Times New Roman"/>
          <w:sz w:val="24"/>
          <w:szCs w:val="24"/>
          <w:lang w:val="en-US"/>
        </w:rPr>
        <w:t xml:space="preserve">Despite the wealth of previous studies, much of the existing literature has focused on international contexts or early educational stages, leaving the analysis of the factors that determine cognitive abilities in the Mexican adult population with relatively recent empirical evidence. In this sense, one of this work's main contributions is the use of microdata from the PIAAC Mexico to estimate the effect of socioeconomic and demographic variables on adult literacy and numeracy skills. Unlike previous research focused on the school setting (Vázquez </w:t>
      </w:r>
      <w:r w:rsidR="00502CA3" w:rsidRPr="00F25151">
        <w:rPr>
          <w:rFonts w:ascii="Times New Roman" w:hAnsi="Times New Roman" w:cs="Times New Roman"/>
          <w:sz w:val="24"/>
          <w:szCs w:val="24"/>
          <w:lang w:val="en-US"/>
        </w:rPr>
        <w:t>&amp;</w:t>
      </w:r>
      <w:r w:rsidRPr="00F25151">
        <w:rPr>
          <w:rFonts w:ascii="Times New Roman" w:hAnsi="Times New Roman" w:cs="Times New Roman"/>
          <w:sz w:val="24"/>
          <w:szCs w:val="24"/>
          <w:lang w:val="en-US"/>
        </w:rPr>
        <w:t xml:space="preserve"> Mireles</w:t>
      </w:r>
      <w:r w:rsidR="00103E52" w:rsidRPr="00F25151">
        <w:rPr>
          <w:rFonts w:ascii="Times New Roman" w:hAnsi="Times New Roman" w:cs="Times New Roman"/>
          <w:sz w:val="24"/>
          <w:szCs w:val="24"/>
          <w:lang w:val="en-US"/>
        </w:rPr>
        <w:t>-Cárdenas</w:t>
      </w:r>
      <w:r w:rsidRPr="00F25151">
        <w:rPr>
          <w:rFonts w:ascii="Times New Roman" w:hAnsi="Times New Roman" w:cs="Times New Roman"/>
          <w:sz w:val="24"/>
          <w:szCs w:val="24"/>
          <w:lang w:val="en-US"/>
        </w:rPr>
        <w:t>, 2024; Heffington et al., 2023) or samples from other countries (Battisti et al., 2023; Acosta et al., 2020), this study allows us to identify persistent inequalities in cognitive abilities based on educational level attained, health, age, work experience, gender, and parental education, providing contextualized evidence for the design of public policies in Mexico. In addition, it offers an intergenerational and life-cycle perspective that allows us to understand how skills are acquired and how they are maintained, deteriorated, or enhanced over time.</w:t>
      </w:r>
    </w:p>
    <w:p w14:paraId="173E6577" w14:textId="250C3708" w:rsidR="002E7CA5" w:rsidRPr="00F25151" w:rsidRDefault="00C648B8" w:rsidP="009D28BE">
      <w:pPr>
        <w:spacing w:after="0" w:line="360" w:lineRule="auto"/>
        <w:jc w:val="both"/>
        <w:rPr>
          <w:rFonts w:ascii="Times New Roman" w:hAnsi="Times New Roman" w:cs="Times New Roman"/>
          <w:sz w:val="24"/>
          <w:szCs w:val="24"/>
          <w:lang w:val="en-US"/>
        </w:rPr>
      </w:pPr>
      <w:r w:rsidRPr="00F25151">
        <w:rPr>
          <w:rFonts w:ascii="Times New Roman" w:hAnsi="Times New Roman" w:cs="Times New Roman"/>
          <w:sz w:val="24"/>
          <w:szCs w:val="24"/>
          <w:lang w:val="en-US"/>
        </w:rPr>
        <w:t xml:space="preserve">It is hypothesized that the cognitive abilities of adults in Mexico are significantly determined by sociodemographic, educational, and occupational factors, such that higher levels of education, employment, and participation in learning activities are associated with better performance in </w:t>
      </w:r>
      <w:r w:rsidR="00F70BB2" w:rsidRPr="00F25151">
        <w:rPr>
          <w:rFonts w:ascii="Times New Roman" w:hAnsi="Times New Roman" w:cs="Times New Roman"/>
          <w:sz w:val="24"/>
          <w:szCs w:val="24"/>
          <w:lang w:val="en-US"/>
        </w:rPr>
        <w:t xml:space="preserve">literacy </w:t>
      </w:r>
      <w:r w:rsidRPr="00F25151">
        <w:rPr>
          <w:rFonts w:ascii="Times New Roman" w:hAnsi="Times New Roman" w:cs="Times New Roman"/>
          <w:sz w:val="24"/>
          <w:szCs w:val="24"/>
          <w:lang w:val="en-US"/>
        </w:rPr>
        <w:t>and</w:t>
      </w:r>
      <w:r w:rsidR="00F70BB2" w:rsidRPr="00F25151">
        <w:rPr>
          <w:rFonts w:ascii="Times New Roman" w:hAnsi="Times New Roman" w:cs="Times New Roman"/>
          <w:sz w:val="24"/>
          <w:szCs w:val="24"/>
          <w:lang w:val="en-US"/>
        </w:rPr>
        <w:t xml:space="preserve"> numeracy</w:t>
      </w:r>
      <w:r w:rsidRPr="00F25151">
        <w:rPr>
          <w:rFonts w:ascii="Times New Roman" w:hAnsi="Times New Roman" w:cs="Times New Roman"/>
          <w:sz w:val="24"/>
          <w:szCs w:val="24"/>
          <w:lang w:val="en-US"/>
        </w:rPr>
        <w:t>.</w:t>
      </w:r>
    </w:p>
    <w:p w14:paraId="70C38A77" w14:textId="56D06854" w:rsidR="000A34B4" w:rsidRPr="00F25151" w:rsidRDefault="000A34B4" w:rsidP="009D28BE">
      <w:pPr>
        <w:spacing w:after="0" w:line="360" w:lineRule="auto"/>
        <w:jc w:val="both"/>
        <w:rPr>
          <w:rFonts w:ascii="Times New Roman" w:hAnsi="Times New Roman" w:cs="Times New Roman"/>
          <w:sz w:val="24"/>
          <w:szCs w:val="24"/>
          <w:lang w:val="en-US"/>
        </w:rPr>
      </w:pPr>
      <w:r w:rsidRPr="00F25151">
        <w:rPr>
          <w:rFonts w:ascii="Times New Roman" w:hAnsi="Times New Roman" w:cs="Times New Roman"/>
          <w:sz w:val="24"/>
          <w:szCs w:val="24"/>
          <w:lang w:val="en-US"/>
        </w:rPr>
        <w:t>This study aims to estimate the effects of socioeconomic, demographic, and occupational factors on the cognitive skills of Mexican adults, using PIAAC data</w:t>
      </w:r>
      <w:r w:rsidR="009F01AF" w:rsidRPr="00F25151">
        <w:rPr>
          <w:rFonts w:ascii="Times New Roman" w:hAnsi="Times New Roman" w:cs="Times New Roman"/>
          <w:sz w:val="24"/>
          <w:szCs w:val="24"/>
          <w:lang w:val="en-US"/>
        </w:rPr>
        <w:t>.</w:t>
      </w:r>
    </w:p>
    <w:p w14:paraId="3D56852B" w14:textId="77777777" w:rsidR="00ED2E0E" w:rsidRDefault="00ED2E0E" w:rsidP="009D28BE">
      <w:pPr>
        <w:spacing w:after="0" w:line="360" w:lineRule="auto"/>
        <w:ind w:firstLine="0"/>
        <w:contextualSpacing w:val="0"/>
        <w:jc w:val="both"/>
        <w:rPr>
          <w:rFonts w:ascii="Times New Roman" w:hAnsi="Times New Roman" w:cs="Times New Roman"/>
          <w:sz w:val="24"/>
          <w:szCs w:val="24"/>
          <w:lang w:val="en-US"/>
        </w:rPr>
      </w:pPr>
    </w:p>
    <w:p w14:paraId="4354C791" w14:textId="77777777" w:rsidR="0056654A" w:rsidRDefault="0056654A" w:rsidP="009D28BE">
      <w:pPr>
        <w:spacing w:after="0" w:line="360" w:lineRule="auto"/>
        <w:ind w:firstLine="0"/>
        <w:contextualSpacing w:val="0"/>
        <w:jc w:val="both"/>
        <w:rPr>
          <w:rFonts w:ascii="Times New Roman" w:hAnsi="Times New Roman" w:cs="Times New Roman"/>
          <w:sz w:val="24"/>
          <w:szCs w:val="24"/>
          <w:lang w:val="en-US"/>
        </w:rPr>
      </w:pPr>
    </w:p>
    <w:p w14:paraId="03801B05" w14:textId="77777777" w:rsidR="0056654A" w:rsidRPr="00F25151" w:rsidRDefault="0056654A" w:rsidP="009D28BE">
      <w:pPr>
        <w:spacing w:after="0" w:line="360" w:lineRule="auto"/>
        <w:ind w:firstLine="0"/>
        <w:contextualSpacing w:val="0"/>
        <w:jc w:val="both"/>
        <w:rPr>
          <w:rFonts w:ascii="Times New Roman" w:hAnsi="Times New Roman" w:cs="Times New Roman"/>
          <w:sz w:val="24"/>
          <w:szCs w:val="24"/>
          <w:lang w:val="en-US"/>
        </w:rPr>
      </w:pPr>
    </w:p>
    <w:p w14:paraId="3D3719E2" w14:textId="51215500" w:rsidR="00A55448" w:rsidRPr="009D28BE" w:rsidRDefault="00C648B8" w:rsidP="009D28BE">
      <w:pPr>
        <w:spacing w:after="0" w:line="360" w:lineRule="auto"/>
        <w:ind w:firstLine="0"/>
        <w:jc w:val="center"/>
        <w:rPr>
          <w:rFonts w:ascii="Times New Roman" w:hAnsi="Times New Roman" w:cs="Times New Roman"/>
          <w:b/>
          <w:bCs/>
          <w:sz w:val="28"/>
          <w:szCs w:val="28"/>
          <w:lang w:val="en-US"/>
        </w:rPr>
      </w:pPr>
      <w:r w:rsidRPr="009D28BE">
        <w:rPr>
          <w:rFonts w:ascii="Times New Roman" w:hAnsi="Times New Roman" w:cs="Times New Roman"/>
          <w:b/>
          <w:bCs/>
          <w:sz w:val="28"/>
          <w:szCs w:val="28"/>
          <w:lang w:val="en-US"/>
        </w:rPr>
        <w:lastRenderedPageBreak/>
        <w:t>PIAAC</w:t>
      </w:r>
      <w:r w:rsidR="00262532" w:rsidRPr="009D28BE">
        <w:rPr>
          <w:rFonts w:ascii="Times New Roman" w:hAnsi="Times New Roman" w:cs="Times New Roman"/>
          <w:b/>
          <w:bCs/>
          <w:sz w:val="28"/>
          <w:szCs w:val="28"/>
          <w:lang w:val="en-US"/>
        </w:rPr>
        <w:t>: Instrument and applications</w:t>
      </w:r>
    </w:p>
    <w:p w14:paraId="4BDF9A17" w14:textId="33E5BECF" w:rsidR="003A5450" w:rsidRDefault="00C648B8" w:rsidP="009D28BE">
      <w:pPr>
        <w:spacing w:after="0" w:line="360" w:lineRule="auto"/>
        <w:ind w:firstLine="708"/>
        <w:contextualSpacing w:val="0"/>
        <w:jc w:val="both"/>
        <w:rPr>
          <w:rFonts w:ascii="Times New Roman" w:hAnsi="Times New Roman" w:cs="Times New Roman"/>
          <w:sz w:val="24"/>
          <w:szCs w:val="24"/>
          <w:lang w:val="en-US"/>
        </w:rPr>
      </w:pPr>
      <w:r w:rsidRPr="0035124B">
        <w:rPr>
          <w:rFonts w:ascii="Times New Roman" w:hAnsi="Times New Roman" w:cs="Times New Roman"/>
          <w:sz w:val="24"/>
          <w:szCs w:val="24"/>
          <w:lang w:val="en-US"/>
        </w:rPr>
        <w:t xml:space="preserve">The </w:t>
      </w:r>
      <w:proofErr w:type="spellStart"/>
      <w:r w:rsidRPr="0035124B">
        <w:rPr>
          <w:rFonts w:ascii="Times New Roman" w:hAnsi="Times New Roman" w:cs="Times New Roman"/>
          <w:sz w:val="24"/>
          <w:szCs w:val="24"/>
          <w:lang w:val="en-US"/>
        </w:rPr>
        <w:t>Programme</w:t>
      </w:r>
      <w:proofErr w:type="spellEnd"/>
      <w:r w:rsidRPr="0035124B">
        <w:rPr>
          <w:rFonts w:ascii="Times New Roman" w:hAnsi="Times New Roman" w:cs="Times New Roman"/>
          <w:sz w:val="24"/>
          <w:szCs w:val="24"/>
          <w:lang w:val="en-US"/>
        </w:rPr>
        <w:t xml:space="preserve"> for the International Assessment of Adult Competencies (PIAAC), promoted by the </w:t>
      </w:r>
      <w:proofErr w:type="spellStart"/>
      <w:r w:rsidRPr="0035124B">
        <w:rPr>
          <w:rFonts w:ascii="Times New Roman" w:hAnsi="Times New Roman" w:cs="Times New Roman"/>
          <w:sz w:val="24"/>
          <w:szCs w:val="24"/>
          <w:lang w:val="en-US"/>
        </w:rPr>
        <w:t>Organisation</w:t>
      </w:r>
      <w:proofErr w:type="spellEnd"/>
      <w:r w:rsidRPr="0035124B">
        <w:rPr>
          <w:rFonts w:ascii="Times New Roman" w:hAnsi="Times New Roman" w:cs="Times New Roman"/>
          <w:sz w:val="24"/>
          <w:szCs w:val="24"/>
          <w:lang w:val="en-US"/>
        </w:rPr>
        <w:t xml:space="preserve"> for Economic Co-operation and Development (OECD), is one of the most comprehensive international initiatives to directly measure the key skills adults apply in their </w:t>
      </w:r>
      <w:r w:rsidR="00FD3735">
        <w:rPr>
          <w:rFonts w:ascii="Times New Roman" w:hAnsi="Times New Roman" w:cs="Times New Roman"/>
          <w:sz w:val="24"/>
          <w:szCs w:val="24"/>
          <w:lang w:val="en-US"/>
        </w:rPr>
        <w:t>everyday</w:t>
      </w:r>
      <w:r w:rsidRPr="0035124B">
        <w:rPr>
          <w:rFonts w:ascii="Times New Roman" w:hAnsi="Times New Roman" w:cs="Times New Roman"/>
          <w:sz w:val="24"/>
          <w:szCs w:val="24"/>
          <w:lang w:val="en-US"/>
        </w:rPr>
        <w:t>, educational, and work environments. Through a rigorous and standardized methodology, PIAAC assesses three fundamental domains: literacy, numeracy, and problem-solving in technology-rich environments, allowing for comparisons across countries and population segments (OECD, 2012; OECD, 2013).</w:t>
      </w:r>
    </w:p>
    <w:p w14:paraId="536AF1EC" w14:textId="0E9DE1A5" w:rsidR="007B539C" w:rsidRPr="0035124B" w:rsidRDefault="00C648B8" w:rsidP="009D28BE">
      <w:pPr>
        <w:spacing w:after="0" w:line="360" w:lineRule="auto"/>
        <w:ind w:firstLine="708"/>
        <w:contextualSpacing w:val="0"/>
        <w:jc w:val="both"/>
        <w:rPr>
          <w:rFonts w:ascii="Times New Roman" w:hAnsi="Times New Roman" w:cs="Times New Roman"/>
          <w:sz w:val="24"/>
          <w:szCs w:val="24"/>
          <w:lang w:val="en-US"/>
        </w:rPr>
      </w:pPr>
      <w:r w:rsidRPr="00686A71">
        <w:rPr>
          <w:rFonts w:ascii="Times New Roman" w:hAnsi="Times New Roman" w:cs="Times New Roman"/>
          <w:sz w:val="24"/>
          <w:szCs w:val="24"/>
          <w:lang w:val="en-US"/>
        </w:rPr>
        <w:t>The PIAAC methodological design is based on a multistage, stratified probability sampling scheme, ensuring national representativeness. The survey consists of two parts: a background questionnaire and a competency assessment administered in a booklet or on a computer. This assessment focuses on three domains: literacy, numeracy, and problem-solving in technology-rich environments. The assessment items are constructed from tasks based on real-life situations and calibrated using Item Response Theory (IRT). Each participant receives a continuous score on a scale of 0 to 500 points, based on the average of ten plausible values ​​that capture their expected performance, minimizing measurement error (OECD, 201</w:t>
      </w:r>
      <w:r w:rsidR="00B369DF" w:rsidRPr="00686A71">
        <w:rPr>
          <w:rFonts w:ascii="Times New Roman" w:hAnsi="Times New Roman" w:cs="Times New Roman"/>
          <w:sz w:val="24"/>
          <w:szCs w:val="24"/>
          <w:lang w:val="en-US"/>
        </w:rPr>
        <w:t>9</w:t>
      </w:r>
      <w:r w:rsidRPr="00686A71">
        <w:rPr>
          <w:rFonts w:ascii="Times New Roman" w:hAnsi="Times New Roman" w:cs="Times New Roman"/>
          <w:sz w:val="24"/>
          <w:szCs w:val="24"/>
          <w:lang w:val="en-US"/>
        </w:rPr>
        <w:t>).</w:t>
      </w:r>
    </w:p>
    <w:p w14:paraId="5C273042" w14:textId="0D7CF4B1" w:rsidR="003A5450" w:rsidRPr="0035124B" w:rsidRDefault="00C648B8" w:rsidP="009D28BE">
      <w:pPr>
        <w:spacing w:after="0" w:line="360" w:lineRule="auto"/>
        <w:ind w:firstLine="708"/>
        <w:contextualSpacing w:val="0"/>
        <w:jc w:val="both"/>
        <w:rPr>
          <w:rFonts w:ascii="Times New Roman" w:hAnsi="Times New Roman" w:cs="Times New Roman"/>
          <w:sz w:val="24"/>
          <w:szCs w:val="24"/>
          <w:lang w:val="en-US"/>
        </w:rPr>
      </w:pPr>
      <w:r w:rsidRPr="002E726F">
        <w:rPr>
          <w:rFonts w:ascii="Times New Roman" w:hAnsi="Times New Roman" w:cs="Times New Roman"/>
          <w:i/>
          <w:iCs/>
          <w:sz w:val="24"/>
          <w:szCs w:val="24"/>
          <w:lang w:val="en-US"/>
        </w:rPr>
        <w:t>Literacy competency</w:t>
      </w:r>
      <w:r w:rsidRPr="002E726F">
        <w:rPr>
          <w:rFonts w:ascii="Times New Roman" w:hAnsi="Times New Roman" w:cs="Times New Roman"/>
          <w:sz w:val="24"/>
          <w:szCs w:val="24"/>
          <w:lang w:val="en-US"/>
        </w:rPr>
        <w:t xml:space="preserve"> refers to the ability to understand, use, evaluate, and reflect on written texts to achieve personal goals, develop professionally, and actively participate in society. </w:t>
      </w:r>
      <w:r w:rsidRPr="002E726F">
        <w:rPr>
          <w:rFonts w:ascii="Times New Roman" w:hAnsi="Times New Roman" w:cs="Times New Roman"/>
          <w:i/>
          <w:iCs/>
          <w:sz w:val="24"/>
          <w:szCs w:val="24"/>
          <w:lang w:val="en-US"/>
        </w:rPr>
        <w:t>Numeracy</w:t>
      </w:r>
      <w:r w:rsidRPr="002E726F">
        <w:rPr>
          <w:rFonts w:ascii="Times New Roman" w:hAnsi="Times New Roman" w:cs="Times New Roman"/>
          <w:sz w:val="24"/>
          <w:szCs w:val="24"/>
          <w:lang w:val="en-US"/>
        </w:rPr>
        <w:t xml:space="preserve">, on the other hand, involves interpreting and applying mathematical concepts in real-life contexts, which is essential for making informed decisions. </w:t>
      </w:r>
      <w:r w:rsidRPr="002E726F">
        <w:rPr>
          <w:rFonts w:ascii="Times New Roman" w:hAnsi="Times New Roman" w:cs="Times New Roman"/>
          <w:i/>
          <w:iCs/>
          <w:sz w:val="24"/>
          <w:szCs w:val="24"/>
          <w:lang w:val="en-US"/>
        </w:rPr>
        <w:t xml:space="preserve">Problem-solving </w:t>
      </w:r>
      <w:r w:rsidRPr="002E726F">
        <w:rPr>
          <w:rFonts w:ascii="Times New Roman" w:hAnsi="Times New Roman" w:cs="Times New Roman"/>
          <w:sz w:val="24"/>
          <w:szCs w:val="24"/>
          <w:lang w:val="en-US"/>
        </w:rPr>
        <w:t>skills focus on using digital technology to solve practical problems, which requires locating information, critically evaluating it, and executing actions within computerized environments (OECD, 2013).</w:t>
      </w:r>
    </w:p>
    <w:p w14:paraId="11687590" w14:textId="152E12B7" w:rsidR="003A5450" w:rsidRDefault="00C648B8" w:rsidP="009D28BE">
      <w:pPr>
        <w:spacing w:after="0" w:line="360" w:lineRule="auto"/>
        <w:ind w:firstLine="708"/>
        <w:contextualSpacing w:val="0"/>
        <w:jc w:val="both"/>
        <w:rPr>
          <w:rFonts w:ascii="Times New Roman" w:hAnsi="Times New Roman" w:cs="Times New Roman"/>
          <w:sz w:val="24"/>
          <w:szCs w:val="24"/>
          <w:lang w:val="en-US"/>
        </w:rPr>
      </w:pPr>
      <w:r w:rsidRPr="0035124B">
        <w:rPr>
          <w:rFonts w:ascii="Times New Roman" w:hAnsi="Times New Roman" w:cs="Times New Roman"/>
          <w:sz w:val="24"/>
          <w:szCs w:val="24"/>
          <w:lang w:val="en-US"/>
        </w:rPr>
        <w:t xml:space="preserve">In its application in Mexico, the PIAAC provides representative information on the adult population between 16 and 65 years of age, assessing not only the level of proficiency but also the frequency with which these skills are used in the workplace. According to the most recent results, a significant portion of the Mexican population is at the lowest performance levels, particularly in </w:t>
      </w:r>
      <w:r w:rsidRPr="00123ABD">
        <w:rPr>
          <w:rFonts w:ascii="Times New Roman" w:hAnsi="Times New Roman" w:cs="Times New Roman"/>
          <w:i/>
          <w:iCs/>
          <w:sz w:val="24"/>
          <w:szCs w:val="24"/>
          <w:lang w:val="en-US"/>
        </w:rPr>
        <w:t>numeracy</w:t>
      </w:r>
      <w:r w:rsidRPr="0035124B">
        <w:rPr>
          <w:rFonts w:ascii="Times New Roman" w:hAnsi="Times New Roman" w:cs="Times New Roman"/>
          <w:sz w:val="24"/>
          <w:szCs w:val="24"/>
          <w:lang w:val="en-US"/>
        </w:rPr>
        <w:t xml:space="preserve"> and </w:t>
      </w:r>
      <w:r w:rsidRPr="00123ABD">
        <w:rPr>
          <w:rFonts w:ascii="Times New Roman" w:hAnsi="Times New Roman" w:cs="Times New Roman"/>
          <w:i/>
          <w:iCs/>
          <w:sz w:val="24"/>
          <w:szCs w:val="24"/>
          <w:lang w:val="en-US"/>
        </w:rPr>
        <w:t>problem-solving</w:t>
      </w:r>
      <w:r w:rsidRPr="0035124B">
        <w:rPr>
          <w:rFonts w:ascii="Times New Roman" w:hAnsi="Times New Roman" w:cs="Times New Roman"/>
          <w:sz w:val="24"/>
          <w:szCs w:val="24"/>
          <w:lang w:val="en-US"/>
        </w:rPr>
        <w:t xml:space="preserve">, which poses significant challenges to productive inclusion and educational equity in the country (OECD, 2020). </w:t>
      </w:r>
      <w:r w:rsidR="00042B61">
        <w:rPr>
          <w:rFonts w:ascii="Times New Roman" w:hAnsi="Times New Roman" w:cs="Times New Roman"/>
          <w:sz w:val="24"/>
          <w:szCs w:val="24"/>
          <w:lang w:val="en-US"/>
        </w:rPr>
        <w:t>T</w:t>
      </w:r>
      <w:r w:rsidRPr="0035124B">
        <w:rPr>
          <w:rFonts w:ascii="Times New Roman" w:hAnsi="Times New Roman" w:cs="Times New Roman"/>
          <w:sz w:val="24"/>
          <w:szCs w:val="24"/>
          <w:lang w:val="en-US"/>
        </w:rPr>
        <w:t>he OECD Skills Diagnostic Report for Mexico (OECD, 2017) highlights the urgent need to strengthen core competencies throughout the workforce, noting that low utilization of skills at work limits productivity and the country's capacity for technological adaptation.</w:t>
      </w:r>
    </w:p>
    <w:p w14:paraId="6E4CAE8D" w14:textId="5C9E056A" w:rsidR="00964F9D" w:rsidRDefault="00C648B8" w:rsidP="009D28BE">
      <w:pPr>
        <w:spacing w:after="0" w:line="360" w:lineRule="auto"/>
        <w:ind w:firstLine="709"/>
        <w:contextualSpacing w:val="0"/>
        <w:jc w:val="both"/>
        <w:rPr>
          <w:rFonts w:ascii="Times New Roman" w:hAnsi="Times New Roman" w:cs="Times New Roman"/>
          <w:sz w:val="24"/>
          <w:szCs w:val="24"/>
          <w:lang w:val="en-US"/>
        </w:rPr>
      </w:pPr>
      <w:r w:rsidRPr="00B42D27">
        <w:rPr>
          <w:rFonts w:ascii="Times New Roman" w:hAnsi="Times New Roman" w:cs="Times New Roman"/>
          <w:sz w:val="24"/>
          <w:szCs w:val="24"/>
          <w:lang w:val="en-US"/>
        </w:rPr>
        <w:lastRenderedPageBreak/>
        <w:t xml:space="preserve">The PIAAC survey is designed to be cross-culturally and internationally valid, to be administered in the languages ​​of the participating countries, obtaining comparable results that can be applied in other years and allowing for comparison of the development of </w:t>
      </w:r>
      <w:r w:rsidR="00B336C1" w:rsidRPr="00B42D27">
        <w:rPr>
          <w:rFonts w:ascii="Times New Roman" w:hAnsi="Times New Roman" w:cs="Times New Roman"/>
          <w:sz w:val="24"/>
          <w:szCs w:val="24"/>
          <w:lang w:val="en-US"/>
        </w:rPr>
        <w:t>critical</w:t>
      </w:r>
      <w:r w:rsidRPr="00B42D27">
        <w:rPr>
          <w:rFonts w:ascii="Times New Roman" w:hAnsi="Times New Roman" w:cs="Times New Roman"/>
          <w:sz w:val="24"/>
          <w:szCs w:val="24"/>
          <w:lang w:val="en-US"/>
        </w:rPr>
        <w:t xml:space="preserve"> aspects of human capital (Engelhardt et al., 2021; Yildirim </w:t>
      </w:r>
      <w:r w:rsidR="002507BD">
        <w:rPr>
          <w:rFonts w:ascii="Times New Roman" w:hAnsi="Times New Roman" w:cs="Times New Roman"/>
          <w:sz w:val="24"/>
          <w:szCs w:val="24"/>
          <w:lang w:val="en-US"/>
        </w:rPr>
        <w:t>&amp;</w:t>
      </w:r>
      <w:r w:rsidRPr="00B42D27">
        <w:rPr>
          <w:rFonts w:ascii="Times New Roman" w:hAnsi="Times New Roman" w:cs="Times New Roman"/>
          <w:sz w:val="24"/>
          <w:szCs w:val="24"/>
          <w:lang w:val="en-US"/>
        </w:rPr>
        <w:t xml:space="preserve"> Cui, 2022).</w:t>
      </w:r>
      <w:r w:rsidRPr="00ED2E0E">
        <w:rPr>
          <w:rFonts w:ascii="Times New Roman" w:hAnsi="Times New Roman" w:cs="Times New Roman"/>
          <w:sz w:val="24"/>
          <w:szCs w:val="24"/>
          <w:lang w:val="en-US"/>
        </w:rPr>
        <w:t xml:space="preserve"> The survey </w:t>
      </w:r>
      <w:r w:rsidR="00B336C1">
        <w:rPr>
          <w:rFonts w:ascii="Times New Roman" w:hAnsi="Times New Roman" w:cs="Times New Roman"/>
          <w:sz w:val="24"/>
          <w:szCs w:val="24"/>
          <w:lang w:val="en-US"/>
        </w:rPr>
        <w:t xml:space="preserve">results are based on collaboration between the participating countries, the </w:t>
      </w:r>
      <w:proofErr w:type="spellStart"/>
      <w:r w:rsidR="00B336C1">
        <w:rPr>
          <w:rFonts w:ascii="Times New Roman" w:hAnsi="Times New Roman" w:cs="Times New Roman"/>
          <w:sz w:val="24"/>
          <w:szCs w:val="24"/>
          <w:lang w:val="en-US"/>
        </w:rPr>
        <w:t>Organisation</w:t>
      </w:r>
      <w:proofErr w:type="spellEnd"/>
      <w:r w:rsidR="00B336C1">
        <w:rPr>
          <w:rFonts w:ascii="Times New Roman" w:hAnsi="Times New Roman" w:cs="Times New Roman"/>
          <w:sz w:val="24"/>
          <w:szCs w:val="24"/>
          <w:lang w:val="en-US"/>
        </w:rPr>
        <w:t xml:space="preserve"> for Economic Cooperation and Development (OECD) secretariat,</w:t>
      </w:r>
      <w:r w:rsidRPr="00ED2E0E">
        <w:rPr>
          <w:rFonts w:ascii="Times New Roman" w:hAnsi="Times New Roman" w:cs="Times New Roman"/>
          <w:sz w:val="24"/>
          <w:szCs w:val="24"/>
          <w:lang w:val="en-US"/>
        </w:rPr>
        <w:t xml:space="preserve"> and the international consortium led by the Educational Testing Service (ETS). According to Table 1, in the first cycle of the PIAAC, 39 countries</w:t>
      </w:r>
      <w:r w:rsidR="0054761C">
        <w:rPr>
          <w:rFonts w:ascii="Times New Roman" w:hAnsi="Times New Roman" w:cs="Times New Roman"/>
          <w:sz w:val="24"/>
          <w:szCs w:val="24"/>
          <w:lang w:val="en-US"/>
        </w:rPr>
        <w:t>/</w:t>
      </w:r>
      <w:r w:rsidRPr="00ED2E0E">
        <w:rPr>
          <w:rFonts w:ascii="Times New Roman" w:hAnsi="Times New Roman" w:cs="Times New Roman"/>
          <w:sz w:val="24"/>
          <w:szCs w:val="24"/>
          <w:lang w:val="en-US"/>
        </w:rPr>
        <w:t>economies participated in the survey between 2011 and 2018. The data were collected in three different rounds</w:t>
      </w:r>
      <w:r w:rsidR="00B336C1">
        <w:rPr>
          <w:rFonts w:ascii="Times New Roman" w:hAnsi="Times New Roman" w:cs="Times New Roman"/>
          <w:sz w:val="24"/>
          <w:szCs w:val="24"/>
          <w:lang w:val="en-US"/>
        </w:rPr>
        <w:t>; the</w:t>
      </w:r>
      <w:r w:rsidRPr="00ED2E0E">
        <w:rPr>
          <w:rFonts w:ascii="Times New Roman" w:hAnsi="Times New Roman" w:cs="Times New Roman"/>
          <w:sz w:val="24"/>
          <w:szCs w:val="24"/>
          <w:lang w:val="en-US"/>
        </w:rPr>
        <w:t xml:space="preserve"> first directly assessed the skills of approximately 150,000 working-age adults (16–65 years) surveyed in 24 countries of the European Community and America (only Canada and the USA). </w:t>
      </w:r>
      <w:r w:rsidR="00B336C1">
        <w:rPr>
          <w:rFonts w:ascii="Times New Roman" w:hAnsi="Times New Roman" w:cs="Times New Roman"/>
          <w:sz w:val="24"/>
          <w:szCs w:val="24"/>
          <w:lang w:val="en-US"/>
        </w:rPr>
        <w:t>Three Latin American countries (Chile, Ecuador, and Mexico) have been considered for the second and third rounds</w:t>
      </w:r>
      <w:r w:rsidRPr="00ED2E0E">
        <w:rPr>
          <w:rFonts w:ascii="Times New Roman" w:hAnsi="Times New Roman" w:cs="Times New Roman"/>
          <w:sz w:val="24"/>
          <w:szCs w:val="24"/>
          <w:lang w:val="en-US"/>
        </w:rPr>
        <w:t>.</w:t>
      </w:r>
    </w:p>
    <w:p w14:paraId="0194EB97" w14:textId="77777777" w:rsidR="00267F31" w:rsidRDefault="00267F31" w:rsidP="009D28BE">
      <w:pPr>
        <w:spacing w:after="0" w:line="360" w:lineRule="auto"/>
        <w:ind w:firstLine="709"/>
        <w:contextualSpacing w:val="0"/>
        <w:jc w:val="both"/>
        <w:rPr>
          <w:rFonts w:ascii="Times New Roman" w:hAnsi="Times New Roman" w:cs="Times New Roman"/>
          <w:sz w:val="24"/>
          <w:szCs w:val="24"/>
          <w:lang w:val="en-US"/>
        </w:rPr>
      </w:pPr>
    </w:p>
    <w:p w14:paraId="7B115EF0" w14:textId="02254915" w:rsidR="008F0D99" w:rsidRPr="00ED2E0E" w:rsidRDefault="00267F31" w:rsidP="00267F31">
      <w:pPr>
        <w:spacing w:after="0" w:line="360" w:lineRule="auto"/>
        <w:ind w:firstLine="0"/>
        <w:contextualSpacing w:val="0"/>
        <w:jc w:val="center"/>
        <w:rPr>
          <w:rFonts w:ascii="Times New Roman" w:hAnsi="Times New Roman" w:cs="Times New Roman"/>
          <w:sz w:val="24"/>
          <w:szCs w:val="24"/>
          <w:lang w:val="en-US"/>
        </w:rPr>
      </w:pPr>
      <w:r w:rsidRPr="00683EED">
        <w:rPr>
          <w:rFonts w:ascii="Times New Roman" w:eastAsia="Times New Roman" w:hAnsi="Times New Roman" w:cs="Times New Roman"/>
          <w:b/>
          <w:bCs/>
          <w:color w:val="000000"/>
          <w:sz w:val="24"/>
          <w:szCs w:val="24"/>
          <w:lang w:val="en-US" w:eastAsia="es-MX"/>
        </w:rPr>
        <w:t>Table 1</w:t>
      </w:r>
      <w:r>
        <w:rPr>
          <w:rFonts w:ascii="Times New Roman" w:eastAsia="Times New Roman" w:hAnsi="Times New Roman" w:cs="Times New Roman"/>
          <w:b/>
          <w:bCs/>
          <w:color w:val="000000"/>
          <w:sz w:val="24"/>
          <w:szCs w:val="24"/>
          <w:lang w:val="en-US" w:eastAsia="es-MX"/>
        </w:rPr>
        <w:t xml:space="preserve">. </w:t>
      </w:r>
      <w:r w:rsidRPr="00267F31">
        <w:rPr>
          <w:rFonts w:ascii="Times New Roman" w:eastAsia="Times New Roman" w:hAnsi="Times New Roman" w:cs="Times New Roman"/>
          <w:color w:val="000000"/>
          <w:sz w:val="24"/>
          <w:szCs w:val="24"/>
          <w:lang w:val="en-US" w:eastAsia="es-MX"/>
        </w:rPr>
        <w:t>Participating countries in PIAAC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8"/>
        <w:gridCol w:w="6300"/>
      </w:tblGrid>
      <w:tr w:rsidR="000052A2" w:rsidRPr="00F25151" w14:paraId="474854E7" w14:textId="77777777" w:rsidTr="00267F31">
        <w:trPr>
          <w:trHeight w:val="70"/>
        </w:trPr>
        <w:tc>
          <w:tcPr>
            <w:tcW w:w="1432" w:type="pct"/>
            <w:noWrap/>
            <w:vAlign w:val="center"/>
            <w:hideMark/>
          </w:tcPr>
          <w:p w14:paraId="4AE35354" w14:textId="09EFC35B" w:rsidR="00B34DE4" w:rsidRPr="00005992" w:rsidRDefault="00C648B8" w:rsidP="002A108C">
            <w:pPr>
              <w:spacing w:after="0" w:line="240" w:lineRule="auto"/>
              <w:ind w:firstLine="0"/>
              <w:contextualSpacing w:val="0"/>
              <w:rPr>
                <w:rFonts w:ascii="Times New Roman" w:eastAsia="Times New Roman" w:hAnsi="Times New Roman" w:cs="Times New Roman"/>
                <w:color w:val="000000"/>
                <w:lang w:eastAsia="es-MX"/>
              </w:rPr>
            </w:pPr>
            <w:r w:rsidRPr="00005992">
              <w:rPr>
                <w:rFonts w:ascii="Times New Roman" w:eastAsia="Times New Roman" w:hAnsi="Times New Roman" w:cs="Times New Roman"/>
                <w:color w:val="000000"/>
                <w:lang w:eastAsia="es-MX"/>
              </w:rPr>
              <w:t>R</w:t>
            </w:r>
            <w:r w:rsidR="00B336C1">
              <w:rPr>
                <w:rFonts w:ascii="Times New Roman" w:eastAsia="Times New Roman" w:hAnsi="Times New Roman" w:cs="Times New Roman"/>
                <w:color w:val="000000"/>
                <w:lang w:eastAsia="es-MX"/>
              </w:rPr>
              <w:t>ound</w:t>
            </w:r>
            <w:r w:rsidRPr="00005992">
              <w:rPr>
                <w:rFonts w:ascii="Times New Roman" w:eastAsia="Times New Roman" w:hAnsi="Times New Roman" w:cs="Times New Roman"/>
                <w:color w:val="000000"/>
                <w:lang w:eastAsia="es-MX"/>
              </w:rPr>
              <w:t xml:space="preserve"> 1 (20</w:t>
            </w:r>
            <w:r w:rsidR="00796ED5" w:rsidRPr="00005992">
              <w:rPr>
                <w:rFonts w:ascii="Times New Roman" w:eastAsia="Times New Roman" w:hAnsi="Times New Roman" w:cs="Times New Roman"/>
                <w:color w:val="000000"/>
                <w:lang w:eastAsia="es-MX"/>
              </w:rPr>
              <w:t>11</w:t>
            </w:r>
            <w:r w:rsidRPr="00005992">
              <w:rPr>
                <w:rFonts w:ascii="Times New Roman" w:eastAsia="Times New Roman" w:hAnsi="Times New Roman" w:cs="Times New Roman"/>
                <w:color w:val="000000"/>
                <w:lang w:eastAsia="es-MX"/>
              </w:rPr>
              <w:t>-201</w:t>
            </w:r>
            <w:r w:rsidR="00796ED5" w:rsidRPr="00005992">
              <w:rPr>
                <w:rFonts w:ascii="Times New Roman" w:eastAsia="Times New Roman" w:hAnsi="Times New Roman" w:cs="Times New Roman"/>
                <w:color w:val="000000"/>
                <w:lang w:eastAsia="es-MX"/>
              </w:rPr>
              <w:t>2</w:t>
            </w:r>
            <w:r w:rsidRPr="00005992">
              <w:rPr>
                <w:rFonts w:ascii="Times New Roman" w:eastAsia="Times New Roman" w:hAnsi="Times New Roman" w:cs="Times New Roman"/>
                <w:color w:val="000000"/>
                <w:lang w:eastAsia="es-MX"/>
              </w:rPr>
              <w:t>)</w:t>
            </w:r>
          </w:p>
        </w:tc>
        <w:tc>
          <w:tcPr>
            <w:tcW w:w="3568" w:type="pct"/>
            <w:vAlign w:val="bottom"/>
            <w:hideMark/>
          </w:tcPr>
          <w:p w14:paraId="0E00945C" w14:textId="41F3E0D5" w:rsidR="00B34DE4" w:rsidRPr="00A95EC5" w:rsidRDefault="00C648B8" w:rsidP="00A95EC5">
            <w:pPr>
              <w:spacing w:after="0" w:line="240" w:lineRule="auto"/>
              <w:ind w:firstLine="0"/>
              <w:contextualSpacing w:val="0"/>
              <w:jc w:val="both"/>
              <w:rPr>
                <w:rFonts w:ascii="Times New Roman" w:eastAsia="Times New Roman" w:hAnsi="Times New Roman" w:cs="Times New Roman"/>
                <w:color w:val="000000"/>
                <w:lang w:val="en-US" w:eastAsia="es-MX"/>
              </w:rPr>
            </w:pPr>
            <w:r w:rsidRPr="00A95EC5">
              <w:rPr>
                <w:rFonts w:ascii="Times New Roman" w:eastAsia="Times New Roman" w:hAnsi="Times New Roman" w:cs="Times New Roman"/>
                <w:color w:val="000000"/>
                <w:lang w:val="en-US" w:eastAsia="es-MX"/>
              </w:rPr>
              <w:t>Australia, Austria, Belgium, Canada, Cyprus, Czech Republic, Denmark, Estonia, Finland, France, Germany, Ireland, Italy, Japan, Korea, Netherlands, Norway, Poland, Russian Federation, Slovak Republic, Spain, Sweden, United Kingdom, United States</w:t>
            </w:r>
          </w:p>
        </w:tc>
      </w:tr>
      <w:tr w:rsidR="000052A2" w:rsidRPr="00524658" w14:paraId="6373D63B" w14:textId="77777777" w:rsidTr="00267F31">
        <w:trPr>
          <w:trHeight w:val="585"/>
        </w:trPr>
        <w:tc>
          <w:tcPr>
            <w:tcW w:w="1432" w:type="pct"/>
            <w:noWrap/>
            <w:vAlign w:val="center"/>
            <w:hideMark/>
          </w:tcPr>
          <w:p w14:paraId="3CEE06B2" w14:textId="5FCBD6D8" w:rsidR="00B34DE4" w:rsidRPr="00005992" w:rsidRDefault="00C648B8" w:rsidP="002A108C">
            <w:pPr>
              <w:spacing w:after="0" w:line="240" w:lineRule="auto"/>
              <w:ind w:firstLine="0"/>
              <w:contextualSpacing w:val="0"/>
              <w:rPr>
                <w:rFonts w:ascii="Times New Roman" w:eastAsia="Times New Roman" w:hAnsi="Times New Roman" w:cs="Times New Roman"/>
                <w:color w:val="000000"/>
                <w:lang w:eastAsia="es-MX"/>
              </w:rPr>
            </w:pPr>
            <w:r w:rsidRPr="00005992">
              <w:rPr>
                <w:rFonts w:ascii="Times New Roman" w:eastAsia="Times New Roman" w:hAnsi="Times New Roman" w:cs="Times New Roman"/>
                <w:color w:val="000000"/>
                <w:lang w:eastAsia="es-MX"/>
              </w:rPr>
              <w:t>R</w:t>
            </w:r>
            <w:r w:rsidR="00B336C1">
              <w:rPr>
                <w:rFonts w:ascii="Times New Roman" w:eastAsia="Times New Roman" w:hAnsi="Times New Roman" w:cs="Times New Roman"/>
                <w:color w:val="000000"/>
                <w:lang w:eastAsia="es-MX"/>
              </w:rPr>
              <w:t>ound</w:t>
            </w:r>
            <w:r w:rsidRPr="00005992">
              <w:rPr>
                <w:rFonts w:ascii="Times New Roman" w:eastAsia="Times New Roman" w:hAnsi="Times New Roman" w:cs="Times New Roman"/>
                <w:color w:val="000000"/>
                <w:lang w:eastAsia="es-MX"/>
              </w:rPr>
              <w:t xml:space="preserve"> 2 (201</w:t>
            </w:r>
            <w:r w:rsidR="00796ED5" w:rsidRPr="00005992">
              <w:rPr>
                <w:rFonts w:ascii="Times New Roman" w:eastAsia="Times New Roman" w:hAnsi="Times New Roman" w:cs="Times New Roman"/>
                <w:color w:val="000000"/>
                <w:lang w:eastAsia="es-MX"/>
              </w:rPr>
              <w:t>4</w:t>
            </w:r>
            <w:r w:rsidRPr="00005992">
              <w:rPr>
                <w:rFonts w:ascii="Times New Roman" w:eastAsia="Times New Roman" w:hAnsi="Times New Roman" w:cs="Times New Roman"/>
                <w:color w:val="000000"/>
                <w:lang w:eastAsia="es-MX"/>
              </w:rPr>
              <w:t>-201</w:t>
            </w:r>
            <w:r w:rsidR="00796ED5" w:rsidRPr="00005992">
              <w:rPr>
                <w:rFonts w:ascii="Times New Roman" w:eastAsia="Times New Roman" w:hAnsi="Times New Roman" w:cs="Times New Roman"/>
                <w:color w:val="000000"/>
                <w:lang w:eastAsia="es-MX"/>
              </w:rPr>
              <w:t>5</w:t>
            </w:r>
            <w:r w:rsidRPr="00005992">
              <w:rPr>
                <w:rFonts w:ascii="Times New Roman" w:eastAsia="Times New Roman" w:hAnsi="Times New Roman" w:cs="Times New Roman"/>
                <w:color w:val="000000"/>
                <w:lang w:eastAsia="es-MX"/>
              </w:rPr>
              <w:t>)</w:t>
            </w:r>
          </w:p>
        </w:tc>
        <w:tc>
          <w:tcPr>
            <w:tcW w:w="3568" w:type="pct"/>
            <w:vAlign w:val="bottom"/>
            <w:hideMark/>
          </w:tcPr>
          <w:p w14:paraId="1283C045" w14:textId="32015AED" w:rsidR="00B34DE4" w:rsidRPr="00E44DD9" w:rsidRDefault="00C648B8" w:rsidP="00E44DD9">
            <w:pPr>
              <w:spacing w:after="0" w:line="240" w:lineRule="auto"/>
              <w:ind w:firstLine="0"/>
              <w:contextualSpacing w:val="0"/>
              <w:jc w:val="both"/>
              <w:rPr>
                <w:rFonts w:ascii="Times New Roman" w:eastAsia="Times New Roman" w:hAnsi="Times New Roman" w:cs="Times New Roman"/>
                <w:color w:val="000000"/>
                <w:lang w:val="en-US" w:eastAsia="es-MX"/>
              </w:rPr>
            </w:pPr>
            <w:r w:rsidRPr="00E44DD9">
              <w:rPr>
                <w:rFonts w:ascii="Times New Roman" w:eastAsia="Times New Roman" w:hAnsi="Times New Roman" w:cs="Times New Roman"/>
                <w:color w:val="000000"/>
                <w:lang w:val="en-US" w:eastAsia="es-MX"/>
              </w:rPr>
              <w:t>Chile, Greece, Indonesia, Israel, Lithuania, New Zealand, Singapore, Slovenia, Türkiye</w:t>
            </w:r>
          </w:p>
        </w:tc>
      </w:tr>
      <w:tr w:rsidR="000052A2" w14:paraId="34BEA806" w14:textId="77777777" w:rsidTr="00267F31">
        <w:trPr>
          <w:trHeight w:val="300"/>
        </w:trPr>
        <w:tc>
          <w:tcPr>
            <w:tcW w:w="1432" w:type="pct"/>
            <w:noWrap/>
            <w:vAlign w:val="bottom"/>
            <w:hideMark/>
          </w:tcPr>
          <w:p w14:paraId="6DEE73FE" w14:textId="219BD353" w:rsidR="00B34DE4" w:rsidRPr="00005992" w:rsidRDefault="00C648B8" w:rsidP="002A108C">
            <w:pPr>
              <w:spacing w:after="0" w:line="240" w:lineRule="auto"/>
              <w:ind w:firstLine="0"/>
              <w:contextualSpacing w:val="0"/>
              <w:rPr>
                <w:rFonts w:ascii="Times New Roman" w:eastAsia="Times New Roman" w:hAnsi="Times New Roman" w:cs="Times New Roman"/>
                <w:color w:val="000000"/>
                <w:lang w:eastAsia="es-MX"/>
              </w:rPr>
            </w:pPr>
            <w:r w:rsidRPr="00005992">
              <w:rPr>
                <w:rFonts w:ascii="Times New Roman" w:eastAsia="Times New Roman" w:hAnsi="Times New Roman" w:cs="Times New Roman"/>
                <w:color w:val="000000"/>
                <w:lang w:eastAsia="es-MX"/>
              </w:rPr>
              <w:t>Ro</w:t>
            </w:r>
            <w:r w:rsidR="00B336C1">
              <w:rPr>
                <w:rFonts w:ascii="Times New Roman" w:eastAsia="Times New Roman" w:hAnsi="Times New Roman" w:cs="Times New Roman"/>
                <w:color w:val="000000"/>
                <w:lang w:eastAsia="es-MX"/>
              </w:rPr>
              <w:t>und</w:t>
            </w:r>
            <w:r w:rsidRPr="00005992">
              <w:rPr>
                <w:rFonts w:ascii="Times New Roman" w:eastAsia="Times New Roman" w:hAnsi="Times New Roman" w:cs="Times New Roman"/>
                <w:color w:val="000000"/>
                <w:lang w:eastAsia="es-MX"/>
              </w:rPr>
              <w:t xml:space="preserve"> 3 (2016-201</w:t>
            </w:r>
            <w:r w:rsidR="00796ED5" w:rsidRPr="00005992">
              <w:rPr>
                <w:rFonts w:ascii="Times New Roman" w:eastAsia="Times New Roman" w:hAnsi="Times New Roman" w:cs="Times New Roman"/>
                <w:color w:val="000000"/>
                <w:lang w:eastAsia="es-MX"/>
              </w:rPr>
              <w:t>7</w:t>
            </w:r>
            <w:r w:rsidRPr="00005992">
              <w:rPr>
                <w:rFonts w:ascii="Times New Roman" w:eastAsia="Times New Roman" w:hAnsi="Times New Roman" w:cs="Times New Roman"/>
                <w:color w:val="000000"/>
                <w:lang w:eastAsia="es-MX"/>
              </w:rPr>
              <w:t>)</w:t>
            </w:r>
          </w:p>
        </w:tc>
        <w:tc>
          <w:tcPr>
            <w:tcW w:w="3568" w:type="pct"/>
            <w:vAlign w:val="bottom"/>
            <w:hideMark/>
          </w:tcPr>
          <w:p w14:paraId="6FE4B9F4" w14:textId="1E2C6865" w:rsidR="00B34DE4" w:rsidRPr="00005992" w:rsidRDefault="00C648B8" w:rsidP="002A108C">
            <w:pPr>
              <w:spacing w:after="0" w:line="240" w:lineRule="auto"/>
              <w:ind w:firstLine="0"/>
              <w:contextualSpacing w:val="0"/>
              <w:rPr>
                <w:rFonts w:ascii="Times New Roman" w:eastAsia="Times New Roman" w:hAnsi="Times New Roman" w:cs="Times New Roman"/>
                <w:color w:val="000000"/>
                <w:lang w:eastAsia="es-MX"/>
              </w:rPr>
            </w:pPr>
            <w:r w:rsidRPr="00E44DD9">
              <w:rPr>
                <w:rFonts w:ascii="Times New Roman" w:eastAsia="Times New Roman" w:hAnsi="Times New Roman" w:cs="Times New Roman"/>
                <w:color w:val="000000"/>
                <w:lang w:eastAsia="es-MX"/>
              </w:rPr>
              <w:t xml:space="preserve">Ecuador, </w:t>
            </w:r>
            <w:proofErr w:type="spellStart"/>
            <w:r w:rsidRPr="00E44DD9">
              <w:rPr>
                <w:rFonts w:ascii="Times New Roman" w:eastAsia="Times New Roman" w:hAnsi="Times New Roman" w:cs="Times New Roman"/>
                <w:color w:val="000000"/>
                <w:lang w:eastAsia="es-MX"/>
              </w:rPr>
              <w:t>Hungary</w:t>
            </w:r>
            <w:proofErr w:type="spellEnd"/>
            <w:r w:rsidRPr="00E44DD9">
              <w:rPr>
                <w:rFonts w:ascii="Times New Roman" w:eastAsia="Times New Roman" w:hAnsi="Times New Roman" w:cs="Times New Roman"/>
                <w:color w:val="000000"/>
                <w:lang w:eastAsia="es-MX"/>
              </w:rPr>
              <w:t xml:space="preserve">, </w:t>
            </w:r>
            <w:proofErr w:type="spellStart"/>
            <w:r w:rsidRPr="00E44DD9">
              <w:rPr>
                <w:rFonts w:ascii="Times New Roman" w:eastAsia="Times New Roman" w:hAnsi="Times New Roman" w:cs="Times New Roman"/>
                <w:color w:val="000000"/>
                <w:lang w:eastAsia="es-MX"/>
              </w:rPr>
              <w:t>Kazakhstan</w:t>
            </w:r>
            <w:proofErr w:type="spellEnd"/>
            <w:r w:rsidRPr="00E44DD9">
              <w:rPr>
                <w:rFonts w:ascii="Times New Roman" w:eastAsia="Times New Roman" w:hAnsi="Times New Roman" w:cs="Times New Roman"/>
                <w:color w:val="000000"/>
                <w:lang w:eastAsia="es-MX"/>
              </w:rPr>
              <w:t xml:space="preserve">, </w:t>
            </w:r>
            <w:proofErr w:type="spellStart"/>
            <w:r w:rsidRPr="00E44DD9">
              <w:rPr>
                <w:rFonts w:ascii="Times New Roman" w:eastAsia="Times New Roman" w:hAnsi="Times New Roman" w:cs="Times New Roman"/>
                <w:b/>
                <w:bCs/>
                <w:color w:val="000000"/>
                <w:lang w:eastAsia="es-MX"/>
              </w:rPr>
              <w:t>Mexico</w:t>
            </w:r>
            <w:proofErr w:type="spellEnd"/>
            <w:r w:rsidRPr="00E44DD9">
              <w:rPr>
                <w:rFonts w:ascii="Times New Roman" w:eastAsia="Times New Roman" w:hAnsi="Times New Roman" w:cs="Times New Roman"/>
                <w:b/>
                <w:bCs/>
                <w:color w:val="000000"/>
                <w:lang w:eastAsia="es-MX"/>
              </w:rPr>
              <w:t>,</w:t>
            </w:r>
            <w:r w:rsidRPr="00E44DD9">
              <w:rPr>
                <w:rFonts w:ascii="Times New Roman" w:eastAsia="Times New Roman" w:hAnsi="Times New Roman" w:cs="Times New Roman"/>
                <w:color w:val="000000"/>
                <w:lang w:eastAsia="es-MX"/>
              </w:rPr>
              <w:t xml:space="preserve"> </w:t>
            </w:r>
            <w:proofErr w:type="spellStart"/>
            <w:r w:rsidRPr="00E44DD9">
              <w:rPr>
                <w:rFonts w:ascii="Times New Roman" w:eastAsia="Times New Roman" w:hAnsi="Times New Roman" w:cs="Times New Roman"/>
                <w:color w:val="000000"/>
                <w:lang w:eastAsia="es-MX"/>
              </w:rPr>
              <w:t>Peru</w:t>
            </w:r>
            <w:proofErr w:type="spellEnd"/>
            <w:r w:rsidRPr="00E44DD9">
              <w:rPr>
                <w:rFonts w:ascii="Times New Roman" w:eastAsia="Times New Roman" w:hAnsi="Times New Roman" w:cs="Times New Roman"/>
                <w:color w:val="000000"/>
                <w:lang w:eastAsia="es-MX"/>
              </w:rPr>
              <w:t xml:space="preserve">, </w:t>
            </w:r>
            <w:proofErr w:type="spellStart"/>
            <w:r w:rsidRPr="00E44DD9">
              <w:rPr>
                <w:rFonts w:ascii="Times New Roman" w:eastAsia="Times New Roman" w:hAnsi="Times New Roman" w:cs="Times New Roman"/>
                <w:color w:val="000000"/>
                <w:lang w:eastAsia="es-MX"/>
              </w:rPr>
              <w:t>United</w:t>
            </w:r>
            <w:proofErr w:type="spellEnd"/>
            <w:r w:rsidRPr="00E44DD9">
              <w:rPr>
                <w:rFonts w:ascii="Times New Roman" w:eastAsia="Times New Roman" w:hAnsi="Times New Roman" w:cs="Times New Roman"/>
                <w:color w:val="000000"/>
                <w:lang w:eastAsia="es-MX"/>
              </w:rPr>
              <w:t xml:space="preserve"> </w:t>
            </w:r>
            <w:proofErr w:type="spellStart"/>
            <w:r w:rsidRPr="00E44DD9">
              <w:rPr>
                <w:rFonts w:ascii="Times New Roman" w:eastAsia="Times New Roman" w:hAnsi="Times New Roman" w:cs="Times New Roman"/>
                <w:color w:val="000000"/>
                <w:lang w:eastAsia="es-MX"/>
              </w:rPr>
              <w:t>States</w:t>
            </w:r>
            <w:proofErr w:type="spellEnd"/>
          </w:p>
        </w:tc>
      </w:tr>
    </w:tbl>
    <w:p w14:paraId="2C3D8ACD" w14:textId="711C0230" w:rsidR="00E44DD9" w:rsidRPr="009D28BE" w:rsidRDefault="00C648B8" w:rsidP="00267F31">
      <w:pPr>
        <w:spacing w:after="0" w:line="360" w:lineRule="auto"/>
        <w:ind w:firstLine="0"/>
        <w:jc w:val="center"/>
        <w:rPr>
          <w:rFonts w:ascii="Times New Roman" w:hAnsi="Times New Roman" w:cs="Times New Roman"/>
          <w:sz w:val="24"/>
          <w:szCs w:val="24"/>
          <w:lang w:val="en-US"/>
        </w:rPr>
      </w:pPr>
      <w:r w:rsidRPr="009D28BE">
        <w:rPr>
          <w:rFonts w:ascii="Times New Roman" w:hAnsi="Times New Roman" w:cs="Times New Roman"/>
          <w:sz w:val="24"/>
          <w:szCs w:val="24"/>
          <w:lang w:val="en-US"/>
        </w:rPr>
        <w:t xml:space="preserve">Source: </w:t>
      </w:r>
      <w:r w:rsidR="00D00708" w:rsidRPr="009D28BE">
        <w:rPr>
          <w:rFonts w:ascii="Times New Roman" w:hAnsi="Times New Roman" w:cs="Times New Roman"/>
          <w:sz w:val="24"/>
          <w:szCs w:val="24"/>
          <w:lang w:val="en-US"/>
        </w:rPr>
        <w:t xml:space="preserve">Adapted </w:t>
      </w:r>
      <w:r w:rsidR="00E44DD9" w:rsidRPr="009D28BE">
        <w:rPr>
          <w:rFonts w:ascii="Times New Roman" w:hAnsi="Times New Roman" w:cs="Times New Roman"/>
          <w:sz w:val="24"/>
          <w:szCs w:val="24"/>
          <w:lang w:val="en-US"/>
        </w:rPr>
        <w:t>from the OECD (2024)</w:t>
      </w:r>
    </w:p>
    <w:p w14:paraId="1904A821" w14:textId="17F992D8" w:rsidR="00BA7007" w:rsidRDefault="00C648B8" w:rsidP="009D28BE">
      <w:pPr>
        <w:spacing w:after="0" w:line="360" w:lineRule="auto"/>
        <w:ind w:firstLine="708"/>
        <w:contextualSpacing w:val="0"/>
        <w:jc w:val="both"/>
        <w:rPr>
          <w:rFonts w:ascii="Times New Roman" w:hAnsi="Times New Roman" w:cs="Times New Roman"/>
          <w:bCs/>
          <w:sz w:val="24"/>
          <w:szCs w:val="24"/>
          <w:lang w:val="en-US"/>
        </w:rPr>
      </w:pPr>
      <w:r w:rsidRPr="006C628E">
        <w:rPr>
          <w:rFonts w:ascii="Times New Roman" w:hAnsi="Times New Roman" w:cs="Times New Roman"/>
          <w:bCs/>
          <w:sz w:val="24"/>
          <w:szCs w:val="24"/>
          <w:lang w:val="en-US"/>
        </w:rPr>
        <w:t xml:space="preserve">The literature review allows to identify several studies that use PIAAC data with multiple statistical techniques; for example, Huertas and Raymond (2024) use a multinomial logit model to predict the effect of higher schooling on the probability of accessing a highly skilled job and analyze whether the magnitude of this effect depends on the (mis)match between the education attained by workers and the education required by </w:t>
      </w:r>
      <w:r w:rsidRPr="008F0D99">
        <w:rPr>
          <w:rFonts w:ascii="Times New Roman" w:hAnsi="Times New Roman" w:cs="Times New Roman"/>
          <w:bCs/>
          <w:sz w:val="24"/>
          <w:szCs w:val="24"/>
          <w:lang w:val="en-US"/>
        </w:rPr>
        <w:t xml:space="preserve">jobs. </w:t>
      </w:r>
      <w:proofErr w:type="spellStart"/>
      <w:r w:rsidRPr="008F0D99">
        <w:rPr>
          <w:rFonts w:ascii="Times New Roman" w:hAnsi="Times New Roman" w:cs="Times New Roman"/>
          <w:bCs/>
          <w:sz w:val="24"/>
          <w:szCs w:val="24"/>
          <w:lang w:val="en-US"/>
        </w:rPr>
        <w:t>Maehler</w:t>
      </w:r>
      <w:proofErr w:type="spellEnd"/>
      <w:r w:rsidRPr="008F0D99">
        <w:rPr>
          <w:rFonts w:ascii="Times New Roman" w:hAnsi="Times New Roman" w:cs="Times New Roman"/>
          <w:bCs/>
          <w:sz w:val="24"/>
          <w:szCs w:val="24"/>
          <w:lang w:val="en-US"/>
        </w:rPr>
        <w:t xml:space="preserve"> et al. (2024) use</w:t>
      </w:r>
      <w:r w:rsidRPr="006C628E">
        <w:rPr>
          <w:rFonts w:ascii="Times New Roman" w:hAnsi="Times New Roman" w:cs="Times New Roman"/>
          <w:bCs/>
          <w:sz w:val="24"/>
          <w:szCs w:val="24"/>
          <w:lang w:val="en-US"/>
        </w:rPr>
        <w:t xml:space="preserve"> longitudinal data from the skills assessment available in PIAAC to offer insights into the mechanisms underlying changes and stability of cognitive skills in different age cohorts; the study is an essential contribution to the existing literature and provides empirical evidence derived from a robust (representative) dataset and internationally comparable measurements. Pensiero </w:t>
      </w:r>
      <w:r w:rsidR="00A27251">
        <w:rPr>
          <w:rFonts w:ascii="Times New Roman" w:hAnsi="Times New Roman" w:cs="Times New Roman"/>
          <w:bCs/>
          <w:sz w:val="24"/>
          <w:szCs w:val="24"/>
          <w:lang w:val="en-US"/>
        </w:rPr>
        <w:t>&amp;</w:t>
      </w:r>
      <w:r w:rsidRPr="006C628E">
        <w:rPr>
          <w:rFonts w:ascii="Times New Roman" w:hAnsi="Times New Roman" w:cs="Times New Roman"/>
          <w:bCs/>
          <w:sz w:val="24"/>
          <w:szCs w:val="24"/>
          <w:lang w:val="en-US"/>
        </w:rPr>
        <w:t xml:space="preserve"> Barone (2024) analyze </w:t>
      </w:r>
      <w:r>
        <w:rPr>
          <w:rFonts w:ascii="Times New Roman" w:hAnsi="Times New Roman" w:cs="Times New Roman"/>
          <w:bCs/>
          <w:sz w:val="24"/>
          <w:szCs w:val="24"/>
          <w:lang w:val="en-US"/>
        </w:rPr>
        <w:t>the extent to which</w:t>
      </w:r>
      <w:r w:rsidRPr="006C628E">
        <w:rPr>
          <w:rFonts w:ascii="Times New Roman" w:hAnsi="Times New Roman" w:cs="Times New Roman"/>
          <w:bCs/>
          <w:sz w:val="24"/>
          <w:szCs w:val="24"/>
          <w:lang w:val="en-US"/>
        </w:rPr>
        <w:t xml:space="preserve"> respondents’ education and cognitive skills mediate the overall association between parents’ education and respondents’ income in the two surveys</w:t>
      </w:r>
      <w:r>
        <w:rPr>
          <w:rFonts w:ascii="Times New Roman" w:hAnsi="Times New Roman" w:cs="Times New Roman"/>
          <w:bCs/>
          <w:sz w:val="24"/>
          <w:szCs w:val="24"/>
          <w:lang w:val="en-US"/>
        </w:rPr>
        <w:t>.</w:t>
      </w:r>
      <w:r w:rsidRPr="006C628E">
        <w:rPr>
          <w:rFonts w:ascii="Times New Roman" w:hAnsi="Times New Roman" w:cs="Times New Roman"/>
          <w:bCs/>
          <w:sz w:val="24"/>
          <w:szCs w:val="24"/>
          <w:lang w:val="en-US"/>
        </w:rPr>
        <w:t xml:space="preserve"> They use the product method to quantify the indirect effects between variables.</w:t>
      </w:r>
    </w:p>
    <w:p w14:paraId="6A6FC88C" w14:textId="53B86E44" w:rsidR="00504203" w:rsidRPr="009C290E" w:rsidRDefault="00C648B8" w:rsidP="009D28BE">
      <w:pPr>
        <w:spacing w:after="0" w:line="360" w:lineRule="auto"/>
        <w:ind w:firstLine="0"/>
        <w:contextualSpacing w:val="0"/>
        <w:jc w:val="center"/>
        <w:rPr>
          <w:rFonts w:ascii="Times New Roman" w:hAnsi="Times New Roman" w:cs="Times New Roman"/>
          <w:b/>
          <w:sz w:val="32"/>
          <w:szCs w:val="32"/>
          <w:lang w:val="en-US"/>
        </w:rPr>
      </w:pPr>
      <w:r w:rsidRPr="00CE6E42">
        <w:rPr>
          <w:rFonts w:ascii="Times New Roman" w:hAnsi="Times New Roman" w:cs="Times New Roman"/>
          <w:b/>
          <w:sz w:val="32"/>
          <w:szCs w:val="32"/>
          <w:lang w:val="en-US"/>
        </w:rPr>
        <w:lastRenderedPageBreak/>
        <w:t>Method</w:t>
      </w:r>
      <w:r w:rsidR="0043036C">
        <w:rPr>
          <w:rFonts w:ascii="Times New Roman" w:hAnsi="Times New Roman" w:cs="Times New Roman"/>
          <w:b/>
          <w:sz w:val="32"/>
          <w:szCs w:val="32"/>
          <w:lang w:val="en-US"/>
        </w:rPr>
        <w:t>ology</w:t>
      </w:r>
    </w:p>
    <w:p w14:paraId="656F39D3" w14:textId="34E49F74" w:rsidR="0052027D" w:rsidRPr="0052027D" w:rsidRDefault="00C648B8" w:rsidP="009D28BE">
      <w:pPr>
        <w:spacing w:after="0" w:line="360" w:lineRule="auto"/>
        <w:ind w:firstLine="0"/>
        <w:contextualSpacing w:val="0"/>
        <w:jc w:val="both"/>
        <w:rPr>
          <w:rFonts w:ascii="Times New Roman" w:hAnsi="Times New Roman" w:cs="Times New Roman"/>
          <w:bCs/>
          <w:sz w:val="24"/>
          <w:szCs w:val="24"/>
          <w:lang w:val="en-US"/>
        </w:rPr>
      </w:pPr>
      <w:r w:rsidRPr="0052027D">
        <w:rPr>
          <w:rFonts w:ascii="Times New Roman" w:hAnsi="Times New Roman" w:cs="Times New Roman"/>
          <w:bCs/>
          <w:sz w:val="24"/>
          <w:szCs w:val="24"/>
          <w:lang w:val="en-US"/>
        </w:rPr>
        <w:t xml:space="preserve">The contemporary labor market requires </w:t>
      </w:r>
      <w:r>
        <w:rPr>
          <w:rFonts w:ascii="Times New Roman" w:hAnsi="Times New Roman" w:cs="Times New Roman"/>
          <w:bCs/>
          <w:sz w:val="24"/>
          <w:szCs w:val="24"/>
          <w:lang w:val="en-US"/>
        </w:rPr>
        <w:t>technical skills and</w:t>
      </w:r>
      <w:r w:rsidRPr="0052027D">
        <w:rPr>
          <w:rFonts w:ascii="Times New Roman" w:hAnsi="Times New Roman" w:cs="Times New Roman"/>
          <w:bCs/>
          <w:sz w:val="24"/>
          <w:szCs w:val="24"/>
          <w:lang w:val="en-US"/>
        </w:rPr>
        <w:t xml:space="preserve"> a solid cognitive foundation that enables individuals to adapt to a constantly changing work environment (Sevilla </w:t>
      </w:r>
      <w:r w:rsidR="00A27251">
        <w:rPr>
          <w:rFonts w:ascii="Times New Roman" w:hAnsi="Times New Roman" w:cs="Times New Roman"/>
          <w:bCs/>
          <w:sz w:val="24"/>
          <w:szCs w:val="24"/>
          <w:lang w:val="en-US"/>
        </w:rPr>
        <w:t>&amp;</w:t>
      </w:r>
      <w:r w:rsidRPr="0052027D">
        <w:rPr>
          <w:rFonts w:ascii="Times New Roman" w:hAnsi="Times New Roman" w:cs="Times New Roman"/>
          <w:bCs/>
          <w:sz w:val="24"/>
          <w:szCs w:val="24"/>
          <w:lang w:val="en-US"/>
        </w:rPr>
        <w:t xml:space="preserve"> Farias, 2020; Huertas </w:t>
      </w:r>
      <w:r w:rsidR="00A27251">
        <w:rPr>
          <w:rFonts w:ascii="Times New Roman" w:hAnsi="Times New Roman" w:cs="Times New Roman"/>
          <w:bCs/>
          <w:sz w:val="24"/>
          <w:szCs w:val="24"/>
          <w:lang w:val="en-US"/>
        </w:rPr>
        <w:t>&amp;</w:t>
      </w:r>
      <w:r w:rsidRPr="0052027D">
        <w:rPr>
          <w:rFonts w:ascii="Times New Roman" w:hAnsi="Times New Roman" w:cs="Times New Roman"/>
          <w:bCs/>
          <w:sz w:val="24"/>
          <w:szCs w:val="24"/>
          <w:lang w:val="en-US"/>
        </w:rPr>
        <w:t xml:space="preserve"> Raymond, 2024). In this sense, the methodology employed in this study aims to analyze the factors that determine individuals' cognitive skills, specifically in arithmetic and literacy skills. To achieve this, a multiple linear regression model has been implemented, which enables the quantification of the effect of various socioeconomic and demographic variables on individuals' cognitive skills, following an approach similar to that of previous studies, such as those by Hanushek </w:t>
      </w:r>
      <w:r w:rsidR="00A27251">
        <w:rPr>
          <w:rFonts w:ascii="Times New Roman" w:hAnsi="Times New Roman" w:cs="Times New Roman"/>
          <w:bCs/>
          <w:sz w:val="24"/>
          <w:szCs w:val="24"/>
          <w:lang w:val="en-US"/>
        </w:rPr>
        <w:t>&amp;</w:t>
      </w:r>
      <w:r w:rsidRPr="0052027D">
        <w:rPr>
          <w:rFonts w:ascii="Times New Roman" w:hAnsi="Times New Roman" w:cs="Times New Roman"/>
          <w:bCs/>
          <w:sz w:val="24"/>
          <w:szCs w:val="24"/>
          <w:lang w:val="en-US"/>
        </w:rPr>
        <w:t xml:space="preserve"> </w:t>
      </w:r>
      <w:proofErr w:type="spellStart"/>
      <w:r w:rsidRPr="0052027D">
        <w:rPr>
          <w:rFonts w:ascii="Times New Roman" w:hAnsi="Times New Roman" w:cs="Times New Roman"/>
          <w:bCs/>
          <w:sz w:val="24"/>
          <w:szCs w:val="24"/>
          <w:lang w:val="en-US"/>
        </w:rPr>
        <w:t>Woessmann</w:t>
      </w:r>
      <w:proofErr w:type="spellEnd"/>
      <w:r w:rsidRPr="0052027D">
        <w:rPr>
          <w:rFonts w:ascii="Times New Roman" w:hAnsi="Times New Roman" w:cs="Times New Roman"/>
          <w:bCs/>
          <w:sz w:val="24"/>
          <w:szCs w:val="24"/>
          <w:lang w:val="en-US"/>
        </w:rPr>
        <w:t xml:space="preserve"> (2008) and Chetty</w:t>
      </w:r>
      <w:r w:rsidR="009B3134">
        <w:rPr>
          <w:rFonts w:ascii="Times New Roman" w:hAnsi="Times New Roman" w:cs="Times New Roman"/>
          <w:bCs/>
          <w:sz w:val="24"/>
          <w:szCs w:val="24"/>
          <w:lang w:val="en-US"/>
        </w:rPr>
        <w:t xml:space="preserve"> et al.</w:t>
      </w:r>
      <w:r w:rsidRPr="0052027D">
        <w:rPr>
          <w:rFonts w:ascii="Times New Roman" w:hAnsi="Times New Roman" w:cs="Times New Roman"/>
          <w:bCs/>
          <w:sz w:val="24"/>
          <w:szCs w:val="24"/>
          <w:lang w:val="en-US"/>
        </w:rPr>
        <w:t xml:space="preserve"> (2014).</w:t>
      </w:r>
    </w:p>
    <w:p w14:paraId="0C3FBCCD" w14:textId="19C85764" w:rsidR="00C1183E" w:rsidRDefault="00C648B8" w:rsidP="009D28BE">
      <w:pPr>
        <w:spacing w:after="0" w:line="360" w:lineRule="auto"/>
        <w:ind w:firstLine="708"/>
        <w:contextualSpacing w:val="0"/>
        <w:jc w:val="both"/>
        <w:rPr>
          <w:rFonts w:ascii="Times New Roman" w:hAnsi="Times New Roman" w:cs="Times New Roman"/>
          <w:bCs/>
          <w:sz w:val="24"/>
          <w:szCs w:val="24"/>
          <w:lang w:val="en-US"/>
        </w:rPr>
      </w:pPr>
      <w:r w:rsidRPr="0052027D">
        <w:rPr>
          <w:rFonts w:ascii="Times New Roman" w:hAnsi="Times New Roman" w:cs="Times New Roman"/>
          <w:bCs/>
          <w:sz w:val="24"/>
          <w:szCs w:val="24"/>
          <w:lang w:val="en-US"/>
        </w:rPr>
        <w:t xml:space="preserve">Data from the Program for the International Assessment of Adult Competencies (PIAAC) in Mexico are used. The sample consists of 5890 individuals aged 15 to 65 with complete information on the </w:t>
      </w:r>
      <w:r>
        <w:rPr>
          <w:rFonts w:ascii="Times New Roman" w:hAnsi="Times New Roman" w:cs="Times New Roman"/>
          <w:bCs/>
          <w:sz w:val="24"/>
          <w:szCs w:val="24"/>
          <w:lang w:val="en-US"/>
        </w:rPr>
        <w:t>critical</w:t>
      </w:r>
      <w:r w:rsidRPr="0052027D">
        <w:rPr>
          <w:rFonts w:ascii="Times New Roman" w:hAnsi="Times New Roman" w:cs="Times New Roman"/>
          <w:bCs/>
          <w:sz w:val="24"/>
          <w:szCs w:val="24"/>
          <w:lang w:val="en-US"/>
        </w:rPr>
        <w:t xml:space="preserve"> variables included in the analysis.</w:t>
      </w:r>
    </w:p>
    <w:p w14:paraId="22A78C9A" w14:textId="77777777" w:rsidR="009B4039" w:rsidRDefault="009B4039" w:rsidP="009D28BE">
      <w:pPr>
        <w:spacing w:after="0" w:line="360" w:lineRule="auto"/>
        <w:ind w:firstLine="0"/>
        <w:contextualSpacing w:val="0"/>
        <w:jc w:val="both"/>
        <w:rPr>
          <w:rFonts w:ascii="Times New Roman" w:hAnsi="Times New Roman" w:cs="Times New Roman"/>
          <w:bCs/>
          <w:sz w:val="24"/>
          <w:szCs w:val="24"/>
          <w:lang w:val="en-US"/>
        </w:rPr>
      </w:pPr>
    </w:p>
    <w:p w14:paraId="452C327F" w14:textId="6E2E32F2" w:rsidR="00010D4B" w:rsidRPr="009D28BE" w:rsidRDefault="00C71D05" w:rsidP="009D28BE">
      <w:pPr>
        <w:spacing w:after="0" w:line="360" w:lineRule="auto"/>
        <w:ind w:firstLine="0"/>
        <w:contextualSpacing w:val="0"/>
        <w:jc w:val="center"/>
        <w:rPr>
          <w:rFonts w:ascii="Times New Roman" w:hAnsi="Times New Roman" w:cs="Times New Roman"/>
          <w:b/>
          <w:sz w:val="28"/>
          <w:szCs w:val="28"/>
          <w:lang w:val="en-US"/>
        </w:rPr>
      </w:pPr>
      <w:r w:rsidRPr="009D28BE">
        <w:rPr>
          <w:rFonts w:ascii="Times New Roman" w:hAnsi="Times New Roman" w:cs="Times New Roman"/>
          <w:b/>
          <w:sz w:val="28"/>
          <w:szCs w:val="28"/>
          <w:lang w:val="en-US"/>
        </w:rPr>
        <w:t>Description of v</w:t>
      </w:r>
      <w:r w:rsidR="009B4039" w:rsidRPr="009D28BE">
        <w:rPr>
          <w:rFonts w:ascii="Times New Roman" w:hAnsi="Times New Roman" w:cs="Times New Roman"/>
          <w:b/>
          <w:sz w:val="28"/>
          <w:szCs w:val="28"/>
          <w:lang w:val="en-US"/>
        </w:rPr>
        <w:t>ariables</w:t>
      </w:r>
    </w:p>
    <w:p w14:paraId="7F509947" w14:textId="77777777" w:rsidR="009721EF" w:rsidRPr="009721EF" w:rsidRDefault="009721EF" w:rsidP="009D28BE">
      <w:pPr>
        <w:spacing w:after="0" w:line="360" w:lineRule="auto"/>
        <w:ind w:left="567" w:hanging="283"/>
        <w:contextualSpacing w:val="0"/>
        <w:jc w:val="both"/>
        <w:rPr>
          <w:rFonts w:ascii="Times New Roman" w:hAnsi="Times New Roman" w:cs="Times New Roman"/>
          <w:bCs/>
          <w:sz w:val="24"/>
          <w:szCs w:val="24"/>
          <w:lang w:val="en-US"/>
        </w:rPr>
      </w:pPr>
      <w:r w:rsidRPr="009721EF">
        <w:rPr>
          <w:rFonts w:ascii="Times New Roman" w:hAnsi="Times New Roman" w:cs="Times New Roman"/>
          <w:bCs/>
          <w:sz w:val="24"/>
          <w:szCs w:val="24"/>
          <w:lang w:val="en-US"/>
        </w:rPr>
        <w:t>1.</w:t>
      </w:r>
      <w:r w:rsidRPr="009721EF">
        <w:rPr>
          <w:rFonts w:ascii="Times New Roman" w:hAnsi="Times New Roman" w:cs="Times New Roman"/>
          <w:bCs/>
          <w:sz w:val="24"/>
          <w:szCs w:val="24"/>
          <w:lang w:val="en-US"/>
        </w:rPr>
        <w:tab/>
        <w:t>Cognitive skills (dependent variable): Measured through literacy and numeracy scores from the PIAAC in Mexico. Scores are reported on a continuous scale from 0 to 500, calibrated using Item Response Theory (IRT). To reduce measurement error, the OECD provides plausible values that capture functional competence. In this study, the average of the plausible values per domain is used as the measure of skill level (OECD, 2013; OECD, 2019).</w:t>
      </w:r>
    </w:p>
    <w:p w14:paraId="52152849" w14:textId="77777777" w:rsidR="009721EF" w:rsidRPr="009721EF" w:rsidRDefault="009721EF" w:rsidP="009D28BE">
      <w:pPr>
        <w:spacing w:after="0" w:line="360" w:lineRule="auto"/>
        <w:ind w:left="567" w:hanging="283"/>
        <w:contextualSpacing w:val="0"/>
        <w:jc w:val="both"/>
        <w:rPr>
          <w:rFonts w:ascii="Times New Roman" w:hAnsi="Times New Roman" w:cs="Times New Roman"/>
          <w:bCs/>
          <w:sz w:val="24"/>
          <w:szCs w:val="24"/>
          <w:lang w:val="en-US"/>
        </w:rPr>
      </w:pPr>
      <w:r w:rsidRPr="009721EF">
        <w:rPr>
          <w:rFonts w:ascii="Times New Roman" w:hAnsi="Times New Roman" w:cs="Times New Roman"/>
          <w:bCs/>
          <w:sz w:val="24"/>
          <w:szCs w:val="24"/>
          <w:lang w:val="en-US"/>
        </w:rPr>
        <w:t>2.</w:t>
      </w:r>
      <w:r w:rsidRPr="009721EF">
        <w:rPr>
          <w:rFonts w:ascii="Times New Roman" w:hAnsi="Times New Roman" w:cs="Times New Roman"/>
          <w:bCs/>
          <w:sz w:val="24"/>
          <w:szCs w:val="24"/>
          <w:lang w:val="en-US"/>
        </w:rPr>
        <w:tab/>
        <w:t xml:space="preserve">Educational attainment: This variable captures the highest level of formal education completed by individuals. Education provides the foundation for acquiring cognitive and non-cognitive skills, which are essential for labor market performance. Prior studies show that both the quality and quantity of schooling directly influence skill development and economic outcomes (Hanushek &amp; </w:t>
      </w:r>
      <w:proofErr w:type="spellStart"/>
      <w:r w:rsidRPr="009721EF">
        <w:rPr>
          <w:rFonts w:ascii="Times New Roman" w:hAnsi="Times New Roman" w:cs="Times New Roman"/>
          <w:bCs/>
          <w:sz w:val="24"/>
          <w:szCs w:val="24"/>
          <w:lang w:val="en-US"/>
        </w:rPr>
        <w:t>Woessmann</w:t>
      </w:r>
      <w:proofErr w:type="spellEnd"/>
      <w:r w:rsidRPr="009721EF">
        <w:rPr>
          <w:rFonts w:ascii="Times New Roman" w:hAnsi="Times New Roman" w:cs="Times New Roman"/>
          <w:bCs/>
          <w:sz w:val="24"/>
          <w:szCs w:val="24"/>
          <w:lang w:val="en-US"/>
        </w:rPr>
        <w:t>, 2008; Heckman et al., 2006).</w:t>
      </w:r>
    </w:p>
    <w:p w14:paraId="10B75D27" w14:textId="77777777" w:rsidR="009721EF" w:rsidRPr="009721EF" w:rsidRDefault="009721EF" w:rsidP="009D28BE">
      <w:pPr>
        <w:spacing w:after="0" w:line="360" w:lineRule="auto"/>
        <w:ind w:left="567" w:hanging="283"/>
        <w:contextualSpacing w:val="0"/>
        <w:jc w:val="both"/>
        <w:rPr>
          <w:rFonts w:ascii="Times New Roman" w:hAnsi="Times New Roman" w:cs="Times New Roman"/>
          <w:bCs/>
          <w:sz w:val="24"/>
          <w:szCs w:val="24"/>
          <w:lang w:val="en-US"/>
        </w:rPr>
      </w:pPr>
      <w:r w:rsidRPr="009721EF">
        <w:rPr>
          <w:rFonts w:ascii="Times New Roman" w:hAnsi="Times New Roman" w:cs="Times New Roman"/>
          <w:bCs/>
          <w:sz w:val="24"/>
          <w:szCs w:val="24"/>
          <w:lang w:val="en-US"/>
        </w:rPr>
        <w:t>3.</w:t>
      </w:r>
      <w:r w:rsidRPr="009721EF">
        <w:rPr>
          <w:rFonts w:ascii="Times New Roman" w:hAnsi="Times New Roman" w:cs="Times New Roman"/>
          <w:bCs/>
          <w:sz w:val="24"/>
          <w:szCs w:val="24"/>
          <w:lang w:val="en-US"/>
        </w:rPr>
        <w:tab/>
        <w:t>Age: This variable, measured in cohorts, captures life-cycle differences in cognitive abilities. Evidence shows that some skills, such as working memory, decline with age, while others, like problem-solving, may improve through accumulated experience. Adult cognitive performance also depends on early education and continued exposure to stimulating environments (</w:t>
      </w:r>
      <w:proofErr w:type="spellStart"/>
      <w:r w:rsidRPr="009721EF">
        <w:rPr>
          <w:rFonts w:ascii="Times New Roman" w:hAnsi="Times New Roman" w:cs="Times New Roman"/>
          <w:bCs/>
          <w:sz w:val="24"/>
          <w:szCs w:val="24"/>
          <w:lang w:val="en-US"/>
        </w:rPr>
        <w:t>Schaie</w:t>
      </w:r>
      <w:proofErr w:type="spellEnd"/>
      <w:r w:rsidRPr="009721EF">
        <w:rPr>
          <w:rFonts w:ascii="Times New Roman" w:hAnsi="Times New Roman" w:cs="Times New Roman"/>
          <w:bCs/>
          <w:sz w:val="24"/>
          <w:szCs w:val="24"/>
          <w:lang w:val="en-US"/>
        </w:rPr>
        <w:t>, 2005; Deary et al., 2009).</w:t>
      </w:r>
    </w:p>
    <w:p w14:paraId="657D5278" w14:textId="77777777" w:rsidR="009721EF" w:rsidRPr="009721EF" w:rsidRDefault="009721EF" w:rsidP="009D28BE">
      <w:pPr>
        <w:spacing w:after="0" w:line="360" w:lineRule="auto"/>
        <w:ind w:left="567" w:hanging="283"/>
        <w:contextualSpacing w:val="0"/>
        <w:jc w:val="both"/>
        <w:rPr>
          <w:rFonts w:ascii="Times New Roman" w:hAnsi="Times New Roman" w:cs="Times New Roman"/>
          <w:bCs/>
          <w:sz w:val="24"/>
          <w:szCs w:val="24"/>
          <w:lang w:val="en-US"/>
        </w:rPr>
      </w:pPr>
      <w:r w:rsidRPr="009721EF">
        <w:rPr>
          <w:rFonts w:ascii="Times New Roman" w:hAnsi="Times New Roman" w:cs="Times New Roman"/>
          <w:bCs/>
          <w:sz w:val="24"/>
          <w:szCs w:val="24"/>
          <w:lang w:val="en-US"/>
        </w:rPr>
        <w:lastRenderedPageBreak/>
        <w:t>4.</w:t>
      </w:r>
      <w:r w:rsidRPr="009721EF">
        <w:rPr>
          <w:rFonts w:ascii="Times New Roman" w:hAnsi="Times New Roman" w:cs="Times New Roman"/>
          <w:bCs/>
          <w:sz w:val="24"/>
          <w:szCs w:val="24"/>
          <w:lang w:val="en-US"/>
        </w:rPr>
        <w:tab/>
        <w:t xml:space="preserve">Gender: Gender differences can influence educational and employment outcomes, reflecting societal structural inequalities. </w:t>
      </w:r>
      <w:proofErr w:type="spellStart"/>
      <w:r w:rsidRPr="009721EF">
        <w:rPr>
          <w:rFonts w:ascii="Times New Roman" w:hAnsi="Times New Roman" w:cs="Times New Roman"/>
          <w:bCs/>
          <w:sz w:val="24"/>
          <w:szCs w:val="24"/>
          <w:lang w:val="en-US"/>
        </w:rPr>
        <w:t>Aesaert</w:t>
      </w:r>
      <w:proofErr w:type="spellEnd"/>
      <w:r w:rsidRPr="009721EF">
        <w:rPr>
          <w:rFonts w:ascii="Times New Roman" w:hAnsi="Times New Roman" w:cs="Times New Roman"/>
          <w:bCs/>
          <w:sz w:val="24"/>
          <w:szCs w:val="24"/>
          <w:lang w:val="en-US"/>
        </w:rPr>
        <w:t xml:space="preserve"> and van Braak (2015) demonstrated that gender influences technological and digital skills, with girls excelling in digital communication tasks and boys excelling in technical skills related to information retrieval. Battisti et al. (2023) demonstrate that these gaps account for part of the wage inequality.</w:t>
      </w:r>
    </w:p>
    <w:p w14:paraId="13D1B35E" w14:textId="77777777" w:rsidR="009721EF" w:rsidRPr="009721EF" w:rsidRDefault="009721EF" w:rsidP="009D28BE">
      <w:pPr>
        <w:spacing w:after="0" w:line="360" w:lineRule="auto"/>
        <w:ind w:left="567" w:hanging="283"/>
        <w:contextualSpacing w:val="0"/>
        <w:jc w:val="both"/>
        <w:rPr>
          <w:rFonts w:ascii="Times New Roman" w:hAnsi="Times New Roman" w:cs="Times New Roman"/>
          <w:bCs/>
          <w:sz w:val="24"/>
          <w:szCs w:val="24"/>
          <w:lang w:val="en-US"/>
        </w:rPr>
      </w:pPr>
      <w:r w:rsidRPr="009721EF">
        <w:rPr>
          <w:rFonts w:ascii="Times New Roman" w:hAnsi="Times New Roman" w:cs="Times New Roman"/>
          <w:bCs/>
          <w:sz w:val="24"/>
          <w:szCs w:val="24"/>
          <w:lang w:val="en-US"/>
        </w:rPr>
        <w:t>5.</w:t>
      </w:r>
      <w:r w:rsidRPr="009721EF">
        <w:rPr>
          <w:rFonts w:ascii="Times New Roman" w:hAnsi="Times New Roman" w:cs="Times New Roman"/>
          <w:bCs/>
          <w:sz w:val="24"/>
          <w:szCs w:val="24"/>
          <w:lang w:val="en-US"/>
        </w:rPr>
        <w:tab/>
        <w:t>Parental education: This variable reflects the intergenerational transmission of human capital. Higher parental schooling is strongly associated with better academic and cognitive outcomes in adulthood (Carneiro et al., 2013).</w:t>
      </w:r>
    </w:p>
    <w:p w14:paraId="6EDAD498" w14:textId="77777777" w:rsidR="009721EF" w:rsidRPr="009721EF" w:rsidRDefault="009721EF" w:rsidP="009D28BE">
      <w:pPr>
        <w:spacing w:after="0" w:line="360" w:lineRule="auto"/>
        <w:ind w:left="567" w:hanging="283"/>
        <w:contextualSpacing w:val="0"/>
        <w:jc w:val="both"/>
        <w:rPr>
          <w:rFonts w:ascii="Times New Roman" w:hAnsi="Times New Roman" w:cs="Times New Roman"/>
          <w:bCs/>
          <w:sz w:val="24"/>
          <w:szCs w:val="24"/>
          <w:lang w:val="en-US"/>
        </w:rPr>
      </w:pPr>
      <w:r w:rsidRPr="009721EF">
        <w:rPr>
          <w:rFonts w:ascii="Times New Roman" w:hAnsi="Times New Roman" w:cs="Times New Roman"/>
          <w:bCs/>
          <w:sz w:val="24"/>
          <w:szCs w:val="24"/>
          <w:lang w:val="en-US"/>
        </w:rPr>
        <w:t>6.</w:t>
      </w:r>
      <w:r w:rsidRPr="009721EF">
        <w:rPr>
          <w:rFonts w:ascii="Times New Roman" w:hAnsi="Times New Roman" w:cs="Times New Roman"/>
          <w:bCs/>
          <w:sz w:val="24"/>
          <w:szCs w:val="24"/>
          <w:lang w:val="en-US"/>
        </w:rPr>
        <w:tab/>
        <w:t>Work experience: This variable measures the accumulation of practical knowledge and skills through labor market participation. Empirical evidence shows that work experience complements formal education, enhances technical and soft skills, and contributes to ongoing cognitive development (Autor, 2014; Chetty et al., 2014).</w:t>
      </w:r>
    </w:p>
    <w:p w14:paraId="5C1AB4F1" w14:textId="453FCA78" w:rsidR="009721EF" w:rsidRPr="009721EF" w:rsidRDefault="009721EF" w:rsidP="009D28BE">
      <w:pPr>
        <w:spacing w:after="0" w:line="360" w:lineRule="auto"/>
        <w:ind w:left="567" w:hanging="283"/>
        <w:contextualSpacing w:val="0"/>
        <w:jc w:val="both"/>
        <w:rPr>
          <w:rFonts w:ascii="Times New Roman" w:hAnsi="Times New Roman" w:cs="Times New Roman"/>
          <w:bCs/>
          <w:sz w:val="24"/>
          <w:szCs w:val="24"/>
          <w:lang w:val="en-US"/>
        </w:rPr>
      </w:pPr>
      <w:r w:rsidRPr="009721EF">
        <w:rPr>
          <w:rFonts w:ascii="Times New Roman" w:hAnsi="Times New Roman" w:cs="Times New Roman"/>
          <w:bCs/>
          <w:sz w:val="24"/>
          <w:szCs w:val="24"/>
          <w:lang w:val="en-US"/>
        </w:rPr>
        <w:t>7.</w:t>
      </w:r>
      <w:r w:rsidRPr="009721EF">
        <w:rPr>
          <w:rFonts w:ascii="Times New Roman" w:hAnsi="Times New Roman" w:cs="Times New Roman"/>
          <w:bCs/>
          <w:sz w:val="24"/>
          <w:szCs w:val="24"/>
          <w:lang w:val="en-US"/>
        </w:rPr>
        <w:tab/>
        <w:t>Training courses: Th</w:t>
      </w:r>
      <w:r>
        <w:rPr>
          <w:rFonts w:ascii="Times New Roman" w:hAnsi="Times New Roman" w:cs="Times New Roman"/>
          <w:bCs/>
          <w:sz w:val="24"/>
          <w:szCs w:val="24"/>
          <w:lang w:val="en-US"/>
        </w:rPr>
        <w:t>e</w:t>
      </w:r>
      <w:r w:rsidRPr="009721EF">
        <w:rPr>
          <w:rFonts w:ascii="Times New Roman" w:hAnsi="Times New Roman" w:cs="Times New Roman"/>
          <w:bCs/>
          <w:sz w:val="24"/>
          <w:szCs w:val="24"/>
          <w:lang w:val="en-US"/>
        </w:rPr>
        <w:t xml:space="preserve"> variable captures participation in non-formal training, which complements formal education and helps workers adapt to technological and market changes. Such training supports the acquisition of practical skills and ensures that competencies remain relevant in dynamic labor environments (Acemoglu &amp; Pischke, 1999).</w:t>
      </w:r>
    </w:p>
    <w:p w14:paraId="0F12F66D" w14:textId="079C66C8" w:rsidR="009721EF" w:rsidRPr="009721EF" w:rsidRDefault="009721EF" w:rsidP="009D28BE">
      <w:pPr>
        <w:spacing w:after="0" w:line="360" w:lineRule="auto"/>
        <w:ind w:left="567" w:hanging="283"/>
        <w:contextualSpacing w:val="0"/>
        <w:jc w:val="both"/>
        <w:rPr>
          <w:rFonts w:ascii="Times New Roman" w:hAnsi="Times New Roman" w:cs="Times New Roman"/>
          <w:bCs/>
          <w:sz w:val="24"/>
          <w:szCs w:val="24"/>
          <w:lang w:val="en-US"/>
        </w:rPr>
      </w:pPr>
      <w:r w:rsidRPr="009721EF">
        <w:rPr>
          <w:rFonts w:ascii="Times New Roman" w:hAnsi="Times New Roman" w:cs="Times New Roman"/>
          <w:bCs/>
          <w:sz w:val="24"/>
          <w:szCs w:val="24"/>
          <w:lang w:val="en-US"/>
        </w:rPr>
        <w:t>8.</w:t>
      </w:r>
      <w:r w:rsidRPr="009721EF">
        <w:rPr>
          <w:rFonts w:ascii="Times New Roman" w:hAnsi="Times New Roman" w:cs="Times New Roman"/>
          <w:bCs/>
          <w:sz w:val="24"/>
          <w:szCs w:val="24"/>
          <w:lang w:val="en-US"/>
        </w:rPr>
        <w:tab/>
        <w:t>Health: This variable is included based on evidence showing that poor health negatively affects cognitive performance and productivity, as documented in studies such as Pischke (2007) and Autor et al. (2003).</w:t>
      </w:r>
    </w:p>
    <w:p w14:paraId="50596C16" w14:textId="77777777" w:rsidR="00C1183E" w:rsidRPr="00392D69" w:rsidRDefault="00C1183E" w:rsidP="009D28BE">
      <w:pPr>
        <w:spacing w:after="0" w:line="360" w:lineRule="auto"/>
        <w:ind w:firstLine="0"/>
        <w:contextualSpacing w:val="0"/>
        <w:jc w:val="both"/>
        <w:rPr>
          <w:rFonts w:ascii="Times New Roman" w:hAnsi="Times New Roman" w:cs="Times New Roman"/>
          <w:bCs/>
          <w:sz w:val="24"/>
          <w:szCs w:val="24"/>
          <w:lang w:val="en-US"/>
        </w:rPr>
      </w:pPr>
    </w:p>
    <w:p w14:paraId="05011F71" w14:textId="7D6570E3" w:rsidR="00C1183E" w:rsidRPr="009D28BE" w:rsidRDefault="00B94B32" w:rsidP="009D28BE">
      <w:pPr>
        <w:spacing w:after="0" w:line="360" w:lineRule="auto"/>
        <w:ind w:firstLine="0"/>
        <w:contextualSpacing w:val="0"/>
        <w:jc w:val="center"/>
        <w:rPr>
          <w:rFonts w:ascii="Times New Roman" w:hAnsi="Times New Roman" w:cs="Times New Roman"/>
          <w:b/>
          <w:sz w:val="28"/>
          <w:szCs w:val="28"/>
          <w:lang w:val="en-US"/>
        </w:rPr>
      </w:pPr>
      <w:r w:rsidRPr="009D28BE">
        <w:rPr>
          <w:rFonts w:ascii="Times New Roman" w:hAnsi="Times New Roman" w:cs="Times New Roman"/>
          <w:b/>
          <w:sz w:val="28"/>
          <w:szCs w:val="28"/>
          <w:lang w:val="en-US"/>
        </w:rPr>
        <w:t>E</w:t>
      </w:r>
      <w:r w:rsidR="00C648B8" w:rsidRPr="009D28BE">
        <w:rPr>
          <w:rFonts w:ascii="Times New Roman" w:hAnsi="Times New Roman" w:cs="Times New Roman"/>
          <w:b/>
          <w:sz w:val="28"/>
          <w:szCs w:val="28"/>
          <w:lang w:val="en-US"/>
        </w:rPr>
        <w:t>conom</w:t>
      </w:r>
      <w:r w:rsidRPr="009D28BE">
        <w:rPr>
          <w:rFonts w:ascii="Times New Roman" w:hAnsi="Times New Roman" w:cs="Times New Roman"/>
          <w:b/>
          <w:sz w:val="28"/>
          <w:szCs w:val="28"/>
          <w:lang w:val="en-US"/>
        </w:rPr>
        <w:t>etric model</w:t>
      </w:r>
    </w:p>
    <w:p w14:paraId="45A345D4" w14:textId="37A8A1C9" w:rsidR="00C1183E" w:rsidRPr="009D28BE" w:rsidRDefault="00C648B8" w:rsidP="009D28BE">
      <w:pPr>
        <w:spacing w:after="0" w:line="360" w:lineRule="auto"/>
        <w:ind w:firstLine="0"/>
        <w:contextualSpacing w:val="0"/>
        <w:jc w:val="both"/>
        <w:rPr>
          <w:rFonts w:ascii="Times New Roman" w:hAnsi="Times New Roman" w:cs="Times New Roman"/>
          <w:bCs/>
          <w:sz w:val="24"/>
          <w:szCs w:val="24"/>
          <w:lang w:val="en-US"/>
        </w:rPr>
      </w:pPr>
      <w:bookmarkStart w:id="0" w:name="_Hlk178090711"/>
      <w:r w:rsidRPr="00B23640">
        <w:rPr>
          <w:rFonts w:ascii="Times New Roman" w:hAnsi="Times New Roman" w:cs="Times New Roman"/>
          <w:bCs/>
          <w:sz w:val="24"/>
          <w:szCs w:val="24"/>
          <w:lang w:val="en-US"/>
        </w:rPr>
        <w:t xml:space="preserve">A multiple linear regression model </w:t>
      </w:r>
      <w:r w:rsidR="008938A5">
        <w:rPr>
          <w:rFonts w:ascii="Times New Roman" w:hAnsi="Times New Roman" w:cs="Times New Roman"/>
          <w:bCs/>
          <w:sz w:val="24"/>
          <w:szCs w:val="24"/>
          <w:lang w:val="en-US"/>
        </w:rPr>
        <w:t>examines</w:t>
      </w:r>
      <w:r w:rsidRPr="00B23640">
        <w:rPr>
          <w:rFonts w:ascii="Times New Roman" w:hAnsi="Times New Roman" w:cs="Times New Roman"/>
          <w:bCs/>
          <w:sz w:val="24"/>
          <w:szCs w:val="24"/>
          <w:lang w:val="en-US"/>
        </w:rPr>
        <w:t xml:space="preserve"> how socioeconomic and demographic factors (such as educational level, work experience, and training) influence </w:t>
      </w:r>
      <w:r>
        <w:rPr>
          <w:rFonts w:ascii="Times New Roman" w:hAnsi="Times New Roman" w:cs="Times New Roman"/>
          <w:bCs/>
          <w:sz w:val="24"/>
          <w:szCs w:val="24"/>
          <w:lang w:val="en-US"/>
        </w:rPr>
        <w:t>workers' cognitive abilities</w:t>
      </w:r>
      <w:r w:rsidRPr="00B23640">
        <w:rPr>
          <w:rFonts w:ascii="Times New Roman" w:hAnsi="Times New Roman" w:cs="Times New Roman"/>
          <w:bCs/>
          <w:sz w:val="24"/>
          <w:szCs w:val="24"/>
          <w:lang w:val="en-US"/>
        </w:rPr>
        <w:t>.</w:t>
      </w:r>
      <w:bookmarkEnd w:id="0"/>
    </w:p>
    <w:p w14:paraId="7259A9F2" w14:textId="2C76A2AD" w:rsidR="00C1183E" w:rsidRPr="00BD5592" w:rsidRDefault="00000000" w:rsidP="009D28BE">
      <w:pPr>
        <w:tabs>
          <w:tab w:val="left" w:pos="1047"/>
        </w:tabs>
        <w:spacing w:after="0" w:line="360" w:lineRule="auto"/>
        <w:rPr>
          <w:rFonts w:ascii="Calibri" w:hAnsi="Calibri" w:cs="Calibri"/>
          <w:sz w:val="24"/>
          <w:szCs w:val="24"/>
        </w:rPr>
      </w:pPr>
      <m:oMathPara>
        <m:oMath>
          <m:sSub>
            <m:sSubPr>
              <m:ctrlPr>
                <w:rPr>
                  <w:rFonts w:ascii="Cambria Math" w:hAnsi="Cambria Math" w:cs="Calibri"/>
                  <w:i/>
                  <w:sz w:val="24"/>
                  <w:szCs w:val="24"/>
                </w:rPr>
              </m:ctrlPr>
            </m:sSubPr>
            <m:e>
              <m:r>
                <w:rPr>
                  <w:rFonts w:ascii="Cambria Math" w:hAnsi="Cambria Math" w:cs="Calibri"/>
                  <w:sz w:val="24"/>
                  <w:szCs w:val="24"/>
                </w:rPr>
                <m:t>Skills</m:t>
              </m:r>
            </m:e>
            <m:sub>
              <m:r>
                <w:rPr>
                  <w:rFonts w:ascii="Cambria Math" w:hAnsi="Cambria Math" w:cs="Calibri"/>
                  <w:sz w:val="24"/>
                  <w:szCs w:val="24"/>
                </w:rPr>
                <m:t>i</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0</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1</m:t>
              </m:r>
            </m:sub>
          </m:sSub>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School level</m:t>
              </m:r>
            </m:e>
            <m:sub>
              <m:r>
                <w:rPr>
                  <w:rFonts w:ascii="Cambria Math" w:hAnsi="Cambria Math" w:cs="Calibri"/>
                  <w:sz w:val="24"/>
                  <w:szCs w:val="24"/>
                </w:rPr>
                <m:t>i</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2</m:t>
              </m:r>
            </m:sub>
          </m:sSub>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age</m:t>
              </m:r>
            </m:e>
            <m:sub>
              <m:r>
                <w:rPr>
                  <w:rFonts w:ascii="Cambria Math" w:hAnsi="Cambria Math" w:cs="Calibri"/>
                  <w:sz w:val="24"/>
                  <w:szCs w:val="24"/>
                </w:rPr>
                <m:t>1</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3</m:t>
              </m:r>
            </m:sub>
          </m:sSub>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gender</m:t>
              </m:r>
            </m:e>
            <m:sub>
              <m:r>
                <w:rPr>
                  <w:rFonts w:ascii="Cambria Math" w:hAnsi="Cambria Math" w:cs="Calibri"/>
                  <w:sz w:val="24"/>
                  <w:szCs w:val="24"/>
                </w:rPr>
                <m:t>i</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4</m:t>
              </m:r>
            </m:sub>
          </m:sSub>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parental education</m:t>
              </m:r>
            </m:e>
            <m:sub>
              <m:r>
                <w:rPr>
                  <w:rFonts w:ascii="Cambria Math" w:hAnsi="Cambria Math" w:cs="Calibri"/>
                  <w:sz w:val="24"/>
                  <w:szCs w:val="24"/>
                </w:rPr>
                <m:t>i</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5</m:t>
              </m:r>
            </m:sub>
          </m:sSub>
          <m:r>
            <w:rPr>
              <w:rFonts w:ascii="Cambria Math" w:hAnsi="Cambria Math" w:cs="Calibri"/>
              <w:sz w:val="24"/>
              <w:szCs w:val="24"/>
            </w:rPr>
            <m:t>experienc</m:t>
          </m:r>
          <m:sSub>
            <m:sSubPr>
              <m:ctrlPr>
                <w:rPr>
                  <w:rFonts w:ascii="Cambria Math" w:hAnsi="Cambria Math" w:cs="Calibri"/>
                  <w:i/>
                  <w:sz w:val="24"/>
                  <w:szCs w:val="24"/>
                </w:rPr>
              </m:ctrlPr>
            </m:sSubPr>
            <m:e>
              <m:r>
                <w:rPr>
                  <w:rFonts w:ascii="Cambria Math" w:hAnsi="Cambria Math" w:cs="Calibri"/>
                  <w:sz w:val="24"/>
                  <w:szCs w:val="24"/>
                </w:rPr>
                <m:t>e</m:t>
              </m:r>
            </m:e>
            <m:sub>
              <m:r>
                <w:rPr>
                  <w:rFonts w:ascii="Cambria Math" w:hAnsi="Cambria Math" w:cs="Calibri"/>
                  <w:sz w:val="24"/>
                  <w:szCs w:val="24"/>
                </w:rPr>
                <m:t>i</m:t>
              </m:r>
            </m:sub>
          </m:sSub>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6</m:t>
              </m:r>
            </m:sub>
          </m:sSub>
          <m:r>
            <w:rPr>
              <w:rFonts w:ascii="Cambria Math" w:hAnsi="Cambria Math" w:cs="Calibri"/>
              <w:sz w:val="24"/>
              <w:szCs w:val="24"/>
            </w:rPr>
            <m:t xml:space="preserve"> </m:t>
          </m:r>
          <m:sSub>
            <m:sSubPr>
              <m:ctrlPr>
                <w:rPr>
                  <w:rFonts w:ascii="Cambria Math" w:hAnsi="Cambria Math" w:cs="Calibri"/>
                  <w:i/>
                  <w:sz w:val="24"/>
                  <w:szCs w:val="24"/>
                </w:rPr>
              </m:ctrlPr>
            </m:sSubPr>
            <m:e>
              <m:r>
                <w:rPr>
                  <w:rFonts w:ascii="Cambria Math" w:hAnsi="Cambria Math" w:cs="Calibri"/>
                  <w:sz w:val="24"/>
                  <w:szCs w:val="24"/>
                </w:rPr>
                <m:t>training</m:t>
              </m:r>
            </m:e>
            <m:sub>
              <m:r>
                <w:rPr>
                  <w:rFonts w:ascii="Cambria Math" w:hAnsi="Cambria Math" w:cs="Calibri"/>
                  <w:sz w:val="24"/>
                  <w:szCs w:val="24"/>
                </w:rPr>
                <m:t>i</m:t>
              </m:r>
            </m:sub>
          </m:sSub>
          <m:r>
            <w:rPr>
              <w:rFonts w:ascii="Cambria Math" w:hAnsi="Cambria Math" w:cs="Calibri"/>
              <w:sz w:val="24"/>
              <w:szCs w:val="24"/>
            </w:rPr>
            <m:t>+</m:t>
          </m:r>
          <m:sSub>
            <m:sSubPr>
              <m:ctrlPr>
                <w:rPr>
                  <w:rFonts w:ascii="Cambria Math" w:hAnsi="Cambria Math" w:cs="Calibri"/>
                  <w:i/>
                  <w:sz w:val="24"/>
                  <w:szCs w:val="24"/>
                </w:rPr>
              </m:ctrlPr>
            </m:sSubPr>
            <m:e>
              <m:r>
                <w:rPr>
                  <w:rFonts w:ascii="Cambria Math" w:hAnsi="Cambria Math" w:cs="Calibri"/>
                  <w:sz w:val="24"/>
                  <w:szCs w:val="24"/>
                </w:rPr>
                <m:t>β</m:t>
              </m:r>
            </m:e>
            <m:sub>
              <m:r>
                <w:rPr>
                  <w:rFonts w:ascii="Cambria Math" w:hAnsi="Cambria Math" w:cs="Calibri"/>
                  <w:sz w:val="24"/>
                  <w:szCs w:val="24"/>
                </w:rPr>
                <m:t>7</m:t>
              </m:r>
            </m:sub>
          </m:sSub>
          <m:r>
            <w:rPr>
              <w:rFonts w:ascii="Cambria Math" w:hAnsi="Cambria Math" w:cs="Calibri"/>
              <w:sz w:val="24"/>
              <w:szCs w:val="24"/>
            </w:rPr>
            <m:t>health+</m:t>
          </m:r>
          <m:sSub>
            <m:sSubPr>
              <m:ctrlPr>
                <w:rPr>
                  <w:rFonts w:ascii="Cambria Math" w:hAnsi="Cambria Math" w:cs="Calibri"/>
                  <w:i/>
                  <w:sz w:val="24"/>
                  <w:szCs w:val="24"/>
                </w:rPr>
              </m:ctrlPr>
            </m:sSubPr>
            <m:e>
              <m:r>
                <w:rPr>
                  <w:rFonts w:ascii="Cambria Math" w:hAnsi="Cambria Math" w:cs="Calibri"/>
                  <w:sz w:val="24"/>
                  <w:szCs w:val="24"/>
                </w:rPr>
                <m:t>ε</m:t>
              </m:r>
            </m:e>
            <m:sub>
              <m:r>
                <w:rPr>
                  <w:rFonts w:ascii="Cambria Math" w:hAnsi="Cambria Math" w:cs="Calibri"/>
                  <w:sz w:val="24"/>
                  <w:szCs w:val="24"/>
                </w:rPr>
                <m:t>i</m:t>
              </m:r>
            </m:sub>
          </m:sSub>
        </m:oMath>
      </m:oMathPara>
    </w:p>
    <w:p w14:paraId="1EE2117A" w14:textId="4DD42F16" w:rsidR="00C309A2" w:rsidRPr="00C309A2" w:rsidRDefault="009D28BE" w:rsidP="009D28BE">
      <w:pPr>
        <w:spacing w:after="0" w:line="360" w:lineRule="auto"/>
        <w:ind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As</w:t>
      </w:r>
      <w:r w:rsidR="00C648B8" w:rsidRPr="00C309A2">
        <w:rPr>
          <w:rFonts w:ascii="Times New Roman" w:hAnsi="Times New Roman" w:cs="Times New Roman"/>
          <w:bCs/>
          <w:sz w:val="24"/>
          <w:szCs w:val="24"/>
          <w:lang w:val="en-US"/>
        </w:rPr>
        <w:t>:</w:t>
      </w:r>
    </w:p>
    <w:p w14:paraId="61C5426B" w14:textId="301AE796" w:rsidR="00C309A2" w:rsidRPr="00C309A2" w:rsidRDefault="00C648B8" w:rsidP="009D28BE">
      <w:pPr>
        <w:pStyle w:val="Prrafodelista"/>
        <w:numPr>
          <w:ilvl w:val="0"/>
          <w:numId w:val="11"/>
        </w:numPr>
        <w:spacing w:after="0" w:line="360" w:lineRule="auto"/>
        <w:ind w:left="284" w:hanging="284"/>
        <w:contextualSpacing w:val="0"/>
        <w:jc w:val="both"/>
        <w:rPr>
          <w:rFonts w:ascii="Times New Roman" w:hAnsi="Times New Roman" w:cs="Times New Roman"/>
          <w:bCs/>
          <w:sz w:val="24"/>
          <w:szCs w:val="24"/>
          <w:lang w:val="en-US"/>
        </w:rPr>
      </w:pPr>
      <w:r w:rsidRPr="00B16B0C">
        <w:rPr>
          <w:rFonts w:ascii="Times New Roman" w:hAnsi="Times New Roman" w:cs="Times New Roman"/>
          <w:bCs/>
          <w:i/>
          <w:iCs/>
          <w:sz w:val="24"/>
          <w:szCs w:val="24"/>
          <w:lang w:val="en-US"/>
        </w:rPr>
        <w:t>Skills</w:t>
      </w:r>
      <w:r w:rsidRPr="00C309A2">
        <w:rPr>
          <w:rFonts w:ascii="Times New Roman" w:hAnsi="Times New Roman" w:cs="Times New Roman"/>
          <w:bCs/>
          <w:sz w:val="24"/>
          <w:szCs w:val="24"/>
          <w:lang w:val="en-US"/>
        </w:rPr>
        <w:t>: Represents the individual's score in cognitive skills, either in arithmetic or reading and writing (measured on a scale of 0 to 500 points).</w:t>
      </w:r>
    </w:p>
    <w:p w14:paraId="6791FF8D" w14:textId="691B388D" w:rsidR="00C309A2" w:rsidRPr="00C309A2" w:rsidRDefault="00F87588" w:rsidP="009D28BE">
      <w:pPr>
        <w:pStyle w:val="Prrafodelista"/>
        <w:numPr>
          <w:ilvl w:val="0"/>
          <w:numId w:val="11"/>
        </w:numPr>
        <w:spacing w:after="0" w:line="360" w:lineRule="auto"/>
        <w:ind w:left="284" w:hanging="284"/>
        <w:contextualSpacing w:val="0"/>
        <w:jc w:val="both"/>
        <w:rPr>
          <w:rFonts w:ascii="Times New Roman" w:hAnsi="Times New Roman" w:cs="Times New Roman"/>
          <w:bCs/>
          <w:sz w:val="24"/>
          <w:szCs w:val="24"/>
          <w:lang w:val="en-US"/>
        </w:rPr>
      </w:pPr>
      <w:r w:rsidRPr="00F87588">
        <w:rPr>
          <w:rFonts w:ascii="Times New Roman" w:hAnsi="Times New Roman" w:cs="Times New Roman"/>
          <w:bCs/>
          <w:i/>
          <w:iCs/>
          <w:sz w:val="24"/>
          <w:szCs w:val="24"/>
          <w:lang w:val="en-US"/>
        </w:rPr>
        <w:lastRenderedPageBreak/>
        <w:t>Educational attainment</w:t>
      </w:r>
      <w:r w:rsidR="00C648B8" w:rsidRPr="00C309A2">
        <w:rPr>
          <w:rFonts w:ascii="Times New Roman" w:hAnsi="Times New Roman" w:cs="Times New Roman"/>
          <w:bCs/>
          <w:sz w:val="24"/>
          <w:szCs w:val="24"/>
          <w:lang w:val="en-US"/>
        </w:rPr>
        <w:t xml:space="preserve">: </w:t>
      </w:r>
      <w:r w:rsidR="00517DCC">
        <w:rPr>
          <w:rFonts w:ascii="Times New Roman" w:hAnsi="Times New Roman" w:cs="Times New Roman"/>
          <w:bCs/>
          <w:sz w:val="24"/>
          <w:szCs w:val="24"/>
          <w:lang w:val="en-US"/>
        </w:rPr>
        <w:t>The value takes the form of one if the individual has a basic education or less, two if they have high school studies, and</w:t>
      </w:r>
      <w:r w:rsidR="00C648B8" w:rsidRPr="00C309A2">
        <w:rPr>
          <w:rFonts w:ascii="Times New Roman" w:hAnsi="Times New Roman" w:cs="Times New Roman"/>
          <w:bCs/>
          <w:sz w:val="24"/>
          <w:szCs w:val="24"/>
          <w:lang w:val="en-US"/>
        </w:rPr>
        <w:t xml:space="preserve"> three if they have higher education or more.</w:t>
      </w:r>
    </w:p>
    <w:p w14:paraId="6705A7A7" w14:textId="3D6F6FCF" w:rsidR="00C309A2" w:rsidRPr="00C309A2" w:rsidRDefault="00C648B8" w:rsidP="009D28BE">
      <w:pPr>
        <w:pStyle w:val="Prrafodelista"/>
        <w:numPr>
          <w:ilvl w:val="0"/>
          <w:numId w:val="11"/>
        </w:numPr>
        <w:spacing w:after="0" w:line="360" w:lineRule="auto"/>
        <w:ind w:left="284" w:hanging="284"/>
        <w:contextualSpacing w:val="0"/>
        <w:jc w:val="both"/>
        <w:rPr>
          <w:rFonts w:ascii="Times New Roman" w:hAnsi="Times New Roman" w:cs="Times New Roman"/>
          <w:bCs/>
          <w:sz w:val="24"/>
          <w:szCs w:val="24"/>
          <w:lang w:val="en-US"/>
        </w:rPr>
      </w:pPr>
      <w:r w:rsidRPr="00B16B0C">
        <w:rPr>
          <w:rFonts w:ascii="Times New Roman" w:hAnsi="Times New Roman" w:cs="Times New Roman"/>
          <w:bCs/>
          <w:i/>
          <w:iCs/>
          <w:sz w:val="24"/>
          <w:szCs w:val="24"/>
          <w:lang w:val="en-US"/>
        </w:rPr>
        <w:t>Age</w:t>
      </w:r>
      <w:r w:rsidR="00E252EF">
        <w:rPr>
          <w:rFonts w:ascii="Times New Roman" w:hAnsi="Times New Roman" w:cs="Times New Roman"/>
          <w:bCs/>
          <w:i/>
          <w:iCs/>
          <w:sz w:val="24"/>
          <w:szCs w:val="24"/>
          <w:lang w:val="en-US"/>
        </w:rPr>
        <w:t xml:space="preserve"> cohorts</w:t>
      </w:r>
      <w:r w:rsidRPr="00C309A2">
        <w:rPr>
          <w:rFonts w:ascii="Times New Roman" w:hAnsi="Times New Roman" w:cs="Times New Roman"/>
          <w:bCs/>
          <w:sz w:val="24"/>
          <w:szCs w:val="24"/>
          <w:lang w:val="en-US"/>
        </w:rPr>
        <w:t>: Age is c</w:t>
      </w:r>
      <w:r w:rsidR="00E252EF">
        <w:rPr>
          <w:rFonts w:ascii="Times New Roman" w:hAnsi="Times New Roman" w:cs="Times New Roman"/>
          <w:bCs/>
          <w:sz w:val="24"/>
          <w:szCs w:val="24"/>
          <w:lang w:val="en-US"/>
        </w:rPr>
        <w:t>ategoriz</w:t>
      </w:r>
      <w:r w:rsidRPr="00C309A2">
        <w:rPr>
          <w:rFonts w:ascii="Times New Roman" w:hAnsi="Times New Roman" w:cs="Times New Roman"/>
          <w:bCs/>
          <w:sz w:val="24"/>
          <w:szCs w:val="24"/>
          <w:lang w:val="en-US"/>
        </w:rPr>
        <w:t>ed into five age cohorts 15-24</w:t>
      </w:r>
      <w:r w:rsidR="00517DCC">
        <w:rPr>
          <w:rFonts w:ascii="Times New Roman" w:hAnsi="Times New Roman" w:cs="Times New Roman"/>
          <w:bCs/>
          <w:sz w:val="24"/>
          <w:szCs w:val="24"/>
          <w:lang w:val="en-US"/>
        </w:rPr>
        <w:t>, 25-34, 35-44, 45-54,</w:t>
      </w:r>
      <w:r w:rsidRPr="00C309A2">
        <w:rPr>
          <w:rFonts w:ascii="Times New Roman" w:hAnsi="Times New Roman" w:cs="Times New Roman"/>
          <w:bCs/>
          <w:sz w:val="24"/>
          <w:szCs w:val="24"/>
          <w:lang w:val="en-US"/>
        </w:rPr>
        <w:t xml:space="preserve"> and 55-65 years.</w:t>
      </w:r>
    </w:p>
    <w:p w14:paraId="5EFD8CEE" w14:textId="2E3E3040" w:rsidR="00C309A2" w:rsidRPr="00C309A2" w:rsidRDefault="00C648B8" w:rsidP="009D28BE">
      <w:pPr>
        <w:pStyle w:val="Prrafodelista"/>
        <w:numPr>
          <w:ilvl w:val="0"/>
          <w:numId w:val="11"/>
        </w:numPr>
        <w:spacing w:after="0" w:line="360" w:lineRule="auto"/>
        <w:ind w:left="284" w:hanging="284"/>
        <w:contextualSpacing w:val="0"/>
        <w:jc w:val="both"/>
        <w:rPr>
          <w:rFonts w:ascii="Times New Roman" w:hAnsi="Times New Roman" w:cs="Times New Roman"/>
          <w:bCs/>
          <w:sz w:val="24"/>
          <w:szCs w:val="24"/>
          <w:lang w:val="en-US"/>
        </w:rPr>
      </w:pPr>
      <w:r w:rsidRPr="00B16B0C">
        <w:rPr>
          <w:rFonts w:ascii="Times New Roman" w:hAnsi="Times New Roman" w:cs="Times New Roman"/>
          <w:bCs/>
          <w:i/>
          <w:iCs/>
          <w:sz w:val="24"/>
          <w:szCs w:val="24"/>
          <w:lang w:val="en-US"/>
        </w:rPr>
        <w:t>Gender</w:t>
      </w:r>
      <w:r w:rsidRPr="00C309A2">
        <w:rPr>
          <w:rFonts w:ascii="Times New Roman" w:hAnsi="Times New Roman" w:cs="Times New Roman"/>
          <w:bCs/>
          <w:sz w:val="24"/>
          <w:szCs w:val="24"/>
          <w:lang w:val="en-US"/>
        </w:rPr>
        <w:t xml:space="preserve">: Binary variable where </w:t>
      </w:r>
      <w:r w:rsidR="00517DCC">
        <w:rPr>
          <w:rFonts w:ascii="Times New Roman" w:hAnsi="Times New Roman" w:cs="Times New Roman"/>
          <w:bCs/>
          <w:sz w:val="24"/>
          <w:szCs w:val="24"/>
          <w:lang w:val="en-US"/>
        </w:rPr>
        <w:t>one</w:t>
      </w:r>
      <w:r w:rsidRPr="00C309A2">
        <w:rPr>
          <w:rFonts w:ascii="Times New Roman" w:hAnsi="Times New Roman" w:cs="Times New Roman"/>
          <w:bCs/>
          <w:sz w:val="24"/>
          <w:szCs w:val="24"/>
          <w:lang w:val="en-US"/>
        </w:rPr>
        <w:t xml:space="preserve"> is male and 0 is female.</w:t>
      </w:r>
    </w:p>
    <w:p w14:paraId="40146971" w14:textId="5CCDE7A7" w:rsidR="00C309A2" w:rsidRPr="00401607" w:rsidRDefault="00C648B8" w:rsidP="009D28BE">
      <w:pPr>
        <w:pStyle w:val="Prrafodelista"/>
        <w:numPr>
          <w:ilvl w:val="0"/>
          <w:numId w:val="11"/>
        </w:numPr>
        <w:spacing w:after="0" w:line="360" w:lineRule="auto"/>
        <w:ind w:left="284" w:hanging="284"/>
        <w:contextualSpacing w:val="0"/>
        <w:jc w:val="both"/>
        <w:rPr>
          <w:rFonts w:ascii="Times New Roman" w:hAnsi="Times New Roman" w:cs="Times New Roman"/>
          <w:bCs/>
          <w:sz w:val="24"/>
          <w:szCs w:val="24"/>
          <w:lang w:val="en-US"/>
        </w:rPr>
      </w:pPr>
      <w:r w:rsidRPr="00B16B0C">
        <w:rPr>
          <w:rFonts w:ascii="Times New Roman" w:hAnsi="Times New Roman" w:cs="Times New Roman"/>
          <w:bCs/>
          <w:i/>
          <w:iCs/>
          <w:sz w:val="24"/>
          <w:szCs w:val="24"/>
          <w:lang w:val="en-US"/>
        </w:rPr>
        <w:t>Parent</w:t>
      </w:r>
      <w:r w:rsidR="00E252EF">
        <w:rPr>
          <w:rFonts w:ascii="Times New Roman" w:hAnsi="Times New Roman" w:cs="Times New Roman"/>
          <w:bCs/>
          <w:i/>
          <w:iCs/>
          <w:sz w:val="24"/>
          <w:szCs w:val="24"/>
          <w:lang w:val="en-US"/>
        </w:rPr>
        <w:t xml:space="preserve">al </w:t>
      </w:r>
      <w:r w:rsidRPr="00B16B0C">
        <w:rPr>
          <w:rFonts w:ascii="Times New Roman" w:hAnsi="Times New Roman" w:cs="Times New Roman"/>
          <w:bCs/>
          <w:i/>
          <w:iCs/>
          <w:sz w:val="24"/>
          <w:szCs w:val="24"/>
          <w:lang w:val="en-US"/>
        </w:rPr>
        <w:t>education</w:t>
      </w:r>
      <w:r>
        <w:rPr>
          <w:rFonts w:ascii="Times New Roman" w:hAnsi="Times New Roman" w:cs="Times New Roman"/>
          <w:bCs/>
          <w:sz w:val="24"/>
          <w:szCs w:val="24"/>
          <w:lang w:val="en-US"/>
        </w:rPr>
        <w:t xml:space="preserve">: </w:t>
      </w:r>
      <w:r w:rsidRPr="00401607">
        <w:rPr>
          <w:rFonts w:ascii="Times New Roman" w:hAnsi="Times New Roman" w:cs="Times New Roman"/>
          <w:bCs/>
          <w:sz w:val="24"/>
          <w:szCs w:val="24"/>
          <w:lang w:val="en-US"/>
        </w:rPr>
        <w:t>is categorized according to whether they have completed high school or university studies.</w:t>
      </w:r>
    </w:p>
    <w:p w14:paraId="6A1DEBDD" w14:textId="3A9E9C99" w:rsidR="00C309A2" w:rsidRPr="00401607" w:rsidRDefault="00C648B8" w:rsidP="009D28BE">
      <w:pPr>
        <w:pStyle w:val="Prrafodelista"/>
        <w:numPr>
          <w:ilvl w:val="0"/>
          <w:numId w:val="11"/>
        </w:numPr>
        <w:spacing w:after="0" w:line="360" w:lineRule="auto"/>
        <w:ind w:left="284" w:hanging="284"/>
        <w:contextualSpacing w:val="0"/>
        <w:jc w:val="both"/>
        <w:rPr>
          <w:rFonts w:ascii="Times New Roman" w:hAnsi="Times New Roman" w:cs="Times New Roman"/>
          <w:bCs/>
          <w:sz w:val="24"/>
          <w:szCs w:val="24"/>
          <w:lang w:val="en-US"/>
        </w:rPr>
      </w:pPr>
      <w:r w:rsidRPr="00B16B0C">
        <w:rPr>
          <w:rFonts w:ascii="Times New Roman" w:hAnsi="Times New Roman" w:cs="Times New Roman"/>
          <w:bCs/>
          <w:i/>
          <w:iCs/>
          <w:sz w:val="24"/>
          <w:szCs w:val="24"/>
          <w:lang w:val="en-US"/>
        </w:rPr>
        <w:t>Experience</w:t>
      </w:r>
      <w:r w:rsidRPr="00401607">
        <w:rPr>
          <w:rFonts w:ascii="Times New Roman" w:hAnsi="Times New Roman" w:cs="Times New Roman"/>
          <w:bCs/>
          <w:sz w:val="24"/>
          <w:szCs w:val="24"/>
          <w:lang w:val="en-US"/>
        </w:rPr>
        <w:t>: Years of work experience.</w:t>
      </w:r>
    </w:p>
    <w:p w14:paraId="18EE78FF" w14:textId="3FFB280D" w:rsidR="00C309A2" w:rsidRPr="00401607" w:rsidRDefault="00C648B8" w:rsidP="009D28BE">
      <w:pPr>
        <w:pStyle w:val="Prrafodelista"/>
        <w:numPr>
          <w:ilvl w:val="0"/>
          <w:numId w:val="11"/>
        </w:numPr>
        <w:spacing w:after="0" w:line="360" w:lineRule="auto"/>
        <w:ind w:left="284" w:hanging="284"/>
        <w:contextualSpacing w:val="0"/>
        <w:jc w:val="both"/>
        <w:rPr>
          <w:rFonts w:ascii="Times New Roman" w:hAnsi="Times New Roman" w:cs="Times New Roman"/>
          <w:bCs/>
          <w:sz w:val="24"/>
          <w:szCs w:val="24"/>
          <w:lang w:val="en-US"/>
        </w:rPr>
      </w:pPr>
      <w:r w:rsidRPr="00B16B0C">
        <w:rPr>
          <w:rFonts w:ascii="Times New Roman" w:hAnsi="Times New Roman" w:cs="Times New Roman"/>
          <w:bCs/>
          <w:i/>
          <w:iCs/>
          <w:sz w:val="24"/>
          <w:szCs w:val="24"/>
          <w:lang w:val="en-US"/>
        </w:rPr>
        <w:t>Training</w:t>
      </w:r>
      <w:r w:rsidRPr="00401607">
        <w:rPr>
          <w:rFonts w:ascii="Times New Roman" w:hAnsi="Times New Roman" w:cs="Times New Roman"/>
          <w:bCs/>
          <w:sz w:val="24"/>
          <w:szCs w:val="24"/>
          <w:lang w:val="en-US"/>
        </w:rPr>
        <w:t xml:space="preserve">: assigns a value of 1 if the person </w:t>
      </w:r>
      <w:r w:rsidR="00B16B0C" w:rsidRPr="00401607">
        <w:rPr>
          <w:rFonts w:ascii="Times New Roman" w:hAnsi="Times New Roman" w:cs="Times New Roman"/>
          <w:bCs/>
          <w:sz w:val="24"/>
          <w:szCs w:val="24"/>
          <w:lang w:val="en-US"/>
        </w:rPr>
        <w:t>attends</w:t>
      </w:r>
      <w:r w:rsidRPr="00401607">
        <w:rPr>
          <w:rFonts w:ascii="Times New Roman" w:hAnsi="Times New Roman" w:cs="Times New Roman"/>
          <w:bCs/>
          <w:sz w:val="24"/>
          <w:szCs w:val="24"/>
          <w:lang w:val="en-US"/>
        </w:rPr>
        <w:t xml:space="preserve"> a non-formal training course.</w:t>
      </w:r>
    </w:p>
    <w:p w14:paraId="0FA47DD8" w14:textId="4587C951" w:rsidR="00C309A2" w:rsidRPr="00401607" w:rsidRDefault="00C648B8" w:rsidP="009D28BE">
      <w:pPr>
        <w:pStyle w:val="Prrafodelista"/>
        <w:numPr>
          <w:ilvl w:val="0"/>
          <w:numId w:val="11"/>
        </w:numPr>
        <w:spacing w:after="0" w:line="360" w:lineRule="auto"/>
        <w:ind w:left="284" w:hanging="284"/>
        <w:contextualSpacing w:val="0"/>
        <w:jc w:val="both"/>
        <w:rPr>
          <w:rFonts w:ascii="Times New Roman" w:hAnsi="Times New Roman" w:cs="Times New Roman"/>
          <w:bCs/>
          <w:sz w:val="24"/>
          <w:szCs w:val="24"/>
          <w:lang w:val="en-US"/>
        </w:rPr>
      </w:pPr>
      <w:r w:rsidRPr="00B16B0C">
        <w:rPr>
          <w:rFonts w:ascii="Times New Roman" w:hAnsi="Times New Roman" w:cs="Times New Roman"/>
          <w:bCs/>
          <w:i/>
          <w:iCs/>
          <w:sz w:val="24"/>
          <w:szCs w:val="24"/>
          <w:lang w:val="en-US"/>
        </w:rPr>
        <w:t>Health</w:t>
      </w:r>
      <w:r w:rsidRPr="00401607">
        <w:rPr>
          <w:rFonts w:ascii="Times New Roman" w:hAnsi="Times New Roman" w:cs="Times New Roman"/>
          <w:bCs/>
          <w:sz w:val="24"/>
          <w:szCs w:val="24"/>
          <w:lang w:val="en-US"/>
        </w:rPr>
        <w:t xml:space="preserve">: Self-reported health status, categorized into three levels: good health, regular </w:t>
      </w:r>
      <w:r w:rsidR="00517DCC" w:rsidRPr="00401607">
        <w:rPr>
          <w:rFonts w:ascii="Times New Roman" w:hAnsi="Times New Roman" w:cs="Times New Roman"/>
          <w:bCs/>
          <w:sz w:val="24"/>
          <w:szCs w:val="24"/>
          <w:lang w:val="en-US"/>
        </w:rPr>
        <w:t>health,</w:t>
      </w:r>
      <w:r w:rsidRPr="00401607">
        <w:rPr>
          <w:rFonts w:ascii="Times New Roman" w:hAnsi="Times New Roman" w:cs="Times New Roman"/>
          <w:bCs/>
          <w:sz w:val="24"/>
          <w:szCs w:val="24"/>
          <w:lang w:val="en-US"/>
        </w:rPr>
        <w:t xml:space="preserve"> and poor health.</w:t>
      </w:r>
    </w:p>
    <w:p w14:paraId="4DDD15CF" w14:textId="3055DBDF" w:rsidR="00FD707D" w:rsidRDefault="00C648B8" w:rsidP="009D28BE">
      <w:pPr>
        <w:spacing w:after="0" w:line="360" w:lineRule="auto"/>
        <w:ind w:firstLine="708"/>
        <w:contextualSpacing w:val="0"/>
        <w:jc w:val="both"/>
        <w:rPr>
          <w:rFonts w:ascii="Times New Roman" w:hAnsi="Times New Roman" w:cs="Times New Roman"/>
          <w:bCs/>
          <w:sz w:val="24"/>
          <w:szCs w:val="24"/>
          <w:lang w:val="en-US"/>
        </w:rPr>
      </w:pPr>
      <w:r w:rsidRPr="00C309A2">
        <w:rPr>
          <w:rFonts w:ascii="Times New Roman" w:hAnsi="Times New Roman" w:cs="Times New Roman"/>
          <w:bCs/>
          <w:sz w:val="24"/>
          <w:szCs w:val="24"/>
          <w:lang w:val="en-US"/>
        </w:rPr>
        <w:t xml:space="preserve">The model enables us to determine the magnitude and direction of </w:t>
      </w:r>
      <w:r w:rsidR="00517DCC">
        <w:rPr>
          <w:rFonts w:ascii="Times New Roman" w:hAnsi="Times New Roman" w:cs="Times New Roman"/>
          <w:bCs/>
          <w:sz w:val="24"/>
          <w:szCs w:val="24"/>
          <w:lang w:val="en-US"/>
        </w:rPr>
        <w:t>each independent variable's impact on cognitive skills. The level of education, work experience,</w:t>
      </w:r>
      <w:r w:rsidRPr="00C309A2">
        <w:rPr>
          <w:rFonts w:ascii="Times New Roman" w:hAnsi="Times New Roman" w:cs="Times New Roman"/>
          <w:bCs/>
          <w:sz w:val="24"/>
          <w:szCs w:val="24"/>
          <w:lang w:val="en-US"/>
        </w:rPr>
        <w:t xml:space="preserve"> and participation in training courses are expected to have a positive and significant effect on </w:t>
      </w:r>
      <w:r w:rsidR="00114BDB">
        <w:rPr>
          <w:rFonts w:ascii="Times New Roman" w:hAnsi="Times New Roman" w:cs="Times New Roman"/>
          <w:bCs/>
          <w:sz w:val="24"/>
          <w:szCs w:val="24"/>
          <w:lang w:val="en-US"/>
        </w:rPr>
        <w:t>numeracy</w:t>
      </w:r>
      <w:r w:rsidRPr="00C309A2">
        <w:rPr>
          <w:rFonts w:ascii="Times New Roman" w:hAnsi="Times New Roman" w:cs="Times New Roman"/>
          <w:bCs/>
          <w:sz w:val="24"/>
          <w:szCs w:val="24"/>
          <w:lang w:val="en-US"/>
        </w:rPr>
        <w:t xml:space="preserve"> and literacy skills. Likewise, deteriorating health and increasing age are expected to have a negative effect on these skills.</w:t>
      </w:r>
    </w:p>
    <w:p w14:paraId="45ED3833" w14:textId="2CE0863A" w:rsidR="00F96923" w:rsidRDefault="00F96923" w:rsidP="009D28BE">
      <w:pPr>
        <w:spacing w:after="0" w:line="360" w:lineRule="auto"/>
        <w:ind w:firstLine="708"/>
        <w:contextualSpacing w:val="0"/>
        <w:jc w:val="both"/>
        <w:rPr>
          <w:rFonts w:ascii="Times New Roman" w:hAnsi="Times New Roman" w:cs="Times New Roman"/>
          <w:bCs/>
          <w:sz w:val="24"/>
          <w:szCs w:val="24"/>
          <w:lang w:val="en-US"/>
        </w:rPr>
      </w:pPr>
      <w:r w:rsidRPr="00F96923">
        <w:rPr>
          <w:rFonts w:ascii="Times New Roman" w:hAnsi="Times New Roman" w:cs="Times New Roman"/>
          <w:bCs/>
          <w:sz w:val="24"/>
          <w:szCs w:val="24"/>
          <w:lang w:val="en-US"/>
        </w:rPr>
        <w:t>Various diagnostic tests were performed to ensure the validity of the regression models. The Variance Inflation Factor (VIF) test indicated no severe multicollinearity (values &lt; 4). Residuals were normally distributed according to the Jarque-Bera test, and heteroskedasticity was not detected based on the Breusch-Pagan/Cook-Weisberg test</w:t>
      </w:r>
      <w:r w:rsidR="00110817">
        <w:rPr>
          <w:rFonts w:ascii="Times New Roman" w:hAnsi="Times New Roman" w:cs="Times New Roman"/>
          <w:bCs/>
          <w:sz w:val="24"/>
          <w:szCs w:val="24"/>
          <w:lang w:val="en-US"/>
        </w:rPr>
        <w:t>—standardized</w:t>
      </w:r>
      <w:r w:rsidRPr="00F96923">
        <w:rPr>
          <w:rFonts w:ascii="Times New Roman" w:hAnsi="Times New Roman" w:cs="Times New Roman"/>
          <w:bCs/>
          <w:sz w:val="24"/>
          <w:szCs w:val="24"/>
          <w:lang w:val="en-US"/>
        </w:rPr>
        <w:t xml:space="preserve"> residuals plotted against fitted values confirmed linearity and the absence of systematic patterns</w:t>
      </w:r>
      <w:r w:rsidR="00110817">
        <w:rPr>
          <w:rFonts w:ascii="Times New Roman" w:hAnsi="Times New Roman" w:cs="Times New Roman"/>
          <w:bCs/>
          <w:sz w:val="24"/>
          <w:szCs w:val="24"/>
          <w:lang w:val="en-US"/>
        </w:rPr>
        <w:t>.</w:t>
      </w:r>
    </w:p>
    <w:p w14:paraId="3C59B44E" w14:textId="44DE21F0" w:rsidR="003A5450" w:rsidRDefault="00C648B8" w:rsidP="009D28BE">
      <w:pPr>
        <w:spacing w:after="0" w:line="360" w:lineRule="auto"/>
        <w:ind w:firstLine="708"/>
        <w:contextualSpacing w:val="0"/>
        <w:jc w:val="both"/>
        <w:rPr>
          <w:rFonts w:ascii="Times New Roman" w:hAnsi="Times New Roman" w:cs="Times New Roman"/>
          <w:bCs/>
          <w:sz w:val="24"/>
          <w:szCs w:val="24"/>
          <w:lang w:val="en-US"/>
        </w:rPr>
      </w:pPr>
      <w:r w:rsidRPr="001A409B">
        <w:rPr>
          <w:rFonts w:ascii="Times New Roman" w:hAnsi="Times New Roman" w:cs="Times New Roman"/>
          <w:bCs/>
          <w:sz w:val="24"/>
          <w:szCs w:val="24"/>
          <w:lang w:val="en-US"/>
        </w:rPr>
        <w:t>All estimates were weighted using sample expansion factors, and the plausible skill values ​​recommended by the OECD for the appropriate use of cognitive scores (OECD, 2013) were incorporated. Statistical analysis was performed using Stata 17 software.</w:t>
      </w:r>
    </w:p>
    <w:p w14:paraId="100366E7" w14:textId="77777777" w:rsidR="00070F31" w:rsidRDefault="00070F31" w:rsidP="009D28BE">
      <w:pPr>
        <w:spacing w:after="0" w:line="360" w:lineRule="auto"/>
        <w:ind w:firstLine="708"/>
        <w:contextualSpacing w:val="0"/>
        <w:jc w:val="both"/>
        <w:rPr>
          <w:rFonts w:ascii="Times New Roman" w:hAnsi="Times New Roman" w:cs="Times New Roman"/>
          <w:bCs/>
          <w:sz w:val="24"/>
          <w:szCs w:val="24"/>
          <w:lang w:val="en-US"/>
        </w:rPr>
      </w:pPr>
    </w:p>
    <w:p w14:paraId="113948E6" w14:textId="77777777" w:rsidR="00267F31" w:rsidRDefault="00267F31" w:rsidP="009D28BE">
      <w:pPr>
        <w:spacing w:after="0" w:line="360" w:lineRule="auto"/>
        <w:ind w:firstLine="708"/>
        <w:contextualSpacing w:val="0"/>
        <w:jc w:val="both"/>
        <w:rPr>
          <w:rFonts w:ascii="Times New Roman" w:hAnsi="Times New Roman" w:cs="Times New Roman"/>
          <w:bCs/>
          <w:sz w:val="24"/>
          <w:szCs w:val="24"/>
          <w:lang w:val="en-US"/>
        </w:rPr>
      </w:pPr>
    </w:p>
    <w:p w14:paraId="01F0F6E4" w14:textId="77777777" w:rsidR="00267F31" w:rsidRDefault="00267F31" w:rsidP="009D28BE">
      <w:pPr>
        <w:spacing w:after="0" w:line="360" w:lineRule="auto"/>
        <w:ind w:firstLine="708"/>
        <w:contextualSpacing w:val="0"/>
        <w:jc w:val="both"/>
        <w:rPr>
          <w:rFonts w:ascii="Times New Roman" w:hAnsi="Times New Roman" w:cs="Times New Roman"/>
          <w:bCs/>
          <w:sz w:val="24"/>
          <w:szCs w:val="24"/>
          <w:lang w:val="en-US"/>
        </w:rPr>
      </w:pPr>
    </w:p>
    <w:p w14:paraId="63AEE75B" w14:textId="77777777" w:rsidR="00267F31" w:rsidRDefault="00267F31" w:rsidP="009D28BE">
      <w:pPr>
        <w:spacing w:after="0" w:line="360" w:lineRule="auto"/>
        <w:ind w:firstLine="708"/>
        <w:contextualSpacing w:val="0"/>
        <w:jc w:val="both"/>
        <w:rPr>
          <w:rFonts w:ascii="Times New Roman" w:hAnsi="Times New Roman" w:cs="Times New Roman"/>
          <w:bCs/>
          <w:sz w:val="24"/>
          <w:szCs w:val="24"/>
          <w:lang w:val="en-US"/>
        </w:rPr>
      </w:pPr>
    </w:p>
    <w:p w14:paraId="23C669AE" w14:textId="77777777" w:rsidR="00267F31" w:rsidRDefault="00267F31" w:rsidP="009D28BE">
      <w:pPr>
        <w:spacing w:after="0" w:line="360" w:lineRule="auto"/>
        <w:ind w:firstLine="708"/>
        <w:contextualSpacing w:val="0"/>
        <w:jc w:val="both"/>
        <w:rPr>
          <w:rFonts w:ascii="Times New Roman" w:hAnsi="Times New Roman" w:cs="Times New Roman"/>
          <w:bCs/>
          <w:sz w:val="24"/>
          <w:szCs w:val="24"/>
          <w:lang w:val="en-US"/>
        </w:rPr>
      </w:pPr>
    </w:p>
    <w:p w14:paraId="26A605CE" w14:textId="77777777" w:rsidR="00267F31" w:rsidRDefault="00267F31" w:rsidP="009D28BE">
      <w:pPr>
        <w:spacing w:after="0" w:line="360" w:lineRule="auto"/>
        <w:ind w:firstLine="708"/>
        <w:contextualSpacing w:val="0"/>
        <w:jc w:val="both"/>
        <w:rPr>
          <w:rFonts w:ascii="Times New Roman" w:hAnsi="Times New Roman" w:cs="Times New Roman"/>
          <w:bCs/>
          <w:sz w:val="24"/>
          <w:szCs w:val="24"/>
          <w:lang w:val="en-US"/>
        </w:rPr>
      </w:pPr>
    </w:p>
    <w:p w14:paraId="191F0928" w14:textId="77777777" w:rsidR="00267F31" w:rsidRDefault="00267F31" w:rsidP="009D28BE">
      <w:pPr>
        <w:spacing w:after="0" w:line="360" w:lineRule="auto"/>
        <w:ind w:firstLine="708"/>
        <w:contextualSpacing w:val="0"/>
        <w:jc w:val="both"/>
        <w:rPr>
          <w:rFonts w:ascii="Times New Roman" w:hAnsi="Times New Roman" w:cs="Times New Roman"/>
          <w:bCs/>
          <w:sz w:val="24"/>
          <w:szCs w:val="24"/>
          <w:lang w:val="en-US"/>
        </w:rPr>
      </w:pPr>
    </w:p>
    <w:p w14:paraId="1E34B021" w14:textId="31A13C34" w:rsidR="008B1FFC" w:rsidRPr="00217626" w:rsidRDefault="00C648B8" w:rsidP="009D28BE">
      <w:pPr>
        <w:spacing w:after="0" w:line="360" w:lineRule="auto"/>
        <w:ind w:firstLine="0"/>
        <w:contextualSpacing w:val="0"/>
        <w:jc w:val="center"/>
        <w:rPr>
          <w:rFonts w:ascii="Times New Roman" w:hAnsi="Times New Roman" w:cs="Times New Roman"/>
          <w:b/>
          <w:bCs/>
          <w:color w:val="0D0D0D"/>
          <w:sz w:val="32"/>
          <w:szCs w:val="32"/>
          <w:shd w:val="clear" w:color="auto" w:fill="FFFFFF"/>
          <w:lang w:val="en-US"/>
        </w:rPr>
      </w:pPr>
      <w:r w:rsidRPr="00A00A7C">
        <w:rPr>
          <w:rFonts w:ascii="Times New Roman" w:hAnsi="Times New Roman" w:cs="Times New Roman"/>
          <w:b/>
          <w:bCs/>
          <w:color w:val="0D0D0D"/>
          <w:sz w:val="32"/>
          <w:szCs w:val="32"/>
          <w:shd w:val="clear" w:color="auto" w:fill="FFFFFF"/>
          <w:lang w:val="en-US"/>
        </w:rPr>
        <w:lastRenderedPageBreak/>
        <w:t>Results</w:t>
      </w:r>
    </w:p>
    <w:p w14:paraId="3610EEA8" w14:textId="3084C489" w:rsidR="00190EE7" w:rsidRPr="009D28BE" w:rsidRDefault="00C648B8" w:rsidP="009D28BE">
      <w:pPr>
        <w:spacing w:after="0" w:line="360" w:lineRule="auto"/>
        <w:ind w:firstLine="0"/>
        <w:jc w:val="center"/>
        <w:rPr>
          <w:rFonts w:ascii="Times New Roman" w:hAnsi="Times New Roman" w:cs="Times New Roman"/>
          <w:b/>
          <w:bCs/>
          <w:color w:val="0D0D0D"/>
          <w:sz w:val="28"/>
          <w:szCs w:val="28"/>
          <w:shd w:val="clear" w:color="auto" w:fill="FFFFFF"/>
          <w:lang w:val="en-US"/>
        </w:rPr>
      </w:pPr>
      <w:r w:rsidRPr="009D28BE">
        <w:rPr>
          <w:rFonts w:ascii="Times New Roman" w:hAnsi="Times New Roman" w:cs="Times New Roman"/>
          <w:b/>
          <w:bCs/>
          <w:color w:val="0D0D0D"/>
          <w:sz w:val="28"/>
          <w:szCs w:val="28"/>
          <w:shd w:val="clear" w:color="auto" w:fill="FFFFFF"/>
          <w:lang w:val="en-US"/>
        </w:rPr>
        <w:t>Data analysis</w:t>
      </w:r>
    </w:p>
    <w:p w14:paraId="34328461" w14:textId="0910E93D" w:rsidR="00190EE7" w:rsidRPr="00476551" w:rsidRDefault="00C648B8" w:rsidP="009D28BE">
      <w:pPr>
        <w:spacing w:after="0" w:line="360" w:lineRule="auto"/>
        <w:ind w:firstLine="0"/>
        <w:contextualSpacing w:val="0"/>
        <w:jc w:val="both"/>
        <w:rPr>
          <w:rFonts w:ascii="Times New Roman" w:hAnsi="Times New Roman" w:cs="Times New Roman"/>
          <w:sz w:val="24"/>
          <w:szCs w:val="24"/>
          <w:lang w:val="en-US"/>
        </w:rPr>
      </w:pPr>
      <w:r w:rsidRPr="005F7DFF">
        <w:rPr>
          <w:rFonts w:ascii="Times New Roman" w:hAnsi="Times New Roman" w:cs="Times New Roman"/>
          <w:sz w:val="24"/>
          <w:szCs w:val="24"/>
          <w:lang w:val="en-US"/>
        </w:rPr>
        <w:t>The</w:t>
      </w:r>
      <w:r w:rsidRPr="00476551">
        <w:rPr>
          <w:rFonts w:ascii="Times New Roman" w:hAnsi="Times New Roman" w:cs="Times New Roman"/>
          <w:sz w:val="24"/>
          <w:szCs w:val="24"/>
          <w:lang w:val="en-US"/>
        </w:rPr>
        <w:t xml:space="preserve"> descriptive </w:t>
      </w:r>
      <w:r w:rsidR="00E74FE7" w:rsidRPr="00E74FE7">
        <w:rPr>
          <w:rFonts w:ascii="Times New Roman" w:hAnsi="Times New Roman" w:cs="Times New Roman"/>
          <w:sz w:val="24"/>
          <w:szCs w:val="24"/>
          <w:lang w:val="en-US"/>
        </w:rPr>
        <w:t>analysis of the sample, which includes 5,890 individuals with complete information on all variables, shows that the average numeracy score is 206 points and the average literacy score is 217 points, both below 50% of the maximum possible score of 500 points. On average, participants completed 9.4 years of schooling, corresponding roughly to secondary education. The mean age of the sample is 38.8 years, and the average work experience is 11.6 years. Regarding family background, only 10% of respondents reported that at least one of their parents had completed higher education. Participation in non-formal training courses during the 12 months prior to the survey was reported by 26% of the individuals.</w:t>
      </w:r>
    </w:p>
    <w:p w14:paraId="777A18C6" w14:textId="77777777" w:rsidR="009D28BE" w:rsidRDefault="009D28BE" w:rsidP="009D28BE">
      <w:pPr>
        <w:spacing w:line="360" w:lineRule="auto"/>
        <w:ind w:firstLine="0"/>
        <w:jc w:val="center"/>
        <w:rPr>
          <w:rFonts w:ascii="Times New Roman" w:hAnsi="Times New Roman" w:cs="Times New Roman"/>
          <w:b/>
          <w:bCs/>
          <w:sz w:val="24"/>
          <w:szCs w:val="24"/>
          <w:lang w:val="en-US"/>
        </w:rPr>
      </w:pPr>
    </w:p>
    <w:p w14:paraId="1028647C" w14:textId="1BC88A9B" w:rsidR="00FD707D" w:rsidRPr="001A409B" w:rsidRDefault="00C648B8" w:rsidP="009D28BE">
      <w:pPr>
        <w:spacing w:line="360" w:lineRule="auto"/>
        <w:ind w:firstLine="0"/>
        <w:jc w:val="center"/>
        <w:rPr>
          <w:rFonts w:ascii="Times New Roman" w:hAnsi="Times New Roman" w:cs="Times New Roman"/>
          <w:sz w:val="24"/>
          <w:szCs w:val="24"/>
          <w:lang w:val="en-US"/>
        </w:rPr>
      </w:pPr>
      <w:r w:rsidRPr="002E726F">
        <w:rPr>
          <w:rFonts w:ascii="Times New Roman" w:hAnsi="Times New Roman" w:cs="Times New Roman"/>
          <w:b/>
          <w:bCs/>
          <w:sz w:val="24"/>
          <w:szCs w:val="24"/>
          <w:lang w:val="en-US"/>
        </w:rPr>
        <w:t>Tabl</w:t>
      </w:r>
      <w:r w:rsidR="009B1187" w:rsidRPr="002E726F">
        <w:rPr>
          <w:rFonts w:ascii="Times New Roman" w:hAnsi="Times New Roman" w:cs="Times New Roman"/>
          <w:b/>
          <w:bCs/>
          <w:sz w:val="24"/>
          <w:szCs w:val="24"/>
          <w:lang w:val="en-US"/>
        </w:rPr>
        <w:t xml:space="preserve">e </w:t>
      </w:r>
      <w:r w:rsidR="00A41B72" w:rsidRPr="001A409B">
        <w:rPr>
          <w:rFonts w:ascii="Times New Roman" w:hAnsi="Times New Roman" w:cs="Times New Roman"/>
          <w:b/>
          <w:bCs/>
          <w:sz w:val="24"/>
          <w:szCs w:val="24"/>
          <w:lang w:val="en-US"/>
        </w:rPr>
        <w:t>2</w:t>
      </w:r>
      <w:r w:rsidR="001A409B">
        <w:rPr>
          <w:rFonts w:ascii="Times New Roman" w:hAnsi="Times New Roman" w:cs="Times New Roman"/>
          <w:b/>
          <w:bCs/>
          <w:sz w:val="24"/>
          <w:szCs w:val="24"/>
          <w:lang w:val="en-US"/>
        </w:rPr>
        <w:t xml:space="preserve">. </w:t>
      </w:r>
      <w:r w:rsidR="009B1187" w:rsidRPr="001A409B">
        <w:rPr>
          <w:rFonts w:ascii="Times New Roman" w:hAnsi="Times New Roman" w:cs="Times New Roman"/>
          <w:i/>
          <w:iCs/>
          <w:sz w:val="24"/>
          <w:szCs w:val="24"/>
        </w:rPr>
        <w:t>Descriptive</w:t>
      </w:r>
      <w:r w:rsidR="009B1187" w:rsidRPr="00A41B72">
        <w:rPr>
          <w:rFonts w:ascii="Times New Roman" w:hAnsi="Times New Roman" w:cs="Times New Roman"/>
          <w:i/>
          <w:iCs/>
          <w:sz w:val="24"/>
          <w:szCs w:val="24"/>
        </w:rPr>
        <w:t xml:space="preserve"> </w:t>
      </w:r>
      <w:proofErr w:type="spellStart"/>
      <w:r w:rsidR="009B1187" w:rsidRPr="00A41B72">
        <w:rPr>
          <w:rFonts w:ascii="Times New Roman" w:hAnsi="Times New Roman" w:cs="Times New Roman"/>
          <w:i/>
          <w:iCs/>
          <w:sz w:val="24"/>
          <w:szCs w:val="24"/>
        </w:rPr>
        <w:t>statistics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0"/>
        <w:gridCol w:w="1418"/>
        <w:gridCol w:w="1824"/>
        <w:gridCol w:w="1418"/>
        <w:gridCol w:w="1418"/>
      </w:tblGrid>
      <w:tr w:rsidR="000052A2" w:rsidRPr="009D28BE" w14:paraId="7DFB3CCE" w14:textId="77777777" w:rsidTr="009D28BE">
        <w:trPr>
          <w:trHeight w:val="525"/>
          <w:jc w:val="center"/>
        </w:trPr>
        <w:tc>
          <w:tcPr>
            <w:tcW w:w="1558" w:type="pct"/>
            <w:vAlign w:val="center"/>
            <w:hideMark/>
          </w:tcPr>
          <w:p w14:paraId="78A396C0"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Variable</w:t>
            </w:r>
          </w:p>
        </w:tc>
        <w:tc>
          <w:tcPr>
            <w:tcW w:w="803" w:type="pct"/>
            <w:vAlign w:val="center"/>
            <w:hideMark/>
          </w:tcPr>
          <w:p w14:paraId="36DB3C4F" w14:textId="4B56EC09"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proofErr w:type="spellStart"/>
            <w:r w:rsidRPr="009D28BE">
              <w:rPr>
                <w:rFonts w:ascii="Times New Roman" w:eastAsia="Times New Roman" w:hAnsi="Times New Roman" w:cs="Times New Roman"/>
                <w:color w:val="000000"/>
                <w:lang w:eastAsia="es-MX"/>
              </w:rPr>
              <w:t>Average</w:t>
            </w:r>
            <w:proofErr w:type="spellEnd"/>
          </w:p>
        </w:tc>
        <w:tc>
          <w:tcPr>
            <w:tcW w:w="1033" w:type="pct"/>
            <w:vAlign w:val="center"/>
            <w:hideMark/>
          </w:tcPr>
          <w:p w14:paraId="5028BA79" w14:textId="720F908B" w:rsidR="00FD707D" w:rsidRPr="009D28BE" w:rsidRDefault="00C648B8" w:rsidP="009D28BE">
            <w:pPr>
              <w:spacing w:after="0" w:line="360" w:lineRule="auto"/>
              <w:ind w:firstLine="31"/>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 xml:space="preserve">Standard </w:t>
            </w:r>
            <w:proofErr w:type="spellStart"/>
            <w:r w:rsidRPr="009D28BE">
              <w:rPr>
                <w:rFonts w:ascii="Times New Roman" w:eastAsia="Times New Roman" w:hAnsi="Times New Roman" w:cs="Times New Roman"/>
                <w:color w:val="000000"/>
                <w:lang w:eastAsia="es-MX"/>
              </w:rPr>
              <w:t>deviation</w:t>
            </w:r>
            <w:proofErr w:type="spellEnd"/>
          </w:p>
        </w:tc>
        <w:tc>
          <w:tcPr>
            <w:tcW w:w="803" w:type="pct"/>
            <w:vAlign w:val="center"/>
            <w:hideMark/>
          </w:tcPr>
          <w:p w14:paraId="4586A493"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Min</w:t>
            </w:r>
          </w:p>
        </w:tc>
        <w:tc>
          <w:tcPr>
            <w:tcW w:w="803" w:type="pct"/>
            <w:vAlign w:val="center"/>
            <w:hideMark/>
          </w:tcPr>
          <w:p w14:paraId="59647577"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Max</w:t>
            </w:r>
          </w:p>
        </w:tc>
      </w:tr>
      <w:tr w:rsidR="000052A2" w:rsidRPr="009D28BE" w14:paraId="1D8AF443" w14:textId="77777777" w:rsidTr="009D28BE">
        <w:trPr>
          <w:trHeight w:val="525"/>
          <w:jc w:val="center"/>
        </w:trPr>
        <w:tc>
          <w:tcPr>
            <w:tcW w:w="1558" w:type="pct"/>
            <w:vAlign w:val="center"/>
            <w:hideMark/>
          </w:tcPr>
          <w:p w14:paraId="2A589E3A" w14:textId="0A879101" w:rsidR="00FD707D" w:rsidRPr="009D28BE" w:rsidRDefault="00C648B8" w:rsidP="009D28BE">
            <w:pPr>
              <w:spacing w:after="0" w:line="360" w:lineRule="auto"/>
              <w:ind w:firstLine="72"/>
              <w:rPr>
                <w:rFonts w:ascii="Times New Roman" w:eastAsia="Times New Roman" w:hAnsi="Times New Roman" w:cs="Times New Roman"/>
                <w:color w:val="000000"/>
                <w:lang w:eastAsia="es-MX"/>
              </w:rPr>
            </w:pPr>
            <w:proofErr w:type="spellStart"/>
            <w:r w:rsidRPr="009D28BE">
              <w:rPr>
                <w:rFonts w:ascii="Times New Roman" w:eastAsia="Times New Roman" w:hAnsi="Times New Roman" w:cs="Times New Roman"/>
                <w:color w:val="000000"/>
                <w:lang w:eastAsia="es-MX"/>
              </w:rPr>
              <w:t>Numeracy</w:t>
            </w:r>
            <w:proofErr w:type="spellEnd"/>
            <w:r w:rsidRPr="009D28BE">
              <w:rPr>
                <w:rFonts w:ascii="Times New Roman" w:eastAsia="Times New Roman" w:hAnsi="Times New Roman" w:cs="Times New Roman"/>
                <w:color w:val="000000"/>
                <w:lang w:eastAsia="es-MX"/>
              </w:rPr>
              <w:t xml:space="preserve"> </w:t>
            </w:r>
            <w:proofErr w:type="spellStart"/>
            <w:r w:rsidRPr="009D28BE">
              <w:rPr>
                <w:rFonts w:ascii="Times New Roman" w:eastAsia="Times New Roman" w:hAnsi="Times New Roman" w:cs="Times New Roman"/>
                <w:color w:val="000000"/>
                <w:lang w:eastAsia="es-MX"/>
              </w:rPr>
              <w:t>skills</w:t>
            </w:r>
            <w:proofErr w:type="spellEnd"/>
          </w:p>
        </w:tc>
        <w:tc>
          <w:tcPr>
            <w:tcW w:w="803" w:type="pct"/>
            <w:vAlign w:val="center"/>
            <w:hideMark/>
          </w:tcPr>
          <w:p w14:paraId="24BAE66C"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206.0</w:t>
            </w:r>
          </w:p>
        </w:tc>
        <w:tc>
          <w:tcPr>
            <w:tcW w:w="1033" w:type="pct"/>
            <w:vAlign w:val="center"/>
            <w:hideMark/>
          </w:tcPr>
          <w:p w14:paraId="31267E6C"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48.5</w:t>
            </w:r>
          </w:p>
        </w:tc>
        <w:tc>
          <w:tcPr>
            <w:tcW w:w="803" w:type="pct"/>
            <w:vAlign w:val="center"/>
            <w:hideMark/>
          </w:tcPr>
          <w:p w14:paraId="2CCCD020"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63.8</w:t>
            </w:r>
          </w:p>
        </w:tc>
        <w:tc>
          <w:tcPr>
            <w:tcW w:w="803" w:type="pct"/>
            <w:vAlign w:val="center"/>
            <w:hideMark/>
          </w:tcPr>
          <w:p w14:paraId="48591BC3"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374.5</w:t>
            </w:r>
          </w:p>
        </w:tc>
      </w:tr>
      <w:tr w:rsidR="000052A2" w:rsidRPr="009D28BE" w14:paraId="0C8CE8C0" w14:textId="77777777" w:rsidTr="009D28BE">
        <w:trPr>
          <w:trHeight w:val="525"/>
          <w:jc w:val="center"/>
        </w:trPr>
        <w:tc>
          <w:tcPr>
            <w:tcW w:w="1558" w:type="pct"/>
            <w:vAlign w:val="center"/>
            <w:hideMark/>
          </w:tcPr>
          <w:p w14:paraId="76C981CF" w14:textId="619BFBF4" w:rsidR="00FD707D" w:rsidRPr="009D28BE" w:rsidRDefault="00C648B8" w:rsidP="009D28BE">
            <w:pPr>
              <w:spacing w:after="0" w:line="360" w:lineRule="auto"/>
              <w:ind w:firstLine="72"/>
              <w:rPr>
                <w:rFonts w:ascii="Times New Roman" w:eastAsia="Times New Roman" w:hAnsi="Times New Roman" w:cs="Times New Roman"/>
                <w:color w:val="000000"/>
                <w:lang w:eastAsia="es-MX"/>
              </w:rPr>
            </w:pPr>
            <w:proofErr w:type="spellStart"/>
            <w:r w:rsidRPr="009D28BE">
              <w:rPr>
                <w:rFonts w:ascii="Times New Roman" w:eastAsia="Times New Roman" w:hAnsi="Times New Roman" w:cs="Times New Roman"/>
                <w:color w:val="000000"/>
                <w:lang w:eastAsia="es-MX"/>
              </w:rPr>
              <w:t>Literacy</w:t>
            </w:r>
            <w:proofErr w:type="spellEnd"/>
            <w:r w:rsidRPr="009D28BE">
              <w:rPr>
                <w:rFonts w:ascii="Times New Roman" w:eastAsia="Times New Roman" w:hAnsi="Times New Roman" w:cs="Times New Roman"/>
                <w:color w:val="000000"/>
                <w:lang w:eastAsia="es-MX"/>
              </w:rPr>
              <w:t xml:space="preserve"> </w:t>
            </w:r>
            <w:proofErr w:type="spellStart"/>
            <w:r w:rsidRPr="009D28BE">
              <w:rPr>
                <w:rFonts w:ascii="Times New Roman" w:eastAsia="Times New Roman" w:hAnsi="Times New Roman" w:cs="Times New Roman"/>
                <w:color w:val="000000"/>
                <w:lang w:eastAsia="es-MX"/>
              </w:rPr>
              <w:t>skills</w:t>
            </w:r>
            <w:proofErr w:type="spellEnd"/>
          </w:p>
        </w:tc>
        <w:tc>
          <w:tcPr>
            <w:tcW w:w="803" w:type="pct"/>
            <w:vAlign w:val="center"/>
            <w:hideMark/>
          </w:tcPr>
          <w:p w14:paraId="2B85C961"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217.4</w:t>
            </w:r>
          </w:p>
        </w:tc>
        <w:tc>
          <w:tcPr>
            <w:tcW w:w="1033" w:type="pct"/>
            <w:vAlign w:val="center"/>
            <w:hideMark/>
          </w:tcPr>
          <w:p w14:paraId="468B465C"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45.7</w:t>
            </w:r>
          </w:p>
        </w:tc>
        <w:tc>
          <w:tcPr>
            <w:tcW w:w="803" w:type="pct"/>
            <w:vAlign w:val="center"/>
            <w:hideMark/>
          </w:tcPr>
          <w:p w14:paraId="68171322"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65.2</w:t>
            </w:r>
          </w:p>
        </w:tc>
        <w:tc>
          <w:tcPr>
            <w:tcW w:w="803" w:type="pct"/>
            <w:vAlign w:val="center"/>
            <w:hideMark/>
          </w:tcPr>
          <w:p w14:paraId="5845E5C7"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368.6</w:t>
            </w:r>
          </w:p>
        </w:tc>
      </w:tr>
      <w:tr w:rsidR="000052A2" w:rsidRPr="009D28BE" w14:paraId="59805852" w14:textId="77777777" w:rsidTr="009D28BE">
        <w:trPr>
          <w:trHeight w:val="525"/>
          <w:jc w:val="center"/>
        </w:trPr>
        <w:tc>
          <w:tcPr>
            <w:tcW w:w="1558" w:type="pct"/>
            <w:vAlign w:val="center"/>
            <w:hideMark/>
          </w:tcPr>
          <w:p w14:paraId="14C9BEFB" w14:textId="30FD32AB" w:rsidR="00FD707D" w:rsidRPr="009D28BE" w:rsidRDefault="00C648B8" w:rsidP="009D28BE">
            <w:pPr>
              <w:spacing w:after="0" w:line="360" w:lineRule="auto"/>
              <w:ind w:firstLine="72"/>
              <w:rPr>
                <w:rFonts w:ascii="Times New Roman" w:eastAsia="Times New Roman" w:hAnsi="Times New Roman" w:cs="Times New Roman"/>
                <w:color w:val="000000"/>
                <w:lang w:eastAsia="es-MX"/>
              </w:rPr>
            </w:pPr>
            <w:proofErr w:type="spellStart"/>
            <w:r w:rsidRPr="009D28BE">
              <w:rPr>
                <w:rFonts w:ascii="Times New Roman" w:eastAsia="Times New Roman" w:hAnsi="Times New Roman" w:cs="Times New Roman"/>
                <w:color w:val="000000"/>
                <w:lang w:eastAsia="es-MX"/>
              </w:rPr>
              <w:t>Years</w:t>
            </w:r>
            <w:proofErr w:type="spellEnd"/>
            <w:r w:rsidRPr="009D28BE">
              <w:rPr>
                <w:rFonts w:ascii="Times New Roman" w:eastAsia="Times New Roman" w:hAnsi="Times New Roman" w:cs="Times New Roman"/>
                <w:color w:val="000000"/>
                <w:lang w:eastAsia="es-MX"/>
              </w:rPr>
              <w:t xml:space="preserve"> </w:t>
            </w:r>
            <w:proofErr w:type="spellStart"/>
            <w:r w:rsidRPr="009D28BE">
              <w:rPr>
                <w:rFonts w:ascii="Times New Roman" w:eastAsia="Times New Roman" w:hAnsi="Times New Roman" w:cs="Times New Roman"/>
                <w:color w:val="000000"/>
                <w:lang w:eastAsia="es-MX"/>
              </w:rPr>
              <w:t>of</w:t>
            </w:r>
            <w:proofErr w:type="spellEnd"/>
            <w:r w:rsidRPr="009D28BE">
              <w:rPr>
                <w:rFonts w:ascii="Times New Roman" w:eastAsia="Times New Roman" w:hAnsi="Times New Roman" w:cs="Times New Roman"/>
                <w:color w:val="000000"/>
                <w:lang w:eastAsia="es-MX"/>
              </w:rPr>
              <w:t xml:space="preserve"> </w:t>
            </w:r>
            <w:proofErr w:type="spellStart"/>
            <w:r w:rsidRPr="009D28BE">
              <w:rPr>
                <w:rFonts w:ascii="Times New Roman" w:eastAsia="Times New Roman" w:hAnsi="Times New Roman" w:cs="Times New Roman"/>
                <w:color w:val="000000"/>
                <w:lang w:eastAsia="es-MX"/>
              </w:rPr>
              <w:t>Schooling</w:t>
            </w:r>
            <w:proofErr w:type="spellEnd"/>
          </w:p>
        </w:tc>
        <w:tc>
          <w:tcPr>
            <w:tcW w:w="803" w:type="pct"/>
            <w:vAlign w:val="center"/>
            <w:hideMark/>
          </w:tcPr>
          <w:p w14:paraId="1AB063A0"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9.4</w:t>
            </w:r>
          </w:p>
        </w:tc>
        <w:tc>
          <w:tcPr>
            <w:tcW w:w="1033" w:type="pct"/>
            <w:vAlign w:val="center"/>
            <w:hideMark/>
          </w:tcPr>
          <w:p w14:paraId="7BEAACB1"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4.9</w:t>
            </w:r>
          </w:p>
        </w:tc>
        <w:tc>
          <w:tcPr>
            <w:tcW w:w="803" w:type="pct"/>
            <w:vAlign w:val="center"/>
            <w:hideMark/>
          </w:tcPr>
          <w:p w14:paraId="74EFEBA6"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w:t>
            </w:r>
          </w:p>
        </w:tc>
        <w:tc>
          <w:tcPr>
            <w:tcW w:w="803" w:type="pct"/>
            <w:vAlign w:val="center"/>
            <w:hideMark/>
          </w:tcPr>
          <w:p w14:paraId="33302821"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23</w:t>
            </w:r>
          </w:p>
        </w:tc>
      </w:tr>
      <w:tr w:rsidR="000052A2" w:rsidRPr="009D28BE" w14:paraId="04F438A0" w14:textId="77777777" w:rsidTr="009D28BE">
        <w:trPr>
          <w:trHeight w:val="262"/>
          <w:jc w:val="center"/>
        </w:trPr>
        <w:tc>
          <w:tcPr>
            <w:tcW w:w="1558" w:type="pct"/>
            <w:vAlign w:val="center"/>
            <w:hideMark/>
          </w:tcPr>
          <w:p w14:paraId="2BC935EE" w14:textId="48E8D6D9" w:rsidR="00FD707D" w:rsidRPr="009D28BE" w:rsidRDefault="00C648B8" w:rsidP="009D28BE">
            <w:pPr>
              <w:spacing w:after="0" w:line="360" w:lineRule="auto"/>
              <w:ind w:firstLine="72"/>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Age</w:t>
            </w:r>
          </w:p>
          <w:p w14:paraId="6126B3C4" w14:textId="77777777" w:rsidR="00FD707D" w:rsidRPr="009D28BE" w:rsidRDefault="00FD707D" w:rsidP="009D28BE">
            <w:pPr>
              <w:spacing w:after="0" w:line="360" w:lineRule="auto"/>
              <w:ind w:firstLine="72"/>
              <w:rPr>
                <w:rFonts w:ascii="Times New Roman" w:eastAsia="Times New Roman" w:hAnsi="Times New Roman" w:cs="Times New Roman"/>
                <w:color w:val="000000"/>
                <w:lang w:eastAsia="es-MX"/>
              </w:rPr>
            </w:pPr>
          </w:p>
          <w:p w14:paraId="24CB4AE9" w14:textId="77777777" w:rsidR="00FD707D" w:rsidRPr="009D28BE" w:rsidRDefault="00FD707D" w:rsidP="009D28BE">
            <w:pPr>
              <w:spacing w:after="0" w:line="360" w:lineRule="auto"/>
              <w:ind w:firstLine="72"/>
              <w:rPr>
                <w:rFonts w:ascii="Times New Roman" w:eastAsia="Times New Roman" w:hAnsi="Times New Roman" w:cs="Times New Roman"/>
                <w:color w:val="000000"/>
                <w:lang w:eastAsia="es-MX"/>
              </w:rPr>
            </w:pPr>
          </w:p>
        </w:tc>
        <w:tc>
          <w:tcPr>
            <w:tcW w:w="803" w:type="pct"/>
            <w:vAlign w:val="center"/>
            <w:hideMark/>
          </w:tcPr>
          <w:p w14:paraId="260584EB"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38.8</w:t>
            </w:r>
          </w:p>
        </w:tc>
        <w:tc>
          <w:tcPr>
            <w:tcW w:w="1033" w:type="pct"/>
            <w:vAlign w:val="center"/>
            <w:hideMark/>
          </w:tcPr>
          <w:p w14:paraId="3CC8EEA8"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13.4</w:t>
            </w:r>
          </w:p>
        </w:tc>
        <w:tc>
          <w:tcPr>
            <w:tcW w:w="803" w:type="pct"/>
            <w:vAlign w:val="center"/>
            <w:hideMark/>
          </w:tcPr>
          <w:p w14:paraId="03788138"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16</w:t>
            </w:r>
          </w:p>
        </w:tc>
        <w:tc>
          <w:tcPr>
            <w:tcW w:w="803" w:type="pct"/>
            <w:vAlign w:val="center"/>
            <w:hideMark/>
          </w:tcPr>
          <w:p w14:paraId="4102012F"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65</w:t>
            </w:r>
          </w:p>
        </w:tc>
      </w:tr>
      <w:tr w:rsidR="000052A2" w:rsidRPr="009D28BE" w14:paraId="19F2699B" w14:textId="77777777" w:rsidTr="009D28BE">
        <w:trPr>
          <w:trHeight w:val="262"/>
          <w:jc w:val="center"/>
        </w:trPr>
        <w:tc>
          <w:tcPr>
            <w:tcW w:w="1558" w:type="pct"/>
            <w:vAlign w:val="center"/>
            <w:hideMark/>
          </w:tcPr>
          <w:p w14:paraId="282D0FB8" w14:textId="14D3B175" w:rsidR="00FD707D" w:rsidRPr="009D28BE" w:rsidRDefault="00C648B8" w:rsidP="009D28BE">
            <w:pPr>
              <w:spacing w:after="0" w:line="360" w:lineRule="auto"/>
              <w:ind w:firstLine="72"/>
              <w:rPr>
                <w:rFonts w:ascii="Times New Roman" w:eastAsia="Times New Roman" w:hAnsi="Times New Roman" w:cs="Times New Roman"/>
                <w:color w:val="000000"/>
                <w:lang w:eastAsia="es-MX"/>
              </w:rPr>
            </w:pPr>
            <w:proofErr w:type="spellStart"/>
            <w:r w:rsidRPr="009D28BE">
              <w:rPr>
                <w:rFonts w:ascii="Times New Roman" w:eastAsia="Times New Roman" w:hAnsi="Times New Roman" w:cs="Times New Roman"/>
                <w:color w:val="000000"/>
                <w:lang w:eastAsia="es-MX"/>
              </w:rPr>
              <w:t>Experienc</w:t>
            </w:r>
            <w:r w:rsidR="00C02D89" w:rsidRPr="009D28BE">
              <w:rPr>
                <w:rFonts w:ascii="Times New Roman" w:eastAsia="Times New Roman" w:hAnsi="Times New Roman" w:cs="Times New Roman"/>
                <w:color w:val="000000"/>
                <w:lang w:eastAsia="es-MX"/>
              </w:rPr>
              <w:t>e</w:t>
            </w:r>
            <w:proofErr w:type="spellEnd"/>
            <w:r w:rsidR="00C02D89" w:rsidRPr="009D28BE">
              <w:rPr>
                <w:rFonts w:ascii="Times New Roman" w:eastAsia="Times New Roman" w:hAnsi="Times New Roman" w:cs="Times New Roman"/>
                <w:color w:val="000000"/>
                <w:lang w:eastAsia="es-MX"/>
              </w:rPr>
              <w:t xml:space="preserve"> </w:t>
            </w:r>
            <w:proofErr w:type="spellStart"/>
            <w:r w:rsidR="00C02D89" w:rsidRPr="009D28BE">
              <w:rPr>
                <w:rFonts w:ascii="Times New Roman" w:eastAsia="Times New Roman" w:hAnsi="Times New Roman" w:cs="Times New Roman"/>
                <w:color w:val="000000"/>
                <w:lang w:eastAsia="es-MX"/>
              </w:rPr>
              <w:t>work</w:t>
            </w:r>
            <w:proofErr w:type="spellEnd"/>
          </w:p>
          <w:p w14:paraId="63C0C528" w14:textId="77777777" w:rsidR="00FD707D" w:rsidRPr="009D28BE" w:rsidRDefault="00FD707D" w:rsidP="009D28BE">
            <w:pPr>
              <w:spacing w:after="0" w:line="360" w:lineRule="auto"/>
              <w:ind w:firstLine="72"/>
              <w:rPr>
                <w:rFonts w:ascii="Times New Roman" w:eastAsia="Times New Roman" w:hAnsi="Times New Roman" w:cs="Times New Roman"/>
                <w:color w:val="000000"/>
                <w:lang w:eastAsia="es-MX"/>
              </w:rPr>
            </w:pPr>
          </w:p>
          <w:p w14:paraId="75587C06" w14:textId="77777777" w:rsidR="00FD707D" w:rsidRPr="009D28BE" w:rsidRDefault="00FD707D" w:rsidP="009D28BE">
            <w:pPr>
              <w:spacing w:after="0" w:line="360" w:lineRule="auto"/>
              <w:ind w:firstLine="72"/>
              <w:rPr>
                <w:rFonts w:ascii="Times New Roman" w:eastAsia="Times New Roman" w:hAnsi="Times New Roman" w:cs="Times New Roman"/>
                <w:color w:val="000000"/>
                <w:lang w:eastAsia="es-MX"/>
              </w:rPr>
            </w:pPr>
          </w:p>
        </w:tc>
        <w:tc>
          <w:tcPr>
            <w:tcW w:w="803" w:type="pct"/>
            <w:vAlign w:val="center"/>
            <w:hideMark/>
          </w:tcPr>
          <w:p w14:paraId="5E9AF2FB"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11.6</w:t>
            </w:r>
          </w:p>
        </w:tc>
        <w:tc>
          <w:tcPr>
            <w:tcW w:w="1033" w:type="pct"/>
            <w:vAlign w:val="center"/>
            <w:hideMark/>
          </w:tcPr>
          <w:p w14:paraId="79686A4F"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12.4</w:t>
            </w:r>
          </w:p>
        </w:tc>
        <w:tc>
          <w:tcPr>
            <w:tcW w:w="803" w:type="pct"/>
            <w:vAlign w:val="center"/>
            <w:hideMark/>
          </w:tcPr>
          <w:p w14:paraId="35C364D1"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w:t>
            </w:r>
          </w:p>
        </w:tc>
        <w:tc>
          <w:tcPr>
            <w:tcW w:w="803" w:type="pct"/>
            <w:vAlign w:val="center"/>
            <w:hideMark/>
          </w:tcPr>
          <w:p w14:paraId="23FF732E"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55</w:t>
            </w:r>
          </w:p>
        </w:tc>
      </w:tr>
      <w:tr w:rsidR="000052A2" w:rsidRPr="009D28BE" w14:paraId="18501372" w14:textId="77777777" w:rsidTr="009D28BE">
        <w:trPr>
          <w:trHeight w:val="262"/>
          <w:jc w:val="center"/>
        </w:trPr>
        <w:tc>
          <w:tcPr>
            <w:tcW w:w="1558" w:type="pct"/>
            <w:vAlign w:val="center"/>
            <w:hideMark/>
          </w:tcPr>
          <w:p w14:paraId="03CA1423" w14:textId="24B58E00" w:rsidR="00FD707D" w:rsidRPr="009D28BE" w:rsidRDefault="00C648B8" w:rsidP="009D28BE">
            <w:pPr>
              <w:spacing w:after="0" w:line="360" w:lineRule="auto"/>
              <w:ind w:firstLine="72"/>
              <w:rPr>
                <w:rFonts w:ascii="Times New Roman" w:eastAsia="Times New Roman" w:hAnsi="Times New Roman" w:cs="Times New Roman"/>
                <w:color w:val="000000"/>
                <w:lang w:eastAsia="es-MX"/>
              </w:rPr>
            </w:pPr>
            <w:proofErr w:type="spellStart"/>
            <w:r w:rsidRPr="009D28BE">
              <w:rPr>
                <w:rFonts w:ascii="Times New Roman" w:eastAsia="Times New Roman" w:hAnsi="Times New Roman" w:cs="Times New Roman"/>
                <w:color w:val="000000"/>
                <w:lang w:eastAsia="es-MX"/>
              </w:rPr>
              <w:t>G</w:t>
            </w:r>
            <w:r w:rsidR="00342530" w:rsidRPr="009D28BE">
              <w:rPr>
                <w:rFonts w:ascii="Times New Roman" w:eastAsia="Times New Roman" w:hAnsi="Times New Roman" w:cs="Times New Roman"/>
                <w:color w:val="000000"/>
                <w:lang w:eastAsia="es-MX"/>
              </w:rPr>
              <w:t>ender</w:t>
            </w:r>
            <w:proofErr w:type="spellEnd"/>
            <w:r w:rsidRPr="009D28BE">
              <w:rPr>
                <w:rFonts w:ascii="Times New Roman" w:eastAsia="Times New Roman" w:hAnsi="Times New Roman" w:cs="Times New Roman"/>
                <w:color w:val="000000"/>
                <w:lang w:eastAsia="es-MX"/>
              </w:rPr>
              <w:t xml:space="preserve"> (</w:t>
            </w:r>
            <w:r w:rsidR="00B531F8" w:rsidRPr="009D28BE">
              <w:rPr>
                <w:rFonts w:ascii="Times New Roman" w:eastAsia="Times New Roman" w:hAnsi="Times New Roman" w:cs="Times New Roman"/>
                <w:color w:val="000000"/>
                <w:lang w:eastAsia="es-MX"/>
              </w:rPr>
              <w:t>male</w:t>
            </w:r>
            <w:r w:rsidRPr="009D28BE">
              <w:rPr>
                <w:rFonts w:ascii="Times New Roman" w:eastAsia="Times New Roman" w:hAnsi="Times New Roman" w:cs="Times New Roman"/>
                <w:color w:val="000000"/>
                <w:lang w:eastAsia="es-MX"/>
              </w:rPr>
              <w:t>)</w:t>
            </w:r>
          </w:p>
        </w:tc>
        <w:tc>
          <w:tcPr>
            <w:tcW w:w="803" w:type="pct"/>
            <w:vAlign w:val="center"/>
            <w:hideMark/>
          </w:tcPr>
          <w:p w14:paraId="7A73385C"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0.45</w:t>
            </w:r>
          </w:p>
        </w:tc>
        <w:tc>
          <w:tcPr>
            <w:tcW w:w="1033" w:type="pct"/>
            <w:vAlign w:val="center"/>
            <w:hideMark/>
          </w:tcPr>
          <w:p w14:paraId="314623B9"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0.5</w:t>
            </w:r>
          </w:p>
        </w:tc>
        <w:tc>
          <w:tcPr>
            <w:tcW w:w="803" w:type="pct"/>
            <w:vAlign w:val="center"/>
            <w:hideMark/>
          </w:tcPr>
          <w:p w14:paraId="6AD54540"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w:t>
            </w:r>
          </w:p>
        </w:tc>
        <w:tc>
          <w:tcPr>
            <w:tcW w:w="803" w:type="pct"/>
            <w:vAlign w:val="center"/>
            <w:hideMark/>
          </w:tcPr>
          <w:p w14:paraId="12CE8850"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1</w:t>
            </w:r>
          </w:p>
        </w:tc>
      </w:tr>
      <w:tr w:rsidR="000052A2" w:rsidRPr="009D28BE" w14:paraId="25C48339" w14:textId="77777777" w:rsidTr="009D28BE">
        <w:trPr>
          <w:trHeight w:val="788"/>
          <w:jc w:val="center"/>
        </w:trPr>
        <w:tc>
          <w:tcPr>
            <w:tcW w:w="1558" w:type="pct"/>
            <w:vAlign w:val="center"/>
            <w:hideMark/>
          </w:tcPr>
          <w:p w14:paraId="5306C099" w14:textId="014B324A" w:rsidR="00FD707D" w:rsidRPr="009D28BE" w:rsidRDefault="00C648B8" w:rsidP="009D28BE">
            <w:pPr>
              <w:spacing w:after="0" w:line="360" w:lineRule="auto"/>
              <w:ind w:firstLine="72"/>
              <w:rPr>
                <w:rFonts w:ascii="Times New Roman" w:eastAsia="Times New Roman" w:hAnsi="Times New Roman" w:cs="Times New Roman"/>
                <w:color w:val="000000"/>
                <w:lang w:val="en-US" w:eastAsia="es-MX"/>
              </w:rPr>
            </w:pPr>
            <w:r w:rsidRPr="009D28BE">
              <w:rPr>
                <w:rFonts w:ascii="Times New Roman" w:eastAsia="Times New Roman" w:hAnsi="Times New Roman" w:cs="Times New Roman"/>
                <w:color w:val="000000"/>
                <w:lang w:val="en-US" w:eastAsia="es-MX"/>
              </w:rPr>
              <w:t>At least one of the parents has a high school education</w:t>
            </w:r>
          </w:p>
        </w:tc>
        <w:tc>
          <w:tcPr>
            <w:tcW w:w="803" w:type="pct"/>
            <w:vAlign w:val="center"/>
            <w:hideMark/>
          </w:tcPr>
          <w:p w14:paraId="451792A9"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0.18</w:t>
            </w:r>
          </w:p>
        </w:tc>
        <w:tc>
          <w:tcPr>
            <w:tcW w:w="1033" w:type="pct"/>
            <w:vAlign w:val="center"/>
            <w:hideMark/>
          </w:tcPr>
          <w:p w14:paraId="34623882"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0.4</w:t>
            </w:r>
          </w:p>
        </w:tc>
        <w:tc>
          <w:tcPr>
            <w:tcW w:w="803" w:type="pct"/>
            <w:vAlign w:val="center"/>
            <w:hideMark/>
          </w:tcPr>
          <w:p w14:paraId="371EA845"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w:t>
            </w:r>
          </w:p>
        </w:tc>
        <w:tc>
          <w:tcPr>
            <w:tcW w:w="803" w:type="pct"/>
            <w:vAlign w:val="center"/>
            <w:hideMark/>
          </w:tcPr>
          <w:p w14:paraId="2E2A3F20"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1</w:t>
            </w:r>
          </w:p>
        </w:tc>
      </w:tr>
      <w:tr w:rsidR="000052A2" w:rsidRPr="009D28BE" w14:paraId="2057D142" w14:textId="77777777" w:rsidTr="009D28BE">
        <w:trPr>
          <w:trHeight w:val="788"/>
          <w:jc w:val="center"/>
        </w:trPr>
        <w:tc>
          <w:tcPr>
            <w:tcW w:w="1558" w:type="pct"/>
            <w:vAlign w:val="center"/>
            <w:hideMark/>
          </w:tcPr>
          <w:p w14:paraId="7EEAD7F4" w14:textId="25AC5330" w:rsidR="00FD707D" w:rsidRPr="009D28BE" w:rsidRDefault="00C648B8" w:rsidP="009D28BE">
            <w:pPr>
              <w:spacing w:after="0" w:line="360" w:lineRule="auto"/>
              <w:ind w:firstLine="72"/>
              <w:rPr>
                <w:rFonts w:ascii="Times New Roman" w:eastAsia="Times New Roman" w:hAnsi="Times New Roman" w:cs="Times New Roman"/>
                <w:color w:val="000000"/>
                <w:lang w:val="en-US" w:eastAsia="es-MX"/>
              </w:rPr>
            </w:pPr>
            <w:r w:rsidRPr="009D28BE">
              <w:rPr>
                <w:rFonts w:ascii="Times New Roman" w:eastAsia="Times New Roman" w:hAnsi="Times New Roman" w:cs="Times New Roman"/>
                <w:color w:val="000000"/>
                <w:lang w:val="en-US" w:eastAsia="es-MX"/>
              </w:rPr>
              <w:t>At least one of the parents has a university education</w:t>
            </w:r>
          </w:p>
        </w:tc>
        <w:tc>
          <w:tcPr>
            <w:tcW w:w="803" w:type="pct"/>
            <w:vAlign w:val="center"/>
            <w:hideMark/>
          </w:tcPr>
          <w:p w14:paraId="126B98F7"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0.09</w:t>
            </w:r>
          </w:p>
        </w:tc>
        <w:tc>
          <w:tcPr>
            <w:tcW w:w="1033" w:type="pct"/>
            <w:vAlign w:val="center"/>
            <w:hideMark/>
          </w:tcPr>
          <w:p w14:paraId="44D7EFCE"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0.3</w:t>
            </w:r>
          </w:p>
        </w:tc>
        <w:tc>
          <w:tcPr>
            <w:tcW w:w="803" w:type="pct"/>
            <w:vAlign w:val="center"/>
            <w:hideMark/>
          </w:tcPr>
          <w:p w14:paraId="2B1794E5"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w:t>
            </w:r>
          </w:p>
        </w:tc>
        <w:tc>
          <w:tcPr>
            <w:tcW w:w="803" w:type="pct"/>
            <w:vAlign w:val="center"/>
            <w:hideMark/>
          </w:tcPr>
          <w:p w14:paraId="42B7CD9D"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1</w:t>
            </w:r>
          </w:p>
        </w:tc>
      </w:tr>
      <w:tr w:rsidR="000052A2" w:rsidRPr="009D28BE" w14:paraId="0AC16741" w14:textId="77777777" w:rsidTr="009D28BE">
        <w:trPr>
          <w:trHeight w:val="525"/>
          <w:jc w:val="center"/>
        </w:trPr>
        <w:tc>
          <w:tcPr>
            <w:tcW w:w="1558" w:type="pct"/>
            <w:vAlign w:val="center"/>
            <w:hideMark/>
          </w:tcPr>
          <w:p w14:paraId="6403A6EB" w14:textId="5615053B" w:rsidR="00FD707D" w:rsidRPr="009D28BE" w:rsidRDefault="00C648B8" w:rsidP="009D28BE">
            <w:pPr>
              <w:spacing w:after="0" w:line="360" w:lineRule="auto"/>
              <w:ind w:firstLine="72"/>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 xml:space="preserve">Training </w:t>
            </w:r>
            <w:proofErr w:type="spellStart"/>
            <w:r w:rsidRPr="009D28BE">
              <w:rPr>
                <w:rFonts w:ascii="Times New Roman" w:eastAsia="Times New Roman" w:hAnsi="Times New Roman" w:cs="Times New Roman"/>
                <w:color w:val="000000"/>
                <w:lang w:eastAsia="es-MX"/>
              </w:rPr>
              <w:t>courses</w:t>
            </w:r>
            <w:proofErr w:type="spellEnd"/>
            <w:r w:rsidRPr="009D28BE">
              <w:rPr>
                <w:rFonts w:ascii="Times New Roman" w:eastAsia="Times New Roman" w:hAnsi="Times New Roman" w:cs="Times New Roman"/>
                <w:color w:val="000000"/>
                <w:lang w:eastAsia="es-MX"/>
              </w:rPr>
              <w:t xml:space="preserve"> </w:t>
            </w:r>
          </w:p>
        </w:tc>
        <w:tc>
          <w:tcPr>
            <w:tcW w:w="803" w:type="pct"/>
            <w:vAlign w:val="center"/>
            <w:hideMark/>
          </w:tcPr>
          <w:p w14:paraId="7B276C52"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0.26</w:t>
            </w:r>
          </w:p>
        </w:tc>
        <w:tc>
          <w:tcPr>
            <w:tcW w:w="1033" w:type="pct"/>
            <w:vAlign w:val="center"/>
            <w:hideMark/>
          </w:tcPr>
          <w:p w14:paraId="327375A8"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0.4</w:t>
            </w:r>
          </w:p>
        </w:tc>
        <w:tc>
          <w:tcPr>
            <w:tcW w:w="803" w:type="pct"/>
            <w:vAlign w:val="center"/>
            <w:hideMark/>
          </w:tcPr>
          <w:p w14:paraId="12758F37"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0</w:t>
            </w:r>
          </w:p>
        </w:tc>
        <w:tc>
          <w:tcPr>
            <w:tcW w:w="803" w:type="pct"/>
            <w:vAlign w:val="center"/>
            <w:hideMark/>
          </w:tcPr>
          <w:p w14:paraId="4303FB02" w14:textId="77777777" w:rsidR="00FD707D" w:rsidRPr="009D28BE" w:rsidRDefault="00C648B8" w:rsidP="009D28BE">
            <w:pPr>
              <w:spacing w:after="0" w:line="360" w:lineRule="auto"/>
              <w:ind w:firstLine="0"/>
              <w:jc w:val="center"/>
              <w:rPr>
                <w:rFonts w:ascii="Times New Roman" w:eastAsia="Times New Roman" w:hAnsi="Times New Roman" w:cs="Times New Roman"/>
                <w:color w:val="000000"/>
                <w:lang w:eastAsia="es-MX"/>
              </w:rPr>
            </w:pPr>
            <w:r w:rsidRPr="009D28BE">
              <w:rPr>
                <w:rFonts w:ascii="Times New Roman" w:eastAsia="Times New Roman" w:hAnsi="Times New Roman" w:cs="Times New Roman"/>
                <w:color w:val="000000"/>
                <w:lang w:eastAsia="es-MX"/>
              </w:rPr>
              <w:t>1</w:t>
            </w:r>
          </w:p>
        </w:tc>
      </w:tr>
    </w:tbl>
    <w:p w14:paraId="58E566EB" w14:textId="01E5EA2C" w:rsidR="00FD707D" w:rsidRPr="009D28BE" w:rsidRDefault="00C648B8" w:rsidP="00A41B72">
      <w:pPr>
        <w:spacing w:line="360" w:lineRule="auto"/>
        <w:jc w:val="center"/>
        <w:rPr>
          <w:rFonts w:ascii="Times New Roman" w:hAnsi="Times New Roman" w:cs="Times New Roman"/>
          <w:sz w:val="24"/>
          <w:szCs w:val="24"/>
          <w:lang w:val="en-US"/>
        </w:rPr>
      </w:pPr>
      <w:r w:rsidRPr="009D28BE">
        <w:rPr>
          <w:rFonts w:ascii="Times New Roman" w:hAnsi="Times New Roman" w:cs="Times New Roman"/>
          <w:sz w:val="24"/>
          <w:szCs w:val="24"/>
          <w:lang w:val="en-US"/>
        </w:rPr>
        <w:t xml:space="preserve">Source: </w:t>
      </w:r>
      <w:r w:rsidR="00A41B72" w:rsidRPr="009D28BE">
        <w:rPr>
          <w:rFonts w:ascii="Times New Roman" w:hAnsi="Times New Roman" w:cs="Times New Roman"/>
          <w:sz w:val="24"/>
          <w:szCs w:val="24"/>
          <w:lang w:val="en-US"/>
        </w:rPr>
        <w:t>Adapted from</w:t>
      </w:r>
      <w:r w:rsidRPr="009D28BE">
        <w:rPr>
          <w:rFonts w:ascii="Times New Roman" w:hAnsi="Times New Roman" w:cs="Times New Roman"/>
          <w:sz w:val="24"/>
          <w:szCs w:val="24"/>
          <w:lang w:val="en-US"/>
        </w:rPr>
        <w:t xml:space="preserve"> PIAAC</w:t>
      </w:r>
      <w:r w:rsidR="00200E2C" w:rsidRPr="009D28BE">
        <w:rPr>
          <w:rFonts w:ascii="Times New Roman" w:hAnsi="Times New Roman" w:cs="Times New Roman"/>
          <w:sz w:val="24"/>
          <w:szCs w:val="24"/>
          <w:lang w:val="en-US"/>
        </w:rPr>
        <w:t xml:space="preserve"> data </w:t>
      </w:r>
      <w:r w:rsidR="00A41B72" w:rsidRPr="009D28BE">
        <w:rPr>
          <w:rFonts w:ascii="Times New Roman" w:hAnsi="Times New Roman" w:cs="Times New Roman"/>
          <w:sz w:val="24"/>
          <w:szCs w:val="24"/>
          <w:lang w:val="en-US"/>
        </w:rPr>
        <w:t>(</w:t>
      </w:r>
      <w:r w:rsidRPr="009D28BE">
        <w:rPr>
          <w:rFonts w:ascii="Times New Roman" w:hAnsi="Times New Roman" w:cs="Times New Roman"/>
          <w:sz w:val="24"/>
          <w:szCs w:val="24"/>
          <w:lang w:val="en-US"/>
        </w:rPr>
        <w:t>2017</w:t>
      </w:r>
      <w:r w:rsidR="00A41B72" w:rsidRPr="009D28BE">
        <w:rPr>
          <w:rFonts w:ascii="Times New Roman" w:hAnsi="Times New Roman" w:cs="Times New Roman"/>
          <w:sz w:val="24"/>
          <w:szCs w:val="24"/>
          <w:lang w:val="en-US"/>
        </w:rPr>
        <w:t>)</w:t>
      </w:r>
      <w:r w:rsidRPr="009D28BE">
        <w:rPr>
          <w:rFonts w:ascii="Times New Roman" w:hAnsi="Times New Roman" w:cs="Times New Roman"/>
          <w:sz w:val="24"/>
          <w:szCs w:val="24"/>
          <w:lang w:val="en-US"/>
        </w:rPr>
        <w:t>, n=5890</w:t>
      </w:r>
    </w:p>
    <w:p w14:paraId="78CDC896" w14:textId="77777777" w:rsidR="005B0E9D" w:rsidRDefault="005B0E9D" w:rsidP="00A41B72">
      <w:pPr>
        <w:spacing w:line="360" w:lineRule="auto"/>
        <w:jc w:val="center"/>
        <w:rPr>
          <w:rFonts w:ascii="Times New Roman" w:hAnsi="Times New Roman" w:cs="Times New Roman"/>
          <w:sz w:val="20"/>
          <w:szCs w:val="20"/>
          <w:lang w:val="en-US"/>
        </w:rPr>
      </w:pPr>
    </w:p>
    <w:p w14:paraId="11C16D97" w14:textId="77777777" w:rsidR="00267F31" w:rsidRDefault="00267F31" w:rsidP="00A41B72">
      <w:pPr>
        <w:spacing w:line="360" w:lineRule="auto"/>
        <w:jc w:val="center"/>
        <w:rPr>
          <w:rFonts w:ascii="Times New Roman" w:hAnsi="Times New Roman" w:cs="Times New Roman"/>
          <w:sz w:val="20"/>
          <w:szCs w:val="20"/>
          <w:lang w:val="en-US"/>
        </w:rPr>
      </w:pPr>
    </w:p>
    <w:p w14:paraId="4911ACC8" w14:textId="77777777" w:rsidR="00267F31" w:rsidRDefault="00267F31" w:rsidP="00A41B72">
      <w:pPr>
        <w:spacing w:line="360" w:lineRule="auto"/>
        <w:jc w:val="center"/>
        <w:rPr>
          <w:rFonts w:ascii="Times New Roman" w:hAnsi="Times New Roman" w:cs="Times New Roman"/>
          <w:sz w:val="20"/>
          <w:szCs w:val="20"/>
          <w:lang w:val="en-US"/>
        </w:rPr>
      </w:pPr>
    </w:p>
    <w:p w14:paraId="1249203C" w14:textId="77777777" w:rsidR="00267F31" w:rsidRDefault="00267F31" w:rsidP="00A41B72">
      <w:pPr>
        <w:spacing w:line="360" w:lineRule="auto"/>
        <w:jc w:val="center"/>
        <w:rPr>
          <w:rFonts w:ascii="Times New Roman" w:hAnsi="Times New Roman" w:cs="Times New Roman"/>
          <w:sz w:val="20"/>
          <w:szCs w:val="20"/>
          <w:lang w:val="en-US"/>
        </w:rPr>
      </w:pPr>
    </w:p>
    <w:p w14:paraId="0371C648" w14:textId="2FB4D647" w:rsidR="00387A38" w:rsidRPr="009D28BE" w:rsidRDefault="005B0E9D" w:rsidP="009D28BE">
      <w:pPr>
        <w:spacing w:line="360" w:lineRule="auto"/>
        <w:ind w:firstLine="0"/>
        <w:jc w:val="center"/>
        <w:rPr>
          <w:rFonts w:ascii="Times New Roman" w:hAnsi="Times New Roman" w:cs="Times New Roman"/>
          <w:b/>
          <w:bCs/>
          <w:sz w:val="28"/>
          <w:szCs w:val="28"/>
          <w:lang w:val="en-US"/>
        </w:rPr>
      </w:pPr>
      <w:r w:rsidRPr="009D28BE">
        <w:rPr>
          <w:rFonts w:ascii="Times New Roman" w:hAnsi="Times New Roman" w:cs="Times New Roman"/>
          <w:b/>
          <w:bCs/>
          <w:sz w:val="28"/>
          <w:szCs w:val="28"/>
          <w:lang w:val="en-US"/>
        </w:rPr>
        <w:lastRenderedPageBreak/>
        <w:t>Sample distribution by educational level and age</w:t>
      </w:r>
    </w:p>
    <w:p w14:paraId="2CF8F4B0" w14:textId="68D08B65" w:rsidR="00387A38" w:rsidRPr="00387A38" w:rsidRDefault="005B0E9D" w:rsidP="00217626">
      <w:pPr>
        <w:tabs>
          <w:tab w:val="left" w:pos="1047"/>
        </w:tabs>
        <w:spacing w:line="360" w:lineRule="auto"/>
        <w:ind w:firstLine="0"/>
        <w:jc w:val="both"/>
        <w:rPr>
          <w:rFonts w:ascii="Times New Roman" w:eastAsiaTheme="minorEastAsia" w:hAnsi="Times New Roman" w:cs="Times New Roman"/>
          <w:sz w:val="24"/>
          <w:szCs w:val="24"/>
          <w:lang w:val="en-US"/>
        </w:rPr>
      </w:pPr>
      <w:r w:rsidRPr="005B0E9D">
        <w:rPr>
          <w:rFonts w:ascii="Times New Roman" w:eastAsiaTheme="minorEastAsia" w:hAnsi="Times New Roman" w:cs="Times New Roman"/>
          <w:sz w:val="24"/>
          <w:szCs w:val="24"/>
          <w:lang w:val="en-US"/>
        </w:rPr>
        <w:t>In terms of educational attainment, secondary education was the most frequently reached level, comprising approximately one-third of the sample (33.34%), followed by primary education (29.61%) and high school (24.06%). Fewer individuals reported completing a bachelor’s degree (11.49%), a master’s degree (1.12%), or a PhD (0.37%). Regarding age distribution, the majority of respondents were between 25 and 44 years old, representing nearly half of the sample. Younger adults aged 15–24 accounted for 18.40% of participants, while older adults aged 55–65 represented 16.54%.</w:t>
      </w:r>
    </w:p>
    <w:p w14:paraId="65CFD2C3" w14:textId="77777777" w:rsidR="00387A38" w:rsidRPr="00387A38" w:rsidRDefault="00387A38" w:rsidP="003A5450">
      <w:pPr>
        <w:tabs>
          <w:tab w:val="left" w:pos="1047"/>
        </w:tabs>
        <w:spacing w:line="360" w:lineRule="auto"/>
        <w:jc w:val="both"/>
        <w:rPr>
          <w:rFonts w:ascii="Times New Roman" w:eastAsiaTheme="minorEastAsia" w:hAnsi="Times New Roman" w:cs="Times New Roman"/>
          <w:sz w:val="24"/>
          <w:szCs w:val="24"/>
          <w:lang w:val="en-US"/>
        </w:rPr>
      </w:pPr>
    </w:p>
    <w:p w14:paraId="0502563E" w14:textId="1BF7FEF8" w:rsidR="00FD707D" w:rsidRPr="001A409B" w:rsidRDefault="00C648B8" w:rsidP="009D28BE">
      <w:pPr>
        <w:tabs>
          <w:tab w:val="left" w:pos="1047"/>
        </w:tabs>
        <w:spacing w:line="360" w:lineRule="auto"/>
        <w:ind w:firstLine="0"/>
        <w:jc w:val="center"/>
        <w:rPr>
          <w:rFonts w:ascii="Times New Roman" w:eastAsiaTheme="minorEastAsia" w:hAnsi="Times New Roman" w:cs="Times New Roman"/>
          <w:sz w:val="24"/>
          <w:szCs w:val="24"/>
          <w:lang w:val="en-US"/>
        </w:rPr>
      </w:pPr>
      <w:r w:rsidRPr="00C17F54">
        <w:rPr>
          <w:rFonts w:ascii="Times New Roman" w:eastAsiaTheme="minorEastAsia" w:hAnsi="Times New Roman" w:cs="Times New Roman"/>
          <w:b/>
          <w:bCs/>
          <w:sz w:val="24"/>
          <w:szCs w:val="24"/>
          <w:lang w:val="en-US"/>
        </w:rPr>
        <w:t xml:space="preserve">Table </w:t>
      </w:r>
      <w:r w:rsidR="006A38B4">
        <w:rPr>
          <w:rFonts w:ascii="Times New Roman" w:eastAsiaTheme="minorEastAsia" w:hAnsi="Times New Roman" w:cs="Times New Roman"/>
          <w:b/>
          <w:bCs/>
          <w:sz w:val="24"/>
          <w:szCs w:val="24"/>
          <w:lang w:val="en-US"/>
        </w:rPr>
        <w:t>3</w:t>
      </w:r>
      <w:r w:rsidR="001A409B">
        <w:rPr>
          <w:rFonts w:ascii="Times New Roman" w:eastAsiaTheme="minorEastAsia" w:hAnsi="Times New Roman" w:cs="Times New Roman"/>
          <w:b/>
          <w:bCs/>
          <w:sz w:val="24"/>
          <w:szCs w:val="24"/>
          <w:lang w:val="en-US"/>
        </w:rPr>
        <w:t xml:space="preserve">. </w:t>
      </w:r>
      <w:r w:rsidRPr="009D28BE">
        <w:rPr>
          <w:rFonts w:ascii="Times New Roman" w:eastAsiaTheme="minorEastAsia" w:hAnsi="Times New Roman" w:cs="Times New Roman"/>
          <w:sz w:val="24"/>
          <w:szCs w:val="24"/>
          <w:lang w:val="en-US"/>
        </w:rPr>
        <w:t>Distribution of the sample by educational level and age group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25"/>
        <w:gridCol w:w="3803"/>
      </w:tblGrid>
      <w:tr w:rsidR="000052A2" w:rsidRPr="009D28BE" w14:paraId="192D151C" w14:textId="77777777" w:rsidTr="009D28BE">
        <w:trPr>
          <w:trHeight w:val="288"/>
          <w:jc w:val="center"/>
        </w:trPr>
        <w:tc>
          <w:tcPr>
            <w:tcW w:w="2846" w:type="pct"/>
            <w:noWrap/>
            <w:vAlign w:val="bottom"/>
            <w:hideMark/>
          </w:tcPr>
          <w:p w14:paraId="45B337BA" w14:textId="77777777" w:rsidR="00FD707D" w:rsidRPr="009D28BE" w:rsidRDefault="00C648B8" w:rsidP="001A409B">
            <w:pPr>
              <w:spacing w:after="0" w:line="360" w:lineRule="auto"/>
              <w:ind w:firstLine="0"/>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Variable</w:t>
            </w:r>
          </w:p>
        </w:tc>
        <w:tc>
          <w:tcPr>
            <w:tcW w:w="2154" w:type="pct"/>
            <w:noWrap/>
            <w:vAlign w:val="bottom"/>
            <w:hideMark/>
          </w:tcPr>
          <w:p w14:paraId="076DC50C" w14:textId="77777777" w:rsidR="00FD707D" w:rsidRPr="009D28BE" w:rsidRDefault="00C648B8" w:rsidP="002A108C">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w:t>
            </w:r>
          </w:p>
        </w:tc>
      </w:tr>
      <w:tr w:rsidR="000052A2" w:rsidRPr="009D28BE" w14:paraId="2D959B7D" w14:textId="77777777" w:rsidTr="009D28BE">
        <w:trPr>
          <w:trHeight w:val="288"/>
          <w:jc w:val="center"/>
        </w:trPr>
        <w:tc>
          <w:tcPr>
            <w:tcW w:w="2846" w:type="pct"/>
            <w:noWrap/>
            <w:vAlign w:val="center"/>
            <w:hideMark/>
          </w:tcPr>
          <w:p w14:paraId="718F8C0A" w14:textId="0BB15FBD" w:rsidR="00FD707D" w:rsidRPr="009D28BE" w:rsidRDefault="00F87588" w:rsidP="00A31C1F">
            <w:pPr>
              <w:spacing w:after="0" w:line="360" w:lineRule="auto"/>
              <w:ind w:firstLine="0"/>
              <w:rPr>
                <w:rFonts w:ascii="Times New Roman" w:eastAsia="Times New Roman" w:hAnsi="Times New Roman" w:cs="Times New Roman"/>
                <w:color w:val="000000"/>
                <w:sz w:val="24"/>
                <w:szCs w:val="24"/>
                <w:lang w:eastAsia="es-MX"/>
              </w:rPr>
            </w:pPr>
            <w:proofErr w:type="spellStart"/>
            <w:r w:rsidRPr="009D28BE">
              <w:rPr>
                <w:rFonts w:ascii="Times New Roman" w:eastAsia="Times New Roman" w:hAnsi="Times New Roman" w:cs="Times New Roman"/>
                <w:color w:val="000000"/>
                <w:sz w:val="24"/>
                <w:szCs w:val="24"/>
                <w:lang w:eastAsia="es-MX"/>
              </w:rPr>
              <w:t>Educational</w:t>
            </w:r>
            <w:proofErr w:type="spellEnd"/>
            <w:r w:rsidRPr="009D28BE">
              <w:rPr>
                <w:rFonts w:ascii="Times New Roman" w:eastAsia="Times New Roman" w:hAnsi="Times New Roman" w:cs="Times New Roman"/>
                <w:color w:val="000000"/>
                <w:sz w:val="24"/>
                <w:szCs w:val="24"/>
                <w:lang w:eastAsia="es-MX"/>
              </w:rPr>
              <w:t xml:space="preserve"> </w:t>
            </w:r>
            <w:proofErr w:type="spellStart"/>
            <w:r w:rsidRPr="009D28BE">
              <w:rPr>
                <w:rFonts w:ascii="Times New Roman" w:eastAsia="Times New Roman" w:hAnsi="Times New Roman" w:cs="Times New Roman"/>
                <w:color w:val="000000"/>
                <w:sz w:val="24"/>
                <w:szCs w:val="24"/>
                <w:lang w:eastAsia="es-MX"/>
              </w:rPr>
              <w:t>attainment</w:t>
            </w:r>
            <w:proofErr w:type="spellEnd"/>
          </w:p>
        </w:tc>
        <w:tc>
          <w:tcPr>
            <w:tcW w:w="2154" w:type="pct"/>
            <w:noWrap/>
            <w:vAlign w:val="center"/>
            <w:hideMark/>
          </w:tcPr>
          <w:p w14:paraId="2AFC56AB" w14:textId="77777777" w:rsidR="00FD707D" w:rsidRPr="009D28BE" w:rsidRDefault="00C648B8" w:rsidP="002A108C">
            <w:pPr>
              <w:spacing w:after="0" w:line="360" w:lineRule="auto"/>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 </w:t>
            </w:r>
          </w:p>
        </w:tc>
      </w:tr>
      <w:tr w:rsidR="000052A2" w:rsidRPr="009D28BE" w14:paraId="744CF65A" w14:textId="77777777" w:rsidTr="009D28BE">
        <w:trPr>
          <w:trHeight w:val="288"/>
          <w:jc w:val="center"/>
        </w:trPr>
        <w:tc>
          <w:tcPr>
            <w:tcW w:w="2846" w:type="pct"/>
            <w:noWrap/>
            <w:vAlign w:val="center"/>
            <w:hideMark/>
          </w:tcPr>
          <w:p w14:paraId="5F7ADB2E" w14:textId="77487036"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 xml:space="preserve">Elementary </w:t>
            </w:r>
            <w:proofErr w:type="spellStart"/>
            <w:r w:rsidRPr="009D28BE">
              <w:rPr>
                <w:rFonts w:ascii="Times New Roman" w:eastAsia="Times New Roman" w:hAnsi="Times New Roman" w:cs="Times New Roman"/>
                <w:color w:val="000000"/>
                <w:sz w:val="24"/>
                <w:szCs w:val="24"/>
                <w:lang w:eastAsia="es-MX"/>
              </w:rPr>
              <w:t>or</w:t>
            </w:r>
            <w:proofErr w:type="spellEnd"/>
            <w:r w:rsidRPr="009D28BE">
              <w:rPr>
                <w:rFonts w:ascii="Times New Roman" w:eastAsia="Times New Roman" w:hAnsi="Times New Roman" w:cs="Times New Roman"/>
                <w:color w:val="000000"/>
                <w:sz w:val="24"/>
                <w:szCs w:val="24"/>
                <w:lang w:eastAsia="es-MX"/>
              </w:rPr>
              <w:t xml:space="preserve"> </w:t>
            </w:r>
            <w:proofErr w:type="spellStart"/>
            <w:r w:rsidRPr="009D28BE">
              <w:rPr>
                <w:rFonts w:ascii="Times New Roman" w:eastAsia="Times New Roman" w:hAnsi="Times New Roman" w:cs="Times New Roman"/>
                <w:color w:val="000000"/>
                <w:sz w:val="24"/>
                <w:szCs w:val="24"/>
                <w:lang w:eastAsia="es-MX"/>
              </w:rPr>
              <w:t>less</w:t>
            </w:r>
            <w:proofErr w:type="spellEnd"/>
          </w:p>
        </w:tc>
        <w:tc>
          <w:tcPr>
            <w:tcW w:w="2154" w:type="pct"/>
            <w:noWrap/>
            <w:vAlign w:val="center"/>
            <w:hideMark/>
          </w:tcPr>
          <w:p w14:paraId="07376C93"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29.61</w:t>
            </w:r>
          </w:p>
        </w:tc>
      </w:tr>
      <w:tr w:rsidR="000052A2" w:rsidRPr="009D28BE" w14:paraId="2CED8473" w14:textId="77777777" w:rsidTr="009D28BE">
        <w:trPr>
          <w:trHeight w:val="288"/>
          <w:jc w:val="center"/>
        </w:trPr>
        <w:tc>
          <w:tcPr>
            <w:tcW w:w="2846" w:type="pct"/>
            <w:noWrap/>
            <w:vAlign w:val="center"/>
            <w:hideMark/>
          </w:tcPr>
          <w:p w14:paraId="4793C851" w14:textId="1B1E62CD"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proofErr w:type="spellStart"/>
            <w:r w:rsidRPr="009D28BE">
              <w:rPr>
                <w:rFonts w:ascii="Times New Roman" w:eastAsia="Times New Roman" w:hAnsi="Times New Roman" w:cs="Times New Roman"/>
                <w:color w:val="000000"/>
                <w:sz w:val="24"/>
                <w:szCs w:val="24"/>
                <w:lang w:eastAsia="es-MX"/>
              </w:rPr>
              <w:t>Sec</w:t>
            </w:r>
            <w:r w:rsidR="00252ED8" w:rsidRPr="009D28BE">
              <w:rPr>
                <w:rFonts w:ascii="Times New Roman" w:eastAsia="Times New Roman" w:hAnsi="Times New Roman" w:cs="Times New Roman"/>
                <w:color w:val="000000"/>
                <w:sz w:val="24"/>
                <w:szCs w:val="24"/>
                <w:lang w:eastAsia="es-MX"/>
              </w:rPr>
              <w:t>ondary</w:t>
            </w:r>
            <w:proofErr w:type="spellEnd"/>
          </w:p>
        </w:tc>
        <w:tc>
          <w:tcPr>
            <w:tcW w:w="2154" w:type="pct"/>
            <w:noWrap/>
            <w:vAlign w:val="center"/>
            <w:hideMark/>
          </w:tcPr>
          <w:p w14:paraId="0B789B61"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33.34</w:t>
            </w:r>
          </w:p>
        </w:tc>
      </w:tr>
      <w:tr w:rsidR="000052A2" w:rsidRPr="009D28BE" w14:paraId="47E28A81" w14:textId="77777777" w:rsidTr="009D28BE">
        <w:trPr>
          <w:trHeight w:val="288"/>
          <w:jc w:val="center"/>
        </w:trPr>
        <w:tc>
          <w:tcPr>
            <w:tcW w:w="2846" w:type="pct"/>
            <w:noWrap/>
            <w:vAlign w:val="center"/>
            <w:hideMark/>
          </w:tcPr>
          <w:p w14:paraId="2EFEE9B3" w14:textId="24008E8E"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 xml:space="preserve">High </w:t>
            </w:r>
            <w:proofErr w:type="spellStart"/>
            <w:r w:rsidRPr="009D28BE">
              <w:rPr>
                <w:rFonts w:ascii="Times New Roman" w:eastAsia="Times New Roman" w:hAnsi="Times New Roman" w:cs="Times New Roman"/>
                <w:color w:val="000000"/>
                <w:sz w:val="24"/>
                <w:szCs w:val="24"/>
                <w:lang w:eastAsia="es-MX"/>
              </w:rPr>
              <w:t>school</w:t>
            </w:r>
            <w:proofErr w:type="spellEnd"/>
          </w:p>
        </w:tc>
        <w:tc>
          <w:tcPr>
            <w:tcW w:w="2154" w:type="pct"/>
            <w:noWrap/>
            <w:vAlign w:val="center"/>
            <w:hideMark/>
          </w:tcPr>
          <w:p w14:paraId="04583B2B"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24.06</w:t>
            </w:r>
          </w:p>
        </w:tc>
      </w:tr>
      <w:tr w:rsidR="000052A2" w:rsidRPr="009D28BE" w14:paraId="57C08E22" w14:textId="77777777" w:rsidTr="009D28BE">
        <w:trPr>
          <w:trHeight w:val="288"/>
          <w:jc w:val="center"/>
        </w:trPr>
        <w:tc>
          <w:tcPr>
            <w:tcW w:w="2846" w:type="pct"/>
            <w:noWrap/>
            <w:vAlign w:val="center"/>
            <w:hideMark/>
          </w:tcPr>
          <w:p w14:paraId="58E8654E" w14:textId="49B38352"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proofErr w:type="spellStart"/>
            <w:r w:rsidRPr="009D28BE">
              <w:rPr>
                <w:rFonts w:ascii="Times New Roman" w:eastAsia="Times New Roman" w:hAnsi="Times New Roman" w:cs="Times New Roman"/>
                <w:color w:val="000000"/>
                <w:sz w:val="24"/>
                <w:szCs w:val="24"/>
                <w:lang w:eastAsia="es-MX"/>
              </w:rPr>
              <w:t>Bachelor</w:t>
            </w:r>
            <w:proofErr w:type="spellEnd"/>
          </w:p>
        </w:tc>
        <w:tc>
          <w:tcPr>
            <w:tcW w:w="2154" w:type="pct"/>
            <w:noWrap/>
            <w:vAlign w:val="center"/>
            <w:hideMark/>
          </w:tcPr>
          <w:p w14:paraId="6683577F"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11.49</w:t>
            </w:r>
          </w:p>
        </w:tc>
      </w:tr>
      <w:tr w:rsidR="000052A2" w:rsidRPr="009D28BE" w14:paraId="1BE4BAEB" w14:textId="77777777" w:rsidTr="009D28BE">
        <w:trPr>
          <w:trHeight w:val="288"/>
          <w:jc w:val="center"/>
        </w:trPr>
        <w:tc>
          <w:tcPr>
            <w:tcW w:w="2846" w:type="pct"/>
            <w:noWrap/>
            <w:vAlign w:val="center"/>
            <w:hideMark/>
          </w:tcPr>
          <w:p w14:paraId="111996E1" w14:textId="345557E5"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Ma</w:t>
            </w:r>
            <w:r w:rsidR="00651CB4" w:rsidRPr="009D28BE">
              <w:rPr>
                <w:rFonts w:ascii="Times New Roman" w:eastAsia="Times New Roman" w:hAnsi="Times New Roman" w:cs="Times New Roman"/>
                <w:color w:val="000000"/>
                <w:sz w:val="24"/>
                <w:szCs w:val="24"/>
                <w:lang w:eastAsia="es-MX"/>
              </w:rPr>
              <w:t>ster</w:t>
            </w:r>
          </w:p>
        </w:tc>
        <w:tc>
          <w:tcPr>
            <w:tcW w:w="2154" w:type="pct"/>
            <w:noWrap/>
            <w:vAlign w:val="center"/>
            <w:hideMark/>
          </w:tcPr>
          <w:p w14:paraId="1DBDF821"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1.12</w:t>
            </w:r>
          </w:p>
        </w:tc>
      </w:tr>
      <w:tr w:rsidR="000052A2" w:rsidRPr="009D28BE" w14:paraId="629C4007" w14:textId="77777777" w:rsidTr="009D28BE">
        <w:trPr>
          <w:trHeight w:val="288"/>
          <w:jc w:val="center"/>
        </w:trPr>
        <w:tc>
          <w:tcPr>
            <w:tcW w:w="2846" w:type="pct"/>
            <w:noWrap/>
            <w:vAlign w:val="center"/>
            <w:hideMark/>
          </w:tcPr>
          <w:p w14:paraId="30E3944D" w14:textId="188CF383"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PhD</w:t>
            </w:r>
          </w:p>
        </w:tc>
        <w:tc>
          <w:tcPr>
            <w:tcW w:w="2154" w:type="pct"/>
            <w:noWrap/>
            <w:vAlign w:val="center"/>
            <w:hideMark/>
          </w:tcPr>
          <w:p w14:paraId="25BD1A07"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0.37</w:t>
            </w:r>
          </w:p>
        </w:tc>
      </w:tr>
      <w:tr w:rsidR="000052A2" w:rsidRPr="009D28BE" w14:paraId="292BB39E" w14:textId="77777777" w:rsidTr="009D28BE">
        <w:trPr>
          <w:trHeight w:val="288"/>
          <w:jc w:val="center"/>
        </w:trPr>
        <w:tc>
          <w:tcPr>
            <w:tcW w:w="2846" w:type="pct"/>
            <w:noWrap/>
            <w:vAlign w:val="center"/>
            <w:hideMark/>
          </w:tcPr>
          <w:p w14:paraId="1F51434E" w14:textId="5BDE112A" w:rsidR="00FD707D" w:rsidRPr="009D28BE" w:rsidRDefault="00C648B8" w:rsidP="00A31C1F">
            <w:pPr>
              <w:spacing w:after="0" w:line="360" w:lineRule="auto"/>
              <w:ind w:firstLine="0"/>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 xml:space="preserve">Age </w:t>
            </w:r>
            <w:proofErr w:type="spellStart"/>
            <w:r w:rsidR="001A409B" w:rsidRPr="009D28BE">
              <w:rPr>
                <w:rFonts w:ascii="Times New Roman" w:eastAsia="Times New Roman" w:hAnsi="Times New Roman" w:cs="Times New Roman"/>
                <w:color w:val="000000"/>
                <w:sz w:val="24"/>
                <w:szCs w:val="24"/>
                <w:lang w:eastAsia="es-MX"/>
              </w:rPr>
              <w:t>cohorts</w:t>
            </w:r>
            <w:proofErr w:type="spellEnd"/>
          </w:p>
        </w:tc>
        <w:tc>
          <w:tcPr>
            <w:tcW w:w="2154" w:type="pct"/>
            <w:noWrap/>
            <w:vAlign w:val="center"/>
            <w:hideMark/>
          </w:tcPr>
          <w:p w14:paraId="0B8FDD5B" w14:textId="1B70EDA0" w:rsidR="00FD707D" w:rsidRPr="009D28BE" w:rsidRDefault="00FD707D" w:rsidP="00A31C1F">
            <w:pPr>
              <w:spacing w:after="0" w:line="360" w:lineRule="auto"/>
              <w:jc w:val="center"/>
              <w:rPr>
                <w:rFonts w:ascii="Times New Roman" w:eastAsia="Times New Roman" w:hAnsi="Times New Roman" w:cs="Times New Roman"/>
                <w:color w:val="000000"/>
                <w:sz w:val="24"/>
                <w:szCs w:val="24"/>
                <w:lang w:eastAsia="es-MX"/>
              </w:rPr>
            </w:pPr>
          </w:p>
        </w:tc>
      </w:tr>
      <w:tr w:rsidR="000052A2" w:rsidRPr="009D28BE" w14:paraId="1679579F" w14:textId="77777777" w:rsidTr="009D28BE">
        <w:trPr>
          <w:trHeight w:val="288"/>
          <w:jc w:val="center"/>
        </w:trPr>
        <w:tc>
          <w:tcPr>
            <w:tcW w:w="2846" w:type="pct"/>
            <w:noWrap/>
            <w:vAlign w:val="center"/>
            <w:hideMark/>
          </w:tcPr>
          <w:p w14:paraId="0C9679C9" w14:textId="77777777"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15-24</w:t>
            </w:r>
          </w:p>
        </w:tc>
        <w:tc>
          <w:tcPr>
            <w:tcW w:w="2154" w:type="pct"/>
            <w:noWrap/>
            <w:vAlign w:val="bottom"/>
            <w:hideMark/>
          </w:tcPr>
          <w:p w14:paraId="03CACF24"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18.40</w:t>
            </w:r>
          </w:p>
        </w:tc>
      </w:tr>
      <w:tr w:rsidR="000052A2" w:rsidRPr="009D28BE" w14:paraId="0A9B1606" w14:textId="77777777" w:rsidTr="009D28BE">
        <w:trPr>
          <w:trHeight w:val="288"/>
          <w:jc w:val="center"/>
        </w:trPr>
        <w:tc>
          <w:tcPr>
            <w:tcW w:w="2846" w:type="pct"/>
            <w:noWrap/>
            <w:vAlign w:val="center"/>
            <w:hideMark/>
          </w:tcPr>
          <w:p w14:paraId="48232370" w14:textId="77777777"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bookmarkStart w:id="1" w:name="_Hlk164429706" w:colFirst="0" w:colLast="0"/>
            <w:r w:rsidRPr="009D28BE">
              <w:rPr>
                <w:rFonts w:ascii="Times New Roman" w:eastAsia="Times New Roman" w:hAnsi="Times New Roman" w:cs="Times New Roman"/>
                <w:color w:val="000000"/>
                <w:sz w:val="24"/>
                <w:szCs w:val="24"/>
                <w:lang w:eastAsia="es-MX"/>
              </w:rPr>
              <w:t>25-34</w:t>
            </w:r>
          </w:p>
        </w:tc>
        <w:tc>
          <w:tcPr>
            <w:tcW w:w="2154" w:type="pct"/>
            <w:noWrap/>
            <w:vAlign w:val="bottom"/>
            <w:hideMark/>
          </w:tcPr>
          <w:p w14:paraId="07134DC4"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23.53</w:t>
            </w:r>
          </w:p>
        </w:tc>
      </w:tr>
      <w:tr w:rsidR="000052A2" w:rsidRPr="009D28BE" w14:paraId="3BE1A20E" w14:textId="77777777" w:rsidTr="009D28BE">
        <w:trPr>
          <w:trHeight w:val="288"/>
          <w:jc w:val="center"/>
        </w:trPr>
        <w:tc>
          <w:tcPr>
            <w:tcW w:w="2846" w:type="pct"/>
            <w:noWrap/>
            <w:vAlign w:val="center"/>
            <w:hideMark/>
          </w:tcPr>
          <w:p w14:paraId="7AA89208" w14:textId="77777777"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35-44</w:t>
            </w:r>
          </w:p>
        </w:tc>
        <w:tc>
          <w:tcPr>
            <w:tcW w:w="2154" w:type="pct"/>
            <w:noWrap/>
            <w:vAlign w:val="bottom"/>
            <w:hideMark/>
          </w:tcPr>
          <w:p w14:paraId="2FF74367"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23.34</w:t>
            </w:r>
          </w:p>
        </w:tc>
      </w:tr>
      <w:tr w:rsidR="000052A2" w:rsidRPr="009D28BE" w14:paraId="445671C1" w14:textId="77777777" w:rsidTr="009D28BE">
        <w:trPr>
          <w:trHeight w:val="288"/>
          <w:jc w:val="center"/>
        </w:trPr>
        <w:tc>
          <w:tcPr>
            <w:tcW w:w="2846" w:type="pct"/>
            <w:noWrap/>
            <w:vAlign w:val="center"/>
            <w:hideMark/>
          </w:tcPr>
          <w:p w14:paraId="5A12D28B" w14:textId="77777777"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45-54</w:t>
            </w:r>
          </w:p>
        </w:tc>
        <w:tc>
          <w:tcPr>
            <w:tcW w:w="2154" w:type="pct"/>
            <w:noWrap/>
            <w:vAlign w:val="bottom"/>
            <w:hideMark/>
          </w:tcPr>
          <w:p w14:paraId="1F240813"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18.18</w:t>
            </w:r>
          </w:p>
        </w:tc>
      </w:tr>
      <w:tr w:rsidR="000052A2" w:rsidRPr="009D28BE" w14:paraId="3B4D5266" w14:textId="77777777" w:rsidTr="009D28BE">
        <w:trPr>
          <w:trHeight w:val="288"/>
          <w:jc w:val="center"/>
        </w:trPr>
        <w:tc>
          <w:tcPr>
            <w:tcW w:w="2846" w:type="pct"/>
            <w:noWrap/>
            <w:vAlign w:val="center"/>
            <w:hideMark/>
          </w:tcPr>
          <w:p w14:paraId="4356E370" w14:textId="77777777" w:rsidR="00FD707D" w:rsidRPr="009D28BE" w:rsidRDefault="00C648B8" w:rsidP="00A31C1F">
            <w:pPr>
              <w:spacing w:after="0" w:line="360" w:lineRule="auto"/>
              <w:ind w:firstLine="0"/>
              <w:jc w:val="right"/>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55-65</w:t>
            </w:r>
          </w:p>
        </w:tc>
        <w:tc>
          <w:tcPr>
            <w:tcW w:w="2154" w:type="pct"/>
            <w:noWrap/>
            <w:vAlign w:val="bottom"/>
            <w:hideMark/>
          </w:tcPr>
          <w:p w14:paraId="77600FDC" w14:textId="77777777" w:rsidR="00FD707D" w:rsidRPr="009D28BE" w:rsidRDefault="00C648B8" w:rsidP="00A31C1F">
            <w:pPr>
              <w:spacing w:after="0" w:line="360" w:lineRule="auto"/>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16.54</w:t>
            </w:r>
          </w:p>
        </w:tc>
      </w:tr>
    </w:tbl>
    <w:bookmarkEnd w:id="1"/>
    <w:p w14:paraId="0D7AB9E6" w14:textId="1A362DE8" w:rsidR="00CB5AF0" w:rsidRPr="009D28BE" w:rsidRDefault="00C648B8" w:rsidP="009D28BE">
      <w:pPr>
        <w:tabs>
          <w:tab w:val="left" w:pos="1047"/>
        </w:tabs>
        <w:spacing w:after="0" w:line="360" w:lineRule="auto"/>
        <w:ind w:firstLine="0"/>
        <w:jc w:val="center"/>
        <w:rPr>
          <w:rFonts w:ascii="Times New Roman" w:eastAsiaTheme="minorEastAsia" w:hAnsi="Times New Roman" w:cs="Times New Roman"/>
          <w:b/>
          <w:bCs/>
          <w:sz w:val="24"/>
          <w:szCs w:val="24"/>
          <w:lang w:val="en-US"/>
        </w:rPr>
      </w:pPr>
      <w:r w:rsidRPr="009D28BE">
        <w:rPr>
          <w:rFonts w:ascii="Times New Roman" w:hAnsi="Times New Roman" w:cs="Times New Roman"/>
          <w:sz w:val="24"/>
          <w:szCs w:val="24"/>
          <w:lang w:val="en-US"/>
        </w:rPr>
        <w:t>Source</w:t>
      </w:r>
      <w:r w:rsidR="00FD707D" w:rsidRPr="009D28BE">
        <w:rPr>
          <w:rFonts w:ascii="Times New Roman" w:hAnsi="Times New Roman" w:cs="Times New Roman"/>
          <w:sz w:val="24"/>
          <w:szCs w:val="24"/>
          <w:lang w:val="en-US"/>
        </w:rPr>
        <w:t xml:space="preserve">: </w:t>
      </w:r>
      <w:r w:rsidR="00262783" w:rsidRPr="009D28BE">
        <w:rPr>
          <w:rFonts w:ascii="Times New Roman" w:hAnsi="Times New Roman" w:cs="Times New Roman"/>
          <w:sz w:val="24"/>
          <w:szCs w:val="24"/>
          <w:lang w:val="en-US"/>
        </w:rPr>
        <w:t>Adapted from</w:t>
      </w:r>
      <w:r w:rsidR="00FD707D" w:rsidRPr="009D28BE">
        <w:rPr>
          <w:rFonts w:ascii="Times New Roman" w:hAnsi="Times New Roman" w:cs="Times New Roman"/>
          <w:sz w:val="24"/>
          <w:szCs w:val="24"/>
          <w:lang w:val="en-US"/>
        </w:rPr>
        <w:t xml:space="preserve"> PIAAC</w:t>
      </w:r>
      <w:r w:rsidRPr="009D28BE">
        <w:rPr>
          <w:rFonts w:ascii="Times New Roman" w:hAnsi="Times New Roman" w:cs="Times New Roman"/>
          <w:sz w:val="24"/>
          <w:szCs w:val="24"/>
          <w:lang w:val="en-US"/>
        </w:rPr>
        <w:t xml:space="preserve"> data</w:t>
      </w:r>
      <w:r w:rsidR="00262783" w:rsidRPr="009D28BE">
        <w:rPr>
          <w:rFonts w:ascii="Times New Roman" w:hAnsi="Times New Roman" w:cs="Times New Roman"/>
          <w:sz w:val="24"/>
          <w:szCs w:val="24"/>
          <w:lang w:val="en-US"/>
        </w:rPr>
        <w:t xml:space="preserve"> (</w:t>
      </w:r>
      <w:r w:rsidR="00FD707D" w:rsidRPr="009D28BE">
        <w:rPr>
          <w:rFonts w:ascii="Times New Roman" w:hAnsi="Times New Roman" w:cs="Times New Roman"/>
          <w:sz w:val="24"/>
          <w:szCs w:val="24"/>
          <w:lang w:val="en-US"/>
        </w:rPr>
        <w:t>2017</w:t>
      </w:r>
      <w:r w:rsidR="00262783" w:rsidRPr="009D28BE">
        <w:rPr>
          <w:rFonts w:ascii="Times New Roman" w:hAnsi="Times New Roman" w:cs="Times New Roman"/>
          <w:sz w:val="24"/>
          <w:szCs w:val="24"/>
          <w:lang w:val="en-US"/>
        </w:rPr>
        <w:t>)</w:t>
      </w:r>
    </w:p>
    <w:p w14:paraId="4EECB350" w14:textId="77777777" w:rsidR="00737A03" w:rsidRDefault="00737A03" w:rsidP="003A5450">
      <w:pPr>
        <w:tabs>
          <w:tab w:val="left" w:pos="1047"/>
        </w:tabs>
        <w:spacing w:after="0" w:line="360" w:lineRule="auto"/>
        <w:ind w:firstLine="0"/>
        <w:contextualSpacing w:val="0"/>
        <w:jc w:val="both"/>
        <w:rPr>
          <w:rFonts w:ascii="Calibri" w:eastAsia="Times New Roman" w:hAnsi="Calibri" w:cs="Calibri"/>
          <w:kern w:val="2"/>
          <w:sz w:val="24"/>
          <w:szCs w:val="24"/>
          <w:lang w:val="en-US"/>
          <w14:ligatures w14:val="standardContextual"/>
        </w:rPr>
      </w:pPr>
    </w:p>
    <w:p w14:paraId="4110A2F4" w14:textId="10981DC2" w:rsidR="00774C47" w:rsidRPr="009D28BE" w:rsidRDefault="00774C47" w:rsidP="009D28BE">
      <w:pPr>
        <w:tabs>
          <w:tab w:val="left" w:pos="1047"/>
        </w:tabs>
        <w:spacing w:after="0" w:line="360" w:lineRule="auto"/>
        <w:ind w:firstLine="0"/>
        <w:contextualSpacing w:val="0"/>
        <w:jc w:val="center"/>
        <w:rPr>
          <w:rFonts w:ascii="Times New Roman" w:eastAsia="Times New Roman" w:hAnsi="Times New Roman" w:cs="Times New Roman"/>
          <w:b/>
          <w:bCs/>
          <w:kern w:val="2"/>
          <w:sz w:val="28"/>
          <w:szCs w:val="28"/>
          <w:lang w:val="en-US"/>
          <w14:ligatures w14:val="standardContextual"/>
        </w:rPr>
      </w:pPr>
      <w:r w:rsidRPr="009D28BE">
        <w:rPr>
          <w:rFonts w:ascii="Times New Roman" w:eastAsia="Times New Roman" w:hAnsi="Times New Roman" w:cs="Times New Roman"/>
          <w:b/>
          <w:bCs/>
          <w:kern w:val="2"/>
          <w:sz w:val="28"/>
          <w:szCs w:val="28"/>
          <w:lang w:val="en-US"/>
          <w14:ligatures w14:val="standardContextual"/>
        </w:rPr>
        <w:t>Cognitive skills by age group</w:t>
      </w:r>
    </w:p>
    <w:p w14:paraId="646945CF" w14:textId="28E9936A" w:rsidR="00D92A45" w:rsidRDefault="00B73144" w:rsidP="00896D56">
      <w:pPr>
        <w:tabs>
          <w:tab w:val="left" w:pos="1047"/>
        </w:tabs>
        <w:spacing w:after="0" w:line="360" w:lineRule="auto"/>
        <w:ind w:firstLine="0"/>
        <w:contextualSpacing w:val="0"/>
        <w:jc w:val="both"/>
        <w:rPr>
          <w:rFonts w:ascii="Times New Roman" w:eastAsia="Times New Roman" w:hAnsi="Times New Roman" w:cs="Times New Roman"/>
          <w:kern w:val="2"/>
          <w:sz w:val="24"/>
          <w:szCs w:val="24"/>
          <w:lang w:val="en-US"/>
          <w14:ligatures w14:val="standardContextual"/>
        </w:rPr>
      </w:pPr>
      <w:r w:rsidRPr="00B73144">
        <w:rPr>
          <w:rFonts w:ascii="Times New Roman" w:eastAsia="Times New Roman" w:hAnsi="Times New Roman" w:cs="Times New Roman"/>
          <w:kern w:val="2"/>
          <w:sz w:val="24"/>
          <w:szCs w:val="24"/>
          <w:lang w:val="en-US"/>
          <w14:ligatures w14:val="standardContextual"/>
        </w:rPr>
        <w:t xml:space="preserve">The analysis of cognitive skills reveals a clear trend related to age. Individuals aged 15–23 obtained the highest scores, averaging 215.08 points in numeracy and 229.77 points in literacy. Scores remain relatively stable for those aged 24–33, with minor variations. Starting from age 34, a gradual decline in cognitive skills is observed. Participants aged 34–43 scored 211.35 in numeracy and 221.28 in literacy. Those aged 44–53 experienced a more pronounced decline, with averages of 200.41 and 210.36 in numeracy and literacy, </w:t>
      </w:r>
      <w:r w:rsidRPr="00B73144">
        <w:rPr>
          <w:rFonts w:ascii="Times New Roman" w:eastAsia="Times New Roman" w:hAnsi="Times New Roman" w:cs="Times New Roman"/>
          <w:kern w:val="2"/>
          <w:sz w:val="24"/>
          <w:szCs w:val="24"/>
          <w:lang w:val="en-US"/>
          <w14:ligatures w14:val="standardContextual"/>
        </w:rPr>
        <w:lastRenderedPageBreak/>
        <w:t>respectively. The oldest cohort, aged 54–65, recorded the lowest scores, averaging 184.39 in numeracy and 194.75 in literacy, highlighting an age-related decrease in cognitive performance.</w:t>
      </w:r>
    </w:p>
    <w:p w14:paraId="604C4963" w14:textId="77777777" w:rsidR="00737A03" w:rsidRPr="00C17F54" w:rsidRDefault="00737A03" w:rsidP="003A5450">
      <w:pPr>
        <w:tabs>
          <w:tab w:val="left" w:pos="1047"/>
        </w:tabs>
        <w:spacing w:after="0" w:line="360" w:lineRule="auto"/>
        <w:ind w:firstLine="0"/>
        <w:contextualSpacing w:val="0"/>
        <w:jc w:val="both"/>
        <w:rPr>
          <w:rFonts w:ascii="Times New Roman" w:eastAsia="Times New Roman" w:hAnsi="Times New Roman" w:cs="Times New Roman"/>
          <w:kern w:val="2"/>
          <w:sz w:val="24"/>
          <w:szCs w:val="24"/>
          <w:lang w:val="en-US"/>
          <w14:ligatures w14:val="standardContextual"/>
        </w:rPr>
      </w:pPr>
    </w:p>
    <w:p w14:paraId="01535A42" w14:textId="5C1F06DE" w:rsidR="00AA1899" w:rsidRPr="00597346" w:rsidRDefault="00C648B8" w:rsidP="009D28BE">
      <w:pPr>
        <w:tabs>
          <w:tab w:val="left" w:pos="1047"/>
        </w:tabs>
        <w:spacing w:after="0" w:line="360" w:lineRule="auto"/>
        <w:ind w:firstLine="0"/>
        <w:contextualSpacing w:val="0"/>
        <w:jc w:val="center"/>
        <w:rPr>
          <w:rFonts w:ascii="Times New Roman" w:eastAsia="Times New Roman" w:hAnsi="Times New Roman" w:cs="Times New Roman"/>
          <w:b/>
          <w:bCs/>
          <w:kern w:val="2"/>
          <w:sz w:val="24"/>
          <w:szCs w:val="24"/>
          <w:lang w:val="en-US"/>
          <w14:ligatures w14:val="standardContextual"/>
        </w:rPr>
      </w:pPr>
      <w:r w:rsidRPr="00C17F54">
        <w:rPr>
          <w:rFonts w:ascii="Times New Roman" w:eastAsia="Times New Roman" w:hAnsi="Times New Roman" w:cs="Times New Roman"/>
          <w:b/>
          <w:bCs/>
          <w:kern w:val="2"/>
          <w:sz w:val="24"/>
          <w:szCs w:val="24"/>
          <w:lang w:val="en-US"/>
          <w14:ligatures w14:val="standardContextual"/>
        </w:rPr>
        <w:t xml:space="preserve">Table </w:t>
      </w:r>
      <w:r w:rsidR="003E22F9">
        <w:rPr>
          <w:rFonts w:ascii="Times New Roman" w:eastAsia="Times New Roman" w:hAnsi="Times New Roman" w:cs="Times New Roman"/>
          <w:b/>
          <w:bCs/>
          <w:kern w:val="2"/>
          <w:sz w:val="24"/>
          <w:szCs w:val="24"/>
          <w:lang w:val="en-US"/>
          <w14:ligatures w14:val="standardContextual"/>
        </w:rPr>
        <w:t>4</w:t>
      </w:r>
      <w:r w:rsidR="00597346">
        <w:rPr>
          <w:rFonts w:ascii="Times New Roman" w:eastAsia="Times New Roman" w:hAnsi="Times New Roman" w:cs="Times New Roman"/>
          <w:b/>
          <w:bCs/>
          <w:kern w:val="2"/>
          <w:sz w:val="24"/>
          <w:szCs w:val="24"/>
          <w:lang w:val="en-US"/>
          <w14:ligatures w14:val="standardContextual"/>
        </w:rPr>
        <w:t xml:space="preserve">. </w:t>
      </w:r>
      <w:r w:rsidRPr="009D28BE">
        <w:rPr>
          <w:rFonts w:ascii="Times New Roman" w:eastAsia="Times New Roman" w:hAnsi="Times New Roman" w:cs="Times New Roman"/>
          <w:kern w:val="2"/>
          <w:sz w:val="24"/>
          <w:szCs w:val="24"/>
          <w:lang w:val="en-US"/>
          <w14:ligatures w14:val="standardContextual"/>
        </w:rPr>
        <w:t>Numeracy and literacy skill scores by age group</w:t>
      </w:r>
    </w:p>
    <w:tbl>
      <w:tblPr>
        <w:tblpPr w:leftFromText="141" w:rightFromText="14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68"/>
        <w:gridCol w:w="3000"/>
        <w:gridCol w:w="3060"/>
      </w:tblGrid>
      <w:tr w:rsidR="000052A2" w:rsidRPr="009D28BE" w14:paraId="743CD2D1" w14:textId="77777777" w:rsidTr="009D28BE">
        <w:trPr>
          <w:trHeight w:val="558"/>
        </w:trPr>
        <w:tc>
          <w:tcPr>
            <w:tcW w:w="1568" w:type="pct"/>
            <w:noWrap/>
            <w:vAlign w:val="bottom"/>
            <w:hideMark/>
          </w:tcPr>
          <w:p w14:paraId="75BA59B5" w14:textId="3336E2DF"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 xml:space="preserve">Age </w:t>
            </w:r>
            <w:proofErr w:type="spellStart"/>
            <w:r w:rsidRPr="009D28BE">
              <w:rPr>
                <w:rFonts w:ascii="Times New Roman" w:eastAsia="Times New Roman" w:hAnsi="Times New Roman" w:cs="Times New Roman"/>
                <w:color w:val="000000"/>
                <w:sz w:val="24"/>
                <w:szCs w:val="24"/>
                <w:lang w:eastAsia="es-MX"/>
              </w:rPr>
              <w:t>group</w:t>
            </w:r>
            <w:proofErr w:type="spellEnd"/>
          </w:p>
        </w:tc>
        <w:tc>
          <w:tcPr>
            <w:tcW w:w="1699" w:type="pct"/>
            <w:noWrap/>
            <w:vAlign w:val="bottom"/>
            <w:hideMark/>
          </w:tcPr>
          <w:p w14:paraId="09107CC1" w14:textId="723F6CFA"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proofErr w:type="spellStart"/>
            <w:r w:rsidRPr="009D28BE">
              <w:rPr>
                <w:rFonts w:ascii="Times New Roman" w:eastAsia="Times New Roman" w:hAnsi="Times New Roman" w:cs="Times New Roman"/>
                <w:color w:val="000000"/>
                <w:sz w:val="24"/>
                <w:szCs w:val="24"/>
                <w:lang w:eastAsia="es-MX"/>
              </w:rPr>
              <w:t>Numeracy</w:t>
            </w:r>
            <w:proofErr w:type="spellEnd"/>
            <w:r w:rsidRPr="009D28BE">
              <w:rPr>
                <w:rFonts w:ascii="Times New Roman" w:eastAsia="Times New Roman" w:hAnsi="Times New Roman" w:cs="Times New Roman"/>
                <w:color w:val="000000"/>
                <w:sz w:val="24"/>
                <w:szCs w:val="24"/>
                <w:lang w:eastAsia="es-MX"/>
              </w:rPr>
              <w:t xml:space="preserve"> </w:t>
            </w:r>
            <w:proofErr w:type="spellStart"/>
            <w:r w:rsidRPr="009D28BE">
              <w:rPr>
                <w:rFonts w:ascii="Times New Roman" w:eastAsia="Times New Roman" w:hAnsi="Times New Roman" w:cs="Times New Roman"/>
                <w:color w:val="000000"/>
                <w:sz w:val="24"/>
                <w:szCs w:val="24"/>
                <w:lang w:eastAsia="es-MX"/>
              </w:rPr>
              <w:t>skill</w:t>
            </w:r>
            <w:proofErr w:type="spellEnd"/>
          </w:p>
        </w:tc>
        <w:tc>
          <w:tcPr>
            <w:tcW w:w="1733" w:type="pct"/>
            <w:noWrap/>
            <w:vAlign w:val="bottom"/>
            <w:hideMark/>
          </w:tcPr>
          <w:p w14:paraId="588EAAD7" w14:textId="4BE3472F"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proofErr w:type="spellStart"/>
            <w:r w:rsidRPr="009D28BE">
              <w:rPr>
                <w:rFonts w:ascii="Times New Roman" w:eastAsia="Times New Roman" w:hAnsi="Times New Roman" w:cs="Times New Roman"/>
                <w:color w:val="000000"/>
                <w:sz w:val="24"/>
                <w:szCs w:val="24"/>
                <w:lang w:eastAsia="es-MX"/>
              </w:rPr>
              <w:t>Literacy</w:t>
            </w:r>
            <w:proofErr w:type="spellEnd"/>
            <w:r w:rsidRPr="009D28BE">
              <w:rPr>
                <w:rFonts w:ascii="Times New Roman" w:eastAsia="Times New Roman" w:hAnsi="Times New Roman" w:cs="Times New Roman"/>
                <w:color w:val="000000"/>
                <w:sz w:val="24"/>
                <w:szCs w:val="24"/>
                <w:lang w:eastAsia="es-MX"/>
              </w:rPr>
              <w:t xml:space="preserve"> </w:t>
            </w:r>
            <w:proofErr w:type="spellStart"/>
            <w:r w:rsidRPr="009D28BE">
              <w:rPr>
                <w:rFonts w:ascii="Times New Roman" w:eastAsia="Times New Roman" w:hAnsi="Times New Roman" w:cs="Times New Roman"/>
                <w:color w:val="000000"/>
                <w:sz w:val="24"/>
                <w:szCs w:val="24"/>
                <w:lang w:eastAsia="es-MX"/>
              </w:rPr>
              <w:t>skill</w:t>
            </w:r>
            <w:proofErr w:type="spellEnd"/>
          </w:p>
        </w:tc>
      </w:tr>
      <w:tr w:rsidR="000052A2" w:rsidRPr="009D28BE" w14:paraId="315D80A0" w14:textId="77777777" w:rsidTr="009D28BE">
        <w:trPr>
          <w:trHeight w:val="285"/>
        </w:trPr>
        <w:tc>
          <w:tcPr>
            <w:tcW w:w="1568" w:type="pct"/>
            <w:noWrap/>
            <w:vAlign w:val="bottom"/>
            <w:hideMark/>
          </w:tcPr>
          <w:p w14:paraId="5C709E86"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15-23</w:t>
            </w:r>
          </w:p>
        </w:tc>
        <w:tc>
          <w:tcPr>
            <w:tcW w:w="1699" w:type="pct"/>
            <w:noWrap/>
            <w:vAlign w:val="bottom"/>
            <w:hideMark/>
          </w:tcPr>
          <w:p w14:paraId="677E6B98"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215.08</w:t>
            </w:r>
          </w:p>
        </w:tc>
        <w:tc>
          <w:tcPr>
            <w:tcW w:w="1733" w:type="pct"/>
            <w:noWrap/>
            <w:vAlign w:val="bottom"/>
            <w:hideMark/>
          </w:tcPr>
          <w:p w14:paraId="77F29C27"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229.77</w:t>
            </w:r>
          </w:p>
        </w:tc>
      </w:tr>
      <w:tr w:rsidR="000052A2" w:rsidRPr="009D28BE" w14:paraId="6931D902" w14:textId="77777777" w:rsidTr="009D28BE">
        <w:trPr>
          <w:trHeight w:val="285"/>
        </w:trPr>
        <w:tc>
          <w:tcPr>
            <w:tcW w:w="1568" w:type="pct"/>
            <w:noWrap/>
            <w:vAlign w:val="bottom"/>
            <w:hideMark/>
          </w:tcPr>
          <w:p w14:paraId="6B1C48B9"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24-33</w:t>
            </w:r>
          </w:p>
        </w:tc>
        <w:tc>
          <w:tcPr>
            <w:tcW w:w="1699" w:type="pct"/>
            <w:noWrap/>
            <w:vAlign w:val="bottom"/>
            <w:hideMark/>
          </w:tcPr>
          <w:p w14:paraId="371ECFCD"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215.75</w:t>
            </w:r>
          </w:p>
        </w:tc>
        <w:tc>
          <w:tcPr>
            <w:tcW w:w="1733" w:type="pct"/>
            <w:noWrap/>
            <w:vAlign w:val="bottom"/>
            <w:hideMark/>
          </w:tcPr>
          <w:p w14:paraId="3416C936"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228.15</w:t>
            </w:r>
          </w:p>
        </w:tc>
      </w:tr>
      <w:tr w:rsidR="000052A2" w:rsidRPr="009D28BE" w14:paraId="707CF733" w14:textId="77777777" w:rsidTr="009D28BE">
        <w:trPr>
          <w:trHeight w:val="285"/>
        </w:trPr>
        <w:tc>
          <w:tcPr>
            <w:tcW w:w="1568" w:type="pct"/>
            <w:noWrap/>
            <w:vAlign w:val="bottom"/>
            <w:hideMark/>
          </w:tcPr>
          <w:p w14:paraId="385F0B00"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34-43</w:t>
            </w:r>
          </w:p>
        </w:tc>
        <w:tc>
          <w:tcPr>
            <w:tcW w:w="1699" w:type="pct"/>
            <w:noWrap/>
            <w:vAlign w:val="bottom"/>
            <w:hideMark/>
          </w:tcPr>
          <w:p w14:paraId="3135E0B5"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211.35</w:t>
            </w:r>
          </w:p>
        </w:tc>
        <w:tc>
          <w:tcPr>
            <w:tcW w:w="1733" w:type="pct"/>
            <w:noWrap/>
            <w:vAlign w:val="bottom"/>
            <w:hideMark/>
          </w:tcPr>
          <w:p w14:paraId="7AFA5432"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221.28</w:t>
            </w:r>
          </w:p>
        </w:tc>
      </w:tr>
      <w:tr w:rsidR="000052A2" w:rsidRPr="009D28BE" w14:paraId="2658BFC2" w14:textId="77777777" w:rsidTr="009D28BE">
        <w:trPr>
          <w:trHeight w:val="285"/>
        </w:trPr>
        <w:tc>
          <w:tcPr>
            <w:tcW w:w="1568" w:type="pct"/>
            <w:noWrap/>
            <w:vAlign w:val="bottom"/>
            <w:hideMark/>
          </w:tcPr>
          <w:p w14:paraId="0524553E"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44-53</w:t>
            </w:r>
          </w:p>
        </w:tc>
        <w:tc>
          <w:tcPr>
            <w:tcW w:w="1699" w:type="pct"/>
            <w:noWrap/>
            <w:vAlign w:val="bottom"/>
            <w:hideMark/>
          </w:tcPr>
          <w:p w14:paraId="5DE6ECC9"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200.41</w:t>
            </w:r>
          </w:p>
        </w:tc>
        <w:tc>
          <w:tcPr>
            <w:tcW w:w="1733" w:type="pct"/>
            <w:noWrap/>
            <w:vAlign w:val="bottom"/>
            <w:hideMark/>
          </w:tcPr>
          <w:p w14:paraId="7F16BCDF"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210.36</w:t>
            </w:r>
          </w:p>
        </w:tc>
      </w:tr>
      <w:tr w:rsidR="000052A2" w:rsidRPr="009D28BE" w14:paraId="41C53BDE" w14:textId="77777777" w:rsidTr="009D28BE">
        <w:trPr>
          <w:trHeight w:val="285"/>
        </w:trPr>
        <w:tc>
          <w:tcPr>
            <w:tcW w:w="1568" w:type="pct"/>
            <w:noWrap/>
            <w:vAlign w:val="bottom"/>
            <w:hideMark/>
          </w:tcPr>
          <w:p w14:paraId="35C13BFC"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54-65</w:t>
            </w:r>
          </w:p>
        </w:tc>
        <w:tc>
          <w:tcPr>
            <w:tcW w:w="1699" w:type="pct"/>
            <w:noWrap/>
            <w:vAlign w:val="bottom"/>
            <w:hideMark/>
          </w:tcPr>
          <w:p w14:paraId="51270977"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184.39</w:t>
            </w:r>
          </w:p>
        </w:tc>
        <w:tc>
          <w:tcPr>
            <w:tcW w:w="1733" w:type="pct"/>
            <w:noWrap/>
            <w:vAlign w:val="bottom"/>
            <w:hideMark/>
          </w:tcPr>
          <w:p w14:paraId="61A2E8AE" w14:textId="77777777" w:rsidR="00AA1899" w:rsidRPr="009D28BE" w:rsidRDefault="00C648B8" w:rsidP="00AA1899">
            <w:pPr>
              <w:spacing w:after="0" w:line="360" w:lineRule="auto"/>
              <w:ind w:firstLine="0"/>
              <w:contextualSpacing w:val="0"/>
              <w:jc w:val="center"/>
              <w:rPr>
                <w:rFonts w:ascii="Times New Roman" w:eastAsia="Times New Roman" w:hAnsi="Times New Roman" w:cs="Times New Roman"/>
                <w:color w:val="000000"/>
                <w:sz w:val="24"/>
                <w:szCs w:val="24"/>
                <w:lang w:eastAsia="es-MX"/>
              </w:rPr>
            </w:pPr>
            <w:r w:rsidRPr="009D28BE">
              <w:rPr>
                <w:rFonts w:ascii="Times New Roman" w:eastAsia="Times New Roman" w:hAnsi="Times New Roman" w:cs="Times New Roman"/>
                <w:color w:val="000000"/>
                <w:sz w:val="24"/>
                <w:szCs w:val="24"/>
                <w:lang w:eastAsia="es-MX"/>
              </w:rPr>
              <w:t>194.75</w:t>
            </w:r>
          </w:p>
        </w:tc>
      </w:tr>
      <w:tr w:rsidR="000052A2" w:rsidRPr="00F25151" w14:paraId="1A907122" w14:textId="77777777" w:rsidTr="009D28BE">
        <w:trPr>
          <w:trHeight w:val="278"/>
        </w:trPr>
        <w:tc>
          <w:tcPr>
            <w:tcW w:w="5000" w:type="pct"/>
            <w:gridSpan w:val="3"/>
            <w:noWrap/>
            <w:vAlign w:val="bottom"/>
          </w:tcPr>
          <w:p w14:paraId="469699A0" w14:textId="0C5613D0" w:rsidR="00AA1899" w:rsidRPr="009D28BE" w:rsidRDefault="00C648B8" w:rsidP="0067135A">
            <w:pPr>
              <w:tabs>
                <w:tab w:val="left" w:pos="1047"/>
              </w:tabs>
              <w:spacing w:line="360" w:lineRule="auto"/>
              <w:ind w:firstLine="0"/>
              <w:contextualSpacing w:val="0"/>
              <w:jc w:val="center"/>
              <w:rPr>
                <w:rFonts w:ascii="Times New Roman" w:eastAsia="Times New Roman" w:hAnsi="Times New Roman" w:cs="Times New Roman"/>
                <w:kern w:val="2"/>
                <w:sz w:val="24"/>
                <w:szCs w:val="24"/>
                <w:lang w:val="en-US"/>
                <w14:ligatures w14:val="standardContextual"/>
              </w:rPr>
            </w:pPr>
            <w:r w:rsidRPr="009D28BE">
              <w:rPr>
                <w:rFonts w:ascii="Times New Roman" w:eastAsia="Aptos" w:hAnsi="Times New Roman" w:cs="Times New Roman"/>
                <w:kern w:val="2"/>
                <w:sz w:val="24"/>
                <w:szCs w:val="24"/>
                <w:lang w:val="en-US"/>
                <w14:ligatures w14:val="standardContextual"/>
              </w:rPr>
              <w:t xml:space="preserve">Source: </w:t>
            </w:r>
            <w:r w:rsidR="009F5D38" w:rsidRPr="009D28BE">
              <w:rPr>
                <w:rFonts w:ascii="Times New Roman" w:eastAsia="Aptos" w:hAnsi="Times New Roman" w:cs="Times New Roman"/>
                <w:kern w:val="2"/>
                <w:sz w:val="24"/>
                <w:szCs w:val="24"/>
                <w:lang w:val="en-US"/>
                <w14:ligatures w14:val="standardContextual"/>
              </w:rPr>
              <w:t xml:space="preserve">Adapted from </w:t>
            </w:r>
            <w:r w:rsidRPr="009D28BE">
              <w:rPr>
                <w:rFonts w:ascii="Times New Roman" w:eastAsia="Aptos" w:hAnsi="Times New Roman" w:cs="Times New Roman"/>
                <w:kern w:val="2"/>
                <w:sz w:val="24"/>
                <w:szCs w:val="24"/>
                <w:lang w:val="en-US"/>
                <w14:ligatures w14:val="standardContextual"/>
              </w:rPr>
              <w:t>PIAAC data</w:t>
            </w:r>
            <w:r w:rsidR="00126DAA" w:rsidRPr="009D28BE">
              <w:rPr>
                <w:rFonts w:ascii="Times New Roman" w:eastAsia="Aptos" w:hAnsi="Times New Roman" w:cs="Times New Roman"/>
                <w:kern w:val="2"/>
                <w:sz w:val="24"/>
                <w:szCs w:val="24"/>
                <w:lang w:val="en-US"/>
                <w14:ligatures w14:val="standardContextual"/>
              </w:rPr>
              <w:t xml:space="preserve"> (</w:t>
            </w:r>
            <w:r w:rsidRPr="009D28BE">
              <w:rPr>
                <w:rFonts w:ascii="Times New Roman" w:eastAsia="Aptos" w:hAnsi="Times New Roman" w:cs="Times New Roman"/>
                <w:kern w:val="2"/>
                <w:sz w:val="24"/>
                <w:szCs w:val="24"/>
                <w:lang w:val="en-US"/>
                <w14:ligatures w14:val="standardContextual"/>
              </w:rPr>
              <w:t>2017</w:t>
            </w:r>
            <w:r w:rsidR="00126DAA" w:rsidRPr="009D28BE">
              <w:rPr>
                <w:rFonts w:ascii="Times New Roman" w:eastAsia="Aptos" w:hAnsi="Times New Roman" w:cs="Times New Roman"/>
                <w:kern w:val="2"/>
                <w:sz w:val="24"/>
                <w:szCs w:val="24"/>
                <w:lang w:val="en-US"/>
                <w14:ligatures w14:val="standardContextual"/>
              </w:rPr>
              <w:t>)</w:t>
            </w:r>
          </w:p>
        </w:tc>
      </w:tr>
    </w:tbl>
    <w:p w14:paraId="1CBAB048" w14:textId="77777777" w:rsidR="00AA1899" w:rsidRPr="00B73144" w:rsidRDefault="00AA1899" w:rsidP="00B73144">
      <w:pPr>
        <w:spacing w:line="240" w:lineRule="auto"/>
        <w:ind w:firstLine="360"/>
        <w:jc w:val="center"/>
        <w:rPr>
          <w:rFonts w:ascii="Times New Roman" w:hAnsi="Times New Roman" w:cs="Times New Roman"/>
          <w:bCs/>
          <w:sz w:val="28"/>
          <w:szCs w:val="28"/>
          <w:lang w:val="en-US"/>
        </w:rPr>
      </w:pPr>
    </w:p>
    <w:p w14:paraId="4C3E5BFC" w14:textId="35670810" w:rsidR="0019201B" w:rsidRPr="009D28BE" w:rsidRDefault="0019201B" w:rsidP="009D28BE">
      <w:pPr>
        <w:spacing w:line="360" w:lineRule="auto"/>
        <w:ind w:firstLine="0"/>
        <w:jc w:val="center"/>
        <w:rPr>
          <w:rFonts w:ascii="Times New Roman" w:hAnsi="Times New Roman" w:cs="Times New Roman"/>
          <w:b/>
          <w:sz w:val="28"/>
          <w:szCs w:val="28"/>
          <w:lang w:val="en-US"/>
        </w:rPr>
      </w:pPr>
      <w:r w:rsidRPr="009D28BE">
        <w:rPr>
          <w:rFonts w:ascii="Times New Roman" w:hAnsi="Times New Roman" w:cs="Times New Roman"/>
          <w:b/>
          <w:sz w:val="28"/>
          <w:szCs w:val="28"/>
          <w:lang w:val="en-US"/>
        </w:rPr>
        <w:t>Determinants of cognitive skills</w:t>
      </w:r>
    </w:p>
    <w:p w14:paraId="6DE2AD97" w14:textId="6C228CEC" w:rsidR="0019201B" w:rsidRPr="0019201B" w:rsidRDefault="0019201B" w:rsidP="009D28BE">
      <w:pPr>
        <w:spacing w:after="0" w:line="360" w:lineRule="auto"/>
        <w:ind w:firstLine="0"/>
        <w:contextualSpacing w:val="0"/>
        <w:jc w:val="both"/>
        <w:rPr>
          <w:rFonts w:ascii="Times New Roman" w:hAnsi="Times New Roman" w:cs="Times New Roman"/>
          <w:bCs/>
          <w:sz w:val="24"/>
          <w:szCs w:val="24"/>
          <w:lang w:val="en-US"/>
        </w:rPr>
      </w:pPr>
      <w:r w:rsidRPr="0019201B">
        <w:rPr>
          <w:rFonts w:ascii="Times New Roman" w:hAnsi="Times New Roman" w:cs="Times New Roman"/>
          <w:bCs/>
          <w:sz w:val="24"/>
          <w:szCs w:val="24"/>
          <w:lang w:val="en-US"/>
        </w:rPr>
        <w:t>Regression analysis was conducted to identify the factors influencing numeracy and literacy skills. Educational attainment emerged as the strongest predictor. Individuals who completed high school scored, on average, 24.20 points higher in literacy and 30.23 points higher in numeracy compared to those with only primary education or less. Completion of university or higher education further increased scores by 37.55 points in literacy and 44.12 points in numeracy, confirming the crucial role of advanced education in cognitive development.</w:t>
      </w:r>
    </w:p>
    <w:p w14:paraId="2C2A7138" w14:textId="77777777" w:rsidR="0019201B" w:rsidRPr="0019201B" w:rsidRDefault="0019201B" w:rsidP="009D28BE">
      <w:pPr>
        <w:spacing w:after="0" w:line="360" w:lineRule="auto"/>
        <w:ind w:firstLine="708"/>
        <w:contextualSpacing w:val="0"/>
        <w:jc w:val="both"/>
        <w:rPr>
          <w:rFonts w:ascii="Times New Roman" w:hAnsi="Times New Roman" w:cs="Times New Roman"/>
          <w:bCs/>
          <w:sz w:val="24"/>
          <w:szCs w:val="24"/>
          <w:lang w:val="en-US"/>
        </w:rPr>
      </w:pPr>
      <w:r w:rsidRPr="0019201B">
        <w:rPr>
          <w:rFonts w:ascii="Times New Roman" w:hAnsi="Times New Roman" w:cs="Times New Roman"/>
          <w:bCs/>
          <w:sz w:val="24"/>
          <w:szCs w:val="24"/>
          <w:lang w:val="en-US"/>
        </w:rPr>
        <w:t>Age was negatively associated with cognitive skills. Compared to the 15–24 age group, individuals aged 34–43 showed decreases of 8.75 points in literacy and 5.64 points in numeracy. Participants aged 44–53 experienced larger reductions, with 19.69 points lower in literacy and 16.21 points lower in numeracy. The oldest group, aged 54–65, exhibited the steepest declines, with reductions of 32.81 points in literacy and 30.29 points in numeracy.</w:t>
      </w:r>
    </w:p>
    <w:p w14:paraId="73463274" w14:textId="77777777" w:rsidR="0019201B" w:rsidRPr="0019201B" w:rsidRDefault="0019201B" w:rsidP="009D28BE">
      <w:pPr>
        <w:spacing w:after="0" w:line="360" w:lineRule="auto"/>
        <w:ind w:firstLine="708"/>
        <w:contextualSpacing w:val="0"/>
        <w:jc w:val="both"/>
        <w:rPr>
          <w:rFonts w:ascii="Times New Roman" w:hAnsi="Times New Roman" w:cs="Times New Roman"/>
          <w:bCs/>
          <w:sz w:val="24"/>
          <w:szCs w:val="24"/>
          <w:lang w:val="en-US"/>
        </w:rPr>
      </w:pPr>
      <w:r w:rsidRPr="0019201B">
        <w:rPr>
          <w:rFonts w:ascii="Times New Roman" w:hAnsi="Times New Roman" w:cs="Times New Roman"/>
          <w:bCs/>
          <w:sz w:val="24"/>
          <w:szCs w:val="24"/>
          <w:lang w:val="en-US"/>
        </w:rPr>
        <w:t>Parental education also had a significant effect. Individuals whose parents completed high school gained approximately 13–15 points in both skills, while children of university-educated parents experienced increases of about 14 points, illustrating the intergenerational transmission of educational advantage.</w:t>
      </w:r>
    </w:p>
    <w:p w14:paraId="670A866C" w14:textId="77777777" w:rsidR="0019201B" w:rsidRPr="0019201B" w:rsidRDefault="0019201B" w:rsidP="009D28BE">
      <w:pPr>
        <w:spacing w:after="0" w:line="360" w:lineRule="auto"/>
        <w:ind w:firstLine="708"/>
        <w:contextualSpacing w:val="0"/>
        <w:jc w:val="both"/>
        <w:rPr>
          <w:rFonts w:ascii="Times New Roman" w:hAnsi="Times New Roman" w:cs="Times New Roman"/>
          <w:bCs/>
          <w:sz w:val="24"/>
          <w:szCs w:val="24"/>
          <w:lang w:val="en-US"/>
        </w:rPr>
      </w:pPr>
      <w:r w:rsidRPr="0019201B">
        <w:rPr>
          <w:rFonts w:ascii="Times New Roman" w:hAnsi="Times New Roman" w:cs="Times New Roman"/>
          <w:bCs/>
          <w:sz w:val="24"/>
          <w:szCs w:val="24"/>
          <w:lang w:val="en-US"/>
        </w:rPr>
        <w:t>Gender differences were observed, with men scoring lower in literacy by 2.06 points but higher in numeracy by 6.17 points, suggesting domain-specific strengths.</w:t>
      </w:r>
    </w:p>
    <w:p w14:paraId="19D3C7DC" w14:textId="4C5B9910" w:rsidR="0019201B" w:rsidRPr="0019201B" w:rsidRDefault="0019201B" w:rsidP="009D28BE">
      <w:pPr>
        <w:spacing w:after="0" w:line="360" w:lineRule="auto"/>
        <w:ind w:firstLine="708"/>
        <w:contextualSpacing w:val="0"/>
        <w:jc w:val="both"/>
        <w:rPr>
          <w:rFonts w:ascii="Times New Roman" w:hAnsi="Times New Roman" w:cs="Times New Roman"/>
          <w:bCs/>
          <w:sz w:val="24"/>
          <w:szCs w:val="24"/>
          <w:lang w:val="en-US"/>
        </w:rPr>
      </w:pPr>
      <w:r w:rsidRPr="0019201B">
        <w:rPr>
          <w:rFonts w:ascii="Times New Roman" w:hAnsi="Times New Roman" w:cs="Times New Roman"/>
          <w:bCs/>
          <w:sz w:val="24"/>
          <w:szCs w:val="24"/>
          <w:lang w:val="en-US"/>
        </w:rPr>
        <w:lastRenderedPageBreak/>
        <w:t xml:space="preserve">Participation in non-formal training courses positively </w:t>
      </w:r>
      <w:r w:rsidR="005A03D6" w:rsidRPr="0019201B">
        <w:rPr>
          <w:rFonts w:ascii="Times New Roman" w:hAnsi="Times New Roman" w:cs="Times New Roman"/>
          <w:bCs/>
          <w:sz w:val="24"/>
          <w:szCs w:val="24"/>
          <w:lang w:val="en-US"/>
        </w:rPr>
        <w:t>impacted on</w:t>
      </w:r>
      <w:r w:rsidRPr="0019201B">
        <w:rPr>
          <w:rFonts w:ascii="Times New Roman" w:hAnsi="Times New Roman" w:cs="Times New Roman"/>
          <w:bCs/>
          <w:sz w:val="24"/>
          <w:szCs w:val="24"/>
          <w:lang w:val="en-US"/>
        </w:rPr>
        <w:t xml:space="preserve"> cognitive skills, yielding gains of 3.99 points in literacy and 3.67 points in numeracy. Similarly, each additional year of work experience was associated with increases of 0.32 points in literacy and 0.50 points in numeracy, emphasizing the value of continued practice and engagement in the labor market.</w:t>
      </w:r>
    </w:p>
    <w:p w14:paraId="2A865B74" w14:textId="6CA7089A" w:rsidR="0019201B" w:rsidRDefault="0019201B" w:rsidP="009D28BE">
      <w:pPr>
        <w:spacing w:after="0" w:line="360" w:lineRule="auto"/>
        <w:ind w:firstLine="708"/>
        <w:contextualSpacing w:val="0"/>
        <w:jc w:val="both"/>
        <w:rPr>
          <w:rFonts w:ascii="Times New Roman" w:hAnsi="Times New Roman" w:cs="Times New Roman"/>
          <w:bCs/>
          <w:sz w:val="24"/>
          <w:szCs w:val="24"/>
          <w:lang w:val="en-US"/>
        </w:rPr>
      </w:pPr>
      <w:r w:rsidRPr="0019201B">
        <w:rPr>
          <w:rFonts w:ascii="Times New Roman" w:hAnsi="Times New Roman" w:cs="Times New Roman"/>
          <w:bCs/>
          <w:sz w:val="24"/>
          <w:szCs w:val="24"/>
          <w:lang w:val="en-US"/>
        </w:rPr>
        <w:t>Health status was strongly associated with cognitive performance. Individuals reporting poor health experienced declines of 14.47 points in literacy and 13.18 points in numeracy, while those reporting fair health showed smaller reductions of around 2 points in both areas. Marital status had a minor impact, with married individuals showing a slight reduction of 1.98 points in literacy and no significant change in numeracy.</w:t>
      </w:r>
    </w:p>
    <w:p w14:paraId="0B06D31A" w14:textId="77777777" w:rsidR="00597346" w:rsidRDefault="00597346" w:rsidP="009D28BE">
      <w:pPr>
        <w:spacing w:after="0" w:line="360" w:lineRule="auto"/>
        <w:ind w:firstLine="708"/>
        <w:contextualSpacing w:val="0"/>
        <w:jc w:val="both"/>
        <w:rPr>
          <w:rFonts w:ascii="Times New Roman" w:hAnsi="Times New Roman" w:cs="Times New Roman"/>
          <w:bCs/>
          <w:sz w:val="24"/>
          <w:szCs w:val="24"/>
          <w:lang w:val="en-US"/>
        </w:rPr>
      </w:pPr>
    </w:p>
    <w:p w14:paraId="234A7988" w14:textId="6AAEED99" w:rsidR="005F7DFF" w:rsidRPr="009D28BE" w:rsidRDefault="005F7DFF" w:rsidP="009D28BE">
      <w:pPr>
        <w:spacing w:after="0" w:line="360" w:lineRule="auto"/>
        <w:ind w:firstLine="0"/>
        <w:contextualSpacing w:val="0"/>
        <w:jc w:val="center"/>
        <w:rPr>
          <w:rFonts w:ascii="Times New Roman" w:hAnsi="Times New Roman" w:cs="Times New Roman"/>
          <w:b/>
          <w:sz w:val="28"/>
          <w:szCs w:val="28"/>
          <w:lang w:val="en-US"/>
        </w:rPr>
      </w:pPr>
      <w:r w:rsidRPr="009D28BE">
        <w:rPr>
          <w:rFonts w:ascii="Times New Roman" w:hAnsi="Times New Roman" w:cs="Times New Roman"/>
          <w:b/>
          <w:sz w:val="28"/>
          <w:szCs w:val="28"/>
          <w:lang w:val="en-US"/>
        </w:rPr>
        <w:t>Summary of key findings</w:t>
      </w:r>
    </w:p>
    <w:p w14:paraId="6FA6DA03" w14:textId="1FDD356F" w:rsidR="005F7DFF" w:rsidRDefault="005F7DFF" w:rsidP="009D28BE">
      <w:pPr>
        <w:pStyle w:val="Prrafodelista"/>
        <w:spacing w:after="0" w:line="360" w:lineRule="auto"/>
        <w:ind w:left="0" w:firstLine="0"/>
        <w:contextualSpacing w:val="0"/>
        <w:jc w:val="both"/>
        <w:rPr>
          <w:rFonts w:ascii="Times New Roman" w:hAnsi="Times New Roman" w:cs="Times New Roman"/>
          <w:bCs/>
          <w:sz w:val="24"/>
          <w:szCs w:val="24"/>
          <w:lang w:val="en-US"/>
        </w:rPr>
      </w:pPr>
      <w:r w:rsidRPr="005F7DFF">
        <w:rPr>
          <w:rFonts w:ascii="Times New Roman" w:hAnsi="Times New Roman" w:cs="Times New Roman"/>
          <w:bCs/>
          <w:sz w:val="24"/>
          <w:szCs w:val="24"/>
          <w:lang w:val="en-US"/>
        </w:rPr>
        <w:t>Overall, education was the most influential factor in determining cognitive skills, followed by age and parental education. Gender, participation in training courses, work experience, and health status also significantly influenced outcomes. The results highlight that cognitive skills decline with age but can be positively affected by higher educational attainment, continuous learning, and professional experience, emphasizing the importance of lifelong learning and healthy living conditions.</w:t>
      </w:r>
    </w:p>
    <w:p w14:paraId="0D90144E" w14:textId="77777777" w:rsidR="00EA49B5" w:rsidRDefault="00EA49B5"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65E93254"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37A6B376"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4E5F0597"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2530A050"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192A916A"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1572BDF3"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5647C7C6"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026C7B88"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204F1BFD"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6B05B60E"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347796FA"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563E459D"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0A631A11"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6978B771" w14:textId="77777777" w:rsidR="00267F31" w:rsidRDefault="00267F31" w:rsidP="009D28BE">
      <w:pPr>
        <w:pStyle w:val="Prrafodelista"/>
        <w:spacing w:after="0" w:line="360" w:lineRule="auto"/>
        <w:ind w:left="0" w:firstLine="0"/>
        <w:contextualSpacing w:val="0"/>
        <w:jc w:val="both"/>
        <w:rPr>
          <w:rFonts w:ascii="Times New Roman" w:hAnsi="Times New Roman" w:cs="Times New Roman"/>
          <w:b/>
          <w:sz w:val="24"/>
          <w:szCs w:val="24"/>
          <w:lang w:val="en-US"/>
        </w:rPr>
      </w:pPr>
    </w:p>
    <w:p w14:paraId="50C39098" w14:textId="223CB247" w:rsidR="009D28BE" w:rsidRDefault="00EA49B5" w:rsidP="00267F31">
      <w:pPr>
        <w:pStyle w:val="Prrafodelista"/>
        <w:spacing w:after="0" w:line="360" w:lineRule="auto"/>
        <w:ind w:left="0" w:firstLine="0"/>
        <w:contextualSpacing w:val="0"/>
        <w:jc w:val="center"/>
        <w:rPr>
          <w:rFonts w:ascii="Times New Roman" w:hAnsi="Times New Roman" w:cs="Times New Roman"/>
          <w:bCs/>
          <w:sz w:val="24"/>
          <w:szCs w:val="24"/>
          <w:lang w:val="en-US"/>
        </w:rPr>
      </w:pPr>
      <w:r w:rsidRPr="00597346">
        <w:rPr>
          <w:rFonts w:ascii="Times New Roman" w:hAnsi="Times New Roman" w:cs="Times New Roman"/>
          <w:b/>
          <w:sz w:val="24"/>
          <w:szCs w:val="24"/>
          <w:lang w:val="en-US"/>
        </w:rPr>
        <w:lastRenderedPageBreak/>
        <w:t>Table 5.</w:t>
      </w:r>
      <w:r w:rsidRPr="00597346">
        <w:rPr>
          <w:rFonts w:ascii="Times New Roman" w:hAnsi="Times New Roman" w:cs="Times New Roman"/>
          <w:bCs/>
          <w:sz w:val="24"/>
          <w:szCs w:val="24"/>
          <w:lang w:val="en-US"/>
        </w:rPr>
        <w:t xml:space="preserve"> </w:t>
      </w:r>
      <w:r w:rsidRPr="009D28BE">
        <w:rPr>
          <w:rFonts w:ascii="Times New Roman" w:hAnsi="Times New Roman" w:cs="Times New Roman"/>
          <w:bCs/>
          <w:sz w:val="24"/>
          <w:szCs w:val="24"/>
          <w:lang w:val="en-US"/>
        </w:rPr>
        <w:t>Determinants of numeracy and literacy skill levels</w:t>
      </w:r>
    </w:p>
    <w:tbl>
      <w:tblPr>
        <w:tblpPr w:leftFromText="141" w:rightFromText="141" w:vertAnchor="page" w:horzAnchor="margin" w:tblpY="1771"/>
        <w:tblW w:w="8941" w:type="dxa"/>
        <w:tblCellMar>
          <w:left w:w="70" w:type="dxa"/>
          <w:right w:w="70" w:type="dxa"/>
        </w:tblCellMar>
        <w:tblLook w:val="04A0" w:firstRow="1" w:lastRow="0" w:firstColumn="1" w:lastColumn="0" w:noHBand="0" w:noVBand="1"/>
      </w:tblPr>
      <w:tblGrid>
        <w:gridCol w:w="2405"/>
        <w:gridCol w:w="2103"/>
        <w:gridCol w:w="1272"/>
        <w:gridCol w:w="1943"/>
        <w:gridCol w:w="1218"/>
      </w:tblGrid>
      <w:tr w:rsidR="0056654A" w:rsidRPr="00267F31" w14:paraId="39E15878" w14:textId="77777777" w:rsidTr="0056654A">
        <w:trPr>
          <w:trHeight w:val="698"/>
        </w:trPr>
        <w:tc>
          <w:tcPr>
            <w:tcW w:w="2405" w:type="dxa"/>
            <w:tcBorders>
              <w:top w:val="single" w:sz="4" w:space="0" w:color="auto"/>
              <w:left w:val="single" w:sz="4" w:space="0" w:color="auto"/>
              <w:bottom w:val="single" w:sz="4" w:space="0" w:color="auto"/>
              <w:right w:val="single" w:sz="4" w:space="0" w:color="auto"/>
            </w:tcBorders>
            <w:vAlign w:val="center"/>
            <w:hideMark/>
          </w:tcPr>
          <w:p w14:paraId="469538C7"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val="en-US" w:eastAsia="es-MX"/>
              </w:rPr>
            </w:pPr>
            <w:r w:rsidRPr="00267F31">
              <w:rPr>
                <w:rFonts w:ascii="Times New Roman" w:eastAsia="Times New Roman" w:hAnsi="Times New Roman" w:cs="Times New Roman"/>
                <w:color w:val="000000"/>
                <w:sz w:val="24"/>
                <w:szCs w:val="24"/>
                <w:lang w:eastAsia="es-MX"/>
              </w:rPr>
              <w:t>Variable</w:t>
            </w:r>
          </w:p>
        </w:tc>
        <w:tc>
          <w:tcPr>
            <w:tcW w:w="2103" w:type="dxa"/>
            <w:tcBorders>
              <w:top w:val="single" w:sz="4" w:space="0" w:color="auto"/>
              <w:left w:val="single" w:sz="4" w:space="0" w:color="auto"/>
              <w:bottom w:val="single" w:sz="4" w:space="0" w:color="auto"/>
            </w:tcBorders>
            <w:vAlign w:val="center"/>
            <w:hideMark/>
          </w:tcPr>
          <w:p w14:paraId="65B0058E" w14:textId="77777777" w:rsidR="0056654A" w:rsidRPr="00267F31" w:rsidRDefault="0056654A" w:rsidP="0056654A">
            <w:pPr>
              <w:spacing w:after="0" w:line="240" w:lineRule="auto"/>
              <w:ind w:firstLine="0"/>
              <w:contextualSpacing w:val="0"/>
              <w:jc w:val="center"/>
              <w:rPr>
                <w:rFonts w:ascii="Times New Roman" w:eastAsia="Times New Roman" w:hAnsi="Times New Roman" w:cs="Times New Roman"/>
                <w:color w:val="000000"/>
                <w:sz w:val="24"/>
                <w:szCs w:val="24"/>
                <w:lang w:eastAsia="es-MX"/>
              </w:rPr>
            </w:pPr>
            <w:proofErr w:type="spellStart"/>
            <w:r w:rsidRPr="00267F31">
              <w:rPr>
                <w:rFonts w:ascii="Times New Roman" w:eastAsia="Times New Roman" w:hAnsi="Times New Roman" w:cs="Times New Roman"/>
                <w:color w:val="000000"/>
                <w:sz w:val="24"/>
                <w:szCs w:val="24"/>
                <w:lang w:eastAsia="es-MX"/>
              </w:rPr>
              <w:t>Literacy</w:t>
            </w:r>
            <w:proofErr w:type="spellEnd"/>
            <w:r w:rsidRPr="00267F31">
              <w:rPr>
                <w:rFonts w:ascii="Times New Roman" w:eastAsia="Times New Roman" w:hAnsi="Times New Roman" w:cs="Times New Roman"/>
                <w:color w:val="000000"/>
                <w:sz w:val="24"/>
                <w:szCs w:val="24"/>
                <w:lang w:eastAsia="es-MX"/>
              </w:rPr>
              <w:t xml:space="preserve"> </w:t>
            </w:r>
            <w:proofErr w:type="spellStart"/>
            <w:r w:rsidRPr="00267F31">
              <w:rPr>
                <w:rFonts w:ascii="Times New Roman" w:eastAsia="Times New Roman" w:hAnsi="Times New Roman" w:cs="Times New Roman"/>
                <w:color w:val="000000"/>
                <w:sz w:val="24"/>
                <w:szCs w:val="24"/>
                <w:lang w:eastAsia="es-MX"/>
              </w:rPr>
              <w:t>skill</w:t>
            </w:r>
            <w:proofErr w:type="spellEnd"/>
          </w:p>
        </w:tc>
        <w:tc>
          <w:tcPr>
            <w:tcW w:w="1272" w:type="dxa"/>
            <w:tcBorders>
              <w:top w:val="single" w:sz="4" w:space="0" w:color="auto"/>
              <w:bottom w:val="single" w:sz="4" w:space="0" w:color="auto"/>
              <w:right w:val="single" w:sz="4" w:space="0" w:color="auto"/>
            </w:tcBorders>
            <w:vAlign w:val="center"/>
          </w:tcPr>
          <w:p w14:paraId="2CD1FB91" w14:textId="77777777" w:rsidR="0056654A" w:rsidRPr="00267F31" w:rsidRDefault="0056654A" w:rsidP="0056654A">
            <w:pPr>
              <w:spacing w:after="0" w:line="240" w:lineRule="auto"/>
              <w:ind w:firstLine="0"/>
              <w:contextualSpacing w:val="0"/>
              <w:jc w:val="center"/>
              <w:rPr>
                <w:rFonts w:ascii="Times New Roman" w:eastAsia="Times New Roman" w:hAnsi="Times New Roman" w:cs="Times New Roman"/>
                <w:color w:val="000000"/>
                <w:sz w:val="24"/>
                <w:szCs w:val="24"/>
                <w:lang w:eastAsia="es-MX"/>
              </w:rPr>
            </w:pPr>
          </w:p>
        </w:tc>
        <w:tc>
          <w:tcPr>
            <w:tcW w:w="1943" w:type="dxa"/>
            <w:tcBorders>
              <w:top w:val="single" w:sz="4" w:space="0" w:color="auto"/>
              <w:left w:val="single" w:sz="4" w:space="0" w:color="auto"/>
              <w:bottom w:val="single" w:sz="4" w:space="0" w:color="auto"/>
            </w:tcBorders>
            <w:vAlign w:val="center"/>
            <w:hideMark/>
          </w:tcPr>
          <w:p w14:paraId="0EACC17F" w14:textId="77777777" w:rsidR="0056654A" w:rsidRPr="00267F31" w:rsidRDefault="0056654A" w:rsidP="0056654A">
            <w:pPr>
              <w:spacing w:after="0" w:line="240" w:lineRule="auto"/>
              <w:ind w:firstLine="0"/>
              <w:contextualSpacing w:val="0"/>
              <w:jc w:val="center"/>
              <w:rPr>
                <w:rFonts w:ascii="Times New Roman" w:eastAsia="Times New Roman" w:hAnsi="Times New Roman" w:cs="Times New Roman"/>
                <w:color w:val="000000"/>
                <w:sz w:val="24"/>
                <w:szCs w:val="24"/>
                <w:lang w:eastAsia="es-MX"/>
              </w:rPr>
            </w:pPr>
            <w:proofErr w:type="spellStart"/>
            <w:r w:rsidRPr="00267F31">
              <w:rPr>
                <w:rFonts w:ascii="Times New Roman" w:eastAsia="Times New Roman" w:hAnsi="Times New Roman" w:cs="Times New Roman"/>
                <w:color w:val="000000"/>
                <w:sz w:val="24"/>
                <w:szCs w:val="24"/>
                <w:lang w:eastAsia="es-MX"/>
              </w:rPr>
              <w:t>Numeracy</w:t>
            </w:r>
            <w:proofErr w:type="spellEnd"/>
            <w:r w:rsidRPr="00267F31">
              <w:rPr>
                <w:rFonts w:ascii="Times New Roman" w:eastAsia="Times New Roman" w:hAnsi="Times New Roman" w:cs="Times New Roman"/>
                <w:color w:val="000000"/>
                <w:sz w:val="24"/>
                <w:szCs w:val="24"/>
                <w:lang w:eastAsia="es-MX"/>
              </w:rPr>
              <w:t xml:space="preserve"> </w:t>
            </w:r>
            <w:proofErr w:type="spellStart"/>
            <w:r w:rsidRPr="00267F31">
              <w:rPr>
                <w:rFonts w:ascii="Times New Roman" w:eastAsia="Times New Roman" w:hAnsi="Times New Roman" w:cs="Times New Roman"/>
                <w:color w:val="000000"/>
                <w:sz w:val="24"/>
                <w:szCs w:val="24"/>
                <w:lang w:eastAsia="es-MX"/>
              </w:rPr>
              <w:t>skill</w:t>
            </w:r>
            <w:proofErr w:type="spellEnd"/>
          </w:p>
        </w:tc>
        <w:tc>
          <w:tcPr>
            <w:tcW w:w="1218" w:type="dxa"/>
            <w:tcBorders>
              <w:top w:val="single" w:sz="4" w:space="0" w:color="auto"/>
              <w:bottom w:val="single" w:sz="4" w:space="0" w:color="auto"/>
              <w:right w:val="single" w:sz="4" w:space="0" w:color="auto"/>
            </w:tcBorders>
            <w:vAlign w:val="center"/>
          </w:tcPr>
          <w:p w14:paraId="1487D41F" w14:textId="77777777" w:rsidR="0056654A" w:rsidRPr="00267F31" w:rsidRDefault="0056654A" w:rsidP="0056654A">
            <w:pPr>
              <w:spacing w:after="0" w:line="240" w:lineRule="auto"/>
              <w:ind w:firstLine="0"/>
              <w:contextualSpacing w:val="0"/>
              <w:jc w:val="center"/>
              <w:rPr>
                <w:rFonts w:ascii="Times New Roman" w:eastAsia="Times New Roman" w:hAnsi="Times New Roman" w:cs="Times New Roman"/>
                <w:color w:val="000000"/>
                <w:sz w:val="24"/>
                <w:szCs w:val="24"/>
                <w:lang w:eastAsia="es-MX"/>
              </w:rPr>
            </w:pPr>
          </w:p>
        </w:tc>
      </w:tr>
      <w:tr w:rsidR="0056654A" w:rsidRPr="00267F31" w14:paraId="3F0747CA" w14:textId="77777777" w:rsidTr="0056654A">
        <w:trPr>
          <w:trHeight w:val="101"/>
        </w:trPr>
        <w:tc>
          <w:tcPr>
            <w:tcW w:w="2405" w:type="dxa"/>
            <w:tcBorders>
              <w:top w:val="single" w:sz="4" w:space="0" w:color="auto"/>
              <w:left w:val="single" w:sz="4" w:space="0" w:color="auto"/>
              <w:right w:val="single" w:sz="4" w:space="0" w:color="auto"/>
            </w:tcBorders>
            <w:noWrap/>
            <w:vAlign w:val="center"/>
            <w:hideMark/>
          </w:tcPr>
          <w:p w14:paraId="150BB7B5"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xml:space="preserve">High </w:t>
            </w:r>
            <w:proofErr w:type="spellStart"/>
            <w:r w:rsidRPr="00267F31">
              <w:rPr>
                <w:rFonts w:ascii="Times New Roman" w:eastAsia="Times New Roman" w:hAnsi="Times New Roman" w:cs="Times New Roman"/>
                <w:color w:val="000000"/>
                <w:sz w:val="24"/>
                <w:szCs w:val="24"/>
                <w:lang w:eastAsia="es-MX"/>
              </w:rPr>
              <w:t>School</w:t>
            </w:r>
            <w:proofErr w:type="spellEnd"/>
          </w:p>
        </w:tc>
        <w:tc>
          <w:tcPr>
            <w:tcW w:w="2103" w:type="dxa"/>
            <w:tcBorders>
              <w:top w:val="single" w:sz="4" w:space="0" w:color="auto"/>
              <w:left w:val="single" w:sz="4" w:space="0" w:color="auto"/>
            </w:tcBorders>
            <w:noWrap/>
            <w:vAlign w:val="center"/>
            <w:hideMark/>
          </w:tcPr>
          <w:p w14:paraId="7D93527F"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24.20</w:t>
            </w:r>
          </w:p>
        </w:tc>
        <w:tc>
          <w:tcPr>
            <w:tcW w:w="1272" w:type="dxa"/>
            <w:tcBorders>
              <w:top w:val="single" w:sz="4" w:space="0" w:color="auto"/>
              <w:right w:val="single" w:sz="4" w:space="0" w:color="auto"/>
            </w:tcBorders>
            <w:vAlign w:val="center"/>
          </w:tcPr>
          <w:p w14:paraId="17D0D7BD"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41F11C0A"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30.23</w:t>
            </w:r>
          </w:p>
        </w:tc>
        <w:tc>
          <w:tcPr>
            <w:tcW w:w="1218" w:type="dxa"/>
            <w:tcBorders>
              <w:top w:val="single" w:sz="4" w:space="0" w:color="auto"/>
              <w:right w:val="single" w:sz="4" w:space="0" w:color="auto"/>
            </w:tcBorders>
            <w:vAlign w:val="center"/>
          </w:tcPr>
          <w:p w14:paraId="59CD962E"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24241930" w14:textId="77777777" w:rsidTr="0056654A">
        <w:trPr>
          <w:trHeight w:val="123"/>
        </w:trPr>
        <w:tc>
          <w:tcPr>
            <w:tcW w:w="2405" w:type="dxa"/>
            <w:tcBorders>
              <w:left w:val="single" w:sz="4" w:space="0" w:color="auto"/>
              <w:bottom w:val="single" w:sz="4" w:space="0" w:color="auto"/>
              <w:right w:val="single" w:sz="4" w:space="0" w:color="auto"/>
            </w:tcBorders>
            <w:noWrap/>
            <w:vAlign w:val="center"/>
            <w:hideMark/>
          </w:tcPr>
          <w:p w14:paraId="1559EB80"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35AC3C2E"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(12.42)</w:t>
            </w:r>
          </w:p>
        </w:tc>
        <w:tc>
          <w:tcPr>
            <w:tcW w:w="1272" w:type="dxa"/>
            <w:tcBorders>
              <w:bottom w:val="single" w:sz="4" w:space="0" w:color="auto"/>
              <w:right w:val="single" w:sz="4" w:space="0" w:color="auto"/>
            </w:tcBorders>
            <w:vAlign w:val="center"/>
          </w:tcPr>
          <w:p w14:paraId="2B8D90C5"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70F7AA28"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(14.63)</w:t>
            </w:r>
          </w:p>
        </w:tc>
        <w:tc>
          <w:tcPr>
            <w:tcW w:w="1218" w:type="dxa"/>
            <w:tcBorders>
              <w:bottom w:val="single" w:sz="4" w:space="0" w:color="auto"/>
              <w:right w:val="single" w:sz="4" w:space="0" w:color="auto"/>
            </w:tcBorders>
            <w:vAlign w:val="center"/>
          </w:tcPr>
          <w:p w14:paraId="6847C381"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5F90FEFB" w14:textId="77777777" w:rsidTr="0056654A">
        <w:trPr>
          <w:trHeight w:val="304"/>
        </w:trPr>
        <w:tc>
          <w:tcPr>
            <w:tcW w:w="2405" w:type="dxa"/>
            <w:tcBorders>
              <w:top w:val="single" w:sz="4" w:space="0" w:color="auto"/>
              <w:left w:val="single" w:sz="4" w:space="0" w:color="auto"/>
              <w:right w:val="single" w:sz="4" w:space="0" w:color="auto"/>
            </w:tcBorders>
            <w:noWrap/>
            <w:vAlign w:val="center"/>
            <w:hideMark/>
          </w:tcPr>
          <w:p w14:paraId="17E6FA71"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roofErr w:type="spellStart"/>
            <w:r w:rsidRPr="00267F31">
              <w:rPr>
                <w:rFonts w:ascii="Times New Roman" w:eastAsia="Times New Roman" w:hAnsi="Times New Roman" w:cs="Times New Roman"/>
                <w:color w:val="000000"/>
                <w:sz w:val="24"/>
                <w:szCs w:val="24"/>
                <w:lang w:eastAsia="es-MX"/>
              </w:rPr>
              <w:t>Higher</w:t>
            </w:r>
            <w:proofErr w:type="spellEnd"/>
            <w:r w:rsidRPr="00267F31">
              <w:rPr>
                <w:rFonts w:ascii="Times New Roman" w:eastAsia="Times New Roman" w:hAnsi="Times New Roman" w:cs="Times New Roman"/>
                <w:color w:val="000000"/>
                <w:sz w:val="24"/>
                <w:szCs w:val="24"/>
                <w:lang w:eastAsia="es-MX"/>
              </w:rPr>
              <w:t xml:space="preserve"> </w:t>
            </w:r>
            <w:proofErr w:type="spellStart"/>
            <w:r w:rsidRPr="00267F31">
              <w:rPr>
                <w:rFonts w:ascii="Times New Roman" w:eastAsia="Times New Roman" w:hAnsi="Times New Roman" w:cs="Times New Roman"/>
                <w:color w:val="000000"/>
                <w:sz w:val="24"/>
                <w:szCs w:val="24"/>
                <w:lang w:eastAsia="es-MX"/>
              </w:rPr>
              <w:t>education</w:t>
            </w:r>
            <w:proofErr w:type="spellEnd"/>
          </w:p>
        </w:tc>
        <w:tc>
          <w:tcPr>
            <w:tcW w:w="2103" w:type="dxa"/>
            <w:tcBorders>
              <w:top w:val="single" w:sz="4" w:space="0" w:color="auto"/>
              <w:left w:val="single" w:sz="4" w:space="0" w:color="auto"/>
            </w:tcBorders>
            <w:noWrap/>
            <w:vAlign w:val="center"/>
            <w:hideMark/>
          </w:tcPr>
          <w:p w14:paraId="132276C7"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37.55</w:t>
            </w:r>
          </w:p>
        </w:tc>
        <w:tc>
          <w:tcPr>
            <w:tcW w:w="1272" w:type="dxa"/>
            <w:tcBorders>
              <w:top w:val="single" w:sz="4" w:space="0" w:color="auto"/>
              <w:right w:val="single" w:sz="4" w:space="0" w:color="auto"/>
            </w:tcBorders>
            <w:vAlign w:val="center"/>
          </w:tcPr>
          <w:p w14:paraId="2C336CD6"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4BE31E97"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44.12</w:t>
            </w:r>
          </w:p>
        </w:tc>
        <w:tc>
          <w:tcPr>
            <w:tcW w:w="1218" w:type="dxa"/>
            <w:tcBorders>
              <w:top w:val="single" w:sz="4" w:space="0" w:color="auto"/>
              <w:right w:val="single" w:sz="4" w:space="0" w:color="auto"/>
            </w:tcBorders>
            <w:vAlign w:val="center"/>
          </w:tcPr>
          <w:p w14:paraId="63196051"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338DA965" w14:textId="77777777" w:rsidTr="0056654A">
        <w:trPr>
          <w:trHeight w:val="304"/>
        </w:trPr>
        <w:tc>
          <w:tcPr>
            <w:tcW w:w="2405" w:type="dxa"/>
            <w:tcBorders>
              <w:left w:val="single" w:sz="4" w:space="0" w:color="auto"/>
              <w:bottom w:val="single" w:sz="4" w:space="0" w:color="auto"/>
              <w:right w:val="single" w:sz="4" w:space="0" w:color="auto"/>
            </w:tcBorders>
            <w:noWrap/>
            <w:vAlign w:val="center"/>
            <w:hideMark/>
          </w:tcPr>
          <w:p w14:paraId="5892D12D"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136F9E11"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(10.18)</w:t>
            </w:r>
          </w:p>
        </w:tc>
        <w:tc>
          <w:tcPr>
            <w:tcW w:w="1272" w:type="dxa"/>
            <w:tcBorders>
              <w:bottom w:val="single" w:sz="4" w:space="0" w:color="auto"/>
              <w:right w:val="single" w:sz="4" w:space="0" w:color="auto"/>
            </w:tcBorders>
            <w:vAlign w:val="center"/>
          </w:tcPr>
          <w:p w14:paraId="3C0FA92C"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3FD9E343"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(11.55)</w:t>
            </w:r>
          </w:p>
        </w:tc>
        <w:tc>
          <w:tcPr>
            <w:tcW w:w="1218" w:type="dxa"/>
            <w:tcBorders>
              <w:bottom w:val="single" w:sz="4" w:space="0" w:color="auto"/>
              <w:right w:val="single" w:sz="4" w:space="0" w:color="auto"/>
            </w:tcBorders>
            <w:vAlign w:val="center"/>
          </w:tcPr>
          <w:p w14:paraId="24F058DC"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6BE7C982" w14:textId="77777777" w:rsidTr="0056654A">
        <w:trPr>
          <w:trHeight w:val="101"/>
        </w:trPr>
        <w:tc>
          <w:tcPr>
            <w:tcW w:w="2405" w:type="dxa"/>
            <w:tcBorders>
              <w:left w:val="single" w:sz="4" w:space="0" w:color="auto"/>
              <w:right w:val="single" w:sz="4" w:space="0" w:color="auto"/>
            </w:tcBorders>
            <w:noWrap/>
            <w:vAlign w:val="center"/>
          </w:tcPr>
          <w:p w14:paraId="5CA84761"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Age                     24-33</w:t>
            </w:r>
          </w:p>
        </w:tc>
        <w:tc>
          <w:tcPr>
            <w:tcW w:w="2103" w:type="dxa"/>
            <w:tcBorders>
              <w:left w:val="single" w:sz="4" w:space="0" w:color="auto"/>
            </w:tcBorders>
            <w:noWrap/>
            <w:vAlign w:val="center"/>
          </w:tcPr>
          <w:p w14:paraId="3EC73D37"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-3.515</w:t>
            </w:r>
          </w:p>
        </w:tc>
        <w:tc>
          <w:tcPr>
            <w:tcW w:w="1272" w:type="dxa"/>
            <w:tcBorders>
              <w:right w:val="single" w:sz="4" w:space="0" w:color="auto"/>
            </w:tcBorders>
            <w:vAlign w:val="center"/>
          </w:tcPr>
          <w:p w14:paraId="7C842CCF"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left w:val="single" w:sz="4" w:space="0" w:color="auto"/>
            </w:tcBorders>
            <w:noWrap/>
            <w:vAlign w:val="center"/>
          </w:tcPr>
          <w:p w14:paraId="75B80C7D"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-1.104</w:t>
            </w:r>
          </w:p>
        </w:tc>
        <w:tc>
          <w:tcPr>
            <w:tcW w:w="1218" w:type="dxa"/>
            <w:tcBorders>
              <w:right w:val="single" w:sz="4" w:space="0" w:color="auto"/>
            </w:tcBorders>
            <w:vAlign w:val="center"/>
          </w:tcPr>
          <w:p w14:paraId="30C40B07"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16DF63F8" w14:textId="77777777" w:rsidTr="0056654A">
        <w:trPr>
          <w:trHeight w:val="304"/>
        </w:trPr>
        <w:tc>
          <w:tcPr>
            <w:tcW w:w="2405" w:type="dxa"/>
            <w:tcBorders>
              <w:left w:val="single" w:sz="4" w:space="0" w:color="auto"/>
              <w:bottom w:val="single" w:sz="4" w:space="0" w:color="auto"/>
              <w:right w:val="single" w:sz="4" w:space="0" w:color="auto"/>
            </w:tcBorders>
            <w:noWrap/>
            <w:vAlign w:val="center"/>
            <w:hideMark/>
          </w:tcPr>
          <w:p w14:paraId="362A6262"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130D21A5"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(-1.95)</w:t>
            </w:r>
          </w:p>
        </w:tc>
        <w:tc>
          <w:tcPr>
            <w:tcW w:w="1272" w:type="dxa"/>
            <w:tcBorders>
              <w:bottom w:val="single" w:sz="4" w:space="0" w:color="auto"/>
              <w:right w:val="single" w:sz="4" w:space="0" w:color="auto"/>
            </w:tcBorders>
            <w:vAlign w:val="center"/>
          </w:tcPr>
          <w:p w14:paraId="79D07AD3"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4E04E038"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(-0.58)</w:t>
            </w:r>
          </w:p>
        </w:tc>
        <w:tc>
          <w:tcPr>
            <w:tcW w:w="1218" w:type="dxa"/>
            <w:tcBorders>
              <w:bottom w:val="single" w:sz="4" w:space="0" w:color="auto"/>
              <w:right w:val="single" w:sz="4" w:space="0" w:color="auto"/>
            </w:tcBorders>
            <w:vAlign w:val="center"/>
          </w:tcPr>
          <w:p w14:paraId="2C1AB004"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16026BF7" w14:textId="77777777" w:rsidTr="0056654A">
        <w:trPr>
          <w:trHeight w:val="304"/>
        </w:trPr>
        <w:tc>
          <w:tcPr>
            <w:tcW w:w="2405" w:type="dxa"/>
            <w:tcBorders>
              <w:top w:val="single" w:sz="4" w:space="0" w:color="auto"/>
              <w:left w:val="single" w:sz="4" w:space="0" w:color="auto"/>
              <w:right w:val="single" w:sz="4" w:space="0" w:color="auto"/>
            </w:tcBorders>
            <w:noWrap/>
            <w:vAlign w:val="center"/>
            <w:hideMark/>
          </w:tcPr>
          <w:p w14:paraId="130AE4C2"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34-43</w:t>
            </w:r>
          </w:p>
        </w:tc>
        <w:tc>
          <w:tcPr>
            <w:tcW w:w="2103" w:type="dxa"/>
            <w:tcBorders>
              <w:top w:val="single" w:sz="4" w:space="0" w:color="auto"/>
              <w:left w:val="single" w:sz="4" w:space="0" w:color="auto"/>
            </w:tcBorders>
            <w:noWrap/>
            <w:vAlign w:val="center"/>
            <w:hideMark/>
          </w:tcPr>
          <w:p w14:paraId="23F69AC7"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-8.748</w:t>
            </w:r>
          </w:p>
        </w:tc>
        <w:tc>
          <w:tcPr>
            <w:tcW w:w="1272" w:type="dxa"/>
            <w:tcBorders>
              <w:top w:val="single" w:sz="4" w:space="0" w:color="auto"/>
              <w:right w:val="single" w:sz="4" w:space="0" w:color="auto"/>
            </w:tcBorders>
            <w:vAlign w:val="center"/>
          </w:tcPr>
          <w:p w14:paraId="469C95E4"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002F1E41"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-5.641</w:t>
            </w:r>
          </w:p>
        </w:tc>
        <w:tc>
          <w:tcPr>
            <w:tcW w:w="1218" w:type="dxa"/>
            <w:tcBorders>
              <w:top w:val="single" w:sz="4" w:space="0" w:color="auto"/>
              <w:right w:val="single" w:sz="4" w:space="0" w:color="auto"/>
            </w:tcBorders>
            <w:vAlign w:val="center"/>
          </w:tcPr>
          <w:p w14:paraId="2AA84F99"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01B20D06" w14:textId="77777777" w:rsidTr="0056654A">
        <w:trPr>
          <w:trHeight w:val="304"/>
        </w:trPr>
        <w:tc>
          <w:tcPr>
            <w:tcW w:w="2405" w:type="dxa"/>
            <w:tcBorders>
              <w:left w:val="single" w:sz="4" w:space="0" w:color="auto"/>
              <w:bottom w:val="single" w:sz="4" w:space="0" w:color="auto"/>
              <w:right w:val="single" w:sz="4" w:space="0" w:color="auto"/>
            </w:tcBorders>
            <w:noWrap/>
            <w:vAlign w:val="center"/>
            <w:hideMark/>
          </w:tcPr>
          <w:p w14:paraId="75F49A40"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43CE79F1"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(-3.71)</w:t>
            </w:r>
          </w:p>
        </w:tc>
        <w:tc>
          <w:tcPr>
            <w:tcW w:w="1272" w:type="dxa"/>
            <w:tcBorders>
              <w:bottom w:val="single" w:sz="4" w:space="0" w:color="auto"/>
              <w:right w:val="single" w:sz="4" w:space="0" w:color="auto"/>
            </w:tcBorders>
            <w:vAlign w:val="center"/>
          </w:tcPr>
          <w:p w14:paraId="6328F395"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35157D96"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(-2.24)</w:t>
            </w:r>
          </w:p>
        </w:tc>
        <w:tc>
          <w:tcPr>
            <w:tcW w:w="1218" w:type="dxa"/>
            <w:tcBorders>
              <w:bottom w:val="single" w:sz="4" w:space="0" w:color="auto"/>
              <w:right w:val="single" w:sz="4" w:space="0" w:color="auto"/>
            </w:tcBorders>
            <w:vAlign w:val="center"/>
          </w:tcPr>
          <w:p w14:paraId="147FB0E5"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03B1FD8C" w14:textId="77777777" w:rsidTr="0056654A">
        <w:trPr>
          <w:trHeight w:val="111"/>
        </w:trPr>
        <w:tc>
          <w:tcPr>
            <w:tcW w:w="2405" w:type="dxa"/>
            <w:tcBorders>
              <w:top w:val="single" w:sz="4" w:space="0" w:color="auto"/>
              <w:left w:val="single" w:sz="4" w:space="0" w:color="auto"/>
              <w:right w:val="single" w:sz="4" w:space="0" w:color="auto"/>
            </w:tcBorders>
            <w:noWrap/>
            <w:vAlign w:val="center"/>
            <w:hideMark/>
          </w:tcPr>
          <w:p w14:paraId="26AA4BC4"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44-53</w:t>
            </w:r>
          </w:p>
        </w:tc>
        <w:tc>
          <w:tcPr>
            <w:tcW w:w="2103" w:type="dxa"/>
            <w:tcBorders>
              <w:top w:val="single" w:sz="4" w:space="0" w:color="auto"/>
              <w:left w:val="single" w:sz="4" w:space="0" w:color="auto"/>
            </w:tcBorders>
            <w:noWrap/>
            <w:vAlign w:val="center"/>
            <w:hideMark/>
          </w:tcPr>
          <w:p w14:paraId="6E29549A"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-19.69</w:t>
            </w:r>
          </w:p>
        </w:tc>
        <w:tc>
          <w:tcPr>
            <w:tcW w:w="1272" w:type="dxa"/>
            <w:tcBorders>
              <w:top w:val="single" w:sz="4" w:space="0" w:color="auto"/>
              <w:right w:val="single" w:sz="4" w:space="0" w:color="auto"/>
            </w:tcBorders>
            <w:vAlign w:val="center"/>
          </w:tcPr>
          <w:p w14:paraId="429F83D8"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7C91BE85"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-16.21</w:t>
            </w:r>
          </w:p>
        </w:tc>
        <w:tc>
          <w:tcPr>
            <w:tcW w:w="1218" w:type="dxa"/>
            <w:tcBorders>
              <w:top w:val="single" w:sz="4" w:space="0" w:color="auto"/>
              <w:right w:val="single" w:sz="4" w:space="0" w:color="auto"/>
            </w:tcBorders>
            <w:vAlign w:val="center"/>
          </w:tcPr>
          <w:p w14:paraId="7E46F856"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5D667D9C" w14:textId="77777777" w:rsidTr="0056654A">
        <w:trPr>
          <w:trHeight w:val="304"/>
        </w:trPr>
        <w:tc>
          <w:tcPr>
            <w:tcW w:w="2405" w:type="dxa"/>
            <w:tcBorders>
              <w:left w:val="single" w:sz="4" w:space="0" w:color="auto"/>
              <w:bottom w:val="single" w:sz="4" w:space="0" w:color="auto"/>
              <w:right w:val="single" w:sz="4" w:space="0" w:color="auto"/>
            </w:tcBorders>
            <w:noWrap/>
            <w:vAlign w:val="center"/>
            <w:hideMark/>
          </w:tcPr>
          <w:p w14:paraId="5E58928A"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06FA9832"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(-6.19)</w:t>
            </w:r>
          </w:p>
        </w:tc>
        <w:tc>
          <w:tcPr>
            <w:tcW w:w="1272" w:type="dxa"/>
            <w:tcBorders>
              <w:bottom w:val="single" w:sz="4" w:space="0" w:color="auto"/>
              <w:right w:val="single" w:sz="4" w:space="0" w:color="auto"/>
            </w:tcBorders>
            <w:vAlign w:val="center"/>
          </w:tcPr>
          <w:p w14:paraId="56AD6465"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54F1534D"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(-4.80)</w:t>
            </w:r>
          </w:p>
        </w:tc>
        <w:tc>
          <w:tcPr>
            <w:tcW w:w="1218" w:type="dxa"/>
            <w:tcBorders>
              <w:bottom w:val="single" w:sz="4" w:space="0" w:color="auto"/>
              <w:right w:val="single" w:sz="4" w:space="0" w:color="auto"/>
            </w:tcBorders>
            <w:vAlign w:val="center"/>
          </w:tcPr>
          <w:p w14:paraId="49159E4B"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727C2037" w14:textId="77777777" w:rsidTr="0056654A">
        <w:trPr>
          <w:trHeight w:val="304"/>
        </w:trPr>
        <w:tc>
          <w:tcPr>
            <w:tcW w:w="2405" w:type="dxa"/>
            <w:tcBorders>
              <w:top w:val="single" w:sz="4" w:space="0" w:color="auto"/>
              <w:left w:val="single" w:sz="4" w:space="0" w:color="auto"/>
              <w:right w:val="single" w:sz="4" w:space="0" w:color="auto"/>
            </w:tcBorders>
            <w:noWrap/>
            <w:vAlign w:val="center"/>
            <w:hideMark/>
          </w:tcPr>
          <w:p w14:paraId="3FEDA5C2"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54-65</w:t>
            </w:r>
          </w:p>
        </w:tc>
        <w:tc>
          <w:tcPr>
            <w:tcW w:w="2103" w:type="dxa"/>
            <w:tcBorders>
              <w:top w:val="single" w:sz="4" w:space="0" w:color="auto"/>
              <w:left w:val="single" w:sz="4" w:space="0" w:color="auto"/>
            </w:tcBorders>
            <w:noWrap/>
            <w:vAlign w:val="center"/>
            <w:hideMark/>
          </w:tcPr>
          <w:p w14:paraId="1AFCE662"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-32.81</w:t>
            </w:r>
          </w:p>
        </w:tc>
        <w:tc>
          <w:tcPr>
            <w:tcW w:w="1272" w:type="dxa"/>
            <w:tcBorders>
              <w:top w:val="single" w:sz="4" w:space="0" w:color="auto"/>
              <w:right w:val="single" w:sz="4" w:space="0" w:color="auto"/>
            </w:tcBorders>
            <w:vAlign w:val="center"/>
          </w:tcPr>
          <w:p w14:paraId="731F0E72"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097A2B3F"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-30.29</w:t>
            </w:r>
          </w:p>
        </w:tc>
        <w:tc>
          <w:tcPr>
            <w:tcW w:w="1218" w:type="dxa"/>
            <w:tcBorders>
              <w:top w:val="single" w:sz="4" w:space="0" w:color="auto"/>
              <w:right w:val="single" w:sz="4" w:space="0" w:color="auto"/>
            </w:tcBorders>
            <w:vAlign w:val="center"/>
          </w:tcPr>
          <w:p w14:paraId="2ED9BEDE"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678B3704" w14:textId="77777777" w:rsidTr="0056654A">
        <w:trPr>
          <w:trHeight w:val="304"/>
        </w:trPr>
        <w:tc>
          <w:tcPr>
            <w:tcW w:w="2405" w:type="dxa"/>
            <w:tcBorders>
              <w:left w:val="single" w:sz="4" w:space="0" w:color="auto"/>
              <w:right w:val="single" w:sz="4" w:space="0" w:color="auto"/>
            </w:tcBorders>
            <w:noWrap/>
            <w:vAlign w:val="center"/>
            <w:hideMark/>
          </w:tcPr>
          <w:p w14:paraId="1EECC875"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7CD2E852"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(-8.43)</w:t>
            </w:r>
          </w:p>
        </w:tc>
        <w:tc>
          <w:tcPr>
            <w:tcW w:w="1272" w:type="dxa"/>
            <w:tcBorders>
              <w:bottom w:val="single" w:sz="4" w:space="0" w:color="auto"/>
              <w:right w:val="single" w:sz="4" w:space="0" w:color="auto"/>
            </w:tcBorders>
            <w:vAlign w:val="center"/>
          </w:tcPr>
          <w:p w14:paraId="42279E5B"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04F2D99C"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(-7.42)</w:t>
            </w:r>
          </w:p>
        </w:tc>
        <w:tc>
          <w:tcPr>
            <w:tcW w:w="1218" w:type="dxa"/>
            <w:tcBorders>
              <w:bottom w:val="single" w:sz="4" w:space="0" w:color="auto"/>
              <w:right w:val="single" w:sz="4" w:space="0" w:color="auto"/>
            </w:tcBorders>
            <w:vAlign w:val="center"/>
          </w:tcPr>
          <w:p w14:paraId="7392F343"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0E6F6430" w14:textId="77777777" w:rsidTr="0056654A">
        <w:trPr>
          <w:trHeight w:val="304"/>
        </w:trPr>
        <w:tc>
          <w:tcPr>
            <w:tcW w:w="2405" w:type="dxa"/>
            <w:vMerge w:val="restart"/>
            <w:tcBorders>
              <w:top w:val="single" w:sz="4" w:space="0" w:color="auto"/>
              <w:left w:val="single" w:sz="4" w:space="0" w:color="auto"/>
              <w:right w:val="single" w:sz="4" w:space="0" w:color="auto"/>
            </w:tcBorders>
            <w:noWrap/>
            <w:vAlign w:val="center"/>
            <w:hideMark/>
          </w:tcPr>
          <w:p w14:paraId="62CA8106"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roofErr w:type="spellStart"/>
            <w:r w:rsidRPr="00267F31">
              <w:rPr>
                <w:rFonts w:ascii="Times New Roman" w:eastAsia="Times New Roman" w:hAnsi="Times New Roman" w:cs="Times New Roman"/>
                <w:color w:val="000000"/>
                <w:sz w:val="24"/>
                <w:szCs w:val="24"/>
                <w:lang w:eastAsia="es-MX"/>
              </w:rPr>
              <w:t>Parents</w:t>
            </w:r>
            <w:proofErr w:type="spellEnd"/>
            <w:r w:rsidRPr="00267F31">
              <w:rPr>
                <w:rFonts w:ascii="Times New Roman" w:eastAsia="Times New Roman" w:hAnsi="Times New Roman" w:cs="Times New Roman"/>
                <w:color w:val="000000"/>
                <w:sz w:val="24"/>
                <w:szCs w:val="24"/>
                <w:lang w:eastAsia="es-MX"/>
              </w:rPr>
              <w:t xml:space="preserve"> </w:t>
            </w:r>
            <w:proofErr w:type="spellStart"/>
            <w:r w:rsidRPr="00267F31">
              <w:rPr>
                <w:rFonts w:ascii="Times New Roman" w:eastAsia="Times New Roman" w:hAnsi="Times New Roman" w:cs="Times New Roman"/>
                <w:color w:val="000000"/>
                <w:sz w:val="24"/>
                <w:szCs w:val="24"/>
                <w:lang w:eastAsia="es-MX"/>
              </w:rPr>
              <w:t>with</w:t>
            </w:r>
            <w:proofErr w:type="spellEnd"/>
            <w:r w:rsidRPr="00267F31">
              <w:rPr>
                <w:rFonts w:ascii="Times New Roman" w:eastAsia="Times New Roman" w:hAnsi="Times New Roman" w:cs="Times New Roman"/>
                <w:color w:val="000000"/>
                <w:sz w:val="24"/>
                <w:szCs w:val="24"/>
                <w:lang w:eastAsia="es-MX"/>
              </w:rPr>
              <w:t xml:space="preserve"> High </w:t>
            </w:r>
            <w:proofErr w:type="spellStart"/>
            <w:r w:rsidRPr="00267F31">
              <w:rPr>
                <w:rFonts w:ascii="Times New Roman" w:eastAsia="Times New Roman" w:hAnsi="Times New Roman" w:cs="Times New Roman"/>
                <w:color w:val="000000"/>
                <w:sz w:val="24"/>
                <w:szCs w:val="24"/>
                <w:lang w:eastAsia="es-MX"/>
              </w:rPr>
              <w:t>School</w:t>
            </w:r>
            <w:proofErr w:type="spellEnd"/>
          </w:p>
          <w:p w14:paraId="0DC4A497" w14:textId="77777777" w:rsidR="0056654A" w:rsidRPr="00267F31" w:rsidRDefault="0056654A" w:rsidP="0056654A">
            <w:pPr>
              <w:spacing w:after="0" w:line="240" w:lineRule="auto"/>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top w:val="single" w:sz="4" w:space="0" w:color="auto"/>
              <w:left w:val="single" w:sz="4" w:space="0" w:color="auto"/>
            </w:tcBorders>
            <w:noWrap/>
            <w:vAlign w:val="center"/>
            <w:hideMark/>
          </w:tcPr>
          <w:p w14:paraId="4BEAED6D"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13.81</w:t>
            </w:r>
          </w:p>
        </w:tc>
        <w:tc>
          <w:tcPr>
            <w:tcW w:w="1272" w:type="dxa"/>
            <w:tcBorders>
              <w:top w:val="single" w:sz="4" w:space="0" w:color="auto"/>
              <w:right w:val="single" w:sz="4" w:space="0" w:color="auto"/>
            </w:tcBorders>
            <w:vAlign w:val="center"/>
          </w:tcPr>
          <w:p w14:paraId="0EA34DC3"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29EAD92E"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15.32</w:t>
            </w:r>
          </w:p>
        </w:tc>
        <w:tc>
          <w:tcPr>
            <w:tcW w:w="1218" w:type="dxa"/>
            <w:tcBorders>
              <w:top w:val="single" w:sz="4" w:space="0" w:color="auto"/>
              <w:right w:val="single" w:sz="4" w:space="0" w:color="auto"/>
            </w:tcBorders>
            <w:vAlign w:val="center"/>
          </w:tcPr>
          <w:p w14:paraId="319A7B0D"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19A0E91F" w14:textId="77777777" w:rsidTr="0056654A">
        <w:trPr>
          <w:trHeight w:val="111"/>
        </w:trPr>
        <w:tc>
          <w:tcPr>
            <w:tcW w:w="2405" w:type="dxa"/>
            <w:vMerge/>
            <w:tcBorders>
              <w:left w:val="single" w:sz="4" w:space="0" w:color="auto"/>
              <w:bottom w:val="single" w:sz="4" w:space="0" w:color="auto"/>
              <w:right w:val="single" w:sz="4" w:space="0" w:color="auto"/>
            </w:tcBorders>
            <w:noWrap/>
            <w:vAlign w:val="center"/>
            <w:hideMark/>
          </w:tcPr>
          <w:p w14:paraId="62633D55"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c>
          <w:tcPr>
            <w:tcW w:w="2103" w:type="dxa"/>
            <w:tcBorders>
              <w:left w:val="single" w:sz="4" w:space="0" w:color="auto"/>
              <w:bottom w:val="single" w:sz="4" w:space="0" w:color="auto"/>
            </w:tcBorders>
            <w:noWrap/>
            <w:vAlign w:val="center"/>
            <w:hideMark/>
          </w:tcPr>
          <w:p w14:paraId="1434D30D"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(8.18)</w:t>
            </w:r>
          </w:p>
        </w:tc>
        <w:tc>
          <w:tcPr>
            <w:tcW w:w="1272" w:type="dxa"/>
            <w:tcBorders>
              <w:bottom w:val="single" w:sz="4" w:space="0" w:color="auto"/>
              <w:right w:val="single" w:sz="4" w:space="0" w:color="auto"/>
            </w:tcBorders>
            <w:vAlign w:val="center"/>
          </w:tcPr>
          <w:p w14:paraId="49916626"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6A08A422"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(8.46)</w:t>
            </w:r>
          </w:p>
        </w:tc>
        <w:tc>
          <w:tcPr>
            <w:tcW w:w="1218" w:type="dxa"/>
            <w:tcBorders>
              <w:bottom w:val="single" w:sz="4" w:space="0" w:color="auto"/>
              <w:right w:val="single" w:sz="4" w:space="0" w:color="auto"/>
            </w:tcBorders>
            <w:vAlign w:val="center"/>
          </w:tcPr>
          <w:p w14:paraId="688D8E81"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174148E5" w14:textId="77777777" w:rsidTr="0056654A">
        <w:trPr>
          <w:trHeight w:val="304"/>
        </w:trPr>
        <w:tc>
          <w:tcPr>
            <w:tcW w:w="2405" w:type="dxa"/>
            <w:tcBorders>
              <w:top w:val="single" w:sz="4" w:space="0" w:color="auto"/>
              <w:left w:val="single" w:sz="4" w:space="0" w:color="auto"/>
              <w:right w:val="single" w:sz="4" w:space="0" w:color="auto"/>
            </w:tcBorders>
            <w:noWrap/>
            <w:vAlign w:val="center"/>
            <w:hideMark/>
          </w:tcPr>
          <w:p w14:paraId="4D1C0036"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roofErr w:type="spellStart"/>
            <w:r w:rsidRPr="00267F31">
              <w:rPr>
                <w:rFonts w:ascii="Times New Roman" w:eastAsia="Times New Roman" w:hAnsi="Times New Roman" w:cs="Times New Roman"/>
                <w:color w:val="000000"/>
                <w:sz w:val="24"/>
                <w:szCs w:val="24"/>
                <w:lang w:eastAsia="es-MX"/>
              </w:rPr>
              <w:t>Parents</w:t>
            </w:r>
            <w:proofErr w:type="spellEnd"/>
            <w:r w:rsidRPr="00267F31">
              <w:rPr>
                <w:rFonts w:ascii="Times New Roman" w:eastAsia="Times New Roman" w:hAnsi="Times New Roman" w:cs="Times New Roman"/>
                <w:color w:val="000000"/>
                <w:sz w:val="24"/>
                <w:szCs w:val="24"/>
                <w:lang w:eastAsia="es-MX"/>
              </w:rPr>
              <w:t xml:space="preserve"> </w:t>
            </w:r>
            <w:proofErr w:type="spellStart"/>
            <w:r w:rsidRPr="00267F31">
              <w:rPr>
                <w:rFonts w:ascii="Times New Roman" w:eastAsia="Times New Roman" w:hAnsi="Times New Roman" w:cs="Times New Roman"/>
                <w:color w:val="000000"/>
                <w:sz w:val="24"/>
                <w:szCs w:val="24"/>
                <w:lang w:eastAsia="es-MX"/>
              </w:rPr>
              <w:t>with</w:t>
            </w:r>
            <w:proofErr w:type="spellEnd"/>
            <w:r w:rsidRPr="00267F31">
              <w:rPr>
                <w:rFonts w:ascii="Times New Roman" w:eastAsia="Times New Roman" w:hAnsi="Times New Roman" w:cs="Times New Roman"/>
                <w:color w:val="000000"/>
                <w:sz w:val="24"/>
                <w:szCs w:val="24"/>
                <w:lang w:eastAsia="es-MX"/>
              </w:rPr>
              <w:t xml:space="preserve"> </w:t>
            </w:r>
            <w:proofErr w:type="spellStart"/>
            <w:r w:rsidRPr="00267F31">
              <w:rPr>
                <w:rFonts w:ascii="Times New Roman" w:eastAsia="Times New Roman" w:hAnsi="Times New Roman" w:cs="Times New Roman"/>
                <w:color w:val="000000"/>
                <w:sz w:val="24"/>
                <w:szCs w:val="24"/>
                <w:lang w:eastAsia="es-MX"/>
              </w:rPr>
              <w:t>University</w:t>
            </w:r>
            <w:proofErr w:type="spellEnd"/>
          </w:p>
        </w:tc>
        <w:tc>
          <w:tcPr>
            <w:tcW w:w="2103" w:type="dxa"/>
            <w:tcBorders>
              <w:top w:val="single" w:sz="4" w:space="0" w:color="auto"/>
              <w:left w:val="single" w:sz="4" w:space="0" w:color="auto"/>
            </w:tcBorders>
            <w:noWrap/>
            <w:vAlign w:val="center"/>
            <w:hideMark/>
          </w:tcPr>
          <w:p w14:paraId="4640E910"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14.07</w:t>
            </w:r>
          </w:p>
        </w:tc>
        <w:tc>
          <w:tcPr>
            <w:tcW w:w="1272" w:type="dxa"/>
            <w:tcBorders>
              <w:top w:val="single" w:sz="4" w:space="0" w:color="auto"/>
              <w:right w:val="single" w:sz="4" w:space="0" w:color="auto"/>
            </w:tcBorders>
            <w:vAlign w:val="center"/>
          </w:tcPr>
          <w:p w14:paraId="4339F5A9"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21922EFC"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13.51</w:t>
            </w:r>
          </w:p>
        </w:tc>
        <w:tc>
          <w:tcPr>
            <w:tcW w:w="1218" w:type="dxa"/>
            <w:tcBorders>
              <w:top w:val="single" w:sz="4" w:space="0" w:color="auto"/>
              <w:right w:val="single" w:sz="4" w:space="0" w:color="auto"/>
            </w:tcBorders>
            <w:vAlign w:val="center"/>
          </w:tcPr>
          <w:p w14:paraId="0021442E"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0445D745" w14:textId="77777777" w:rsidTr="0056654A">
        <w:trPr>
          <w:trHeight w:val="111"/>
        </w:trPr>
        <w:tc>
          <w:tcPr>
            <w:tcW w:w="2405" w:type="dxa"/>
            <w:tcBorders>
              <w:left w:val="single" w:sz="4" w:space="0" w:color="auto"/>
              <w:bottom w:val="single" w:sz="4" w:space="0" w:color="auto"/>
              <w:right w:val="single" w:sz="4" w:space="0" w:color="auto"/>
            </w:tcBorders>
            <w:noWrap/>
            <w:vAlign w:val="center"/>
            <w:hideMark/>
          </w:tcPr>
          <w:p w14:paraId="3E9624CD"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210EA9BE"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(7.15)</w:t>
            </w:r>
          </w:p>
        </w:tc>
        <w:tc>
          <w:tcPr>
            <w:tcW w:w="1272" w:type="dxa"/>
            <w:tcBorders>
              <w:bottom w:val="single" w:sz="4" w:space="0" w:color="auto"/>
              <w:right w:val="single" w:sz="4" w:space="0" w:color="auto"/>
            </w:tcBorders>
            <w:vAlign w:val="center"/>
          </w:tcPr>
          <w:p w14:paraId="4A929ED6"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75E45626"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(6.50)</w:t>
            </w:r>
          </w:p>
        </w:tc>
        <w:tc>
          <w:tcPr>
            <w:tcW w:w="1218" w:type="dxa"/>
            <w:tcBorders>
              <w:bottom w:val="single" w:sz="4" w:space="0" w:color="auto"/>
              <w:right w:val="single" w:sz="4" w:space="0" w:color="auto"/>
            </w:tcBorders>
            <w:vAlign w:val="center"/>
          </w:tcPr>
          <w:p w14:paraId="53C9EAE9"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687C4CF4" w14:textId="77777777" w:rsidTr="0056654A">
        <w:trPr>
          <w:trHeight w:val="304"/>
        </w:trPr>
        <w:tc>
          <w:tcPr>
            <w:tcW w:w="2405" w:type="dxa"/>
            <w:tcBorders>
              <w:top w:val="single" w:sz="4" w:space="0" w:color="auto"/>
              <w:left w:val="single" w:sz="4" w:space="0" w:color="auto"/>
              <w:right w:val="single" w:sz="4" w:space="0" w:color="auto"/>
            </w:tcBorders>
            <w:noWrap/>
            <w:vAlign w:val="center"/>
            <w:hideMark/>
          </w:tcPr>
          <w:p w14:paraId="066037C1"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Man</w:t>
            </w:r>
          </w:p>
        </w:tc>
        <w:tc>
          <w:tcPr>
            <w:tcW w:w="2103" w:type="dxa"/>
            <w:tcBorders>
              <w:top w:val="single" w:sz="4" w:space="0" w:color="auto"/>
              <w:left w:val="single" w:sz="4" w:space="0" w:color="auto"/>
            </w:tcBorders>
            <w:noWrap/>
            <w:vAlign w:val="center"/>
            <w:hideMark/>
          </w:tcPr>
          <w:p w14:paraId="344797BE"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-2.056</w:t>
            </w:r>
          </w:p>
        </w:tc>
        <w:tc>
          <w:tcPr>
            <w:tcW w:w="1272" w:type="dxa"/>
            <w:tcBorders>
              <w:top w:val="single" w:sz="4" w:space="0" w:color="auto"/>
              <w:right w:val="single" w:sz="4" w:space="0" w:color="auto"/>
            </w:tcBorders>
            <w:vAlign w:val="center"/>
          </w:tcPr>
          <w:p w14:paraId="39952971"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2A63B097"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6.167</w:t>
            </w:r>
          </w:p>
        </w:tc>
        <w:tc>
          <w:tcPr>
            <w:tcW w:w="1218" w:type="dxa"/>
            <w:tcBorders>
              <w:top w:val="single" w:sz="4" w:space="0" w:color="auto"/>
              <w:right w:val="single" w:sz="4" w:space="0" w:color="auto"/>
            </w:tcBorders>
            <w:vAlign w:val="center"/>
          </w:tcPr>
          <w:p w14:paraId="4D7A50D8"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2EC7D18A" w14:textId="77777777" w:rsidTr="0056654A">
        <w:trPr>
          <w:trHeight w:val="304"/>
        </w:trPr>
        <w:tc>
          <w:tcPr>
            <w:tcW w:w="2405" w:type="dxa"/>
            <w:tcBorders>
              <w:left w:val="single" w:sz="4" w:space="0" w:color="auto"/>
              <w:bottom w:val="single" w:sz="4" w:space="0" w:color="auto"/>
              <w:right w:val="single" w:sz="4" w:space="0" w:color="auto"/>
            </w:tcBorders>
            <w:noWrap/>
            <w:vAlign w:val="center"/>
            <w:hideMark/>
          </w:tcPr>
          <w:p w14:paraId="03A1085B"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53CA4B1F"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(-1.73)</w:t>
            </w:r>
          </w:p>
        </w:tc>
        <w:tc>
          <w:tcPr>
            <w:tcW w:w="1272" w:type="dxa"/>
            <w:tcBorders>
              <w:bottom w:val="single" w:sz="4" w:space="0" w:color="auto"/>
              <w:right w:val="single" w:sz="4" w:space="0" w:color="auto"/>
            </w:tcBorders>
            <w:vAlign w:val="center"/>
          </w:tcPr>
          <w:p w14:paraId="12B0C9B8"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23374913"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(4.87)</w:t>
            </w:r>
          </w:p>
        </w:tc>
        <w:tc>
          <w:tcPr>
            <w:tcW w:w="1218" w:type="dxa"/>
            <w:tcBorders>
              <w:bottom w:val="single" w:sz="4" w:space="0" w:color="auto"/>
              <w:right w:val="single" w:sz="4" w:space="0" w:color="auto"/>
            </w:tcBorders>
            <w:vAlign w:val="center"/>
          </w:tcPr>
          <w:p w14:paraId="1AFB1E58"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7DFD650E" w14:textId="77777777" w:rsidTr="0056654A">
        <w:trPr>
          <w:trHeight w:val="304"/>
        </w:trPr>
        <w:tc>
          <w:tcPr>
            <w:tcW w:w="2405" w:type="dxa"/>
            <w:tcBorders>
              <w:top w:val="single" w:sz="4" w:space="0" w:color="auto"/>
              <w:left w:val="single" w:sz="4" w:space="0" w:color="auto"/>
              <w:right w:val="single" w:sz="4" w:space="0" w:color="auto"/>
            </w:tcBorders>
            <w:noWrap/>
            <w:vAlign w:val="center"/>
            <w:hideMark/>
          </w:tcPr>
          <w:p w14:paraId="42BE5E1E"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xml:space="preserve">Training </w:t>
            </w:r>
            <w:proofErr w:type="spellStart"/>
            <w:r w:rsidRPr="00267F31">
              <w:rPr>
                <w:rFonts w:ascii="Times New Roman" w:eastAsia="Times New Roman" w:hAnsi="Times New Roman" w:cs="Times New Roman"/>
                <w:color w:val="000000"/>
                <w:sz w:val="24"/>
                <w:szCs w:val="24"/>
                <w:lang w:eastAsia="es-MX"/>
              </w:rPr>
              <w:t>courses</w:t>
            </w:r>
            <w:proofErr w:type="spellEnd"/>
          </w:p>
        </w:tc>
        <w:tc>
          <w:tcPr>
            <w:tcW w:w="2103" w:type="dxa"/>
            <w:tcBorders>
              <w:top w:val="single" w:sz="4" w:space="0" w:color="auto"/>
              <w:left w:val="single" w:sz="4" w:space="0" w:color="auto"/>
            </w:tcBorders>
            <w:noWrap/>
            <w:vAlign w:val="center"/>
            <w:hideMark/>
          </w:tcPr>
          <w:p w14:paraId="1C2D8D93"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3.993</w:t>
            </w:r>
          </w:p>
        </w:tc>
        <w:tc>
          <w:tcPr>
            <w:tcW w:w="1272" w:type="dxa"/>
            <w:tcBorders>
              <w:top w:val="single" w:sz="4" w:space="0" w:color="auto"/>
              <w:right w:val="single" w:sz="4" w:space="0" w:color="auto"/>
            </w:tcBorders>
            <w:vAlign w:val="center"/>
          </w:tcPr>
          <w:p w14:paraId="1A9D10BA"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16977E9F"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3.665</w:t>
            </w:r>
          </w:p>
        </w:tc>
        <w:tc>
          <w:tcPr>
            <w:tcW w:w="1218" w:type="dxa"/>
            <w:tcBorders>
              <w:top w:val="single" w:sz="4" w:space="0" w:color="auto"/>
              <w:right w:val="single" w:sz="4" w:space="0" w:color="auto"/>
            </w:tcBorders>
            <w:vAlign w:val="center"/>
          </w:tcPr>
          <w:p w14:paraId="4CE16570"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4AD4D4C6" w14:textId="77777777" w:rsidTr="0056654A">
        <w:trPr>
          <w:trHeight w:val="304"/>
        </w:trPr>
        <w:tc>
          <w:tcPr>
            <w:tcW w:w="2405" w:type="dxa"/>
            <w:tcBorders>
              <w:left w:val="single" w:sz="4" w:space="0" w:color="auto"/>
              <w:bottom w:val="single" w:sz="4" w:space="0" w:color="auto"/>
              <w:right w:val="single" w:sz="4" w:space="0" w:color="auto"/>
            </w:tcBorders>
            <w:noWrap/>
            <w:vAlign w:val="center"/>
            <w:hideMark/>
          </w:tcPr>
          <w:p w14:paraId="7D1AD573"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097B974A"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(3.13)</w:t>
            </w:r>
          </w:p>
        </w:tc>
        <w:tc>
          <w:tcPr>
            <w:tcW w:w="1272" w:type="dxa"/>
            <w:tcBorders>
              <w:bottom w:val="single" w:sz="4" w:space="0" w:color="auto"/>
              <w:right w:val="single" w:sz="4" w:space="0" w:color="auto"/>
            </w:tcBorders>
            <w:vAlign w:val="center"/>
          </w:tcPr>
          <w:p w14:paraId="6567A4C2"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54288D21"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(2.75)</w:t>
            </w:r>
          </w:p>
        </w:tc>
        <w:tc>
          <w:tcPr>
            <w:tcW w:w="1218" w:type="dxa"/>
            <w:tcBorders>
              <w:bottom w:val="single" w:sz="4" w:space="0" w:color="auto"/>
              <w:right w:val="single" w:sz="4" w:space="0" w:color="auto"/>
            </w:tcBorders>
            <w:vAlign w:val="center"/>
          </w:tcPr>
          <w:p w14:paraId="32BAFEFC"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38FE4ECC" w14:textId="77777777" w:rsidTr="0056654A">
        <w:trPr>
          <w:trHeight w:val="304"/>
        </w:trPr>
        <w:tc>
          <w:tcPr>
            <w:tcW w:w="2405" w:type="dxa"/>
            <w:tcBorders>
              <w:top w:val="single" w:sz="4" w:space="0" w:color="auto"/>
              <w:left w:val="single" w:sz="4" w:space="0" w:color="auto"/>
              <w:right w:val="single" w:sz="4" w:space="0" w:color="auto"/>
            </w:tcBorders>
            <w:noWrap/>
            <w:vAlign w:val="center"/>
            <w:hideMark/>
          </w:tcPr>
          <w:p w14:paraId="61F397DA"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roofErr w:type="spellStart"/>
            <w:r w:rsidRPr="00267F31">
              <w:rPr>
                <w:rFonts w:ascii="Times New Roman" w:eastAsia="Times New Roman" w:hAnsi="Times New Roman" w:cs="Times New Roman"/>
                <w:color w:val="000000"/>
                <w:sz w:val="24"/>
                <w:szCs w:val="24"/>
                <w:lang w:eastAsia="es-MX"/>
              </w:rPr>
              <w:t>Experience</w:t>
            </w:r>
            <w:proofErr w:type="spellEnd"/>
            <w:r w:rsidRPr="00267F31">
              <w:rPr>
                <w:rFonts w:ascii="Times New Roman" w:eastAsia="Times New Roman" w:hAnsi="Times New Roman" w:cs="Times New Roman"/>
                <w:color w:val="000000"/>
                <w:sz w:val="24"/>
                <w:szCs w:val="24"/>
                <w:lang w:eastAsia="es-MX"/>
              </w:rPr>
              <w:t xml:space="preserve"> </w:t>
            </w:r>
            <w:proofErr w:type="spellStart"/>
            <w:r w:rsidRPr="00267F31">
              <w:rPr>
                <w:rFonts w:ascii="Times New Roman" w:eastAsia="Times New Roman" w:hAnsi="Times New Roman" w:cs="Times New Roman"/>
                <w:color w:val="000000"/>
                <w:sz w:val="24"/>
                <w:szCs w:val="24"/>
                <w:lang w:eastAsia="es-MX"/>
              </w:rPr>
              <w:t>work</w:t>
            </w:r>
            <w:proofErr w:type="spellEnd"/>
          </w:p>
        </w:tc>
        <w:tc>
          <w:tcPr>
            <w:tcW w:w="2103" w:type="dxa"/>
            <w:tcBorders>
              <w:top w:val="single" w:sz="4" w:space="0" w:color="auto"/>
              <w:left w:val="single" w:sz="4" w:space="0" w:color="auto"/>
            </w:tcBorders>
            <w:noWrap/>
            <w:vAlign w:val="center"/>
            <w:hideMark/>
          </w:tcPr>
          <w:p w14:paraId="591583EC"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0.319</w:t>
            </w:r>
          </w:p>
        </w:tc>
        <w:tc>
          <w:tcPr>
            <w:tcW w:w="1272" w:type="dxa"/>
            <w:tcBorders>
              <w:top w:val="single" w:sz="4" w:space="0" w:color="auto"/>
              <w:right w:val="single" w:sz="4" w:space="0" w:color="auto"/>
            </w:tcBorders>
            <w:vAlign w:val="center"/>
          </w:tcPr>
          <w:p w14:paraId="2972ECFF"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38FABA92"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0.498</w:t>
            </w:r>
          </w:p>
        </w:tc>
        <w:tc>
          <w:tcPr>
            <w:tcW w:w="1218" w:type="dxa"/>
            <w:tcBorders>
              <w:top w:val="single" w:sz="4" w:space="0" w:color="auto"/>
              <w:right w:val="single" w:sz="4" w:space="0" w:color="auto"/>
            </w:tcBorders>
            <w:vAlign w:val="center"/>
          </w:tcPr>
          <w:p w14:paraId="05D434E8"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7DFBC377" w14:textId="77777777" w:rsidTr="0056654A">
        <w:trPr>
          <w:trHeight w:val="304"/>
        </w:trPr>
        <w:tc>
          <w:tcPr>
            <w:tcW w:w="2405" w:type="dxa"/>
            <w:tcBorders>
              <w:left w:val="single" w:sz="4" w:space="0" w:color="auto"/>
              <w:bottom w:val="single" w:sz="4" w:space="0" w:color="auto"/>
              <w:right w:val="single" w:sz="4" w:space="0" w:color="auto"/>
            </w:tcBorders>
            <w:noWrap/>
            <w:vAlign w:val="center"/>
            <w:hideMark/>
          </w:tcPr>
          <w:p w14:paraId="0F21A986"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1971431D"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(4.91)</w:t>
            </w:r>
          </w:p>
        </w:tc>
        <w:tc>
          <w:tcPr>
            <w:tcW w:w="1272" w:type="dxa"/>
            <w:tcBorders>
              <w:bottom w:val="single" w:sz="4" w:space="0" w:color="auto"/>
              <w:right w:val="single" w:sz="4" w:space="0" w:color="auto"/>
            </w:tcBorders>
            <w:vAlign w:val="center"/>
          </w:tcPr>
          <w:p w14:paraId="29286350"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0D76BB3F"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(7.25)</w:t>
            </w:r>
          </w:p>
        </w:tc>
        <w:tc>
          <w:tcPr>
            <w:tcW w:w="1218" w:type="dxa"/>
            <w:tcBorders>
              <w:bottom w:val="single" w:sz="4" w:space="0" w:color="auto"/>
              <w:right w:val="single" w:sz="4" w:space="0" w:color="auto"/>
            </w:tcBorders>
            <w:vAlign w:val="center"/>
          </w:tcPr>
          <w:p w14:paraId="1EFA28CB"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06117E6A" w14:textId="77777777" w:rsidTr="0056654A">
        <w:trPr>
          <w:trHeight w:val="304"/>
        </w:trPr>
        <w:tc>
          <w:tcPr>
            <w:tcW w:w="2405" w:type="dxa"/>
            <w:tcBorders>
              <w:top w:val="single" w:sz="4" w:space="0" w:color="auto"/>
              <w:left w:val="single" w:sz="4" w:space="0" w:color="auto"/>
              <w:right w:val="single" w:sz="4" w:space="0" w:color="auto"/>
            </w:tcBorders>
            <w:noWrap/>
            <w:vAlign w:val="center"/>
            <w:hideMark/>
          </w:tcPr>
          <w:p w14:paraId="3E86B6A0"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xml:space="preserve">Regular </w:t>
            </w:r>
            <w:proofErr w:type="spellStart"/>
            <w:r w:rsidRPr="00267F31">
              <w:rPr>
                <w:rFonts w:ascii="Times New Roman" w:eastAsia="Times New Roman" w:hAnsi="Times New Roman" w:cs="Times New Roman"/>
                <w:color w:val="000000"/>
                <w:sz w:val="24"/>
                <w:szCs w:val="24"/>
                <w:lang w:eastAsia="es-MX"/>
              </w:rPr>
              <w:t>Health</w:t>
            </w:r>
            <w:proofErr w:type="spellEnd"/>
          </w:p>
        </w:tc>
        <w:tc>
          <w:tcPr>
            <w:tcW w:w="2103" w:type="dxa"/>
            <w:tcBorders>
              <w:top w:val="single" w:sz="4" w:space="0" w:color="auto"/>
              <w:left w:val="single" w:sz="4" w:space="0" w:color="auto"/>
            </w:tcBorders>
            <w:noWrap/>
            <w:vAlign w:val="center"/>
            <w:hideMark/>
          </w:tcPr>
          <w:p w14:paraId="5118DE7B"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-2.127</w:t>
            </w:r>
          </w:p>
        </w:tc>
        <w:tc>
          <w:tcPr>
            <w:tcW w:w="1272" w:type="dxa"/>
            <w:tcBorders>
              <w:top w:val="single" w:sz="4" w:space="0" w:color="auto"/>
              <w:right w:val="single" w:sz="4" w:space="0" w:color="auto"/>
            </w:tcBorders>
            <w:vAlign w:val="center"/>
          </w:tcPr>
          <w:p w14:paraId="421C0407"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47D3573C"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-2.423</w:t>
            </w:r>
          </w:p>
        </w:tc>
        <w:tc>
          <w:tcPr>
            <w:tcW w:w="1218" w:type="dxa"/>
            <w:tcBorders>
              <w:top w:val="single" w:sz="4" w:space="0" w:color="auto"/>
              <w:right w:val="single" w:sz="4" w:space="0" w:color="auto"/>
            </w:tcBorders>
            <w:vAlign w:val="center"/>
          </w:tcPr>
          <w:p w14:paraId="11C678B5"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390DAF8D" w14:textId="77777777" w:rsidTr="0056654A">
        <w:trPr>
          <w:trHeight w:val="304"/>
        </w:trPr>
        <w:tc>
          <w:tcPr>
            <w:tcW w:w="2405" w:type="dxa"/>
            <w:tcBorders>
              <w:left w:val="single" w:sz="4" w:space="0" w:color="auto"/>
              <w:bottom w:val="single" w:sz="4" w:space="0" w:color="auto"/>
              <w:right w:val="single" w:sz="4" w:space="0" w:color="auto"/>
            </w:tcBorders>
            <w:noWrap/>
            <w:vAlign w:val="center"/>
            <w:hideMark/>
          </w:tcPr>
          <w:p w14:paraId="682B66FF"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641B3135"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(-1.70)</w:t>
            </w:r>
          </w:p>
        </w:tc>
        <w:tc>
          <w:tcPr>
            <w:tcW w:w="1272" w:type="dxa"/>
            <w:tcBorders>
              <w:bottom w:val="single" w:sz="4" w:space="0" w:color="auto"/>
              <w:right w:val="single" w:sz="4" w:space="0" w:color="auto"/>
            </w:tcBorders>
            <w:vAlign w:val="center"/>
          </w:tcPr>
          <w:p w14:paraId="023B9FAA"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4468F554"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(-1.85)</w:t>
            </w:r>
          </w:p>
        </w:tc>
        <w:tc>
          <w:tcPr>
            <w:tcW w:w="1218" w:type="dxa"/>
            <w:tcBorders>
              <w:bottom w:val="single" w:sz="4" w:space="0" w:color="auto"/>
              <w:right w:val="single" w:sz="4" w:space="0" w:color="auto"/>
            </w:tcBorders>
            <w:vAlign w:val="center"/>
          </w:tcPr>
          <w:p w14:paraId="099876AE"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48713D97" w14:textId="77777777" w:rsidTr="0056654A">
        <w:trPr>
          <w:trHeight w:val="304"/>
        </w:trPr>
        <w:tc>
          <w:tcPr>
            <w:tcW w:w="2405" w:type="dxa"/>
            <w:tcBorders>
              <w:top w:val="single" w:sz="4" w:space="0" w:color="auto"/>
              <w:left w:val="single" w:sz="4" w:space="0" w:color="auto"/>
              <w:right w:val="single" w:sz="4" w:space="0" w:color="auto"/>
            </w:tcBorders>
            <w:noWrap/>
            <w:vAlign w:val="center"/>
            <w:hideMark/>
          </w:tcPr>
          <w:p w14:paraId="5D1492DB"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xml:space="preserve">Poor </w:t>
            </w:r>
            <w:proofErr w:type="spellStart"/>
            <w:r w:rsidRPr="00267F31">
              <w:rPr>
                <w:rFonts w:ascii="Times New Roman" w:eastAsia="Times New Roman" w:hAnsi="Times New Roman" w:cs="Times New Roman"/>
                <w:color w:val="000000"/>
                <w:sz w:val="24"/>
                <w:szCs w:val="24"/>
                <w:lang w:eastAsia="es-MX"/>
              </w:rPr>
              <w:t>Health</w:t>
            </w:r>
            <w:proofErr w:type="spellEnd"/>
          </w:p>
        </w:tc>
        <w:tc>
          <w:tcPr>
            <w:tcW w:w="2103" w:type="dxa"/>
            <w:tcBorders>
              <w:top w:val="single" w:sz="4" w:space="0" w:color="auto"/>
              <w:left w:val="single" w:sz="4" w:space="0" w:color="auto"/>
            </w:tcBorders>
            <w:noWrap/>
            <w:vAlign w:val="center"/>
            <w:hideMark/>
          </w:tcPr>
          <w:p w14:paraId="7952C534"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-14.47</w:t>
            </w:r>
          </w:p>
        </w:tc>
        <w:tc>
          <w:tcPr>
            <w:tcW w:w="1272" w:type="dxa"/>
            <w:tcBorders>
              <w:top w:val="single" w:sz="4" w:space="0" w:color="auto"/>
              <w:right w:val="single" w:sz="4" w:space="0" w:color="auto"/>
            </w:tcBorders>
            <w:vAlign w:val="center"/>
          </w:tcPr>
          <w:p w14:paraId="77646070"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60D48EF7"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-13.18</w:t>
            </w:r>
          </w:p>
        </w:tc>
        <w:tc>
          <w:tcPr>
            <w:tcW w:w="1218" w:type="dxa"/>
            <w:tcBorders>
              <w:top w:val="single" w:sz="4" w:space="0" w:color="auto"/>
              <w:right w:val="single" w:sz="4" w:space="0" w:color="auto"/>
            </w:tcBorders>
            <w:vAlign w:val="center"/>
          </w:tcPr>
          <w:p w14:paraId="557D7152"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730E72B0" w14:textId="77777777" w:rsidTr="0056654A">
        <w:trPr>
          <w:trHeight w:val="304"/>
        </w:trPr>
        <w:tc>
          <w:tcPr>
            <w:tcW w:w="2405" w:type="dxa"/>
            <w:tcBorders>
              <w:left w:val="single" w:sz="4" w:space="0" w:color="auto"/>
              <w:bottom w:val="single" w:sz="4" w:space="0" w:color="auto"/>
              <w:right w:val="single" w:sz="4" w:space="0" w:color="auto"/>
            </w:tcBorders>
            <w:noWrap/>
            <w:vAlign w:val="center"/>
            <w:hideMark/>
          </w:tcPr>
          <w:p w14:paraId="3B54ABCA"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3A4F275F"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(-3.60)</w:t>
            </w:r>
          </w:p>
        </w:tc>
        <w:tc>
          <w:tcPr>
            <w:tcW w:w="1272" w:type="dxa"/>
            <w:tcBorders>
              <w:bottom w:val="single" w:sz="4" w:space="0" w:color="auto"/>
              <w:right w:val="single" w:sz="4" w:space="0" w:color="auto"/>
            </w:tcBorders>
            <w:vAlign w:val="center"/>
          </w:tcPr>
          <w:p w14:paraId="09A629D4"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469F53FA"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(-3.10)</w:t>
            </w:r>
          </w:p>
        </w:tc>
        <w:tc>
          <w:tcPr>
            <w:tcW w:w="1218" w:type="dxa"/>
            <w:tcBorders>
              <w:bottom w:val="single" w:sz="4" w:space="0" w:color="auto"/>
              <w:right w:val="single" w:sz="4" w:space="0" w:color="auto"/>
            </w:tcBorders>
            <w:vAlign w:val="center"/>
          </w:tcPr>
          <w:p w14:paraId="69656CDE"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027FB7B7" w14:textId="77777777" w:rsidTr="0056654A">
        <w:trPr>
          <w:trHeight w:val="154"/>
        </w:trPr>
        <w:tc>
          <w:tcPr>
            <w:tcW w:w="2405" w:type="dxa"/>
            <w:tcBorders>
              <w:top w:val="single" w:sz="4" w:space="0" w:color="auto"/>
              <w:left w:val="single" w:sz="4" w:space="0" w:color="auto"/>
              <w:right w:val="single" w:sz="4" w:space="0" w:color="auto"/>
            </w:tcBorders>
            <w:noWrap/>
            <w:vAlign w:val="center"/>
            <w:hideMark/>
          </w:tcPr>
          <w:p w14:paraId="0C52B550"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roofErr w:type="spellStart"/>
            <w:r w:rsidRPr="00267F31">
              <w:rPr>
                <w:rFonts w:ascii="Times New Roman" w:eastAsia="Times New Roman" w:hAnsi="Times New Roman" w:cs="Times New Roman"/>
                <w:color w:val="000000"/>
                <w:sz w:val="24"/>
                <w:szCs w:val="24"/>
                <w:lang w:eastAsia="es-MX"/>
              </w:rPr>
              <w:t>married</w:t>
            </w:r>
            <w:proofErr w:type="spellEnd"/>
          </w:p>
        </w:tc>
        <w:tc>
          <w:tcPr>
            <w:tcW w:w="2103" w:type="dxa"/>
            <w:tcBorders>
              <w:top w:val="single" w:sz="4" w:space="0" w:color="auto"/>
              <w:left w:val="single" w:sz="4" w:space="0" w:color="auto"/>
            </w:tcBorders>
            <w:noWrap/>
            <w:vAlign w:val="center"/>
            <w:hideMark/>
          </w:tcPr>
          <w:p w14:paraId="5C027CC7"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-1.981</w:t>
            </w:r>
          </w:p>
        </w:tc>
        <w:tc>
          <w:tcPr>
            <w:tcW w:w="1272" w:type="dxa"/>
            <w:tcBorders>
              <w:top w:val="single" w:sz="4" w:space="0" w:color="auto"/>
              <w:right w:val="single" w:sz="4" w:space="0" w:color="auto"/>
            </w:tcBorders>
            <w:vAlign w:val="center"/>
          </w:tcPr>
          <w:p w14:paraId="6679B967"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66CA9FD3"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-0.232</w:t>
            </w:r>
          </w:p>
        </w:tc>
        <w:tc>
          <w:tcPr>
            <w:tcW w:w="1218" w:type="dxa"/>
            <w:tcBorders>
              <w:top w:val="single" w:sz="4" w:space="0" w:color="auto"/>
              <w:right w:val="single" w:sz="4" w:space="0" w:color="auto"/>
            </w:tcBorders>
            <w:vAlign w:val="center"/>
          </w:tcPr>
          <w:p w14:paraId="066241B7"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67F43B12" w14:textId="77777777" w:rsidTr="0056654A">
        <w:trPr>
          <w:trHeight w:val="304"/>
        </w:trPr>
        <w:tc>
          <w:tcPr>
            <w:tcW w:w="2405" w:type="dxa"/>
            <w:tcBorders>
              <w:left w:val="single" w:sz="4" w:space="0" w:color="auto"/>
              <w:right w:val="single" w:sz="4" w:space="0" w:color="auto"/>
            </w:tcBorders>
            <w:noWrap/>
            <w:vAlign w:val="center"/>
            <w:hideMark/>
          </w:tcPr>
          <w:p w14:paraId="78B79DBA"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372AD5E5"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(-1.67)</w:t>
            </w:r>
          </w:p>
        </w:tc>
        <w:tc>
          <w:tcPr>
            <w:tcW w:w="1272" w:type="dxa"/>
            <w:tcBorders>
              <w:bottom w:val="single" w:sz="4" w:space="0" w:color="auto"/>
              <w:right w:val="single" w:sz="4" w:space="0" w:color="auto"/>
            </w:tcBorders>
            <w:vAlign w:val="center"/>
          </w:tcPr>
          <w:p w14:paraId="015C7D33"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543BBA2F"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(-0.18)</w:t>
            </w:r>
          </w:p>
        </w:tc>
        <w:tc>
          <w:tcPr>
            <w:tcW w:w="1218" w:type="dxa"/>
            <w:tcBorders>
              <w:bottom w:val="single" w:sz="4" w:space="0" w:color="auto"/>
              <w:right w:val="single" w:sz="4" w:space="0" w:color="auto"/>
            </w:tcBorders>
            <w:vAlign w:val="center"/>
          </w:tcPr>
          <w:p w14:paraId="126280CF"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71322614" w14:textId="77777777" w:rsidTr="0056654A">
        <w:trPr>
          <w:trHeight w:val="304"/>
        </w:trPr>
        <w:tc>
          <w:tcPr>
            <w:tcW w:w="2405" w:type="dxa"/>
            <w:tcBorders>
              <w:top w:val="single" w:sz="4" w:space="0" w:color="auto"/>
              <w:left w:val="single" w:sz="4" w:space="0" w:color="auto"/>
              <w:right w:val="single" w:sz="4" w:space="0" w:color="auto"/>
            </w:tcBorders>
            <w:noWrap/>
            <w:vAlign w:val="center"/>
            <w:hideMark/>
          </w:tcPr>
          <w:p w14:paraId="1F8B1262"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roofErr w:type="spellStart"/>
            <w:r w:rsidRPr="00267F31">
              <w:rPr>
                <w:rFonts w:ascii="Times New Roman" w:eastAsia="Times New Roman" w:hAnsi="Times New Roman" w:cs="Times New Roman"/>
                <w:color w:val="000000"/>
                <w:sz w:val="24"/>
                <w:szCs w:val="24"/>
                <w:lang w:eastAsia="es-MX"/>
              </w:rPr>
              <w:t>constant</w:t>
            </w:r>
            <w:proofErr w:type="spellEnd"/>
          </w:p>
        </w:tc>
        <w:tc>
          <w:tcPr>
            <w:tcW w:w="2103" w:type="dxa"/>
            <w:tcBorders>
              <w:top w:val="single" w:sz="4" w:space="0" w:color="auto"/>
              <w:left w:val="single" w:sz="4" w:space="0" w:color="auto"/>
            </w:tcBorders>
            <w:noWrap/>
            <w:vAlign w:val="center"/>
            <w:hideMark/>
          </w:tcPr>
          <w:p w14:paraId="354D0235"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213.9</w:t>
            </w:r>
          </w:p>
        </w:tc>
        <w:tc>
          <w:tcPr>
            <w:tcW w:w="1272" w:type="dxa"/>
            <w:tcBorders>
              <w:top w:val="single" w:sz="4" w:space="0" w:color="auto"/>
              <w:right w:val="single" w:sz="4" w:space="0" w:color="auto"/>
            </w:tcBorders>
            <w:vAlign w:val="center"/>
          </w:tcPr>
          <w:p w14:paraId="665A8577"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c>
          <w:tcPr>
            <w:tcW w:w="1943" w:type="dxa"/>
            <w:tcBorders>
              <w:top w:val="single" w:sz="4" w:space="0" w:color="auto"/>
              <w:left w:val="single" w:sz="4" w:space="0" w:color="auto"/>
            </w:tcBorders>
            <w:noWrap/>
            <w:vAlign w:val="center"/>
            <w:hideMark/>
          </w:tcPr>
          <w:p w14:paraId="39BF1ABF"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190.9</w:t>
            </w:r>
          </w:p>
        </w:tc>
        <w:tc>
          <w:tcPr>
            <w:tcW w:w="1218" w:type="dxa"/>
            <w:tcBorders>
              <w:top w:val="single" w:sz="4" w:space="0" w:color="auto"/>
              <w:right w:val="single" w:sz="4" w:space="0" w:color="auto"/>
            </w:tcBorders>
            <w:vAlign w:val="center"/>
          </w:tcPr>
          <w:p w14:paraId="7371D62B"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w:t>
            </w:r>
          </w:p>
        </w:tc>
      </w:tr>
      <w:tr w:rsidR="0056654A" w:rsidRPr="00267F31" w14:paraId="4BB1AA32" w14:textId="77777777" w:rsidTr="0056654A">
        <w:trPr>
          <w:trHeight w:val="304"/>
        </w:trPr>
        <w:tc>
          <w:tcPr>
            <w:tcW w:w="2405" w:type="dxa"/>
            <w:tcBorders>
              <w:left w:val="single" w:sz="4" w:space="0" w:color="auto"/>
              <w:bottom w:val="single" w:sz="4" w:space="0" w:color="auto"/>
              <w:right w:val="single" w:sz="4" w:space="0" w:color="auto"/>
            </w:tcBorders>
            <w:noWrap/>
            <w:vAlign w:val="center"/>
            <w:hideMark/>
          </w:tcPr>
          <w:p w14:paraId="2BEBD437"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 </w:t>
            </w:r>
          </w:p>
        </w:tc>
        <w:tc>
          <w:tcPr>
            <w:tcW w:w="2103" w:type="dxa"/>
            <w:tcBorders>
              <w:left w:val="single" w:sz="4" w:space="0" w:color="auto"/>
              <w:bottom w:val="single" w:sz="4" w:space="0" w:color="auto"/>
            </w:tcBorders>
            <w:noWrap/>
            <w:vAlign w:val="center"/>
            <w:hideMark/>
          </w:tcPr>
          <w:p w14:paraId="1138FAB4"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(121.25)</w:t>
            </w:r>
          </w:p>
        </w:tc>
        <w:tc>
          <w:tcPr>
            <w:tcW w:w="1272" w:type="dxa"/>
            <w:tcBorders>
              <w:bottom w:val="single" w:sz="4" w:space="0" w:color="auto"/>
              <w:right w:val="single" w:sz="4" w:space="0" w:color="auto"/>
            </w:tcBorders>
            <w:vAlign w:val="center"/>
          </w:tcPr>
          <w:p w14:paraId="51F6921F"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left w:val="single" w:sz="4" w:space="0" w:color="auto"/>
              <w:bottom w:val="single" w:sz="4" w:space="0" w:color="auto"/>
            </w:tcBorders>
            <w:noWrap/>
            <w:vAlign w:val="center"/>
            <w:hideMark/>
          </w:tcPr>
          <w:p w14:paraId="7B509B15"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(100.78)</w:t>
            </w:r>
          </w:p>
        </w:tc>
        <w:tc>
          <w:tcPr>
            <w:tcW w:w="1218" w:type="dxa"/>
            <w:tcBorders>
              <w:bottom w:val="single" w:sz="4" w:space="0" w:color="auto"/>
              <w:right w:val="single" w:sz="4" w:space="0" w:color="auto"/>
            </w:tcBorders>
            <w:vAlign w:val="center"/>
          </w:tcPr>
          <w:p w14:paraId="5E5A5D14"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0FF62DC5" w14:textId="77777777" w:rsidTr="0056654A">
        <w:trPr>
          <w:trHeight w:val="304"/>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79DB2983"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N</w:t>
            </w:r>
          </w:p>
        </w:tc>
        <w:tc>
          <w:tcPr>
            <w:tcW w:w="2103" w:type="dxa"/>
            <w:tcBorders>
              <w:top w:val="single" w:sz="4" w:space="0" w:color="auto"/>
              <w:left w:val="single" w:sz="4" w:space="0" w:color="auto"/>
              <w:bottom w:val="single" w:sz="4" w:space="0" w:color="auto"/>
            </w:tcBorders>
            <w:noWrap/>
            <w:vAlign w:val="bottom"/>
            <w:hideMark/>
          </w:tcPr>
          <w:p w14:paraId="67D46F43"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5,890</w:t>
            </w:r>
          </w:p>
        </w:tc>
        <w:tc>
          <w:tcPr>
            <w:tcW w:w="1272" w:type="dxa"/>
            <w:tcBorders>
              <w:top w:val="single" w:sz="4" w:space="0" w:color="auto"/>
              <w:bottom w:val="single" w:sz="4" w:space="0" w:color="auto"/>
              <w:right w:val="single" w:sz="4" w:space="0" w:color="auto"/>
            </w:tcBorders>
            <w:vAlign w:val="bottom"/>
          </w:tcPr>
          <w:p w14:paraId="5BBD541A"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top w:val="single" w:sz="4" w:space="0" w:color="auto"/>
              <w:left w:val="single" w:sz="4" w:space="0" w:color="auto"/>
              <w:bottom w:val="single" w:sz="4" w:space="0" w:color="auto"/>
            </w:tcBorders>
            <w:noWrap/>
            <w:vAlign w:val="bottom"/>
            <w:hideMark/>
          </w:tcPr>
          <w:p w14:paraId="09503F77"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5,890</w:t>
            </w:r>
          </w:p>
        </w:tc>
        <w:tc>
          <w:tcPr>
            <w:tcW w:w="1218" w:type="dxa"/>
            <w:tcBorders>
              <w:top w:val="single" w:sz="4" w:space="0" w:color="auto"/>
              <w:bottom w:val="single" w:sz="4" w:space="0" w:color="auto"/>
              <w:right w:val="single" w:sz="4" w:space="0" w:color="auto"/>
            </w:tcBorders>
            <w:vAlign w:val="bottom"/>
          </w:tcPr>
          <w:p w14:paraId="669F7FC9"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r w:rsidR="0056654A" w:rsidRPr="00267F31" w14:paraId="6329E5A5" w14:textId="77777777" w:rsidTr="0056654A">
        <w:trPr>
          <w:trHeight w:val="304"/>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724699AF"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R</w:t>
            </w:r>
            <w:r w:rsidRPr="00267F31">
              <w:rPr>
                <w:rFonts w:ascii="Times New Roman" w:eastAsia="Times New Roman" w:hAnsi="Times New Roman" w:cs="Times New Roman"/>
                <w:color w:val="000000"/>
                <w:sz w:val="24"/>
                <w:szCs w:val="24"/>
                <w:vertAlign w:val="superscript"/>
                <w:lang w:eastAsia="es-MX"/>
              </w:rPr>
              <w:t>2</w:t>
            </w:r>
            <w:r w:rsidRPr="00267F31">
              <w:rPr>
                <w:rFonts w:ascii="Times New Roman" w:eastAsia="Times New Roman" w:hAnsi="Times New Roman" w:cs="Times New Roman"/>
                <w:color w:val="000000"/>
                <w:sz w:val="24"/>
                <w:szCs w:val="24"/>
                <w:lang w:eastAsia="es-MX"/>
              </w:rPr>
              <w:t xml:space="preserve"> </w:t>
            </w:r>
            <w:proofErr w:type="spellStart"/>
            <w:r w:rsidRPr="00267F31">
              <w:rPr>
                <w:rFonts w:ascii="Times New Roman" w:eastAsia="Times New Roman" w:hAnsi="Times New Roman" w:cs="Times New Roman"/>
                <w:color w:val="000000"/>
                <w:sz w:val="24"/>
                <w:szCs w:val="24"/>
                <w:lang w:eastAsia="es-MX"/>
              </w:rPr>
              <w:t>adjusted</w:t>
            </w:r>
            <w:proofErr w:type="spellEnd"/>
          </w:p>
        </w:tc>
        <w:tc>
          <w:tcPr>
            <w:tcW w:w="2103" w:type="dxa"/>
            <w:tcBorders>
              <w:top w:val="single" w:sz="4" w:space="0" w:color="auto"/>
              <w:left w:val="single" w:sz="4" w:space="0" w:color="auto"/>
              <w:bottom w:val="single" w:sz="4" w:space="0" w:color="auto"/>
            </w:tcBorders>
            <w:noWrap/>
            <w:vAlign w:val="bottom"/>
            <w:hideMark/>
          </w:tcPr>
          <w:p w14:paraId="1982B47B"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0.268</w:t>
            </w:r>
          </w:p>
        </w:tc>
        <w:tc>
          <w:tcPr>
            <w:tcW w:w="1272" w:type="dxa"/>
            <w:tcBorders>
              <w:top w:val="single" w:sz="4" w:space="0" w:color="auto"/>
              <w:bottom w:val="single" w:sz="4" w:space="0" w:color="auto"/>
              <w:right w:val="single" w:sz="4" w:space="0" w:color="auto"/>
            </w:tcBorders>
            <w:vAlign w:val="bottom"/>
          </w:tcPr>
          <w:p w14:paraId="4652875C" w14:textId="77777777" w:rsidR="0056654A" w:rsidRPr="00267F31" w:rsidRDefault="0056654A" w:rsidP="0056654A">
            <w:pPr>
              <w:spacing w:after="0" w:line="240" w:lineRule="auto"/>
              <w:ind w:firstLine="0"/>
              <w:contextualSpacing w:val="0"/>
              <w:jc w:val="both"/>
              <w:rPr>
                <w:rFonts w:ascii="Times New Roman" w:eastAsia="Times New Roman" w:hAnsi="Times New Roman" w:cs="Times New Roman"/>
                <w:color w:val="000000"/>
                <w:sz w:val="24"/>
                <w:szCs w:val="24"/>
                <w:lang w:eastAsia="es-MX"/>
              </w:rPr>
            </w:pPr>
          </w:p>
        </w:tc>
        <w:tc>
          <w:tcPr>
            <w:tcW w:w="1943" w:type="dxa"/>
            <w:tcBorders>
              <w:top w:val="single" w:sz="4" w:space="0" w:color="auto"/>
              <w:left w:val="single" w:sz="4" w:space="0" w:color="auto"/>
              <w:bottom w:val="single" w:sz="4" w:space="0" w:color="auto"/>
            </w:tcBorders>
            <w:noWrap/>
            <w:vAlign w:val="bottom"/>
            <w:hideMark/>
          </w:tcPr>
          <w:p w14:paraId="671FA27F" w14:textId="77777777" w:rsidR="0056654A" w:rsidRPr="00267F31" w:rsidRDefault="0056654A" w:rsidP="0056654A">
            <w:pPr>
              <w:spacing w:after="0" w:line="240" w:lineRule="auto"/>
              <w:ind w:firstLine="0"/>
              <w:contextualSpacing w:val="0"/>
              <w:jc w:val="right"/>
              <w:rPr>
                <w:rFonts w:ascii="Times New Roman" w:eastAsia="Times New Roman" w:hAnsi="Times New Roman" w:cs="Times New Roman"/>
                <w:color w:val="000000"/>
                <w:sz w:val="24"/>
                <w:szCs w:val="24"/>
                <w:lang w:eastAsia="es-MX"/>
              </w:rPr>
            </w:pPr>
            <w:r w:rsidRPr="00267F31">
              <w:rPr>
                <w:rFonts w:ascii="Times New Roman" w:eastAsia="Times New Roman" w:hAnsi="Times New Roman" w:cs="Times New Roman"/>
                <w:color w:val="000000"/>
                <w:sz w:val="24"/>
                <w:szCs w:val="24"/>
                <w:lang w:eastAsia="es-MX"/>
              </w:rPr>
              <w:t>0.291</w:t>
            </w:r>
          </w:p>
        </w:tc>
        <w:tc>
          <w:tcPr>
            <w:tcW w:w="1218" w:type="dxa"/>
            <w:tcBorders>
              <w:top w:val="single" w:sz="4" w:space="0" w:color="auto"/>
              <w:bottom w:val="single" w:sz="4" w:space="0" w:color="auto"/>
              <w:right w:val="single" w:sz="4" w:space="0" w:color="auto"/>
            </w:tcBorders>
            <w:vAlign w:val="bottom"/>
          </w:tcPr>
          <w:p w14:paraId="43A9C651" w14:textId="77777777" w:rsidR="0056654A" w:rsidRPr="00267F31" w:rsidRDefault="0056654A" w:rsidP="0056654A">
            <w:pPr>
              <w:spacing w:after="0" w:line="240" w:lineRule="auto"/>
              <w:ind w:firstLine="0"/>
              <w:contextualSpacing w:val="0"/>
              <w:rPr>
                <w:rFonts w:ascii="Times New Roman" w:eastAsia="Times New Roman" w:hAnsi="Times New Roman" w:cs="Times New Roman"/>
                <w:color w:val="000000"/>
                <w:sz w:val="24"/>
                <w:szCs w:val="24"/>
                <w:lang w:eastAsia="es-MX"/>
              </w:rPr>
            </w:pPr>
          </w:p>
        </w:tc>
      </w:tr>
    </w:tbl>
    <w:p w14:paraId="5C36D0DF" w14:textId="595BCB13" w:rsidR="00C1183E" w:rsidRPr="00EA7A75" w:rsidRDefault="0056654A" w:rsidP="00267F31">
      <w:pPr>
        <w:spacing w:after="0" w:line="360" w:lineRule="auto"/>
        <w:ind w:firstLine="360"/>
        <w:jc w:val="center"/>
        <w:rPr>
          <w:bCs/>
          <w:sz w:val="24"/>
          <w:szCs w:val="24"/>
          <w:lang w:val="en-US"/>
        </w:rPr>
      </w:pPr>
      <w:r w:rsidRPr="009D28BE">
        <w:rPr>
          <w:rFonts w:ascii="Times New Roman" w:eastAsia="Times New Roman" w:hAnsi="Times New Roman" w:cs="Times New Roman"/>
          <w:color w:val="000000"/>
          <w:sz w:val="24"/>
          <w:szCs w:val="24"/>
          <w:lang w:val="en-US" w:eastAsia="es-MX"/>
        </w:rPr>
        <w:t>Source: Adapted from PIAAC data (2017)</w:t>
      </w:r>
      <w:r>
        <w:rPr>
          <w:rFonts w:ascii="Times New Roman" w:eastAsia="Times New Roman" w:hAnsi="Times New Roman" w:cs="Times New Roman"/>
          <w:color w:val="000000"/>
          <w:sz w:val="24"/>
          <w:szCs w:val="24"/>
          <w:lang w:val="en-US" w:eastAsia="es-MX"/>
        </w:rPr>
        <w:t xml:space="preserve">. </w:t>
      </w:r>
      <w:r w:rsidRPr="00660245">
        <w:rPr>
          <w:rFonts w:ascii="Times New Roman" w:eastAsia="Times New Roman" w:hAnsi="Times New Roman" w:cs="Times New Roman"/>
          <w:color w:val="000000"/>
          <w:sz w:val="24"/>
          <w:szCs w:val="24"/>
          <w:lang w:val="en-US" w:eastAsia="es-MX"/>
        </w:rPr>
        <w:t>t statistics in brackets, * p&lt;0.10, ** p&lt;0.05, *** p&lt;0.01</w:t>
      </w:r>
    </w:p>
    <w:p w14:paraId="4D21A3B3" w14:textId="77777777" w:rsidR="00267F31" w:rsidRDefault="00267F31" w:rsidP="00267F31">
      <w:pPr>
        <w:spacing w:after="0" w:line="360" w:lineRule="auto"/>
        <w:ind w:firstLine="0"/>
        <w:contextualSpacing w:val="0"/>
        <w:jc w:val="center"/>
        <w:rPr>
          <w:rFonts w:ascii="Times New Roman" w:hAnsi="Times New Roman" w:cs="Times New Roman"/>
          <w:b/>
          <w:sz w:val="32"/>
          <w:szCs w:val="32"/>
          <w:lang w:val="en-US"/>
        </w:rPr>
      </w:pPr>
    </w:p>
    <w:p w14:paraId="5BD464DB" w14:textId="77777777" w:rsidR="00267F31" w:rsidRDefault="00267F31" w:rsidP="00267F31">
      <w:pPr>
        <w:spacing w:after="0" w:line="360" w:lineRule="auto"/>
        <w:ind w:firstLine="0"/>
        <w:contextualSpacing w:val="0"/>
        <w:jc w:val="center"/>
        <w:rPr>
          <w:rFonts w:ascii="Times New Roman" w:hAnsi="Times New Roman" w:cs="Times New Roman"/>
          <w:b/>
          <w:sz w:val="32"/>
          <w:szCs w:val="32"/>
          <w:lang w:val="en-US"/>
        </w:rPr>
      </w:pPr>
    </w:p>
    <w:p w14:paraId="48C51A08" w14:textId="77777777" w:rsidR="00267F31" w:rsidRDefault="00267F31" w:rsidP="00267F31">
      <w:pPr>
        <w:spacing w:after="0" w:line="360" w:lineRule="auto"/>
        <w:ind w:firstLine="0"/>
        <w:contextualSpacing w:val="0"/>
        <w:jc w:val="center"/>
        <w:rPr>
          <w:rFonts w:ascii="Times New Roman" w:hAnsi="Times New Roman" w:cs="Times New Roman"/>
          <w:b/>
          <w:sz w:val="32"/>
          <w:szCs w:val="32"/>
          <w:lang w:val="en-US"/>
        </w:rPr>
      </w:pPr>
    </w:p>
    <w:p w14:paraId="19479ED2" w14:textId="7E2E1413" w:rsidR="00DC6419" w:rsidRPr="00682F0D" w:rsidRDefault="00267F31" w:rsidP="00267F31">
      <w:pPr>
        <w:spacing w:after="0" w:line="360" w:lineRule="auto"/>
        <w:ind w:firstLine="0"/>
        <w:contextualSpacing w:val="0"/>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 xml:space="preserve"> </w:t>
      </w:r>
      <w:r w:rsidR="00C648B8">
        <w:rPr>
          <w:rFonts w:ascii="Times New Roman" w:hAnsi="Times New Roman" w:cs="Times New Roman"/>
          <w:b/>
          <w:sz w:val="32"/>
          <w:szCs w:val="32"/>
          <w:lang w:val="en-US"/>
        </w:rPr>
        <w:t>Discussion</w:t>
      </w:r>
    </w:p>
    <w:p w14:paraId="2582B1DC" w14:textId="77777777" w:rsidR="00032C58" w:rsidRPr="00032C58" w:rsidRDefault="00032C58" w:rsidP="009D28BE">
      <w:pPr>
        <w:spacing w:after="0" w:line="360" w:lineRule="auto"/>
        <w:ind w:firstLine="0"/>
        <w:contextualSpacing w:val="0"/>
        <w:jc w:val="both"/>
        <w:rPr>
          <w:rFonts w:ascii="Times New Roman" w:hAnsi="Times New Roman" w:cs="Times New Roman"/>
          <w:bCs/>
          <w:sz w:val="24"/>
          <w:szCs w:val="24"/>
          <w:lang w:val="en-US"/>
        </w:rPr>
      </w:pPr>
      <w:r w:rsidRPr="00032C58">
        <w:rPr>
          <w:rFonts w:ascii="Times New Roman" w:hAnsi="Times New Roman" w:cs="Times New Roman"/>
          <w:bCs/>
          <w:sz w:val="24"/>
          <w:szCs w:val="24"/>
          <w:lang w:val="en-US"/>
        </w:rPr>
        <w:t>The results of this study reinforce previous empirical evidence regarding the determinants of cognitive skills while highlighting specific factors that are particularly relevant for understanding these dynamics in emerging economies such as Mexico.</w:t>
      </w:r>
    </w:p>
    <w:p w14:paraId="21EDFD1F" w14:textId="4AAE5A2C" w:rsidR="00032C58" w:rsidRPr="00032C58" w:rsidRDefault="00032C58" w:rsidP="009D28BE">
      <w:pPr>
        <w:spacing w:after="0" w:line="360" w:lineRule="auto"/>
        <w:ind w:firstLine="708"/>
        <w:contextualSpacing w:val="0"/>
        <w:jc w:val="both"/>
        <w:rPr>
          <w:rFonts w:ascii="Times New Roman" w:hAnsi="Times New Roman" w:cs="Times New Roman"/>
          <w:bCs/>
          <w:sz w:val="24"/>
          <w:szCs w:val="24"/>
          <w:lang w:val="en-US"/>
        </w:rPr>
      </w:pPr>
      <w:r w:rsidRPr="00032C58">
        <w:rPr>
          <w:rFonts w:ascii="Times New Roman" w:hAnsi="Times New Roman" w:cs="Times New Roman"/>
          <w:bCs/>
          <w:sz w:val="24"/>
          <w:szCs w:val="24"/>
          <w:lang w:val="en-US"/>
        </w:rPr>
        <w:t xml:space="preserve">The strong relationship between educational attainment and performance in numeracy and literacy aligns with the findings of Hanushek </w:t>
      </w:r>
      <w:r w:rsidR="00537FF1">
        <w:rPr>
          <w:rFonts w:ascii="Times New Roman" w:hAnsi="Times New Roman" w:cs="Times New Roman"/>
          <w:bCs/>
          <w:sz w:val="24"/>
          <w:szCs w:val="24"/>
          <w:lang w:val="en-US"/>
        </w:rPr>
        <w:t>&amp;</w:t>
      </w:r>
      <w:r w:rsidRPr="00032C58">
        <w:rPr>
          <w:rFonts w:ascii="Times New Roman" w:hAnsi="Times New Roman" w:cs="Times New Roman"/>
          <w:bCs/>
          <w:sz w:val="24"/>
          <w:szCs w:val="24"/>
          <w:lang w:val="en-US"/>
        </w:rPr>
        <w:t xml:space="preserve"> </w:t>
      </w:r>
      <w:proofErr w:type="spellStart"/>
      <w:r w:rsidRPr="00032C58">
        <w:rPr>
          <w:rFonts w:ascii="Times New Roman" w:hAnsi="Times New Roman" w:cs="Times New Roman"/>
          <w:bCs/>
          <w:sz w:val="24"/>
          <w:szCs w:val="24"/>
          <w:lang w:val="en-US"/>
        </w:rPr>
        <w:t>Woessmann</w:t>
      </w:r>
      <w:proofErr w:type="spellEnd"/>
      <w:r w:rsidRPr="00032C58">
        <w:rPr>
          <w:rFonts w:ascii="Times New Roman" w:hAnsi="Times New Roman" w:cs="Times New Roman"/>
          <w:bCs/>
          <w:sz w:val="24"/>
          <w:szCs w:val="24"/>
          <w:lang w:val="en-US"/>
        </w:rPr>
        <w:t xml:space="preserve"> (2008) and Heckman et al. (2006), who emphasize that both the quantity and quality of formal education are crucial for the accumulation of human capital. Nevertheless, our findings indicate that even individuals with higher education rarely reach proficiency levels near the maximum on the PIAAC scale. This gap raises questions about the effectiveness of the Mexican education system in translating years of schooling into functional and transferable skills, a concern also noted by Calero et al. (2019). Such a discrepancy may reflect both structural deficiencies in educational quality and a lack of alignment between curricular content and the skills demanded by the socioeconomic environment.</w:t>
      </w:r>
    </w:p>
    <w:p w14:paraId="42144A94" w14:textId="69B53A9C" w:rsidR="00032C58" w:rsidRPr="00032C58" w:rsidRDefault="00032C58" w:rsidP="009D28BE">
      <w:pPr>
        <w:spacing w:after="0" w:line="360" w:lineRule="auto"/>
        <w:ind w:firstLine="708"/>
        <w:contextualSpacing w:val="0"/>
        <w:jc w:val="both"/>
        <w:rPr>
          <w:rFonts w:ascii="Times New Roman" w:hAnsi="Times New Roman" w:cs="Times New Roman"/>
          <w:bCs/>
          <w:sz w:val="24"/>
          <w:szCs w:val="24"/>
          <w:lang w:val="en-US"/>
        </w:rPr>
      </w:pPr>
      <w:r w:rsidRPr="00032C58">
        <w:rPr>
          <w:rFonts w:ascii="Times New Roman" w:hAnsi="Times New Roman" w:cs="Times New Roman"/>
          <w:bCs/>
          <w:sz w:val="24"/>
          <w:szCs w:val="24"/>
          <w:lang w:val="en-US"/>
        </w:rPr>
        <w:t xml:space="preserve">With respect to age, the observed pattern of cognitive decline is consistent with prior research, including Hanushek et al. (2025), Anghel </w:t>
      </w:r>
      <w:r w:rsidR="00537FF1">
        <w:rPr>
          <w:rFonts w:ascii="Times New Roman" w:hAnsi="Times New Roman" w:cs="Times New Roman"/>
          <w:bCs/>
          <w:sz w:val="24"/>
          <w:szCs w:val="24"/>
          <w:lang w:val="en-US"/>
        </w:rPr>
        <w:t>&amp;</w:t>
      </w:r>
      <w:r w:rsidRPr="00032C58">
        <w:rPr>
          <w:rFonts w:ascii="Times New Roman" w:hAnsi="Times New Roman" w:cs="Times New Roman"/>
          <w:bCs/>
          <w:sz w:val="24"/>
          <w:szCs w:val="24"/>
          <w:lang w:val="en-US"/>
        </w:rPr>
        <w:t xml:space="preserve"> Lacuesta (2020), and </w:t>
      </w:r>
      <w:proofErr w:type="spellStart"/>
      <w:r w:rsidRPr="00032C58">
        <w:rPr>
          <w:rFonts w:ascii="Times New Roman" w:hAnsi="Times New Roman" w:cs="Times New Roman"/>
          <w:bCs/>
          <w:sz w:val="24"/>
          <w:szCs w:val="24"/>
          <w:lang w:val="en-US"/>
        </w:rPr>
        <w:t>Schaie</w:t>
      </w:r>
      <w:proofErr w:type="spellEnd"/>
      <w:r w:rsidRPr="00032C58">
        <w:rPr>
          <w:rFonts w:ascii="Times New Roman" w:hAnsi="Times New Roman" w:cs="Times New Roman"/>
          <w:bCs/>
          <w:sz w:val="24"/>
          <w:szCs w:val="24"/>
          <w:lang w:val="en-US"/>
        </w:rPr>
        <w:t xml:space="preserve"> (2005), which documents progressive skill deterioration during middle and older adulthood. However, our analysis suggests that the decline in Mexico is more pronounced than in other OECD countries. This could be related to reduced sustained exposure to cognitively demanding tasks in both work and social contexts, as well as the limited coverage and targeting of continuing education programs. Although non-formal training exhibits a positive effect on cognitive skills, the marginal impact is relatively modest, indicating that available opportunities are insufficient to reverse skill losses and are not strategically directed toward the most disadvantaged groups.</w:t>
      </w:r>
    </w:p>
    <w:p w14:paraId="1F7DF213" w14:textId="77777777" w:rsidR="00032C58" w:rsidRPr="00032C58" w:rsidRDefault="00032C58" w:rsidP="009D28BE">
      <w:pPr>
        <w:spacing w:after="0" w:line="360" w:lineRule="auto"/>
        <w:ind w:firstLine="708"/>
        <w:contextualSpacing w:val="0"/>
        <w:jc w:val="both"/>
        <w:rPr>
          <w:rFonts w:ascii="Times New Roman" w:hAnsi="Times New Roman" w:cs="Times New Roman"/>
          <w:bCs/>
          <w:sz w:val="24"/>
          <w:szCs w:val="24"/>
          <w:lang w:val="en-US"/>
        </w:rPr>
      </w:pPr>
      <w:r w:rsidRPr="00032C58">
        <w:rPr>
          <w:rFonts w:ascii="Times New Roman" w:hAnsi="Times New Roman" w:cs="Times New Roman"/>
          <w:bCs/>
          <w:sz w:val="24"/>
          <w:szCs w:val="24"/>
          <w:lang w:val="en-US"/>
        </w:rPr>
        <w:t>The intergenerational transmission of education, as evidenced in our results, supports the conclusions of Carneiro et al. (2013), showing that parental education exerts a positive influence on the cognitive abilities of adult children. This finding underscores the persistent reproduction of human capital inequalities across generations when early educational gaps remain unaddressed.</w:t>
      </w:r>
    </w:p>
    <w:p w14:paraId="3DBC825E" w14:textId="0A95CA42" w:rsidR="00032C58" w:rsidRPr="00032C58" w:rsidRDefault="00032C58" w:rsidP="009D28BE">
      <w:pPr>
        <w:spacing w:after="0" w:line="360" w:lineRule="auto"/>
        <w:ind w:firstLine="708"/>
        <w:contextualSpacing w:val="0"/>
        <w:jc w:val="both"/>
        <w:rPr>
          <w:rFonts w:ascii="Times New Roman" w:hAnsi="Times New Roman" w:cs="Times New Roman"/>
          <w:bCs/>
          <w:sz w:val="24"/>
          <w:szCs w:val="24"/>
          <w:lang w:val="en-US"/>
        </w:rPr>
      </w:pPr>
      <w:r w:rsidRPr="00032C58">
        <w:rPr>
          <w:rFonts w:ascii="Times New Roman" w:hAnsi="Times New Roman" w:cs="Times New Roman"/>
          <w:bCs/>
          <w:sz w:val="24"/>
          <w:szCs w:val="24"/>
          <w:lang w:val="en-US"/>
        </w:rPr>
        <w:t xml:space="preserve">Another key finding deserving critical attention is the persistent gender gap in cognitive skills. Consistent with Battisti et al. (2023), men tend to outperform women in numeracy, while women excel in literacy. Importantly, these differences persist even after </w:t>
      </w:r>
      <w:r w:rsidR="004928CE" w:rsidRPr="00032C58">
        <w:rPr>
          <w:rFonts w:ascii="Times New Roman" w:hAnsi="Times New Roman" w:cs="Times New Roman"/>
          <w:bCs/>
          <w:sz w:val="24"/>
          <w:szCs w:val="24"/>
          <w:lang w:val="en-US"/>
        </w:rPr>
        <w:t>controlling</w:t>
      </w:r>
      <w:r w:rsidRPr="00032C58">
        <w:rPr>
          <w:rFonts w:ascii="Times New Roman" w:hAnsi="Times New Roman" w:cs="Times New Roman"/>
          <w:bCs/>
          <w:sz w:val="24"/>
          <w:szCs w:val="24"/>
          <w:lang w:val="en-US"/>
        </w:rPr>
        <w:t xml:space="preserve"> education and other socioeconomic variables, suggesting that gender gaps reflect </w:t>
      </w:r>
      <w:r w:rsidRPr="00032C58">
        <w:rPr>
          <w:rFonts w:ascii="Times New Roman" w:hAnsi="Times New Roman" w:cs="Times New Roman"/>
          <w:bCs/>
          <w:sz w:val="24"/>
          <w:szCs w:val="24"/>
          <w:lang w:val="en-US"/>
        </w:rPr>
        <w:lastRenderedPageBreak/>
        <w:t xml:space="preserve">deep-seated inequalities in access, socialization patterns, task allocation, and institutional expectations. As Rebollo-Sanz </w:t>
      </w:r>
      <w:r w:rsidR="00537FF1">
        <w:rPr>
          <w:rFonts w:ascii="Times New Roman" w:hAnsi="Times New Roman" w:cs="Times New Roman"/>
          <w:bCs/>
          <w:sz w:val="24"/>
          <w:szCs w:val="24"/>
          <w:lang w:val="en-US"/>
        </w:rPr>
        <w:t>&amp;</w:t>
      </w:r>
      <w:r w:rsidRPr="00032C58">
        <w:rPr>
          <w:rFonts w:ascii="Times New Roman" w:hAnsi="Times New Roman" w:cs="Times New Roman"/>
          <w:bCs/>
          <w:sz w:val="24"/>
          <w:szCs w:val="24"/>
          <w:lang w:val="en-US"/>
        </w:rPr>
        <w:t xml:space="preserve"> De la Rica (2020) argue, such disparities in skills can contribute to wage inequalities in the labor market and should not be interpreted as natural or solely individual differences.</w:t>
      </w:r>
    </w:p>
    <w:p w14:paraId="03E22439" w14:textId="77777777" w:rsidR="00032C58" w:rsidRPr="00032C58" w:rsidRDefault="00032C58" w:rsidP="009D28BE">
      <w:pPr>
        <w:spacing w:after="0" w:line="360" w:lineRule="auto"/>
        <w:ind w:firstLine="708"/>
        <w:contextualSpacing w:val="0"/>
        <w:jc w:val="both"/>
        <w:rPr>
          <w:rFonts w:ascii="Times New Roman" w:hAnsi="Times New Roman" w:cs="Times New Roman"/>
          <w:bCs/>
          <w:sz w:val="24"/>
          <w:szCs w:val="24"/>
          <w:lang w:val="en-US"/>
        </w:rPr>
      </w:pPr>
      <w:r w:rsidRPr="00032C58">
        <w:rPr>
          <w:rFonts w:ascii="Times New Roman" w:hAnsi="Times New Roman" w:cs="Times New Roman"/>
          <w:bCs/>
          <w:sz w:val="24"/>
          <w:szCs w:val="24"/>
          <w:lang w:val="en-US"/>
        </w:rPr>
        <w:t>Our analysis also confirms the positive influence of work experience on cognitive skill development, in line with Autor (2014) and Chetty et al. (2014). However, the effect is relatively modest, potentially reflecting the segmentation of the Mexican labor market, where many workers engage in routine tasks requiring limited cognitive engagement. These findings suggest that the quality of work environments and the cognitive demands of specific occupations are more relevant than the mere duration of experience, highlighting the need for policies that enhance cognitive stimulation across an individual’s working life, as also emphasized by Xu (2024).</w:t>
      </w:r>
    </w:p>
    <w:p w14:paraId="15944A8B" w14:textId="77777777" w:rsidR="00032C58" w:rsidRPr="00032C58" w:rsidRDefault="00032C58" w:rsidP="009D28BE">
      <w:pPr>
        <w:spacing w:after="0" w:line="360" w:lineRule="auto"/>
        <w:ind w:firstLine="708"/>
        <w:contextualSpacing w:val="0"/>
        <w:jc w:val="both"/>
        <w:rPr>
          <w:rFonts w:ascii="Times New Roman" w:hAnsi="Times New Roman" w:cs="Times New Roman"/>
          <w:bCs/>
          <w:sz w:val="24"/>
          <w:szCs w:val="24"/>
          <w:lang w:val="en-US"/>
        </w:rPr>
      </w:pPr>
      <w:r w:rsidRPr="00032C58">
        <w:rPr>
          <w:rFonts w:ascii="Times New Roman" w:hAnsi="Times New Roman" w:cs="Times New Roman"/>
          <w:bCs/>
          <w:sz w:val="24"/>
          <w:szCs w:val="24"/>
          <w:lang w:val="en-US"/>
        </w:rPr>
        <w:t>Finally, the negative effect of poor health on cognitive performance corroborates the findings of Autor et al. (2003), who demonstrate that health status directly impacts both cognitive functioning and productivity. Often overlooked in studies of human capital, this dimension is crucial for designing comprehensive interventions that integrate educational development with physical and mental well-being.</w:t>
      </w:r>
    </w:p>
    <w:p w14:paraId="46D3C431" w14:textId="74FC73EF" w:rsidR="00032C58" w:rsidRDefault="00032C58" w:rsidP="009D28BE">
      <w:pPr>
        <w:spacing w:after="0" w:line="360" w:lineRule="auto"/>
        <w:ind w:firstLine="708"/>
        <w:contextualSpacing w:val="0"/>
        <w:jc w:val="both"/>
        <w:rPr>
          <w:rFonts w:ascii="Times New Roman" w:hAnsi="Times New Roman" w:cs="Times New Roman"/>
          <w:bCs/>
          <w:sz w:val="24"/>
          <w:szCs w:val="24"/>
          <w:lang w:val="en-US"/>
        </w:rPr>
      </w:pPr>
      <w:r w:rsidRPr="00032C58">
        <w:rPr>
          <w:rFonts w:ascii="Times New Roman" w:hAnsi="Times New Roman" w:cs="Times New Roman"/>
          <w:bCs/>
          <w:sz w:val="24"/>
          <w:szCs w:val="24"/>
          <w:lang w:val="en-US"/>
        </w:rPr>
        <w:t>In summary, our findings emphasize the multifaceted nature of cognitive skill development, shaped not only by formal education and age but also by parental background, gender, work experience, and health. These insights provide a foundation for targeted policies in emerging economic contexts, highlighting the need for integrated approaches that combine educational quality, lifelong learning opportunities, equitable access, and health interventions.</w:t>
      </w:r>
    </w:p>
    <w:p w14:paraId="550745DA" w14:textId="77777777" w:rsidR="00A37B03" w:rsidRDefault="00A37B03" w:rsidP="009D28BE">
      <w:pPr>
        <w:spacing w:after="0" w:line="360" w:lineRule="auto"/>
        <w:ind w:firstLine="0"/>
        <w:contextualSpacing w:val="0"/>
        <w:jc w:val="center"/>
        <w:rPr>
          <w:rFonts w:ascii="Times New Roman" w:hAnsi="Times New Roman" w:cs="Times New Roman"/>
          <w:b/>
          <w:sz w:val="32"/>
          <w:szCs w:val="32"/>
          <w:lang w:val="en-US"/>
        </w:rPr>
      </w:pPr>
    </w:p>
    <w:p w14:paraId="13E18BAB" w14:textId="61E97A57" w:rsidR="00C417B1" w:rsidRPr="00E80D86" w:rsidRDefault="00C648B8" w:rsidP="009D28BE">
      <w:pPr>
        <w:spacing w:after="0" w:line="360" w:lineRule="auto"/>
        <w:ind w:firstLine="0"/>
        <w:contextualSpacing w:val="0"/>
        <w:jc w:val="center"/>
        <w:rPr>
          <w:rFonts w:ascii="Times New Roman" w:hAnsi="Times New Roman" w:cs="Times New Roman"/>
          <w:b/>
          <w:sz w:val="32"/>
          <w:szCs w:val="32"/>
          <w:lang w:val="en-US"/>
        </w:rPr>
      </w:pPr>
      <w:r>
        <w:rPr>
          <w:rFonts w:ascii="Times New Roman" w:hAnsi="Times New Roman" w:cs="Times New Roman"/>
          <w:b/>
          <w:sz w:val="32"/>
          <w:szCs w:val="32"/>
          <w:lang w:val="en-US"/>
        </w:rPr>
        <w:t>Conclusion</w:t>
      </w:r>
    </w:p>
    <w:p w14:paraId="7A8BF2E5" w14:textId="77777777" w:rsidR="0009666A" w:rsidRPr="0009666A" w:rsidRDefault="0009666A" w:rsidP="009D28BE">
      <w:pPr>
        <w:spacing w:after="0" w:line="360" w:lineRule="auto"/>
        <w:ind w:firstLine="0"/>
        <w:contextualSpacing w:val="0"/>
        <w:jc w:val="both"/>
        <w:rPr>
          <w:rFonts w:ascii="Times New Roman" w:hAnsi="Times New Roman" w:cs="Times New Roman"/>
          <w:bCs/>
          <w:sz w:val="24"/>
          <w:szCs w:val="24"/>
          <w:lang w:val="en-US"/>
        </w:rPr>
      </w:pPr>
      <w:r w:rsidRPr="0009666A">
        <w:rPr>
          <w:rFonts w:ascii="Times New Roman" w:hAnsi="Times New Roman" w:cs="Times New Roman"/>
          <w:bCs/>
          <w:sz w:val="24"/>
          <w:szCs w:val="24"/>
          <w:lang w:val="en-US"/>
        </w:rPr>
        <w:t>This research develops an analytical framework for understanding the role of education and human capital in shaping individuals’ cognitive skills. The study identifies key variables that significantly influence these skills, which in turn have important implications for income distribution and economic growth.</w:t>
      </w:r>
    </w:p>
    <w:p w14:paraId="65F238FE" w14:textId="77777777" w:rsidR="0009666A" w:rsidRPr="0009666A" w:rsidRDefault="0009666A" w:rsidP="009D28BE">
      <w:pPr>
        <w:spacing w:after="0" w:line="360" w:lineRule="auto"/>
        <w:ind w:firstLine="708"/>
        <w:contextualSpacing w:val="0"/>
        <w:jc w:val="both"/>
        <w:rPr>
          <w:rFonts w:ascii="Times New Roman" w:hAnsi="Times New Roman" w:cs="Times New Roman"/>
          <w:bCs/>
          <w:sz w:val="24"/>
          <w:szCs w:val="24"/>
          <w:lang w:val="en-US"/>
        </w:rPr>
      </w:pPr>
      <w:r w:rsidRPr="0009666A">
        <w:rPr>
          <w:rFonts w:ascii="Times New Roman" w:hAnsi="Times New Roman" w:cs="Times New Roman"/>
          <w:bCs/>
          <w:sz w:val="24"/>
          <w:szCs w:val="24"/>
          <w:lang w:val="en-US"/>
        </w:rPr>
        <w:t xml:space="preserve">The primary objective was to examine the impact of various socioeconomic and demographic factors on cognitive abilities in Mexico, using data from the Program for the International Assessment of Adult Competencies (PIAAC). The findings provide robust statistical evidence, confirming that educational attainment, parental education, work </w:t>
      </w:r>
      <w:r w:rsidRPr="0009666A">
        <w:rPr>
          <w:rFonts w:ascii="Times New Roman" w:hAnsi="Times New Roman" w:cs="Times New Roman"/>
          <w:bCs/>
          <w:sz w:val="24"/>
          <w:szCs w:val="24"/>
          <w:lang w:val="en-US"/>
        </w:rPr>
        <w:lastRenderedPageBreak/>
        <w:t>experience, participation in training programs, and health status play a central role in the development and maintenance of cognitive skills. Age and gender also contribute to individual variation, highlighting the multidimensional nature of skill acquisition.</w:t>
      </w:r>
    </w:p>
    <w:p w14:paraId="18816794" w14:textId="77777777" w:rsidR="0009666A" w:rsidRPr="0009666A" w:rsidRDefault="0009666A" w:rsidP="009D28BE">
      <w:pPr>
        <w:spacing w:after="0" w:line="360" w:lineRule="auto"/>
        <w:ind w:firstLine="708"/>
        <w:contextualSpacing w:val="0"/>
        <w:jc w:val="both"/>
        <w:rPr>
          <w:rFonts w:ascii="Times New Roman" w:hAnsi="Times New Roman" w:cs="Times New Roman"/>
          <w:bCs/>
          <w:sz w:val="24"/>
          <w:szCs w:val="24"/>
          <w:lang w:val="en-US"/>
        </w:rPr>
      </w:pPr>
      <w:r w:rsidRPr="0009666A">
        <w:rPr>
          <w:rFonts w:ascii="Times New Roman" w:hAnsi="Times New Roman" w:cs="Times New Roman"/>
          <w:bCs/>
          <w:sz w:val="24"/>
          <w:szCs w:val="24"/>
          <w:lang w:val="en-US"/>
        </w:rPr>
        <w:t>These results underscore the practical importance of investing in both formal and non-formal education and training, as well as the need for policies that support lifelong learning and continuous improvement of cognitive skills across working life. While the findings align with international evidence, their analysis within the Mexican context reveals the specific challenges of a highly unequal education and labor system.</w:t>
      </w:r>
    </w:p>
    <w:p w14:paraId="376F638B" w14:textId="77777777" w:rsidR="0009666A" w:rsidRPr="0009666A" w:rsidRDefault="0009666A" w:rsidP="009D28BE">
      <w:pPr>
        <w:spacing w:after="0" w:line="360" w:lineRule="auto"/>
        <w:ind w:firstLine="708"/>
        <w:contextualSpacing w:val="0"/>
        <w:jc w:val="both"/>
        <w:rPr>
          <w:rFonts w:ascii="Times New Roman" w:hAnsi="Times New Roman" w:cs="Times New Roman"/>
          <w:bCs/>
          <w:sz w:val="24"/>
          <w:szCs w:val="24"/>
          <w:lang w:val="en-US"/>
        </w:rPr>
      </w:pPr>
      <w:r w:rsidRPr="0009666A">
        <w:rPr>
          <w:rFonts w:ascii="Times New Roman" w:hAnsi="Times New Roman" w:cs="Times New Roman"/>
          <w:bCs/>
          <w:sz w:val="24"/>
          <w:szCs w:val="24"/>
          <w:lang w:val="en-US"/>
        </w:rPr>
        <w:t>Public policies aiming to strengthen human capital must go beyond expanding educational coverage. They should focus on enhancing the quality of learning, aligning educational outcomes with labor market demands, and providing targeted continuing education programs for the most disadvantaged populations. Moreover, it is essential to adopt an intersectional perspective that addresses overlapping inequalities related to age, gender, social class, and health, ensuring that interventions are equitable and effective.</w:t>
      </w:r>
    </w:p>
    <w:p w14:paraId="5C9E8139" w14:textId="474AAFFA" w:rsidR="0009666A" w:rsidRDefault="0009666A" w:rsidP="009D28BE">
      <w:pPr>
        <w:spacing w:after="0" w:line="360" w:lineRule="auto"/>
        <w:ind w:firstLine="708"/>
        <w:contextualSpacing w:val="0"/>
        <w:jc w:val="both"/>
        <w:rPr>
          <w:rFonts w:ascii="Times New Roman" w:hAnsi="Times New Roman" w:cs="Times New Roman"/>
          <w:bCs/>
          <w:sz w:val="24"/>
          <w:szCs w:val="24"/>
          <w:lang w:val="en-US"/>
        </w:rPr>
      </w:pPr>
      <w:r w:rsidRPr="0009666A">
        <w:rPr>
          <w:rFonts w:ascii="Times New Roman" w:hAnsi="Times New Roman" w:cs="Times New Roman"/>
          <w:bCs/>
          <w:sz w:val="24"/>
          <w:szCs w:val="24"/>
          <w:lang w:val="en-US"/>
        </w:rPr>
        <w:t>In conclusion, this study highlights the complex interplay of individual, familial, and contextual factors in shaping cognitive skills, offering evidence-based guidance for designing inclusive policies that foster human capital development and promote social and economic equity in Mexico.</w:t>
      </w:r>
    </w:p>
    <w:p w14:paraId="5D598C72" w14:textId="77777777" w:rsidR="00526874" w:rsidRDefault="00526874" w:rsidP="009D28BE">
      <w:pPr>
        <w:spacing w:after="0" w:line="360" w:lineRule="auto"/>
        <w:ind w:firstLine="708"/>
        <w:contextualSpacing w:val="0"/>
        <w:jc w:val="both"/>
        <w:rPr>
          <w:rFonts w:ascii="Times New Roman" w:hAnsi="Times New Roman" w:cs="Times New Roman"/>
          <w:bCs/>
          <w:sz w:val="24"/>
          <w:szCs w:val="24"/>
          <w:lang w:val="en-US"/>
        </w:rPr>
      </w:pPr>
    </w:p>
    <w:p w14:paraId="263AC4BC" w14:textId="62C8E21D" w:rsidR="002C1326" w:rsidRPr="000A1911" w:rsidRDefault="00C648B8" w:rsidP="009D28BE">
      <w:pPr>
        <w:spacing w:after="0" w:line="360" w:lineRule="auto"/>
        <w:ind w:firstLine="708"/>
        <w:contextualSpacing w:val="0"/>
        <w:jc w:val="center"/>
        <w:rPr>
          <w:rFonts w:ascii="Times New Roman" w:hAnsi="Times New Roman" w:cs="Times New Roman"/>
          <w:b/>
          <w:sz w:val="32"/>
          <w:szCs w:val="32"/>
          <w:lang w:val="en-US"/>
        </w:rPr>
      </w:pPr>
      <w:r>
        <w:rPr>
          <w:rFonts w:ascii="Times New Roman" w:hAnsi="Times New Roman" w:cs="Times New Roman"/>
          <w:b/>
          <w:sz w:val="32"/>
          <w:szCs w:val="32"/>
          <w:lang w:val="en-US"/>
        </w:rPr>
        <w:t>Future lines of research</w:t>
      </w:r>
    </w:p>
    <w:p w14:paraId="36A4C866" w14:textId="77777777" w:rsidR="00E14FD1" w:rsidRPr="00E14FD1" w:rsidRDefault="00E14FD1" w:rsidP="009D28BE">
      <w:pPr>
        <w:spacing w:after="0" w:line="360" w:lineRule="auto"/>
        <w:ind w:firstLine="708"/>
        <w:contextualSpacing w:val="0"/>
        <w:jc w:val="both"/>
        <w:rPr>
          <w:rFonts w:ascii="Times New Roman" w:hAnsi="Times New Roman" w:cs="Times New Roman"/>
          <w:bCs/>
          <w:sz w:val="24"/>
          <w:szCs w:val="24"/>
          <w:lang w:val="en-US"/>
        </w:rPr>
      </w:pPr>
      <w:r w:rsidRPr="00E14FD1">
        <w:rPr>
          <w:rFonts w:ascii="Times New Roman" w:hAnsi="Times New Roman" w:cs="Times New Roman"/>
          <w:bCs/>
          <w:sz w:val="24"/>
          <w:szCs w:val="24"/>
          <w:lang w:val="en-US"/>
        </w:rPr>
        <w:t>Although this study provides valuable insights into the determinants of cognitive skills, it has certain limitations that open avenues for future research. First, while key variables affecting the development of reading, writing, and numeracy skills have been identified, other factors—such as socio-emotional competencies, family environment, and labor market participation—may also play a significant role. Future studies could aim to enhance and refine the regression models presented here by incorporating these additional determinants to achieve a more comprehensive understanding of skill development.</w:t>
      </w:r>
    </w:p>
    <w:p w14:paraId="2E400498" w14:textId="5090D9C3" w:rsidR="00E14FD1" w:rsidRDefault="00E14FD1" w:rsidP="009D28BE">
      <w:pPr>
        <w:spacing w:after="0" w:line="360" w:lineRule="auto"/>
        <w:ind w:firstLine="708"/>
        <w:contextualSpacing w:val="0"/>
        <w:jc w:val="both"/>
        <w:rPr>
          <w:rFonts w:ascii="Times New Roman" w:hAnsi="Times New Roman" w:cs="Times New Roman"/>
          <w:bCs/>
          <w:sz w:val="24"/>
          <w:szCs w:val="24"/>
          <w:lang w:val="en-US"/>
        </w:rPr>
      </w:pPr>
      <w:r w:rsidRPr="00E14FD1">
        <w:rPr>
          <w:rFonts w:ascii="Times New Roman" w:hAnsi="Times New Roman" w:cs="Times New Roman"/>
          <w:bCs/>
          <w:sz w:val="24"/>
          <w:szCs w:val="24"/>
          <w:lang w:val="en-US"/>
        </w:rPr>
        <w:t xml:space="preserve">Second, this research focuses exclusively on the adult population in Mexico and does not explore cross-country differences in cognitive skills. Expanding the scope to include comparisons across Latin American countries surveyed by </w:t>
      </w:r>
      <w:r w:rsidR="00537FF1" w:rsidRPr="00E14FD1">
        <w:rPr>
          <w:rFonts w:ascii="Times New Roman" w:hAnsi="Times New Roman" w:cs="Times New Roman"/>
          <w:bCs/>
          <w:sz w:val="24"/>
          <w:szCs w:val="24"/>
          <w:lang w:val="en-US"/>
        </w:rPr>
        <w:t>PIAAC or</w:t>
      </w:r>
      <w:r w:rsidRPr="00E14FD1">
        <w:rPr>
          <w:rFonts w:ascii="Times New Roman" w:hAnsi="Times New Roman" w:cs="Times New Roman"/>
          <w:bCs/>
          <w:sz w:val="24"/>
          <w:szCs w:val="24"/>
          <w:lang w:val="en-US"/>
        </w:rPr>
        <w:t xml:space="preserve"> analyzing cognitive abilities across the three PIAAC rounds internationally would allow researchers to identify regional patterns, similarities, and divergences. Such comparative studies could provide </w:t>
      </w:r>
      <w:r w:rsidRPr="00E14FD1">
        <w:rPr>
          <w:rFonts w:ascii="Times New Roman" w:hAnsi="Times New Roman" w:cs="Times New Roman"/>
          <w:bCs/>
          <w:sz w:val="24"/>
          <w:szCs w:val="24"/>
          <w:lang w:val="en-US"/>
        </w:rPr>
        <w:lastRenderedPageBreak/>
        <w:t>critical insights for designing policies that promote human capital development in diverse socioeconomic and cultural contexts.</w:t>
      </w:r>
    </w:p>
    <w:p w14:paraId="13F9204D" w14:textId="77777777" w:rsidR="00267F31" w:rsidRDefault="00267F31" w:rsidP="009D28BE">
      <w:pPr>
        <w:spacing w:after="0" w:line="360" w:lineRule="auto"/>
        <w:ind w:firstLine="708"/>
        <w:contextualSpacing w:val="0"/>
        <w:jc w:val="both"/>
        <w:rPr>
          <w:rFonts w:ascii="Times New Roman" w:hAnsi="Times New Roman" w:cs="Times New Roman"/>
          <w:bCs/>
          <w:sz w:val="24"/>
          <w:szCs w:val="24"/>
          <w:lang w:val="en-US"/>
        </w:rPr>
      </w:pPr>
    </w:p>
    <w:p w14:paraId="547C3FB9" w14:textId="0F29088A" w:rsidR="00C417B1" w:rsidRPr="009D28BE" w:rsidRDefault="00C648B8" w:rsidP="009D28BE">
      <w:pPr>
        <w:spacing w:after="0" w:line="360" w:lineRule="auto"/>
        <w:ind w:firstLine="0"/>
        <w:contextualSpacing w:val="0"/>
        <w:rPr>
          <w:rFonts w:cstheme="minorHAnsi"/>
          <w:b/>
          <w:sz w:val="28"/>
          <w:szCs w:val="28"/>
          <w:lang w:val="en-US"/>
        </w:rPr>
      </w:pPr>
      <w:r w:rsidRPr="009D28BE">
        <w:rPr>
          <w:rFonts w:cstheme="minorHAnsi"/>
          <w:b/>
          <w:sz w:val="28"/>
          <w:szCs w:val="28"/>
          <w:lang w:val="en-US"/>
        </w:rPr>
        <w:t>Referenc</w:t>
      </w:r>
      <w:r w:rsidR="00D1567D" w:rsidRPr="009D28BE">
        <w:rPr>
          <w:rFonts w:cstheme="minorHAnsi"/>
          <w:b/>
          <w:sz w:val="28"/>
          <w:szCs w:val="28"/>
          <w:lang w:val="en-US"/>
        </w:rPr>
        <w:t>es</w:t>
      </w:r>
    </w:p>
    <w:p w14:paraId="426448F5" w14:textId="77777777" w:rsidR="000C4693" w:rsidRPr="00D526B8"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D526B8">
        <w:rPr>
          <w:rFonts w:ascii="Times New Roman" w:hAnsi="Times New Roman" w:cs="Times New Roman"/>
          <w:sz w:val="24"/>
          <w:szCs w:val="24"/>
          <w:lang w:val="en-US"/>
        </w:rPr>
        <w:t xml:space="preserve">Abrassart, A. (2013). Cognitive skills matter: The employment disadvantage of low educated workers in comparative perspective. </w:t>
      </w:r>
      <w:r w:rsidRPr="00D526B8">
        <w:rPr>
          <w:rFonts w:ascii="Times New Roman" w:hAnsi="Times New Roman" w:cs="Times New Roman"/>
          <w:i/>
          <w:sz w:val="24"/>
          <w:szCs w:val="24"/>
          <w:lang w:val="en-US"/>
        </w:rPr>
        <w:t>European Sociological Review</w:t>
      </w:r>
      <w:r w:rsidRPr="00D526B8">
        <w:rPr>
          <w:rFonts w:ascii="Times New Roman" w:hAnsi="Times New Roman" w:cs="Times New Roman"/>
          <w:sz w:val="24"/>
          <w:szCs w:val="24"/>
          <w:lang w:val="en-US"/>
        </w:rPr>
        <w:t>, 29(4), 707‑719.</w:t>
      </w:r>
      <w:r w:rsidR="00BE6889" w:rsidRPr="00D526B8">
        <w:rPr>
          <w:rFonts w:ascii="Times New Roman" w:hAnsi="Times New Roman" w:cs="Times New Roman"/>
          <w:sz w:val="24"/>
          <w:szCs w:val="24"/>
          <w:lang w:val="en-US"/>
        </w:rPr>
        <w:t xml:space="preserve"> </w:t>
      </w:r>
      <w:hyperlink r:id="rId8" w:history="1">
        <w:r w:rsidR="00CA1EE6" w:rsidRPr="00D526B8">
          <w:rPr>
            <w:rStyle w:val="Hipervnculo"/>
            <w:rFonts w:ascii="Times New Roman" w:hAnsi="Times New Roman" w:cs="Times New Roman"/>
            <w:sz w:val="24"/>
            <w:szCs w:val="24"/>
            <w:lang w:val="en-US"/>
          </w:rPr>
          <w:t>https://doi.org/10.1093/esr/jcs049</w:t>
        </w:r>
      </w:hyperlink>
      <w:r w:rsidR="00CA1EE6" w:rsidRPr="00D526B8">
        <w:rPr>
          <w:rFonts w:ascii="Times New Roman" w:hAnsi="Times New Roman" w:cs="Times New Roman"/>
          <w:sz w:val="24"/>
          <w:szCs w:val="24"/>
          <w:lang w:val="en-US"/>
        </w:rPr>
        <w:t>.</w:t>
      </w:r>
    </w:p>
    <w:p w14:paraId="349A8E84" w14:textId="30DFF237" w:rsidR="00A37C30" w:rsidRPr="00D526B8"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D526B8">
        <w:rPr>
          <w:rFonts w:ascii="Times New Roman" w:hAnsi="Times New Roman" w:cs="Times New Roman"/>
          <w:sz w:val="24"/>
          <w:szCs w:val="24"/>
          <w:lang w:val="en-US"/>
        </w:rPr>
        <w:t>Acemoglu, D.</w:t>
      </w:r>
      <w:r w:rsidR="007675AF">
        <w:rPr>
          <w:rFonts w:ascii="Times New Roman" w:hAnsi="Times New Roman" w:cs="Times New Roman"/>
          <w:sz w:val="24"/>
          <w:szCs w:val="24"/>
          <w:lang w:val="en-US"/>
        </w:rPr>
        <w:t xml:space="preserve"> &amp;</w:t>
      </w:r>
      <w:r w:rsidRPr="00D526B8">
        <w:rPr>
          <w:rFonts w:ascii="Times New Roman" w:hAnsi="Times New Roman" w:cs="Times New Roman"/>
          <w:sz w:val="24"/>
          <w:szCs w:val="24"/>
          <w:lang w:val="en-US"/>
        </w:rPr>
        <w:t xml:space="preserve"> Pischke, J. S. (1999). The structure of wages and investment in general training. </w:t>
      </w:r>
      <w:r w:rsidRPr="00D526B8">
        <w:rPr>
          <w:rFonts w:ascii="Times New Roman" w:hAnsi="Times New Roman" w:cs="Times New Roman"/>
          <w:i/>
          <w:iCs/>
          <w:sz w:val="24"/>
          <w:szCs w:val="24"/>
          <w:lang w:val="en-US"/>
        </w:rPr>
        <w:t>Journal of Political Economy</w:t>
      </w:r>
      <w:r w:rsidRPr="00D526B8">
        <w:rPr>
          <w:rFonts w:ascii="Times New Roman" w:hAnsi="Times New Roman" w:cs="Times New Roman"/>
          <w:sz w:val="24"/>
          <w:szCs w:val="24"/>
          <w:lang w:val="en-US"/>
        </w:rPr>
        <w:t xml:space="preserve">, 107(3), 539-572. </w:t>
      </w:r>
      <w:hyperlink r:id="rId9" w:history="1">
        <w:r w:rsidR="00A37C30" w:rsidRPr="00D526B8">
          <w:rPr>
            <w:rStyle w:val="Hipervnculo"/>
            <w:rFonts w:ascii="Times New Roman" w:hAnsi="Times New Roman" w:cs="Times New Roman"/>
            <w:sz w:val="24"/>
            <w:szCs w:val="24"/>
            <w:lang w:val="en-US"/>
          </w:rPr>
          <w:t>https://doi.org/10.1086/250071</w:t>
        </w:r>
      </w:hyperlink>
      <w:r w:rsidRPr="00D526B8">
        <w:rPr>
          <w:rFonts w:ascii="Times New Roman" w:hAnsi="Times New Roman" w:cs="Times New Roman"/>
          <w:sz w:val="24"/>
          <w:szCs w:val="24"/>
          <w:u w:val="single"/>
          <w:lang w:val="en-US"/>
        </w:rPr>
        <w:t xml:space="preserve"> </w:t>
      </w:r>
    </w:p>
    <w:p w14:paraId="1C4FA60A" w14:textId="2B05FB66" w:rsidR="00E24F23" w:rsidRPr="00D526B8" w:rsidRDefault="00C648B8" w:rsidP="009D28BE">
      <w:pPr>
        <w:spacing w:after="0" w:line="360" w:lineRule="auto"/>
        <w:ind w:left="709" w:hanging="709"/>
        <w:contextualSpacing w:val="0"/>
        <w:jc w:val="both"/>
        <w:rPr>
          <w:rFonts w:ascii="Times New Roman" w:hAnsi="Times New Roman" w:cs="Times New Roman"/>
          <w:sz w:val="24"/>
          <w:szCs w:val="24"/>
          <w:lang w:val="es-ES"/>
        </w:rPr>
      </w:pPr>
      <w:r w:rsidRPr="00D526B8">
        <w:rPr>
          <w:rFonts w:ascii="Times New Roman" w:hAnsi="Times New Roman" w:cs="Times New Roman"/>
          <w:sz w:val="24"/>
          <w:szCs w:val="24"/>
          <w:lang w:val="en-US"/>
        </w:rPr>
        <w:t xml:space="preserve"> Acosta, P., </w:t>
      </w:r>
      <w:bookmarkStart w:id="2" w:name="_Hlk206610703"/>
      <w:r w:rsidRPr="00D526B8">
        <w:rPr>
          <w:rFonts w:ascii="Times New Roman" w:hAnsi="Times New Roman" w:cs="Times New Roman"/>
          <w:sz w:val="24"/>
          <w:szCs w:val="24"/>
          <w:lang w:val="en-US"/>
        </w:rPr>
        <w:t xml:space="preserve">Muller, N., </w:t>
      </w:r>
      <w:r w:rsidR="007675AF">
        <w:rPr>
          <w:rFonts w:ascii="Times New Roman" w:hAnsi="Times New Roman" w:cs="Times New Roman"/>
          <w:sz w:val="24"/>
          <w:szCs w:val="24"/>
          <w:lang w:val="en-US"/>
        </w:rPr>
        <w:t>&amp;</w:t>
      </w:r>
      <w:r w:rsidRPr="00D526B8">
        <w:rPr>
          <w:rFonts w:ascii="Times New Roman" w:hAnsi="Times New Roman" w:cs="Times New Roman"/>
          <w:sz w:val="24"/>
          <w:szCs w:val="24"/>
          <w:lang w:val="en-US"/>
        </w:rPr>
        <w:t xml:space="preserve"> </w:t>
      </w:r>
      <w:proofErr w:type="spellStart"/>
      <w:r w:rsidRPr="00D526B8">
        <w:rPr>
          <w:rFonts w:ascii="Times New Roman" w:hAnsi="Times New Roman" w:cs="Times New Roman"/>
          <w:sz w:val="24"/>
          <w:szCs w:val="24"/>
          <w:lang w:val="en-US"/>
        </w:rPr>
        <w:t>Sarzosa</w:t>
      </w:r>
      <w:bookmarkEnd w:id="2"/>
      <w:proofErr w:type="spellEnd"/>
      <w:r w:rsidRPr="00D526B8">
        <w:rPr>
          <w:rFonts w:ascii="Times New Roman" w:hAnsi="Times New Roman" w:cs="Times New Roman"/>
          <w:sz w:val="24"/>
          <w:szCs w:val="24"/>
          <w:lang w:val="en-US"/>
        </w:rPr>
        <w:t xml:space="preserve">, M. (2020). </w:t>
      </w:r>
      <w:r w:rsidR="00165826" w:rsidRPr="00D526B8">
        <w:rPr>
          <w:rFonts w:ascii="Times New Roman" w:hAnsi="Times New Roman" w:cs="Times New Roman"/>
          <w:sz w:val="24"/>
          <w:szCs w:val="24"/>
          <w:lang w:val="en-US"/>
        </w:rPr>
        <w:t xml:space="preserve">Adults’ Cognitive and Socioemotional Skills and Their Labor Market Outcomes in Colombia. </w:t>
      </w:r>
      <w:r w:rsidRPr="00D526B8">
        <w:rPr>
          <w:rFonts w:ascii="Times New Roman" w:hAnsi="Times New Roman" w:cs="Times New Roman"/>
          <w:i/>
          <w:sz w:val="24"/>
          <w:szCs w:val="24"/>
          <w:lang w:val="es-ES"/>
        </w:rPr>
        <w:t>Revista De Economía Del Rosario</w:t>
      </w:r>
      <w:r w:rsidRPr="00D526B8">
        <w:rPr>
          <w:rFonts w:ascii="Times New Roman" w:hAnsi="Times New Roman" w:cs="Times New Roman"/>
          <w:sz w:val="24"/>
          <w:szCs w:val="24"/>
          <w:lang w:val="es-ES"/>
        </w:rPr>
        <w:t xml:space="preserve">, 23(1), 109-148. </w:t>
      </w:r>
      <w:hyperlink r:id="rId10" w:history="1">
        <w:r w:rsidR="00E24F23" w:rsidRPr="00D526B8">
          <w:rPr>
            <w:rStyle w:val="Hipervnculo"/>
            <w:rFonts w:ascii="Times New Roman" w:hAnsi="Times New Roman" w:cs="Times New Roman"/>
            <w:sz w:val="24"/>
            <w:szCs w:val="24"/>
            <w:lang w:val="es-ES"/>
          </w:rPr>
          <w:t>https://doi.org/10.12804/revistas.urosario.edu.co/economia/a.8628</w:t>
        </w:r>
      </w:hyperlink>
      <w:r w:rsidRPr="00D526B8">
        <w:rPr>
          <w:rFonts w:ascii="Times New Roman" w:hAnsi="Times New Roman" w:cs="Times New Roman"/>
          <w:sz w:val="24"/>
          <w:szCs w:val="24"/>
          <w:lang w:val="es-ES"/>
        </w:rPr>
        <w:t>.</w:t>
      </w:r>
    </w:p>
    <w:p w14:paraId="23789292" w14:textId="6C86B018" w:rsidR="000F33EC" w:rsidRPr="00F25151" w:rsidRDefault="00C648B8" w:rsidP="009D28BE">
      <w:pPr>
        <w:spacing w:after="0" w:line="360" w:lineRule="auto"/>
        <w:ind w:left="709" w:hanging="709"/>
        <w:contextualSpacing w:val="0"/>
        <w:jc w:val="both"/>
        <w:rPr>
          <w:lang w:val="en-US"/>
        </w:rPr>
      </w:pPr>
      <w:proofErr w:type="spellStart"/>
      <w:r w:rsidRPr="00D526B8">
        <w:rPr>
          <w:rFonts w:ascii="Times New Roman" w:hAnsi="Times New Roman" w:cs="Times New Roman"/>
          <w:sz w:val="24"/>
          <w:szCs w:val="24"/>
        </w:rPr>
        <w:t>Aesaert</w:t>
      </w:r>
      <w:proofErr w:type="spellEnd"/>
      <w:r w:rsidRPr="00D526B8">
        <w:rPr>
          <w:rFonts w:ascii="Times New Roman" w:hAnsi="Times New Roman" w:cs="Times New Roman"/>
          <w:sz w:val="24"/>
          <w:szCs w:val="24"/>
        </w:rPr>
        <w:t xml:space="preserve">, K., </w:t>
      </w:r>
      <w:r w:rsidR="007675AF">
        <w:rPr>
          <w:rFonts w:ascii="Times New Roman" w:hAnsi="Times New Roman" w:cs="Times New Roman"/>
          <w:sz w:val="24"/>
          <w:szCs w:val="24"/>
        </w:rPr>
        <w:t>&amp;</w:t>
      </w:r>
      <w:r w:rsidRPr="00D526B8">
        <w:rPr>
          <w:rFonts w:ascii="Times New Roman" w:hAnsi="Times New Roman" w:cs="Times New Roman"/>
          <w:sz w:val="24"/>
          <w:szCs w:val="24"/>
        </w:rPr>
        <w:t xml:space="preserve"> van </w:t>
      </w:r>
      <w:proofErr w:type="spellStart"/>
      <w:r w:rsidRPr="00D526B8">
        <w:rPr>
          <w:rFonts w:ascii="Times New Roman" w:hAnsi="Times New Roman" w:cs="Times New Roman"/>
          <w:sz w:val="24"/>
          <w:szCs w:val="24"/>
        </w:rPr>
        <w:t>Braak</w:t>
      </w:r>
      <w:proofErr w:type="spellEnd"/>
      <w:r w:rsidRPr="00D526B8">
        <w:rPr>
          <w:rFonts w:ascii="Times New Roman" w:hAnsi="Times New Roman" w:cs="Times New Roman"/>
          <w:sz w:val="24"/>
          <w:szCs w:val="24"/>
        </w:rPr>
        <w:t xml:space="preserve">, J. (2015). </w:t>
      </w:r>
      <w:r w:rsidRPr="00D526B8">
        <w:rPr>
          <w:rFonts w:ascii="Times New Roman" w:hAnsi="Times New Roman" w:cs="Times New Roman"/>
          <w:sz w:val="24"/>
          <w:szCs w:val="24"/>
          <w:lang w:val="en-US"/>
        </w:rPr>
        <w:t xml:space="preserve">Gender and socioeconomic related differences in performance-based ICT competences. </w:t>
      </w:r>
      <w:r w:rsidRPr="00D526B8">
        <w:rPr>
          <w:rFonts w:ascii="Times New Roman" w:hAnsi="Times New Roman" w:cs="Times New Roman"/>
          <w:i/>
          <w:iCs/>
          <w:sz w:val="24"/>
          <w:szCs w:val="24"/>
          <w:lang w:val="en-US"/>
        </w:rPr>
        <w:t>Computers &amp; Education</w:t>
      </w:r>
      <w:r w:rsidRPr="00D526B8">
        <w:rPr>
          <w:rFonts w:ascii="Times New Roman" w:hAnsi="Times New Roman" w:cs="Times New Roman"/>
          <w:sz w:val="24"/>
          <w:szCs w:val="24"/>
          <w:lang w:val="en-US"/>
        </w:rPr>
        <w:t xml:space="preserve">, 84, 8-25. </w:t>
      </w:r>
      <w:hyperlink r:id="rId11" w:tgtFrame="_new" w:history="1">
        <w:r w:rsidR="000F33EC" w:rsidRPr="00D526B8">
          <w:rPr>
            <w:rStyle w:val="Hipervnculo"/>
            <w:rFonts w:ascii="Times New Roman" w:hAnsi="Times New Roman" w:cs="Times New Roman"/>
            <w:sz w:val="24"/>
            <w:szCs w:val="24"/>
            <w:lang w:val="en-US"/>
          </w:rPr>
          <w:t>https://doi.org/10.1016/j.compedu.2014.12.017</w:t>
        </w:r>
      </w:hyperlink>
    </w:p>
    <w:p w14:paraId="36A1889A" w14:textId="6969BF00" w:rsidR="00300292" w:rsidRPr="00F25151" w:rsidRDefault="00C648B8" w:rsidP="009D28BE">
      <w:pPr>
        <w:spacing w:after="0" w:line="360" w:lineRule="auto"/>
        <w:ind w:left="709" w:hanging="709"/>
        <w:contextualSpacing w:val="0"/>
        <w:jc w:val="both"/>
        <w:rPr>
          <w:rFonts w:ascii="Times New Roman" w:hAnsi="Times New Roman" w:cs="Times New Roman"/>
          <w:sz w:val="24"/>
          <w:szCs w:val="24"/>
        </w:rPr>
      </w:pPr>
      <w:proofErr w:type="spellStart"/>
      <w:r w:rsidRPr="00D526B8">
        <w:rPr>
          <w:rFonts w:ascii="Times New Roman" w:hAnsi="Times New Roman" w:cs="Times New Roman"/>
          <w:sz w:val="24"/>
          <w:szCs w:val="24"/>
          <w:lang w:val="en-US"/>
        </w:rPr>
        <w:t>Agasisti</w:t>
      </w:r>
      <w:proofErr w:type="spellEnd"/>
      <w:r w:rsidRPr="00D526B8">
        <w:rPr>
          <w:rFonts w:ascii="Times New Roman" w:hAnsi="Times New Roman" w:cs="Times New Roman"/>
          <w:sz w:val="24"/>
          <w:szCs w:val="24"/>
          <w:lang w:val="en-US"/>
        </w:rPr>
        <w:t>, T., Johnes, G.</w:t>
      </w:r>
      <w:r w:rsidR="0069742A" w:rsidRPr="00D526B8">
        <w:rPr>
          <w:rFonts w:ascii="Times New Roman" w:hAnsi="Times New Roman" w:cs="Times New Roman"/>
          <w:sz w:val="24"/>
          <w:szCs w:val="24"/>
          <w:lang w:val="en-US"/>
        </w:rPr>
        <w:t xml:space="preserve"> </w:t>
      </w:r>
      <w:r w:rsidR="007675AF">
        <w:rPr>
          <w:rFonts w:ascii="Times New Roman" w:hAnsi="Times New Roman" w:cs="Times New Roman"/>
          <w:sz w:val="24"/>
          <w:szCs w:val="24"/>
          <w:lang w:val="en-US"/>
        </w:rPr>
        <w:t>&amp;</w:t>
      </w:r>
      <w:r w:rsidRPr="00D526B8">
        <w:rPr>
          <w:rFonts w:ascii="Times New Roman" w:hAnsi="Times New Roman" w:cs="Times New Roman"/>
          <w:sz w:val="24"/>
          <w:szCs w:val="24"/>
          <w:lang w:val="en-US"/>
        </w:rPr>
        <w:t xml:space="preserve"> </w:t>
      </w:r>
      <w:proofErr w:type="spellStart"/>
      <w:r w:rsidRPr="00D526B8">
        <w:rPr>
          <w:rFonts w:ascii="Times New Roman" w:hAnsi="Times New Roman" w:cs="Times New Roman"/>
          <w:sz w:val="24"/>
          <w:szCs w:val="24"/>
          <w:lang w:val="en-US"/>
        </w:rPr>
        <w:t>Paccagnella</w:t>
      </w:r>
      <w:proofErr w:type="spellEnd"/>
      <w:r w:rsidRPr="00D526B8">
        <w:rPr>
          <w:rFonts w:ascii="Times New Roman" w:hAnsi="Times New Roman" w:cs="Times New Roman"/>
          <w:sz w:val="24"/>
          <w:szCs w:val="24"/>
          <w:lang w:val="en-US"/>
        </w:rPr>
        <w:t>, M. (202</w:t>
      </w:r>
      <w:r w:rsidR="000151EB" w:rsidRPr="00D526B8">
        <w:rPr>
          <w:rFonts w:ascii="Times New Roman" w:hAnsi="Times New Roman" w:cs="Times New Roman"/>
          <w:sz w:val="24"/>
          <w:szCs w:val="24"/>
          <w:lang w:val="en-US"/>
        </w:rPr>
        <w:t>0</w:t>
      </w:r>
      <w:r w:rsidRPr="00D526B8">
        <w:rPr>
          <w:rFonts w:ascii="Times New Roman" w:hAnsi="Times New Roman" w:cs="Times New Roman"/>
          <w:sz w:val="24"/>
          <w:szCs w:val="24"/>
          <w:lang w:val="en-US"/>
        </w:rPr>
        <w:t xml:space="preserve">). Tasks, occupations and wages in OECD countries. </w:t>
      </w:r>
      <w:r w:rsidRPr="00F25151">
        <w:rPr>
          <w:rFonts w:ascii="Times New Roman" w:hAnsi="Times New Roman" w:cs="Times New Roman"/>
          <w:i/>
          <w:sz w:val="24"/>
          <w:szCs w:val="24"/>
        </w:rPr>
        <w:t xml:space="preserve">International </w:t>
      </w:r>
      <w:proofErr w:type="spellStart"/>
      <w:r w:rsidRPr="00F25151">
        <w:rPr>
          <w:rFonts w:ascii="Times New Roman" w:hAnsi="Times New Roman" w:cs="Times New Roman"/>
          <w:i/>
          <w:sz w:val="24"/>
          <w:szCs w:val="24"/>
        </w:rPr>
        <w:t>Labour</w:t>
      </w:r>
      <w:proofErr w:type="spellEnd"/>
      <w:r w:rsidRPr="00F25151">
        <w:rPr>
          <w:rFonts w:ascii="Times New Roman" w:hAnsi="Times New Roman" w:cs="Times New Roman"/>
          <w:i/>
          <w:sz w:val="24"/>
          <w:szCs w:val="24"/>
        </w:rPr>
        <w:t xml:space="preserve"> </w:t>
      </w:r>
      <w:proofErr w:type="spellStart"/>
      <w:r w:rsidRPr="00F25151">
        <w:rPr>
          <w:rFonts w:ascii="Times New Roman" w:hAnsi="Times New Roman" w:cs="Times New Roman"/>
          <w:i/>
          <w:sz w:val="24"/>
          <w:szCs w:val="24"/>
        </w:rPr>
        <w:t>Review</w:t>
      </w:r>
      <w:proofErr w:type="spellEnd"/>
      <w:r w:rsidRPr="00F25151">
        <w:rPr>
          <w:rFonts w:ascii="Times New Roman" w:hAnsi="Times New Roman" w:cs="Times New Roman"/>
          <w:sz w:val="24"/>
          <w:szCs w:val="24"/>
        </w:rPr>
        <w:t>, 160(1), 85-112.</w:t>
      </w:r>
      <w:r w:rsidR="000E1221" w:rsidRPr="00F25151">
        <w:rPr>
          <w:rFonts w:ascii="Times New Roman" w:hAnsi="Times New Roman" w:cs="Times New Roman"/>
          <w:sz w:val="24"/>
          <w:szCs w:val="24"/>
        </w:rPr>
        <w:t xml:space="preserve"> </w:t>
      </w:r>
      <w:hyperlink r:id="rId12" w:history="1">
        <w:r w:rsidR="000E1221" w:rsidRPr="00F25151">
          <w:rPr>
            <w:rStyle w:val="Hipervnculo"/>
            <w:rFonts w:ascii="Times New Roman" w:hAnsi="Times New Roman" w:cs="Times New Roman"/>
            <w:sz w:val="24"/>
            <w:szCs w:val="24"/>
          </w:rPr>
          <w:t>https://doi.org/10.1111/ilr.12169</w:t>
        </w:r>
      </w:hyperlink>
      <w:r w:rsidR="000E1221" w:rsidRPr="00F25151">
        <w:rPr>
          <w:rFonts w:ascii="Times New Roman" w:hAnsi="Times New Roman" w:cs="Times New Roman"/>
          <w:sz w:val="24"/>
          <w:szCs w:val="24"/>
        </w:rPr>
        <w:t>.</w:t>
      </w:r>
    </w:p>
    <w:p w14:paraId="6E0253E9" w14:textId="7F210642" w:rsidR="000C1FB5" w:rsidRPr="008904B2" w:rsidRDefault="00C648B8" w:rsidP="009D28BE">
      <w:pPr>
        <w:spacing w:after="0" w:line="360" w:lineRule="auto"/>
        <w:ind w:left="709" w:hanging="709"/>
        <w:contextualSpacing w:val="0"/>
        <w:jc w:val="both"/>
        <w:rPr>
          <w:rFonts w:ascii="Times New Roman" w:hAnsi="Times New Roman" w:cs="Times New Roman"/>
          <w:sz w:val="24"/>
          <w:szCs w:val="24"/>
          <w:lang w:val="es-ES"/>
        </w:rPr>
      </w:pPr>
      <w:proofErr w:type="spellStart"/>
      <w:r w:rsidRPr="00F25151">
        <w:rPr>
          <w:rFonts w:ascii="Times New Roman" w:hAnsi="Times New Roman" w:cs="Times New Roman"/>
          <w:sz w:val="24"/>
          <w:szCs w:val="24"/>
        </w:rPr>
        <w:t>Anghel</w:t>
      </w:r>
      <w:proofErr w:type="spellEnd"/>
      <w:r w:rsidRPr="00F25151">
        <w:rPr>
          <w:rFonts w:ascii="Times New Roman" w:hAnsi="Times New Roman" w:cs="Times New Roman"/>
          <w:sz w:val="24"/>
          <w:szCs w:val="24"/>
        </w:rPr>
        <w:t xml:space="preserve">, B., </w:t>
      </w:r>
      <w:r w:rsidR="009B49D6" w:rsidRPr="00F25151">
        <w:rPr>
          <w:rFonts w:ascii="Times New Roman" w:hAnsi="Times New Roman" w:cs="Times New Roman"/>
          <w:sz w:val="24"/>
          <w:szCs w:val="24"/>
        </w:rPr>
        <w:t>y</w:t>
      </w:r>
      <w:r w:rsidRPr="00F25151">
        <w:rPr>
          <w:rFonts w:ascii="Times New Roman" w:hAnsi="Times New Roman" w:cs="Times New Roman"/>
          <w:sz w:val="24"/>
          <w:szCs w:val="24"/>
        </w:rPr>
        <w:t xml:space="preserve"> </w:t>
      </w:r>
      <w:proofErr w:type="spellStart"/>
      <w:r w:rsidRPr="00F25151">
        <w:rPr>
          <w:rFonts w:ascii="Times New Roman" w:hAnsi="Times New Roman" w:cs="Times New Roman"/>
          <w:sz w:val="24"/>
          <w:szCs w:val="24"/>
        </w:rPr>
        <w:t>Lacuesta</w:t>
      </w:r>
      <w:proofErr w:type="spellEnd"/>
      <w:r w:rsidRPr="00F25151">
        <w:rPr>
          <w:rFonts w:ascii="Times New Roman" w:hAnsi="Times New Roman" w:cs="Times New Roman"/>
          <w:sz w:val="24"/>
          <w:szCs w:val="24"/>
        </w:rPr>
        <w:t xml:space="preserve">, A. (2020). </w:t>
      </w:r>
      <w:r w:rsidRPr="00D526B8">
        <w:rPr>
          <w:rFonts w:ascii="Times New Roman" w:hAnsi="Times New Roman" w:cs="Times New Roman"/>
          <w:sz w:val="24"/>
          <w:szCs w:val="24"/>
          <w:lang w:val="es-ES"/>
        </w:rPr>
        <w:t xml:space="preserve">Envejecimiento y evolución del capital humano a lo largo de la </w:t>
      </w:r>
      <w:r w:rsidRPr="008904B2">
        <w:rPr>
          <w:rFonts w:ascii="Times New Roman" w:hAnsi="Times New Roman" w:cs="Times New Roman"/>
          <w:sz w:val="24"/>
          <w:szCs w:val="24"/>
          <w:lang w:val="es-ES"/>
        </w:rPr>
        <w:t xml:space="preserve">vida laboral. </w:t>
      </w:r>
      <w:r w:rsidRPr="008904B2">
        <w:rPr>
          <w:rFonts w:ascii="Times New Roman" w:hAnsi="Times New Roman" w:cs="Times New Roman"/>
          <w:i/>
          <w:sz w:val="24"/>
          <w:szCs w:val="24"/>
          <w:lang w:val="es-ES"/>
        </w:rPr>
        <w:t xml:space="preserve">Papeles de </w:t>
      </w:r>
      <w:proofErr w:type="spellStart"/>
      <w:r w:rsidRPr="008904B2">
        <w:rPr>
          <w:rFonts w:ascii="Times New Roman" w:hAnsi="Times New Roman" w:cs="Times New Roman"/>
          <w:i/>
          <w:sz w:val="24"/>
          <w:szCs w:val="24"/>
          <w:lang w:val="es-ES"/>
        </w:rPr>
        <w:t>Economía</w:t>
      </w:r>
      <w:proofErr w:type="spellEnd"/>
      <w:r w:rsidRPr="008904B2">
        <w:rPr>
          <w:rFonts w:ascii="Times New Roman" w:hAnsi="Times New Roman" w:cs="Times New Roman"/>
          <w:i/>
          <w:sz w:val="24"/>
          <w:szCs w:val="24"/>
          <w:lang w:val="es-ES"/>
        </w:rPr>
        <w:t xml:space="preserve"> </w:t>
      </w:r>
      <w:proofErr w:type="spellStart"/>
      <w:r w:rsidRPr="008904B2">
        <w:rPr>
          <w:rFonts w:ascii="Times New Roman" w:hAnsi="Times New Roman" w:cs="Times New Roman"/>
          <w:i/>
          <w:sz w:val="24"/>
          <w:szCs w:val="24"/>
          <w:lang w:val="es-ES"/>
        </w:rPr>
        <w:t>Española</w:t>
      </w:r>
      <w:proofErr w:type="spellEnd"/>
      <w:r w:rsidRPr="008904B2">
        <w:rPr>
          <w:rFonts w:ascii="Times New Roman" w:hAnsi="Times New Roman" w:cs="Times New Roman"/>
          <w:sz w:val="24"/>
          <w:szCs w:val="24"/>
          <w:lang w:val="es-ES"/>
        </w:rPr>
        <w:t>, (166), 144-165.</w:t>
      </w:r>
      <w:r w:rsidR="001A475E" w:rsidRPr="008904B2">
        <w:rPr>
          <w:rFonts w:ascii="Times New Roman" w:hAnsi="Times New Roman" w:cs="Times New Roman"/>
          <w:sz w:val="24"/>
          <w:szCs w:val="24"/>
          <w:lang w:val="es-ES"/>
        </w:rPr>
        <w:t xml:space="preserve"> </w:t>
      </w:r>
    </w:p>
    <w:p w14:paraId="6A59F4EC" w14:textId="01A44266" w:rsidR="001A475E" w:rsidRPr="008904B2"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8904B2">
        <w:rPr>
          <w:rFonts w:ascii="Times New Roman" w:hAnsi="Times New Roman" w:cs="Times New Roman"/>
          <w:sz w:val="24"/>
          <w:szCs w:val="24"/>
          <w:lang w:val="es-ES"/>
        </w:rPr>
        <w:t xml:space="preserve">Arroyo, C., </w:t>
      </w:r>
      <w:r w:rsidR="009B49D6" w:rsidRPr="008904B2">
        <w:rPr>
          <w:rFonts w:ascii="Times New Roman" w:hAnsi="Times New Roman" w:cs="Times New Roman"/>
          <w:sz w:val="24"/>
          <w:szCs w:val="24"/>
          <w:lang w:val="es-ES"/>
        </w:rPr>
        <w:t>y</w:t>
      </w:r>
      <w:r w:rsidRPr="008904B2">
        <w:rPr>
          <w:rFonts w:ascii="Times New Roman" w:hAnsi="Times New Roman" w:cs="Times New Roman"/>
          <w:sz w:val="24"/>
          <w:szCs w:val="24"/>
          <w:lang w:val="es-ES"/>
        </w:rPr>
        <w:t xml:space="preserve"> Valenzuela, A. (2018). PIAAC: Competencias de la población adulta en Chile, un análisis al sistema educativo y mercado laboral. </w:t>
      </w:r>
      <w:r w:rsidRPr="008904B2">
        <w:rPr>
          <w:rFonts w:ascii="Times New Roman" w:hAnsi="Times New Roman" w:cs="Times New Roman"/>
          <w:i/>
          <w:sz w:val="24"/>
          <w:szCs w:val="24"/>
          <w:lang w:val="en-US"/>
        </w:rPr>
        <w:t xml:space="preserve">Comisión Nacional de </w:t>
      </w:r>
      <w:proofErr w:type="spellStart"/>
      <w:r w:rsidRPr="008904B2">
        <w:rPr>
          <w:rFonts w:ascii="Times New Roman" w:hAnsi="Times New Roman" w:cs="Times New Roman"/>
          <w:i/>
          <w:sz w:val="24"/>
          <w:szCs w:val="24"/>
          <w:lang w:val="en-US"/>
        </w:rPr>
        <w:t>productividad</w:t>
      </w:r>
      <w:proofErr w:type="spellEnd"/>
      <w:r w:rsidRPr="008904B2">
        <w:rPr>
          <w:rFonts w:ascii="Times New Roman" w:hAnsi="Times New Roman" w:cs="Times New Roman"/>
          <w:sz w:val="24"/>
          <w:szCs w:val="24"/>
          <w:lang w:val="en-US"/>
        </w:rPr>
        <w:t xml:space="preserve">. </w:t>
      </w:r>
    </w:p>
    <w:p w14:paraId="4CCD6E60" w14:textId="77777777" w:rsidR="000C0E54" w:rsidRPr="008904B2"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8904B2">
        <w:rPr>
          <w:rFonts w:ascii="Times New Roman" w:hAnsi="Times New Roman" w:cs="Times New Roman"/>
          <w:sz w:val="24"/>
          <w:szCs w:val="24"/>
          <w:lang w:val="en-US"/>
        </w:rPr>
        <w:t xml:space="preserve">Autor, D. H. (2014). Skills, education, and the rise of earnings inequality among the "other 99 percent". </w:t>
      </w:r>
      <w:r w:rsidRPr="008904B2">
        <w:rPr>
          <w:rFonts w:ascii="Times New Roman" w:hAnsi="Times New Roman" w:cs="Times New Roman"/>
          <w:i/>
          <w:iCs/>
          <w:sz w:val="24"/>
          <w:szCs w:val="24"/>
          <w:lang w:val="en-US"/>
        </w:rPr>
        <w:t>Science</w:t>
      </w:r>
      <w:r w:rsidRPr="008904B2">
        <w:rPr>
          <w:rFonts w:ascii="Times New Roman" w:hAnsi="Times New Roman" w:cs="Times New Roman"/>
          <w:sz w:val="24"/>
          <w:szCs w:val="24"/>
          <w:lang w:val="en-US"/>
        </w:rPr>
        <w:t xml:space="preserve">, 344(6186), 843-851. </w:t>
      </w:r>
      <w:hyperlink r:id="rId13" w:history="1">
        <w:r w:rsidR="000C0E54" w:rsidRPr="008904B2">
          <w:rPr>
            <w:rStyle w:val="Hipervnculo"/>
            <w:rFonts w:ascii="Times New Roman" w:hAnsi="Times New Roman" w:cs="Times New Roman"/>
            <w:sz w:val="24"/>
            <w:szCs w:val="24"/>
            <w:lang w:val="en-US"/>
          </w:rPr>
          <w:t>https://doi.org/10.1126/science.1251868</w:t>
        </w:r>
      </w:hyperlink>
    </w:p>
    <w:p w14:paraId="261A301B" w14:textId="2058C44D" w:rsidR="000C0E54" w:rsidRPr="008904B2"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8904B2">
        <w:rPr>
          <w:rFonts w:ascii="Times New Roman" w:hAnsi="Times New Roman" w:cs="Times New Roman"/>
          <w:sz w:val="24"/>
          <w:szCs w:val="24"/>
          <w:lang w:val="en-US"/>
        </w:rPr>
        <w:t xml:space="preserve">Autor, D. H., Levy, F., </w:t>
      </w:r>
      <w:r w:rsidR="007675AF">
        <w:rPr>
          <w:rFonts w:ascii="Times New Roman" w:hAnsi="Times New Roman" w:cs="Times New Roman"/>
          <w:sz w:val="24"/>
          <w:szCs w:val="24"/>
          <w:lang w:val="en-US"/>
        </w:rPr>
        <w:t>&amp;</w:t>
      </w:r>
      <w:r w:rsidRPr="008904B2">
        <w:rPr>
          <w:rFonts w:ascii="Times New Roman" w:hAnsi="Times New Roman" w:cs="Times New Roman"/>
          <w:sz w:val="24"/>
          <w:szCs w:val="24"/>
          <w:lang w:val="en-US"/>
        </w:rPr>
        <w:t xml:space="preserve"> Murnane, R. J. (2003). The Skill Content of Recent Technological Change: An Empirical Exploration. </w:t>
      </w:r>
      <w:r w:rsidRPr="008904B2">
        <w:rPr>
          <w:rFonts w:ascii="Times New Roman" w:hAnsi="Times New Roman" w:cs="Times New Roman"/>
          <w:i/>
          <w:iCs/>
          <w:sz w:val="24"/>
          <w:szCs w:val="24"/>
          <w:lang w:val="en-US"/>
        </w:rPr>
        <w:t>Quarterly Journal of Economics</w:t>
      </w:r>
      <w:r w:rsidRPr="008904B2">
        <w:rPr>
          <w:rFonts w:ascii="Times New Roman" w:hAnsi="Times New Roman" w:cs="Times New Roman"/>
          <w:sz w:val="24"/>
          <w:szCs w:val="24"/>
          <w:lang w:val="en-US"/>
        </w:rPr>
        <w:t xml:space="preserve">, 118(4), 1279-1333. </w:t>
      </w:r>
      <w:hyperlink r:id="rId14" w:history="1">
        <w:r w:rsidR="000C0E54" w:rsidRPr="008904B2">
          <w:rPr>
            <w:rStyle w:val="Hipervnculo"/>
            <w:rFonts w:ascii="Times New Roman" w:hAnsi="Times New Roman" w:cs="Times New Roman"/>
            <w:sz w:val="24"/>
            <w:szCs w:val="24"/>
            <w:lang w:val="en-US"/>
          </w:rPr>
          <w:t>https://doi.org/10.1162/003355303322552801</w:t>
        </w:r>
      </w:hyperlink>
    </w:p>
    <w:p w14:paraId="1815F580" w14:textId="36AFAE84" w:rsidR="00C661DF"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8904B2">
        <w:rPr>
          <w:rFonts w:ascii="Times New Roman" w:hAnsi="Times New Roman" w:cs="Times New Roman"/>
          <w:sz w:val="24"/>
          <w:szCs w:val="24"/>
          <w:lang w:val="en-US"/>
        </w:rPr>
        <w:t xml:space="preserve">Bechichi, N., </w:t>
      </w:r>
      <w:proofErr w:type="spellStart"/>
      <w:r w:rsidRPr="008904B2">
        <w:rPr>
          <w:rFonts w:ascii="Times New Roman" w:hAnsi="Times New Roman" w:cs="Times New Roman"/>
          <w:sz w:val="24"/>
          <w:szCs w:val="24"/>
          <w:lang w:val="en-US"/>
        </w:rPr>
        <w:t>Grundke</w:t>
      </w:r>
      <w:proofErr w:type="spellEnd"/>
      <w:r w:rsidRPr="008904B2">
        <w:rPr>
          <w:rFonts w:ascii="Times New Roman" w:hAnsi="Times New Roman" w:cs="Times New Roman"/>
          <w:sz w:val="24"/>
          <w:szCs w:val="24"/>
          <w:lang w:val="en-US"/>
        </w:rPr>
        <w:t xml:space="preserve">, R., Jamet, S., </w:t>
      </w:r>
      <w:r w:rsidR="007675AF">
        <w:rPr>
          <w:rFonts w:ascii="Times New Roman" w:hAnsi="Times New Roman" w:cs="Times New Roman"/>
          <w:sz w:val="24"/>
          <w:szCs w:val="24"/>
          <w:lang w:val="en-US"/>
        </w:rPr>
        <w:t>&amp;</w:t>
      </w:r>
      <w:r w:rsidRPr="008904B2">
        <w:rPr>
          <w:rFonts w:ascii="Times New Roman" w:hAnsi="Times New Roman" w:cs="Times New Roman"/>
          <w:sz w:val="24"/>
          <w:szCs w:val="24"/>
          <w:lang w:val="en-US"/>
        </w:rPr>
        <w:t xml:space="preserve"> Squicciarini, M. (2018). Moving between jobs. </w:t>
      </w:r>
      <w:r w:rsidRPr="008904B2">
        <w:rPr>
          <w:rFonts w:ascii="Times New Roman" w:hAnsi="Times New Roman" w:cs="Times New Roman"/>
          <w:i/>
          <w:sz w:val="24"/>
          <w:szCs w:val="24"/>
          <w:lang w:val="en-US"/>
        </w:rPr>
        <w:t>OECD Science, Technology and Industry Policy Papers</w:t>
      </w:r>
      <w:r w:rsidRPr="008904B2">
        <w:rPr>
          <w:rFonts w:ascii="Times New Roman" w:hAnsi="Times New Roman" w:cs="Times New Roman"/>
          <w:sz w:val="24"/>
          <w:szCs w:val="24"/>
          <w:lang w:val="en-US"/>
        </w:rPr>
        <w:t xml:space="preserve">, No. 52. Paris: OECD Publishing. </w:t>
      </w:r>
      <w:hyperlink r:id="rId15" w:history="1">
        <w:r w:rsidR="00C661DF" w:rsidRPr="008904B2">
          <w:rPr>
            <w:rStyle w:val="Hipervnculo"/>
            <w:rFonts w:ascii="Times New Roman" w:hAnsi="Times New Roman" w:cs="Times New Roman"/>
            <w:sz w:val="24"/>
            <w:szCs w:val="24"/>
            <w:lang w:val="en-US"/>
          </w:rPr>
          <w:t>https://doi.org/10.1787/d35017ee-en</w:t>
        </w:r>
      </w:hyperlink>
      <w:r w:rsidRPr="008904B2">
        <w:rPr>
          <w:rFonts w:ascii="Times New Roman" w:hAnsi="Times New Roman" w:cs="Times New Roman"/>
          <w:sz w:val="24"/>
          <w:szCs w:val="24"/>
          <w:lang w:val="en-US"/>
        </w:rPr>
        <w:t>.</w:t>
      </w:r>
    </w:p>
    <w:p w14:paraId="78FB885E" w14:textId="71DEAD50" w:rsidR="00E0399A" w:rsidRPr="003F60C0"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3F60C0">
        <w:rPr>
          <w:rFonts w:ascii="Times New Roman" w:hAnsi="Times New Roman" w:cs="Times New Roman"/>
          <w:sz w:val="24"/>
          <w:szCs w:val="24"/>
          <w:lang w:val="en-US"/>
        </w:rPr>
        <w:lastRenderedPageBreak/>
        <w:t xml:space="preserve">Becker, G. S. (1993). Human capital: A theoretical and empirical analysis with special reference to education (3ª ed.). </w:t>
      </w:r>
      <w:r w:rsidRPr="003F60C0">
        <w:rPr>
          <w:rFonts w:ascii="Times New Roman" w:hAnsi="Times New Roman" w:cs="Times New Roman"/>
          <w:i/>
          <w:iCs/>
          <w:sz w:val="24"/>
          <w:szCs w:val="24"/>
          <w:lang w:val="en-US"/>
        </w:rPr>
        <w:t>National Bureau of Economic Research.</w:t>
      </w:r>
    </w:p>
    <w:p w14:paraId="5E8C144C" w14:textId="09F33B3C" w:rsidR="00CA05A8"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3F60C0">
        <w:rPr>
          <w:rFonts w:ascii="Times New Roman" w:hAnsi="Times New Roman" w:cs="Times New Roman"/>
          <w:sz w:val="24"/>
          <w:szCs w:val="24"/>
          <w:lang w:val="en-US"/>
        </w:rPr>
        <w:t xml:space="preserve">Barth, E., </w:t>
      </w:r>
      <w:proofErr w:type="spellStart"/>
      <w:r w:rsidRPr="003F60C0">
        <w:rPr>
          <w:rFonts w:ascii="Times New Roman" w:hAnsi="Times New Roman" w:cs="Times New Roman"/>
          <w:sz w:val="24"/>
          <w:szCs w:val="24"/>
          <w:lang w:val="en-US"/>
        </w:rPr>
        <w:t>Keute</w:t>
      </w:r>
      <w:proofErr w:type="spellEnd"/>
      <w:r w:rsidRPr="003F60C0">
        <w:rPr>
          <w:rFonts w:ascii="Times New Roman" w:hAnsi="Times New Roman" w:cs="Times New Roman"/>
          <w:sz w:val="24"/>
          <w:szCs w:val="24"/>
          <w:lang w:val="en-US"/>
        </w:rPr>
        <w:t xml:space="preserve">, A. L., Schøne, P., von Simson, K., &amp; Steffensen, K. (2021). NEET status and early versus later skills among young adults: Evidence from linked register-PIAAC data. </w:t>
      </w:r>
      <w:r w:rsidRPr="003F60C0">
        <w:rPr>
          <w:rFonts w:ascii="Times New Roman" w:hAnsi="Times New Roman" w:cs="Times New Roman"/>
          <w:i/>
          <w:iCs/>
          <w:sz w:val="24"/>
          <w:szCs w:val="24"/>
          <w:lang w:val="en-US"/>
        </w:rPr>
        <w:t>Scandinavian Journal of Educational Research</w:t>
      </w:r>
      <w:r w:rsidRPr="003F60C0">
        <w:rPr>
          <w:rFonts w:ascii="Times New Roman" w:hAnsi="Times New Roman" w:cs="Times New Roman"/>
          <w:sz w:val="24"/>
          <w:szCs w:val="24"/>
          <w:lang w:val="en-US"/>
        </w:rPr>
        <w:t xml:space="preserve">, 65(1), 140-152. </w:t>
      </w:r>
      <w:hyperlink r:id="rId16" w:history="1">
        <w:r w:rsidR="00CA05A8" w:rsidRPr="003F60C0">
          <w:rPr>
            <w:rStyle w:val="Hipervnculo"/>
            <w:rFonts w:ascii="Times New Roman" w:hAnsi="Times New Roman" w:cs="Times New Roman"/>
            <w:sz w:val="24"/>
            <w:szCs w:val="24"/>
            <w:lang w:val="en-US"/>
          </w:rPr>
          <w:t>https://doi.org/10.1080/00313831.2019.1659403</w:t>
        </w:r>
      </w:hyperlink>
    </w:p>
    <w:p w14:paraId="2BDDD29A" w14:textId="04877E62" w:rsidR="00FF1D82" w:rsidRPr="00F25151" w:rsidRDefault="00C648B8" w:rsidP="009D28BE">
      <w:pPr>
        <w:spacing w:after="0" w:line="360" w:lineRule="auto"/>
        <w:ind w:left="709" w:hanging="709"/>
        <w:contextualSpacing w:val="0"/>
        <w:jc w:val="both"/>
        <w:rPr>
          <w:rFonts w:ascii="Times New Roman" w:hAnsi="Times New Roman" w:cs="Times New Roman"/>
          <w:sz w:val="24"/>
          <w:szCs w:val="24"/>
        </w:rPr>
      </w:pPr>
      <w:r w:rsidRPr="0001290B">
        <w:rPr>
          <w:rFonts w:ascii="Times New Roman" w:hAnsi="Times New Roman" w:cs="Times New Roman"/>
          <w:sz w:val="24"/>
          <w:szCs w:val="24"/>
          <w:lang w:val="en-US"/>
        </w:rPr>
        <w:t xml:space="preserve">Battisti, M., </w:t>
      </w:r>
      <w:proofErr w:type="spellStart"/>
      <w:r w:rsidRPr="0001290B">
        <w:rPr>
          <w:rFonts w:ascii="Times New Roman" w:hAnsi="Times New Roman" w:cs="Times New Roman"/>
          <w:sz w:val="24"/>
          <w:szCs w:val="24"/>
          <w:lang w:val="en-US"/>
        </w:rPr>
        <w:t>Fedorets</w:t>
      </w:r>
      <w:proofErr w:type="spellEnd"/>
      <w:r w:rsidRPr="0001290B">
        <w:rPr>
          <w:rFonts w:ascii="Times New Roman" w:hAnsi="Times New Roman" w:cs="Times New Roman"/>
          <w:sz w:val="24"/>
          <w:szCs w:val="24"/>
          <w:lang w:val="en-US"/>
        </w:rPr>
        <w:t xml:space="preserve">, A., </w:t>
      </w:r>
      <w:r w:rsidR="007675AF">
        <w:rPr>
          <w:rFonts w:ascii="Times New Roman" w:hAnsi="Times New Roman" w:cs="Times New Roman"/>
          <w:sz w:val="24"/>
          <w:szCs w:val="24"/>
          <w:lang w:val="en-US"/>
        </w:rPr>
        <w:t>&amp;</w:t>
      </w:r>
      <w:r w:rsidRPr="0001290B">
        <w:rPr>
          <w:rFonts w:ascii="Times New Roman" w:hAnsi="Times New Roman" w:cs="Times New Roman"/>
          <w:sz w:val="24"/>
          <w:szCs w:val="24"/>
          <w:lang w:val="en-US"/>
        </w:rPr>
        <w:t xml:space="preserve"> Kinne, L. (2023) Cognitive Skills Among Adults: An Impeding Factor for Gender Convergence? </w:t>
      </w:r>
      <w:proofErr w:type="spellStart"/>
      <w:r w:rsidRPr="00F25151">
        <w:rPr>
          <w:rFonts w:ascii="Times New Roman" w:hAnsi="Times New Roman" w:cs="Times New Roman"/>
          <w:sz w:val="24"/>
          <w:szCs w:val="24"/>
        </w:rPr>
        <w:t>CESifo</w:t>
      </w:r>
      <w:proofErr w:type="spellEnd"/>
      <w:r w:rsidRPr="00F25151">
        <w:rPr>
          <w:rFonts w:ascii="Times New Roman" w:hAnsi="Times New Roman" w:cs="Times New Roman"/>
          <w:sz w:val="24"/>
          <w:szCs w:val="24"/>
        </w:rPr>
        <w:t xml:space="preserve"> </w:t>
      </w:r>
      <w:proofErr w:type="spellStart"/>
      <w:r w:rsidRPr="00F25151">
        <w:rPr>
          <w:rFonts w:ascii="Times New Roman" w:hAnsi="Times New Roman" w:cs="Times New Roman"/>
          <w:sz w:val="24"/>
          <w:szCs w:val="24"/>
        </w:rPr>
        <w:t>Working</w:t>
      </w:r>
      <w:proofErr w:type="spellEnd"/>
      <w:r w:rsidRPr="00F25151">
        <w:rPr>
          <w:rFonts w:ascii="Times New Roman" w:hAnsi="Times New Roman" w:cs="Times New Roman"/>
          <w:sz w:val="24"/>
          <w:szCs w:val="24"/>
        </w:rPr>
        <w:t xml:space="preserve"> </w:t>
      </w:r>
      <w:proofErr w:type="spellStart"/>
      <w:r w:rsidRPr="00F25151">
        <w:rPr>
          <w:rFonts w:ascii="Times New Roman" w:hAnsi="Times New Roman" w:cs="Times New Roman"/>
          <w:sz w:val="24"/>
          <w:szCs w:val="24"/>
        </w:rPr>
        <w:t>Paper</w:t>
      </w:r>
      <w:proofErr w:type="spellEnd"/>
      <w:r w:rsidRPr="00F25151">
        <w:rPr>
          <w:rFonts w:ascii="Times New Roman" w:hAnsi="Times New Roman" w:cs="Times New Roman"/>
          <w:sz w:val="24"/>
          <w:szCs w:val="24"/>
        </w:rPr>
        <w:t xml:space="preserve"> No. 10428, </w:t>
      </w:r>
      <w:hyperlink r:id="rId17" w:history="1">
        <w:r w:rsidR="0027680A" w:rsidRPr="00F25151">
          <w:rPr>
            <w:rStyle w:val="Hipervnculo"/>
            <w:rFonts w:ascii="Times New Roman" w:hAnsi="Times New Roman" w:cs="Times New Roman"/>
            <w:sz w:val="24"/>
            <w:szCs w:val="24"/>
          </w:rPr>
          <w:t>http://dx.doi.org/10.2139/ssrn.4456360</w:t>
        </w:r>
      </w:hyperlink>
    </w:p>
    <w:p w14:paraId="773C47E0" w14:textId="03DB8B70" w:rsidR="0027680A" w:rsidRPr="00F25151" w:rsidRDefault="00C648B8" w:rsidP="009D28BE">
      <w:pPr>
        <w:spacing w:after="0" w:line="360" w:lineRule="auto"/>
        <w:ind w:left="709" w:hanging="709"/>
        <w:contextualSpacing w:val="0"/>
        <w:jc w:val="both"/>
        <w:rPr>
          <w:rFonts w:ascii="Times New Roman" w:hAnsi="Times New Roman" w:cs="Times New Roman"/>
          <w:sz w:val="24"/>
          <w:szCs w:val="24"/>
        </w:rPr>
      </w:pPr>
      <w:proofErr w:type="spellStart"/>
      <w:r w:rsidRPr="00F25151">
        <w:rPr>
          <w:rFonts w:ascii="Times New Roman" w:hAnsi="Times New Roman" w:cs="Times New Roman"/>
          <w:sz w:val="24"/>
          <w:szCs w:val="24"/>
        </w:rPr>
        <w:t>Bonavida</w:t>
      </w:r>
      <w:proofErr w:type="spellEnd"/>
      <w:r w:rsidRPr="00F25151">
        <w:rPr>
          <w:rFonts w:ascii="Times New Roman" w:hAnsi="Times New Roman" w:cs="Times New Roman"/>
          <w:sz w:val="24"/>
          <w:szCs w:val="24"/>
        </w:rPr>
        <w:t xml:space="preserve">, C., y Gasparini, L. (2024). El rol de las habilidades y las tareas en las brechas de género en América Latina (Documento de Trabajo No. 330). CEDLAS, Universidad Nacional de la Plata. </w:t>
      </w:r>
      <w:hyperlink r:id="rId18" w:history="1">
        <w:r w:rsidR="0027680A" w:rsidRPr="00F25151">
          <w:rPr>
            <w:rStyle w:val="Hipervnculo"/>
            <w:rFonts w:ascii="Times New Roman" w:hAnsi="Times New Roman" w:cs="Times New Roman"/>
            <w:sz w:val="24"/>
            <w:szCs w:val="24"/>
          </w:rPr>
          <w:t>https://www.cedlas.econo.unlp.edu.ar/wp/wp-content/uploads/doc_cedlas330.pdf?dl=0</w:t>
        </w:r>
      </w:hyperlink>
    </w:p>
    <w:p w14:paraId="1EF19877" w14:textId="504CB326" w:rsidR="001D4DC6" w:rsidRPr="0001290B"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01290B">
        <w:rPr>
          <w:rFonts w:ascii="Times New Roman" w:hAnsi="Times New Roman" w:cs="Times New Roman"/>
          <w:sz w:val="24"/>
          <w:szCs w:val="24"/>
        </w:rPr>
        <w:t>Caler</w:t>
      </w:r>
      <w:r w:rsidR="0069742A" w:rsidRPr="0001290B">
        <w:rPr>
          <w:rFonts w:ascii="Times New Roman" w:hAnsi="Times New Roman" w:cs="Times New Roman"/>
          <w:sz w:val="24"/>
          <w:szCs w:val="24"/>
        </w:rPr>
        <w:t xml:space="preserve">o, J., Murillo Huertas, I. P., </w:t>
      </w:r>
      <w:r w:rsidR="00001251">
        <w:rPr>
          <w:rFonts w:ascii="Times New Roman" w:hAnsi="Times New Roman" w:cs="Times New Roman"/>
          <w:sz w:val="24"/>
          <w:szCs w:val="24"/>
        </w:rPr>
        <w:t>&amp;</w:t>
      </w:r>
      <w:r w:rsidR="00BA64E4" w:rsidRPr="0001290B">
        <w:rPr>
          <w:rFonts w:ascii="Times New Roman" w:hAnsi="Times New Roman" w:cs="Times New Roman"/>
          <w:sz w:val="24"/>
          <w:szCs w:val="24"/>
        </w:rPr>
        <w:t xml:space="preserve"> </w:t>
      </w:r>
      <w:r w:rsidRPr="0001290B">
        <w:rPr>
          <w:rFonts w:ascii="Times New Roman" w:hAnsi="Times New Roman" w:cs="Times New Roman"/>
          <w:sz w:val="24"/>
          <w:szCs w:val="24"/>
        </w:rPr>
        <w:t xml:space="preserve">Raymond Bara, J. L. (2019). </w:t>
      </w:r>
      <w:r w:rsidRPr="0001290B">
        <w:rPr>
          <w:rFonts w:ascii="Times New Roman" w:hAnsi="Times New Roman" w:cs="Times New Roman"/>
          <w:sz w:val="24"/>
          <w:szCs w:val="24"/>
          <w:lang w:val="en-US"/>
        </w:rPr>
        <w:t xml:space="preserve">Education, age and skills: An analysis using PIAAC data. </w:t>
      </w:r>
      <w:r w:rsidRPr="0001290B">
        <w:rPr>
          <w:rFonts w:ascii="Times New Roman" w:hAnsi="Times New Roman" w:cs="Times New Roman"/>
          <w:i/>
          <w:sz w:val="24"/>
          <w:szCs w:val="24"/>
          <w:lang w:val="en-US"/>
        </w:rPr>
        <w:t>European Journal of Education</w:t>
      </w:r>
      <w:r w:rsidRPr="0001290B">
        <w:rPr>
          <w:rFonts w:ascii="Times New Roman" w:hAnsi="Times New Roman" w:cs="Times New Roman"/>
          <w:sz w:val="24"/>
          <w:szCs w:val="24"/>
          <w:lang w:val="en-US"/>
        </w:rPr>
        <w:t>, 54(1), 72-92.</w:t>
      </w:r>
      <w:r w:rsidR="000E1221" w:rsidRPr="0001290B">
        <w:rPr>
          <w:rFonts w:ascii="Times New Roman" w:hAnsi="Times New Roman" w:cs="Times New Roman"/>
          <w:sz w:val="24"/>
          <w:szCs w:val="24"/>
          <w:lang w:val="en-US"/>
        </w:rPr>
        <w:t xml:space="preserve"> </w:t>
      </w:r>
      <w:hyperlink r:id="rId19" w:history="1">
        <w:r w:rsidR="000E1221" w:rsidRPr="0001290B">
          <w:rPr>
            <w:rStyle w:val="Hipervnculo"/>
            <w:rFonts w:ascii="Times New Roman" w:hAnsi="Times New Roman" w:cs="Times New Roman"/>
            <w:sz w:val="24"/>
            <w:szCs w:val="24"/>
            <w:lang w:val="en-US"/>
          </w:rPr>
          <w:t>https://doi.org/10.1111/ejed.12318</w:t>
        </w:r>
      </w:hyperlink>
      <w:r w:rsidR="000E1221" w:rsidRPr="0001290B">
        <w:rPr>
          <w:rFonts w:ascii="Times New Roman" w:hAnsi="Times New Roman" w:cs="Times New Roman"/>
          <w:sz w:val="24"/>
          <w:szCs w:val="24"/>
          <w:lang w:val="en-US"/>
        </w:rPr>
        <w:t>.</w:t>
      </w:r>
    </w:p>
    <w:p w14:paraId="4A493399" w14:textId="4B4D2D90" w:rsidR="002D35C3" w:rsidRPr="0001290B" w:rsidRDefault="00C648B8" w:rsidP="009D28BE">
      <w:pPr>
        <w:spacing w:after="0" w:line="360" w:lineRule="auto"/>
        <w:ind w:left="709" w:hanging="709"/>
        <w:contextualSpacing w:val="0"/>
        <w:jc w:val="both"/>
        <w:rPr>
          <w:rStyle w:val="Hipervnculo"/>
          <w:rFonts w:ascii="Times New Roman" w:hAnsi="Times New Roman" w:cs="Times New Roman"/>
          <w:sz w:val="24"/>
          <w:szCs w:val="24"/>
          <w:lang w:val="en-US"/>
        </w:rPr>
      </w:pPr>
      <w:r w:rsidRPr="0001290B">
        <w:rPr>
          <w:rFonts w:ascii="Times New Roman" w:hAnsi="Times New Roman" w:cs="Times New Roman"/>
          <w:sz w:val="24"/>
          <w:szCs w:val="24"/>
          <w:lang w:val="en-US"/>
        </w:rPr>
        <w:t xml:space="preserve">Carneiro, P., Meghir, C., </w:t>
      </w:r>
      <w:r w:rsidR="00001251">
        <w:rPr>
          <w:rFonts w:ascii="Times New Roman" w:hAnsi="Times New Roman" w:cs="Times New Roman"/>
          <w:sz w:val="24"/>
          <w:szCs w:val="24"/>
          <w:lang w:val="en-US"/>
        </w:rPr>
        <w:t>&amp;</w:t>
      </w:r>
      <w:r w:rsidRPr="0001290B">
        <w:rPr>
          <w:rFonts w:ascii="Times New Roman" w:hAnsi="Times New Roman" w:cs="Times New Roman"/>
          <w:sz w:val="24"/>
          <w:szCs w:val="24"/>
          <w:lang w:val="en-US"/>
        </w:rPr>
        <w:t xml:space="preserve"> Parey, M. (2013). Maternal education, home environments, and the development of children and adolescents. </w:t>
      </w:r>
      <w:r w:rsidRPr="0001290B">
        <w:rPr>
          <w:rFonts w:ascii="Times New Roman" w:hAnsi="Times New Roman" w:cs="Times New Roman"/>
          <w:i/>
          <w:iCs/>
          <w:sz w:val="24"/>
          <w:szCs w:val="24"/>
          <w:lang w:val="en-US"/>
        </w:rPr>
        <w:t>Journal of the European Economic Association</w:t>
      </w:r>
      <w:r w:rsidRPr="0001290B">
        <w:rPr>
          <w:rFonts w:ascii="Times New Roman" w:hAnsi="Times New Roman" w:cs="Times New Roman"/>
          <w:sz w:val="24"/>
          <w:szCs w:val="24"/>
          <w:lang w:val="en-US"/>
        </w:rPr>
        <w:t xml:space="preserve">, 11(s1), 123-160. </w:t>
      </w:r>
      <w:hyperlink r:id="rId20" w:history="1">
        <w:r w:rsidR="002D35C3" w:rsidRPr="0001290B">
          <w:rPr>
            <w:rStyle w:val="Hipervnculo"/>
            <w:rFonts w:ascii="Times New Roman" w:hAnsi="Times New Roman" w:cs="Times New Roman"/>
            <w:sz w:val="24"/>
            <w:szCs w:val="24"/>
            <w:lang w:val="en-US"/>
          </w:rPr>
          <w:t>https://doi.org/10.1111/j.1542-4774.2012.01096.x</w:t>
        </w:r>
      </w:hyperlink>
    </w:p>
    <w:p w14:paraId="71B1BA69" w14:textId="65881CC7" w:rsidR="002D35C3" w:rsidRPr="00783700" w:rsidRDefault="00C648B8" w:rsidP="009D28BE">
      <w:pPr>
        <w:spacing w:after="0" w:line="360" w:lineRule="auto"/>
        <w:ind w:left="709" w:hanging="709"/>
        <w:contextualSpacing w:val="0"/>
        <w:jc w:val="both"/>
        <w:rPr>
          <w:rStyle w:val="Hipervnculo"/>
          <w:rFonts w:ascii="Times New Roman" w:hAnsi="Times New Roman" w:cs="Times New Roman"/>
          <w:sz w:val="24"/>
          <w:szCs w:val="24"/>
          <w:lang w:val="en-US"/>
        </w:rPr>
      </w:pPr>
      <w:r w:rsidRPr="00783700">
        <w:rPr>
          <w:rFonts w:ascii="Times New Roman" w:hAnsi="Times New Roman" w:cs="Times New Roman"/>
          <w:sz w:val="24"/>
          <w:szCs w:val="24"/>
          <w:lang w:val="en-US"/>
        </w:rPr>
        <w:t xml:space="preserve">Chetty, R., Friedman, J. N., </w:t>
      </w:r>
      <w:r w:rsidR="00001251">
        <w:rPr>
          <w:rFonts w:ascii="Times New Roman" w:hAnsi="Times New Roman" w:cs="Times New Roman"/>
          <w:sz w:val="24"/>
          <w:szCs w:val="24"/>
          <w:lang w:val="en-US"/>
        </w:rPr>
        <w:t>&amp;</w:t>
      </w:r>
      <w:r w:rsidRPr="00783700">
        <w:rPr>
          <w:rFonts w:ascii="Times New Roman" w:hAnsi="Times New Roman" w:cs="Times New Roman"/>
          <w:sz w:val="24"/>
          <w:szCs w:val="24"/>
          <w:lang w:val="en-US"/>
        </w:rPr>
        <w:t xml:space="preserve"> Rockoff, J. E. (2014). Measuring the impacts of teachers II: Teacher value-added and student outcomes in adulthood. </w:t>
      </w:r>
      <w:r w:rsidRPr="00783700">
        <w:rPr>
          <w:rFonts w:ascii="Times New Roman" w:hAnsi="Times New Roman" w:cs="Times New Roman"/>
          <w:i/>
          <w:iCs/>
          <w:sz w:val="24"/>
          <w:szCs w:val="24"/>
          <w:lang w:val="en-US"/>
        </w:rPr>
        <w:t>American Economic Review</w:t>
      </w:r>
      <w:r w:rsidRPr="00783700">
        <w:rPr>
          <w:rFonts w:ascii="Times New Roman" w:hAnsi="Times New Roman" w:cs="Times New Roman"/>
          <w:sz w:val="24"/>
          <w:szCs w:val="24"/>
          <w:lang w:val="en-US"/>
        </w:rPr>
        <w:t xml:space="preserve">, 104(9), 2633-2679. DOI: </w:t>
      </w:r>
      <w:hyperlink r:id="rId21" w:tgtFrame="_blank" w:history="1">
        <w:r w:rsidR="002D35C3" w:rsidRPr="00783700">
          <w:rPr>
            <w:rStyle w:val="Hipervnculo"/>
            <w:rFonts w:ascii="Times New Roman" w:hAnsi="Times New Roman" w:cs="Times New Roman"/>
            <w:sz w:val="24"/>
            <w:szCs w:val="24"/>
            <w:lang w:val="en-US"/>
          </w:rPr>
          <w:t>10.1257/aer.104.9.2633</w:t>
        </w:r>
      </w:hyperlink>
    </w:p>
    <w:p w14:paraId="05F7C958" w14:textId="71DE9CBE" w:rsidR="00A30BC8" w:rsidRPr="00783700"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783700">
        <w:rPr>
          <w:rFonts w:ascii="Times New Roman" w:hAnsi="Times New Roman" w:cs="Times New Roman"/>
          <w:sz w:val="24"/>
          <w:szCs w:val="24"/>
          <w:lang w:val="en-US"/>
        </w:rPr>
        <w:t xml:space="preserve">Deary, I. J., Whiteman, M. C., Starr, J. M., Whalley, L. J., </w:t>
      </w:r>
      <w:r w:rsidR="00001251">
        <w:rPr>
          <w:rFonts w:ascii="Times New Roman" w:hAnsi="Times New Roman" w:cs="Times New Roman"/>
          <w:sz w:val="24"/>
          <w:szCs w:val="24"/>
          <w:lang w:val="en-US"/>
        </w:rPr>
        <w:t>&amp;</w:t>
      </w:r>
      <w:r w:rsidRPr="00783700">
        <w:rPr>
          <w:rFonts w:ascii="Times New Roman" w:hAnsi="Times New Roman" w:cs="Times New Roman"/>
          <w:sz w:val="24"/>
          <w:szCs w:val="24"/>
          <w:lang w:val="en-US"/>
        </w:rPr>
        <w:t xml:space="preserve"> Fox, H. C. (2009). The impact of childhood intelligence on later life: Following up the Scottish mental surveys of 1932 and 1947. </w:t>
      </w:r>
      <w:r w:rsidRPr="00783700">
        <w:rPr>
          <w:rFonts w:ascii="Times New Roman" w:hAnsi="Times New Roman" w:cs="Times New Roman"/>
          <w:i/>
          <w:iCs/>
          <w:sz w:val="24"/>
          <w:szCs w:val="24"/>
          <w:lang w:val="en-US"/>
        </w:rPr>
        <w:t>Journal of Personality and Social Psychology</w:t>
      </w:r>
      <w:r w:rsidRPr="00783700">
        <w:rPr>
          <w:rFonts w:ascii="Times New Roman" w:hAnsi="Times New Roman" w:cs="Times New Roman"/>
          <w:sz w:val="24"/>
          <w:szCs w:val="24"/>
          <w:lang w:val="en-US"/>
        </w:rPr>
        <w:t xml:space="preserve">, 86(1), 130-147. </w:t>
      </w:r>
      <w:hyperlink r:id="rId22" w:history="1">
        <w:r w:rsidR="00A30BC8" w:rsidRPr="00783700">
          <w:rPr>
            <w:rStyle w:val="Hipervnculo"/>
            <w:rFonts w:ascii="Times New Roman" w:hAnsi="Times New Roman" w:cs="Times New Roman"/>
            <w:sz w:val="24"/>
            <w:szCs w:val="24"/>
            <w:lang w:val="en-US"/>
          </w:rPr>
          <w:t>https://doi.org/10.1037/0022-3514.86.1.130</w:t>
        </w:r>
      </w:hyperlink>
    </w:p>
    <w:p w14:paraId="26AA0082" w14:textId="7FAE7A20" w:rsidR="007F15D7" w:rsidRPr="00783700"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783700">
        <w:rPr>
          <w:rFonts w:ascii="Times New Roman" w:hAnsi="Times New Roman" w:cs="Times New Roman"/>
          <w:sz w:val="24"/>
          <w:szCs w:val="24"/>
          <w:lang w:val="en-US"/>
        </w:rPr>
        <w:t xml:space="preserve">Engelhardt, L., Goldhammer, F., Lüdtke, O., </w:t>
      </w:r>
      <w:proofErr w:type="spellStart"/>
      <w:r w:rsidRPr="00783700">
        <w:rPr>
          <w:rFonts w:ascii="Times New Roman" w:hAnsi="Times New Roman" w:cs="Times New Roman"/>
          <w:sz w:val="24"/>
          <w:szCs w:val="24"/>
          <w:lang w:val="en-US"/>
        </w:rPr>
        <w:t>Köller</w:t>
      </w:r>
      <w:proofErr w:type="spellEnd"/>
      <w:r w:rsidRPr="00783700">
        <w:rPr>
          <w:rFonts w:ascii="Times New Roman" w:hAnsi="Times New Roman" w:cs="Times New Roman"/>
          <w:sz w:val="24"/>
          <w:szCs w:val="24"/>
          <w:lang w:val="en-US"/>
        </w:rPr>
        <w:t xml:space="preserve">, O., Baumert, J., </w:t>
      </w:r>
      <w:r w:rsidR="00001251">
        <w:rPr>
          <w:rFonts w:ascii="Times New Roman" w:hAnsi="Times New Roman" w:cs="Times New Roman"/>
          <w:sz w:val="24"/>
          <w:szCs w:val="24"/>
          <w:lang w:val="en-US"/>
        </w:rPr>
        <w:t>&amp;</w:t>
      </w:r>
      <w:r w:rsidRPr="00783700">
        <w:rPr>
          <w:rFonts w:ascii="Times New Roman" w:hAnsi="Times New Roman" w:cs="Times New Roman"/>
          <w:sz w:val="24"/>
          <w:szCs w:val="24"/>
          <w:lang w:val="en-US"/>
        </w:rPr>
        <w:t xml:space="preserve"> Carstensen, C. H. (2021). Separating PIAAC competencies from general cognitive skills: A dimensionality and explanatory analysis. </w:t>
      </w:r>
      <w:r w:rsidRPr="00783700">
        <w:rPr>
          <w:rFonts w:ascii="Times New Roman" w:hAnsi="Times New Roman" w:cs="Times New Roman"/>
          <w:i/>
          <w:iCs/>
          <w:sz w:val="24"/>
          <w:szCs w:val="24"/>
          <w:lang w:val="en-US"/>
        </w:rPr>
        <w:t>Studies in Educational Evaluation</w:t>
      </w:r>
      <w:r w:rsidRPr="00783700">
        <w:rPr>
          <w:rFonts w:ascii="Times New Roman" w:hAnsi="Times New Roman" w:cs="Times New Roman"/>
          <w:sz w:val="24"/>
          <w:szCs w:val="24"/>
          <w:lang w:val="en-US"/>
        </w:rPr>
        <w:t xml:space="preserve">, 71, 101069. </w:t>
      </w:r>
      <w:hyperlink r:id="rId23" w:history="1">
        <w:r w:rsidR="007F15D7" w:rsidRPr="00783700">
          <w:rPr>
            <w:rStyle w:val="Hipervnculo"/>
            <w:rFonts w:ascii="Times New Roman" w:hAnsi="Times New Roman" w:cs="Times New Roman"/>
            <w:sz w:val="24"/>
            <w:szCs w:val="24"/>
            <w:lang w:val="en-US"/>
          </w:rPr>
          <w:t>https://doi.org/10.1016/j.stueduc.2021.101069</w:t>
        </w:r>
      </w:hyperlink>
      <w:r w:rsidRPr="00783700">
        <w:rPr>
          <w:rFonts w:ascii="Times New Roman" w:hAnsi="Times New Roman" w:cs="Times New Roman"/>
          <w:sz w:val="24"/>
          <w:szCs w:val="24"/>
          <w:lang w:val="en-US"/>
        </w:rPr>
        <w:t>.</w:t>
      </w:r>
    </w:p>
    <w:p w14:paraId="7EFC5903" w14:textId="72A1B199" w:rsidR="00CE0ADD" w:rsidRPr="00783700" w:rsidRDefault="00C648B8" w:rsidP="009D28BE">
      <w:pPr>
        <w:spacing w:after="0" w:line="360" w:lineRule="auto"/>
        <w:ind w:left="709" w:hanging="709"/>
        <w:contextualSpacing w:val="0"/>
        <w:jc w:val="both"/>
        <w:rPr>
          <w:rFonts w:ascii="Times New Roman" w:hAnsi="Times New Roman" w:cs="Times New Roman"/>
          <w:sz w:val="24"/>
          <w:szCs w:val="24"/>
          <w:lang w:val="en-US"/>
        </w:rPr>
      </w:pPr>
      <w:proofErr w:type="spellStart"/>
      <w:r w:rsidRPr="00783700">
        <w:rPr>
          <w:rFonts w:ascii="Times New Roman" w:hAnsi="Times New Roman" w:cs="Times New Roman"/>
          <w:sz w:val="24"/>
          <w:szCs w:val="24"/>
          <w:lang w:val="en-US"/>
        </w:rPr>
        <w:t>Égert</w:t>
      </w:r>
      <w:proofErr w:type="spellEnd"/>
      <w:r w:rsidRPr="00783700">
        <w:rPr>
          <w:rFonts w:ascii="Times New Roman" w:hAnsi="Times New Roman" w:cs="Times New Roman"/>
          <w:sz w:val="24"/>
          <w:szCs w:val="24"/>
          <w:lang w:val="en-US"/>
        </w:rPr>
        <w:t xml:space="preserve">, B., De la Maisonneuve, C., </w:t>
      </w:r>
      <w:r w:rsidR="00A620C3">
        <w:rPr>
          <w:rFonts w:ascii="Times New Roman" w:hAnsi="Times New Roman" w:cs="Times New Roman"/>
          <w:sz w:val="24"/>
          <w:szCs w:val="24"/>
          <w:lang w:val="en-US"/>
        </w:rPr>
        <w:t>&amp;</w:t>
      </w:r>
      <w:r w:rsidRPr="00783700">
        <w:rPr>
          <w:rFonts w:ascii="Times New Roman" w:hAnsi="Times New Roman" w:cs="Times New Roman"/>
          <w:sz w:val="24"/>
          <w:szCs w:val="24"/>
          <w:lang w:val="en-US"/>
        </w:rPr>
        <w:t xml:space="preserve"> Turner, D. (2024). A new macroeconomic measure of human capital exploiting PISA and PIAAC: Linking education policies to </w:t>
      </w:r>
      <w:r w:rsidRPr="00783700">
        <w:rPr>
          <w:rFonts w:ascii="Times New Roman" w:hAnsi="Times New Roman" w:cs="Times New Roman"/>
          <w:sz w:val="24"/>
          <w:szCs w:val="24"/>
          <w:lang w:val="en-US"/>
        </w:rPr>
        <w:lastRenderedPageBreak/>
        <w:t xml:space="preserve">productivity. </w:t>
      </w:r>
      <w:r w:rsidRPr="00783700">
        <w:rPr>
          <w:rFonts w:ascii="Times New Roman" w:hAnsi="Times New Roman" w:cs="Times New Roman"/>
          <w:i/>
          <w:iCs/>
          <w:sz w:val="24"/>
          <w:szCs w:val="24"/>
          <w:lang w:val="en-US"/>
        </w:rPr>
        <w:t>Education Economics</w:t>
      </w:r>
      <w:r w:rsidRPr="00783700">
        <w:rPr>
          <w:rFonts w:ascii="Times New Roman" w:hAnsi="Times New Roman" w:cs="Times New Roman"/>
          <w:sz w:val="24"/>
          <w:szCs w:val="24"/>
          <w:lang w:val="en-US"/>
        </w:rPr>
        <w:t xml:space="preserve">, 1-17. </w:t>
      </w:r>
      <w:hyperlink r:id="rId24" w:history="1">
        <w:r w:rsidR="00CE0ADD" w:rsidRPr="00783700">
          <w:rPr>
            <w:rStyle w:val="Hipervnculo"/>
            <w:rFonts w:ascii="Times New Roman" w:hAnsi="Times New Roman" w:cs="Times New Roman"/>
            <w:sz w:val="24"/>
            <w:szCs w:val="24"/>
            <w:lang w:val="en-US"/>
          </w:rPr>
          <w:t>https://doi.org/10.1080/09645292.2024.2318221</w:t>
        </w:r>
      </w:hyperlink>
      <w:r w:rsidRPr="00783700">
        <w:rPr>
          <w:rFonts w:ascii="Times New Roman" w:hAnsi="Times New Roman" w:cs="Times New Roman"/>
          <w:sz w:val="24"/>
          <w:szCs w:val="24"/>
          <w:lang w:val="en-US"/>
        </w:rPr>
        <w:t>.</w:t>
      </w:r>
    </w:p>
    <w:p w14:paraId="3572C3A1" w14:textId="2EB85170" w:rsidR="00FA1BF1" w:rsidRDefault="00C648B8" w:rsidP="009D28BE">
      <w:pPr>
        <w:spacing w:after="0" w:line="360" w:lineRule="auto"/>
        <w:ind w:left="567" w:hanging="567"/>
        <w:contextualSpacing w:val="0"/>
        <w:jc w:val="both"/>
        <w:rPr>
          <w:rFonts w:ascii="Times New Roman" w:hAnsi="Times New Roman" w:cs="Times New Roman"/>
          <w:sz w:val="24"/>
          <w:szCs w:val="24"/>
          <w:lang w:val="en-US"/>
        </w:rPr>
      </w:pPr>
      <w:proofErr w:type="spellStart"/>
      <w:r w:rsidRPr="00783700">
        <w:rPr>
          <w:rFonts w:ascii="Times New Roman" w:hAnsi="Times New Roman" w:cs="Times New Roman"/>
          <w:sz w:val="24"/>
          <w:szCs w:val="24"/>
          <w:lang w:val="en-US"/>
        </w:rPr>
        <w:t>Flisi</w:t>
      </w:r>
      <w:proofErr w:type="spellEnd"/>
      <w:r w:rsidRPr="00783700">
        <w:rPr>
          <w:rFonts w:ascii="Times New Roman" w:hAnsi="Times New Roman" w:cs="Times New Roman"/>
          <w:sz w:val="24"/>
          <w:szCs w:val="24"/>
          <w:lang w:val="en-US"/>
        </w:rPr>
        <w:t xml:space="preserve">, S., </w:t>
      </w:r>
      <w:proofErr w:type="spellStart"/>
      <w:r w:rsidRPr="00783700">
        <w:rPr>
          <w:rFonts w:ascii="Times New Roman" w:hAnsi="Times New Roman" w:cs="Times New Roman"/>
          <w:sz w:val="24"/>
          <w:szCs w:val="24"/>
          <w:lang w:val="en-US"/>
        </w:rPr>
        <w:t>Goglio</w:t>
      </w:r>
      <w:proofErr w:type="spellEnd"/>
      <w:r w:rsidRPr="00783700">
        <w:rPr>
          <w:rFonts w:ascii="Times New Roman" w:hAnsi="Times New Roman" w:cs="Times New Roman"/>
          <w:sz w:val="24"/>
          <w:szCs w:val="24"/>
          <w:lang w:val="en-US"/>
        </w:rPr>
        <w:t xml:space="preserve">, V., Meroni, E. C., Rodrigues, M., </w:t>
      </w:r>
      <w:r w:rsidR="006F10FF">
        <w:rPr>
          <w:rFonts w:ascii="Times New Roman" w:hAnsi="Times New Roman" w:cs="Times New Roman"/>
          <w:sz w:val="24"/>
          <w:szCs w:val="24"/>
          <w:lang w:val="en-US"/>
        </w:rPr>
        <w:t>&amp;</w:t>
      </w:r>
      <w:r w:rsidRPr="00783700">
        <w:rPr>
          <w:rFonts w:ascii="Times New Roman" w:hAnsi="Times New Roman" w:cs="Times New Roman"/>
          <w:sz w:val="24"/>
          <w:szCs w:val="24"/>
          <w:lang w:val="en-US"/>
        </w:rPr>
        <w:t xml:space="preserve"> Vera-Toscano, E. (2017). Measuring occupational mismatch: Overeducation and </w:t>
      </w:r>
      <w:proofErr w:type="spellStart"/>
      <w:r w:rsidRPr="00783700">
        <w:rPr>
          <w:rFonts w:ascii="Times New Roman" w:hAnsi="Times New Roman" w:cs="Times New Roman"/>
          <w:sz w:val="24"/>
          <w:szCs w:val="24"/>
          <w:lang w:val="en-US"/>
        </w:rPr>
        <w:t>overskill</w:t>
      </w:r>
      <w:proofErr w:type="spellEnd"/>
      <w:r w:rsidRPr="00783700">
        <w:rPr>
          <w:rFonts w:ascii="Times New Roman" w:hAnsi="Times New Roman" w:cs="Times New Roman"/>
          <w:sz w:val="24"/>
          <w:szCs w:val="24"/>
          <w:lang w:val="en-US"/>
        </w:rPr>
        <w:t xml:space="preserve"> in Europe—Evidence from PIAAC. </w:t>
      </w:r>
      <w:r w:rsidRPr="00783700">
        <w:rPr>
          <w:rFonts w:ascii="Times New Roman" w:hAnsi="Times New Roman" w:cs="Times New Roman"/>
          <w:i/>
          <w:sz w:val="24"/>
          <w:szCs w:val="24"/>
          <w:lang w:val="en-US"/>
        </w:rPr>
        <w:t>Social Indicators Research</w:t>
      </w:r>
      <w:r w:rsidRPr="00783700">
        <w:rPr>
          <w:rFonts w:ascii="Times New Roman" w:hAnsi="Times New Roman" w:cs="Times New Roman"/>
          <w:sz w:val="24"/>
          <w:szCs w:val="24"/>
          <w:lang w:val="en-US"/>
        </w:rPr>
        <w:t>, 131(3), 1211-1249.</w:t>
      </w:r>
      <w:r w:rsidR="000E1221" w:rsidRPr="00783700">
        <w:rPr>
          <w:rFonts w:ascii="Times New Roman" w:hAnsi="Times New Roman" w:cs="Times New Roman"/>
          <w:sz w:val="24"/>
          <w:szCs w:val="24"/>
          <w:lang w:val="en-US"/>
        </w:rPr>
        <w:t xml:space="preserve"> </w:t>
      </w:r>
      <w:hyperlink r:id="rId25" w:history="1">
        <w:r w:rsidR="000E1221" w:rsidRPr="00783700">
          <w:rPr>
            <w:rStyle w:val="Hipervnculo"/>
            <w:rFonts w:ascii="Times New Roman" w:hAnsi="Times New Roman" w:cs="Times New Roman"/>
            <w:sz w:val="24"/>
            <w:szCs w:val="24"/>
            <w:lang w:val="en-US"/>
          </w:rPr>
          <w:t>https://link.springer.com/article/10.1007/s11205-016-1292-7</w:t>
        </w:r>
      </w:hyperlink>
      <w:r w:rsidR="000E1221" w:rsidRPr="00783700">
        <w:rPr>
          <w:rFonts w:ascii="Times New Roman" w:hAnsi="Times New Roman" w:cs="Times New Roman"/>
          <w:sz w:val="24"/>
          <w:szCs w:val="24"/>
          <w:lang w:val="en-US"/>
        </w:rPr>
        <w:t>.</w:t>
      </w:r>
    </w:p>
    <w:p w14:paraId="2145155C" w14:textId="71AF57C6" w:rsidR="006F10FF" w:rsidRPr="00755967" w:rsidRDefault="00C066CE" w:rsidP="009D28BE">
      <w:pPr>
        <w:spacing w:after="0" w:line="360" w:lineRule="auto"/>
        <w:ind w:left="567" w:hanging="567"/>
        <w:contextualSpacing w:val="0"/>
        <w:jc w:val="both"/>
        <w:rPr>
          <w:rFonts w:ascii="Times New Roman" w:hAnsi="Times New Roman" w:cs="Times New Roman"/>
          <w:sz w:val="24"/>
          <w:szCs w:val="24"/>
          <w:lang w:val="en-US"/>
        </w:rPr>
      </w:pPr>
      <w:r w:rsidRPr="00C066CE">
        <w:rPr>
          <w:rFonts w:ascii="Times New Roman" w:hAnsi="Times New Roman" w:cs="Times New Roman"/>
          <w:sz w:val="24"/>
          <w:szCs w:val="24"/>
          <w:lang w:val="en-US"/>
        </w:rPr>
        <w:t xml:space="preserve">Hanushek, E. A., &amp; </w:t>
      </w:r>
      <w:proofErr w:type="spellStart"/>
      <w:r w:rsidRPr="00C066CE">
        <w:rPr>
          <w:rFonts w:ascii="Times New Roman" w:hAnsi="Times New Roman" w:cs="Times New Roman"/>
          <w:sz w:val="24"/>
          <w:szCs w:val="24"/>
          <w:lang w:val="en-US"/>
        </w:rPr>
        <w:t>Kimko</w:t>
      </w:r>
      <w:proofErr w:type="spellEnd"/>
      <w:r w:rsidRPr="00C066CE">
        <w:rPr>
          <w:rFonts w:ascii="Times New Roman" w:hAnsi="Times New Roman" w:cs="Times New Roman"/>
          <w:sz w:val="24"/>
          <w:szCs w:val="24"/>
          <w:lang w:val="en-US"/>
        </w:rPr>
        <w:t xml:space="preserve">, D. D. (2000). Schooling, labor-force quality, and the growth of nations. </w:t>
      </w:r>
      <w:r w:rsidRPr="006F10FF">
        <w:rPr>
          <w:rFonts w:ascii="Times New Roman" w:hAnsi="Times New Roman" w:cs="Times New Roman"/>
          <w:i/>
          <w:iCs/>
          <w:sz w:val="24"/>
          <w:szCs w:val="24"/>
          <w:lang w:val="en-US"/>
        </w:rPr>
        <w:t xml:space="preserve">American </w:t>
      </w:r>
      <w:r w:rsidR="006F10FF">
        <w:rPr>
          <w:rFonts w:ascii="Times New Roman" w:hAnsi="Times New Roman" w:cs="Times New Roman"/>
          <w:i/>
          <w:iCs/>
          <w:sz w:val="24"/>
          <w:szCs w:val="24"/>
          <w:lang w:val="en-US"/>
        </w:rPr>
        <w:t>Economic Review</w:t>
      </w:r>
      <w:r w:rsidRPr="00C066CE">
        <w:rPr>
          <w:rFonts w:ascii="Times New Roman" w:hAnsi="Times New Roman" w:cs="Times New Roman"/>
          <w:sz w:val="24"/>
          <w:szCs w:val="24"/>
          <w:lang w:val="en-US"/>
        </w:rPr>
        <w:t>, 90(5), 1184-1208.</w:t>
      </w:r>
      <w:r w:rsidR="006F10FF">
        <w:rPr>
          <w:rFonts w:ascii="Times New Roman" w:hAnsi="Times New Roman" w:cs="Times New Roman"/>
          <w:sz w:val="24"/>
          <w:szCs w:val="24"/>
          <w:lang w:val="en-US"/>
        </w:rPr>
        <w:t xml:space="preserve"> </w:t>
      </w:r>
      <w:hyperlink r:id="rId26" w:history="1">
        <w:r w:rsidR="006F10FF" w:rsidRPr="00502D22">
          <w:rPr>
            <w:rStyle w:val="Hipervnculo"/>
            <w:rFonts w:ascii="Times New Roman" w:hAnsi="Times New Roman" w:cs="Times New Roman"/>
            <w:sz w:val="24"/>
            <w:szCs w:val="24"/>
            <w:lang w:val="en-US"/>
          </w:rPr>
          <w:t>https://doi.org/10.1257/aer.90.5.1184</w:t>
        </w:r>
      </w:hyperlink>
      <w:r w:rsidR="006F10FF">
        <w:rPr>
          <w:rFonts w:ascii="Times New Roman" w:hAnsi="Times New Roman" w:cs="Times New Roman"/>
          <w:sz w:val="24"/>
          <w:szCs w:val="24"/>
          <w:lang w:val="en-US"/>
        </w:rPr>
        <w:t>.</w:t>
      </w:r>
    </w:p>
    <w:p w14:paraId="08707F2C" w14:textId="3DBE1203" w:rsidR="00B54680"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E85844">
        <w:rPr>
          <w:rFonts w:ascii="Times New Roman" w:hAnsi="Times New Roman" w:cs="Times New Roman"/>
          <w:sz w:val="24"/>
          <w:szCs w:val="24"/>
          <w:lang w:val="en-US"/>
        </w:rPr>
        <w:t xml:space="preserve">Hanushek, E. A., Kinne, L., </w:t>
      </w:r>
      <w:proofErr w:type="spellStart"/>
      <w:r w:rsidRPr="00E85844">
        <w:rPr>
          <w:rFonts w:ascii="Times New Roman" w:hAnsi="Times New Roman" w:cs="Times New Roman"/>
          <w:sz w:val="24"/>
          <w:szCs w:val="24"/>
          <w:lang w:val="en-US"/>
        </w:rPr>
        <w:t>Witthöft</w:t>
      </w:r>
      <w:proofErr w:type="spellEnd"/>
      <w:r w:rsidRPr="00E85844">
        <w:rPr>
          <w:rFonts w:ascii="Times New Roman" w:hAnsi="Times New Roman" w:cs="Times New Roman"/>
          <w:sz w:val="24"/>
          <w:szCs w:val="24"/>
          <w:lang w:val="en-US"/>
        </w:rPr>
        <w:t xml:space="preserve">, F., &amp; </w:t>
      </w:r>
      <w:proofErr w:type="spellStart"/>
      <w:r w:rsidRPr="00E85844">
        <w:rPr>
          <w:rFonts w:ascii="Times New Roman" w:hAnsi="Times New Roman" w:cs="Times New Roman"/>
          <w:sz w:val="24"/>
          <w:szCs w:val="24"/>
          <w:lang w:val="en-US"/>
        </w:rPr>
        <w:t>Woessmann</w:t>
      </w:r>
      <w:proofErr w:type="spellEnd"/>
      <w:r w:rsidRPr="00E85844">
        <w:rPr>
          <w:rFonts w:ascii="Times New Roman" w:hAnsi="Times New Roman" w:cs="Times New Roman"/>
          <w:sz w:val="24"/>
          <w:szCs w:val="24"/>
          <w:lang w:val="en-US"/>
        </w:rPr>
        <w:t xml:space="preserve">, L. (2025). Age and cognitive skills: Use it or lose it. Science Advances, 11(10), eads1560. </w:t>
      </w:r>
      <w:hyperlink r:id="rId27" w:history="1">
        <w:r w:rsidR="00B54680" w:rsidRPr="00E85844">
          <w:rPr>
            <w:rStyle w:val="Hipervnculo"/>
            <w:rFonts w:ascii="Times New Roman" w:hAnsi="Times New Roman" w:cs="Times New Roman"/>
            <w:sz w:val="24"/>
            <w:szCs w:val="24"/>
            <w:lang w:val="en-US"/>
          </w:rPr>
          <w:t>https://doi.org/10.1126/sciadv.ads1560</w:t>
        </w:r>
      </w:hyperlink>
    </w:p>
    <w:p w14:paraId="0EC7CC63" w14:textId="719CE495" w:rsidR="00A0264F" w:rsidRPr="00E85844"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E85844">
        <w:rPr>
          <w:rFonts w:ascii="Times New Roman" w:hAnsi="Times New Roman" w:cs="Times New Roman"/>
          <w:sz w:val="24"/>
          <w:szCs w:val="24"/>
          <w:lang w:val="en-US"/>
        </w:rPr>
        <w:t xml:space="preserve">Hanushek, E. A., Schwerdt, G., Wiederhold, S., </w:t>
      </w:r>
      <w:r w:rsidR="00651D70">
        <w:rPr>
          <w:rFonts w:ascii="Times New Roman" w:hAnsi="Times New Roman" w:cs="Times New Roman"/>
          <w:sz w:val="24"/>
          <w:szCs w:val="24"/>
          <w:lang w:val="en-US"/>
        </w:rPr>
        <w:t>&amp;</w:t>
      </w:r>
      <w:r w:rsidRPr="00E85844">
        <w:rPr>
          <w:rFonts w:ascii="Times New Roman" w:hAnsi="Times New Roman" w:cs="Times New Roman"/>
          <w:sz w:val="24"/>
          <w:szCs w:val="24"/>
          <w:lang w:val="en-US"/>
        </w:rPr>
        <w:t xml:space="preserve"> </w:t>
      </w:r>
      <w:proofErr w:type="spellStart"/>
      <w:r w:rsidRPr="00E85844">
        <w:rPr>
          <w:rFonts w:ascii="Times New Roman" w:hAnsi="Times New Roman" w:cs="Times New Roman"/>
          <w:sz w:val="24"/>
          <w:szCs w:val="24"/>
          <w:lang w:val="en-US"/>
        </w:rPr>
        <w:t>Woessmann</w:t>
      </w:r>
      <w:proofErr w:type="spellEnd"/>
      <w:r w:rsidRPr="00E85844">
        <w:rPr>
          <w:rFonts w:ascii="Times New Roman" w:hAnsi="Times New Roman" w:cs="Times New Roman"/>
          <w:sz w:val="24"/>
          <w:szCs w:val="24"/>
          <w:lang w:val="en-US"/>
        </w:rPr>
        <w:t xml:space="preserve">, L. (2015). Returns to skills around the world: Evidence from PIAAC. </w:t>
      </w:r>
      <w:r w:rsidRPr="00E85844">
        <w:rPr>
          <w:rFonts w:ascii="Times New Roman" w:hAnsi="Times New Roman" w:cs="Times New Roman"/>
          <w:i/>
          <w:sz w:val="24"/>
          <w:szCs w:val="24"/>
          <w:lang w:val="en-US"/>
        </w:rPr>
        <w:t>European Economic Review</w:t>
      </w:r>
      <w:r w:rsidRPr="00E85844">
        <w:rPr>
          <w:rFonts w:ascii="Times New Roman" w:hAnsi="Times New Roman" w:cs="Times New Roman"/>
          <w:sz w:val="24"/>
          <w:szCs w:val="24"/>
          <w:lang w:val="en-US"/>
        </w:rPr>
        <w:t xml:space="preserve">, 73, 103-130. </w:t>
      </w:r>
      <w:hyperlink r:id="rId28" w:history="1">
        <w:r w:rsidR="00242DF3" w:rsidRPr="00E85844">
          <w:rPr>
            <w:rStyle w:val="Hipervnculo"/>
            <w:rFonts w:ascii="Times New Roman" w:hAnsi="Times New Roman" w:cs="Times New Roman"/>
            <w:sz w:val="24"/>
            <w:szCs w:val="24"/>
            <w:lang w:val="en-US"/>
          </w:rPr>
          <w:t>https://doi.org/10.1016/j.euroecorev.2014.10.006</w:t>
        </w:r>
      </w:hyperlink>
      <w:r w:rsidR="00242DF3" w:rsidRPr="00E85844">
        <w:rPr>
          <w:rFonts w:ascii="Times New Roman" w:hAnsi="Times New Roman" w:cs="Times New Roman"/>
          <w:sz w:val="24"/>
          <w:szCs w:val="24"/>
          <w:lang w:val="en-US"/>
        </w:rPr>
        <w:t>.</w:t>
      </w:r>
    </w:p>
    <w:p w14:paraId="4FF486BF" w14:textId="04FEAB39" w:rsidR="00A30BC8" w:rsidRPr="00E85844"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E85844">
        <w:rPr>
          <w:rFonts w:ascii="Times New Roman" w:hAnsi="Times New Roman" w:cs="Times New Roman"/>
          <w:sz w:val="24"/>
          <w:szCs w:val="24"/>
          <w:lang w:val="en-US"/>
        </w:rPr>
        <w:t xml:space="preserve">Hanushek, E. A., </w:t>
      </w:r>
      <w:r w:rsidR="00651D70">
        <w:rPr>
          <w:rFonts w:ascii="Times New Roman" w:hAnsi="Times New Roman" w:cs="Times New Roman"/>
          <w:sz w:val="24"/>
          <w:szCs w:val="24"/>
          <w:lang w:val="en-US"/>
        </w:rPr>
        <w:t>&amp;</w:t>
      </w:r>
      <w:r w:rsidRPr="00E85844">
        <w:rPr>
          <w:rFonts w:ascii="Times New Roman" w:hAnsi="Times New Roman" w:cs="Times New Roman"/>
          <w:sz w:val="24"/>
          <w:szCs w:val="24"/>
          <w:lang w:val="en-US"/>
        </w:rPr>
        <w:t xml:space="preserve"> </w:t>
      </w:r>
      <w:proofErr w:type="spellStart"/>
      <w:r w:rsidRPr="00E85844">
        <w:rPr>
          <w:rFonts w:ascii="Times New Roman" w:hAnsi="Times New Roman" w:cs="Times New Roman"/>
          <w:sz w:val="24"/>
          <w:szCs w:val="24"/>
          <w:lang w:val="en-US"/>
        </w:rPr>
        <w:t>Woessmann</w:t>
      </w:r>
      <w:proofErr w:type="spellEnd"/>
      <w:r w:rsidRPr="00E85844">
        <w:rPr>
          <w:rFonts w:ascii="Times New Roman" w:hAnsi="Times New Roman" w:cs="Times New Roman"/>
          <w:sz w:val="24"/>
          <w:szCs w:val="24"/>
          <w:lang w:val="en-US"/>
        </w:rPr>
        <w:t xml:space="preserve">, L. (2008). The role of cognitive skills in economic development. </w:t>
      </w:r>
      <w:r w:rsidRPr="00E85844">
        <w:rPr>
          <w:rFonts w:ascii="Times New Roman" w:hAnsi="Times New Roman" w:cs="Times New Roman"/>
          <w:i/>
          <w:iCs/>
          <w:sz w:val="24"/>
          <w:szCs w:val="24"/>
          <w:lang w:val="en-US"/>
        </w:rPr>
        <w:t>Journal of Economic Literature</w:t>
      </w:r>
      <w:r w:rsidRPr="00E85844">
        <w:rPr>
          <w:rFonts w:ascii="Times New Roman" w:hAnsi="Times New Roman" w:cs="Times New Roman"/>
          <w:sz w:val="24"/>
          <w:szCs w:val="24"/>
          <w:lang w:val="en-US"/>
        </w:rPr>
        <w:t xml:space="preserve">, 46(3), 607-668. </w:t>
      </w:r>
      <w:hyperlink r:id="rId29" w:history="1">
        <w:r w:rsidR="00A30BC8" w:rsidRPr="00E85844">
          <w:rPr>
            <w:rStyle w:val="Hipervnculo"/>
            <w:rFonts w:ascii="Times New Roman" w:hAnsi="Times New Roman" w:cs="Times New Roman"/>
            <w:sz w:val="24"/>
            <w:szCs w:val="24"/>
            <w:lang w:val="en-US"/>
          </w:rPr>
          <w:t>https://doi.org/10.1257/jel.46.3.607</w:t>
        </w:r>
      </w:hyperlink>
    </w:p>
    <w:p w14:paraId="29918DAA" w14:textId="2417EDCA" w:rsidR="00A30BC8" w:rsidRPr="00E85844" w:rsidRDefault="00C648B8" w:rsidP="009D28BE">
      <w:pPr>
        <w:spacing w:after="0" w:line="360" w:lineRule="auto"/>
        <w:ind w:left="709" w:hanging="709"/>
        <w:contextualSpacing w:val="0"/>
        <w:jc w:val="both"/>
        <w:rPr>
          <w:lang w:val="en-US"/>
        </w:rPr>
      </w:pPr>
      <w:r w:rsidRPr="00E85844">
        <w:rPr>
          <w:rFonts w:ascii="Times New Roman" w:hAnsi="Times New Roman" w:cs="Times New Roman"/>
          <w:sz w:val="24"/>
          <w:szCs w:val="24"/>
          <w:lang w:val="en-US"/>
        </w:rPr>
        <w:t xml:space="preserve">Heckman, J. J., </w:t>
      </w:r>
      <w:proofErr w:type="spellStart"/>
      <w:r w:rsidRPr="00E85844">
        <w:rPr>
          <w:rFonts w:ascii="Times New Roman" w:hAnsi="Times New Roman" w:cs="Times New Roman"/>
          <w:sz w:val="24"/>
          <w:szCs w:val="24"/>
          <w:lang w:val="en-US"/>
        </w:rPr>
        <w:t>Stixrud</w:t>
      </w:r>
      <w:proofErr w:type="spellEnd"/>
      <w:r w:rsidRPr="00E85844">
        <w:rPr>
          <w:rFonts w:ascii="Times New Roman" w:hAnsi="Times New Roman" w:cs="Times New Roman"/>
          <w:sz w:val="24"/>
          <w:szCs w:val="24"/>
          <w:lang w:val="en-US"/>
        </w:rPr>
        <w:t xml:space="preserve">, J., </w:t>
      </w:r>
      <w:r w:rsidR="00651D70">
        <w:rPr>
          <w:rFonts w:ascii="Times New Roman" w:hAnsi="Times New Roman" w:cs="Times New Roman"/>
          <w:sz w:val="24"/>
          <w:szCs w:val="24"/>
          <w:lang w:val="en-US"/>
        </w:rPr>
        <w:t>&amp;</w:t>
      </w:r>
      <w:r w:rsidRPr="00E85844">
        <w:rPr>
          <w:rFonts w:ascii="Times New Roman" w:hAnsi="Times New Roman" w:cs="Times New Roman"/>
          <w:sz w:val="24"/>
          <w:szCs w:val="24"/>
          <w:lang w:val="en-US"/>
        </w:rPr>
        <w:t xml:space="preserve"> Urzua, S. (2006). The effects of cognitive and noncognitive abilities on labor market outcomes and social behavior. </w:t>
      </w:r>
      <w:r w:rsidRPr="00E85844">
        <w:rPr>
          <w:rFonts w:ascii="Times New Roman" w:hAnsi="Times New Roman" w:cs="Times New Roman"/>
          <w:i/>
          <w:iCs/>
          <w:sz w:val="24"/>
          <w:szCs w:val="24"/>
          <w:lang w:val="en-US"/>
        </w:rPr>
        <w:t>Journal of Labor Economics</w:t>
      </w:r>
      <w:r w:rsidRPr="00E85844">
        <w:rPr>
          <w:rFonts w:ascii="Times New Roman" w:hAnsi="Times New Roman" w:cs="Times New Roman"/>
          <w:sz w:val="24"/>
          <w:szCs w:val="24"/>
          <w:lang w:val="en-US"/>
        </w:rPr>
        <w:t xml:space="preserve">, 24(3), 411-482. </w:t>
      </w:r>
      <w:hyperlink r:id="rId30" w:history="1">
        <w:r w:rsidR="00A30BC8" w:rsidRPr="00E85844">
          <w:rPr>
            <w:rStyle w:val="Hipervnculo"/>
            <w:rFonts w:ascii="Times New Roman" w:hAnsi="Times New Roman" w:cs="Times New Roman"/>
            <w:sz w:val="24"/>
            <w:szCs w:val="24"/>
            <w:lang w:val="en-US"/>
          </w:rPr>
          <w:t>https://doi.org/10.1086/504455</w:t>
        </w:r>
      </w:hyperlink>
    </w:p>
    <w:p w14:paraId="0C370805" w14:textId="50AAEA12" w:rsidR="0050040C" w:rsidRPr="00F25151" w:rsidRDefault="00C648B8" w:rsidP="009D28BE">
      <w:pPr>
        <w:spacing w:after="0" w:line="360" w:lineRule="auto"/>
        <w:ind w:left="709" w:hanging="709"/>
        <w:contextualSpacing w:val="0"/>
        <w:jc w:val="both"/>
        <w:rPr>
          <w:rStyle w:val="Hipervnculo"/>
          <w:rFonts w:ascii="Times New Roman" w:hAnsi="Times New Roman" w:cs="Times New Roman"/>
          <w:color w:val="auto"/>
          <w:sz w:val="24"/>
          <w:szCs w:val="24"/>
          <w:u w:val="none"/>
        </w:rPr>
      </w:pPr>
      <w:r w:rsidRPr="00E85844">
        <w:rPr>
          <w:rStyle w:val="Hipervnculo"/>
          <w:rFonts w:ascii="Times New Roman" w:hAnsi="Times New Roman" w:cs="Times New Roman"/>
          <w:color w:val="auto"/>
          <w:sz w:val="24"/>
          <w:szCs w:val="24"/>
          <w:u w:val="none"/>
          <w:lang w:val="en-US"/>
        </w:rPr>
        <w:t xml:space="preserve">Heffington, D. V., Cabañas Victoria, V. V., </w:t>
      </w:r>
      <w:proofErr w:type="spellStart"/>
      <w:r w:rsidRPr="00E85844">
        <w:rPr>
          <w:rStyle w:val="Hipervnculo"/>
          <w:rFonts w:ascii="Times New Roman" w:hAnsi="Times New Roman" w:cs="Times New Roman"/>
          <w:color w:val="auto"/>
          <w:sz w:val="24"/>
          <w:szCs w:val="24"/>
          <w:u w:val="none"/>
          <w:lang w:val="en-US"/>
        </w:rPr>
        <w:t>Dzay</w:t>
      </w:r>
      <w:proofErr w:type="spellEnd"/>
      <w:r w:rsidRPr="00E85844">
        <w:rPr>
          <w:rStyle w:val="Hipervnculo"/>
          <w:rFonts w:ascii="Times New Roman" w:hAnsi="Times New Roman" w:cs="Times New Roman"/>
          <w:color w:val="auto"/>
          <w:sz w:val="24"/>
          <w:szCs w:val="24"/>
          <w:u w:val="none"/>
          <w:lang w:val="en-US"/>
        </w:rPr>
        <w:t xml:space="preserve"> Chulim, F.</w:t>
      </w:r>
      <w:r w:rsidR="00B2243A" w:rsidRPr="00E85844">
        <w:rPr>
          <w:rStyle w:val="Hipervnculo"/>
          <w:rFonts w:ascii="Times New Roman" w:hAnsi="Times New Roman" w:cs="Times New Roman"/>
          <w:color w:val="auto"/>
          <w:sz w:val="24"/>
          <w:szCs w:val="24"/>
          <w:u w:val="none"/>
          <w:lang w:val="en-US"/>
        </w:rPr>
        <w:t xml:space="preserve"> y</w:t>
      </w:r>
      <w:r w:rsidRPr="00E85844">
        <w:rPr>
          <w:rStyle w:val="Hipervnculo"/>
          <w:rFonts w:ascii="Times New Roman" w:hAnsi="Times New Roman" w:cs="Times New Roman"/>
          <w:color w:val="auto"/>
          <w:sz w:val="24"/>
          <w:szCs w:val="24"/>
          <w:u w:val="none"/>
          <w:lang w:val="en-US"/>
        </w:rPr>
        <w:t xml:space="preserve"> Negrete Cetina, M. (2023). </w:t>
      </w:r>
      <w:r w:rsidRPr="00F25151">
        <w:rPr>
          <w:rStyle w:val="Hipervnculo"/>
          <w:rFonts w:ascii="Times New Roman" w:hAnsi="Times New Roman" w:cs="Times New Roman"/>
          <w:color w:val="auto"/>
          <w:sz w:val="24"/>
          <w:szCs w:val="24"/>
          <w:u w:val="none"/>
        </w:rPr>
        <w:t xml:space="preserve">La enseñanza de habilidades de pensamiento superior en escuelas primarias públicas en México. </w:t>
      </w:r>
      <w:r w:rsidRPr="00F25151">
        <w:rPr>
          <w:rStyle w:val="Hipervnculo"/>
          <w:rFonts w:ascii="Times New Roman" w:hAnsi="Times New Roman" w:cs="Times New Roman"/>
          <w:i/>
          <w:iCs/>
          <w:color w:val="auto"/>
          <w:sz w:val="24"/>
          <w:szCs w:val="24"/>
          <w:u w:val="none"/>
        </w:rPr>
        <w:t>Revista Educación</w:t>
      </w:r>
      <w:r w:rsidRPr="00F25151">
        <w:rPr>
          <w:rStyle w:val="Hipervnculo"/>
          <w:rFonts w:ascii="Times New Roman" w:hAnsi="Times New Roman" w:cs="Times New Roman"/>
          <w:color w:val="auto"/>
          <w:sz w:val="24"/>
          <w:szCs w:val="24"/>
          <w:u w:val="none"/>
        </w:rPr>
        <w:t xml:space="preserve">, 47(1). </w:t>
      </w:r>
      <w:hyperlink r:id="rId31" w:history="1">
        <w:r w:rsidR="0050040C" w:rsidRPr="00F25151">
          <w:rPr>
            <w:rStyle w:val="Hipervnculo"/>
            <w:rFonts w:ascii="Times New Roman" w:hAnsi="Times New Roman" w:cs="Times New Roman"/>
            <w:sz w:val="24"/>
            <w:szCs w:val="24"/>
          </w:rPr>
          <w:t>https://doi.org/10.15517/revedu.v47i1.51740</w:t>
        </w:r>
      </w:hyperlink>
    </w:p>
    <w:p w14:paraId="657FF9E0" w14:textId="64804E2A" w:rsidR="00613B69" w:rsidRPr="00783700" w:rsidRDefault="00C648B8" w:rsidP="009D28BE">
      <w:pPr>
        <w:tabs>
          <w:tab w:val="left" w:pos="4536"/>
        </w:tabs>
        <w:spacing w:after="0" w:line="360" w:lineRule="auto"/>
        <w:ind w:left="567" w:hanging="567"/>
        <w:contextualSpacing w:val="0"/>
        <w:jc w:val="both"/>
        <w:rPr>
          <w:rFonts w:ascii="Times New Roman" w:hAnsi="Times New Roman" w:cs="Times New Roman"/>
          <w:sz w:val="24"/>
          <w:szCs w:val="24"/>
        </w:rPr>
      </w:pPr>
      <w:r w:rsidRPr="00F25151">
        <w:rPr>
          <w:rFonts w:ascii="Times New Roman" w:hAnsi="Times New Roman" w:cs="Times New Roman"/>
          <w:sz w:val="24"/>
          <w:szCs w:val="24"/>
        </w:rPr>
        <w:t>Huertas, I.P</w:t>
      </w:r>
      <w:r w:rsidR="00CB1125" w:rsidRPr="00F25151">
        <w:rPr>
          <w:rFonts w:ascii="Times New Roman" w:hAnsi="Times New Roman" w:cs="Times New Roman"/>
          <w:sz w:val="24"/>
          <w:szCs w:val="24"/>
        </w:rPr>
        <w:t>.M.</w:t>
      </w:r>
      <w:r w:rsidRPr="00F25151">
        <w:rPr>
          <w:rFonts w:ascii="Times New Roman" w:hAnsi="Times New Roman" w:cs="Times New Roman"/>
          <w:sz w:val="24"/>
          <w:szCs w:val="24"/>
        </w:rPr>
        <w:t xml:space="preserve">, </w:t>
      </w:r>
      <w:r w:rsidR="00651D70" w:rsidRPr="00F25151">
        <w:rPr>
          <w:rFonts w:ascii="Times New Roman" w:hAnsi="Times New Roman" w:cs="Times New Roman"/>
          <w:sz w:val="24"/>
          <w:szCs w:val="24"/>
        </w:rPr>
        <w:t>&amp;</w:t>
      </w:r>
      <w:r w:rsidRPr="00F25151">
        <w:rPr>
          <w:rFonts w:ascii="Times New Roman" w:hAnsi="Times New Roman" w:cs="Times New Roman"/>
          <w:sz w:val="24"/>
          <w:szCs w:val="24"/>
        </w:rPr>
        <w:t xml:space="preserve"> Raymond, J.</w:t>
      </w:r>
      <w:r w:rsidR="00CB1125" w:rsidRPr="00F25151">
        <w:rPr>
          <w:rFonts w:ascii="Times New Roman" w:hAnsi="Times New Roman" w:cs="Times New Roman"/>
          <w:sz w:val="24"/>
          <w:szCs w:val="24"/>
        </w:rPr>
        <w:t>L.</w:t>
      </w:r>
      <w:r w:rsidRPr="00F25151">
        <w:rPr>
          <w:rFonts w:ascii="Times New Roman" w:hAnsi="Times New Roman" w:cs="Times New Roman"/>
          <w:sz w:val="24"/>
          <w:szCs w:val="24"/>
        </w:rPr>
        <w:t xml:space="preserve"> (2024). </w:t>
      </w:r>
      <w:r w:rsidRPr="00E85844">
        <w:rPr>
          <w:rFonts w:ascii="Times New Roman" w:hAnsi="Times New Roman" w:cs="Times New Roman"/>
          <w:sz w:val="24"/>
          <w:szCs w:val="24"/>
          <w:lang w:val="en-US"/>
        </w:rPr>
        <w:t xml:space="preserve">Education, educational mismatch and occupational status: an analysis using PIAAC data. </w:t>
      </w:r>
      <w:r w:rsidRPr="00E85844">
        <w:rPr>
          <w:rFonts w:ascii="Times New Roman" w:hAnsi="Times New Roman" w:cs="Times New Roman"/>
          <w:i/>
          <w:iCs/>
          <w:sz w:val="24"/>
          <w:szCs w:val="24"/>
        </w:rPr>
        <w:t>Economía Política</w:t>
      </w:r>
      <w:r w:rsidRPr="00E85844">
        <w:rPr>
          <w:rFonts w:ascii="Times New Roman" w:hAnsi="Times New Roman" w:cs="Times New Roman"/>
          <w:sz w:val="24"/>
          <w:szCs w:val="24"/>
        </w:rPr>
        <w:t xml:space="preserve">. </w:t>
      </w:r>
      <w:hyperlink r:id="rId32" w:history="1">
        <w:r w:rsidR="00613B69" w:rsidRPr="00783700">
          <w:rPr>
            <w:rStyle w:val="Hipervnculo"/>
            <w:rFonts w:ascii="Times New Roman" w:hAnsi="Times New Roman" w:cs="Times New Roman"/>
            <w:sz w:val="24"/>
            <w:szCs w:val="24"/>
          </w:rPr>
          <w:t>https://doi.org/10.1007/s40888-024-00328-z</w:t>
        </w:r>
      </w:hyperlink>
    </w:p>
    <w:p w14:paraId="5A2D44DB" w14:textId="0A0AC36D" w:rsidR="00A35733" w:rsidRPr="006A7A9B" w:rsidRDefault="00C648B8" w:rsidP="009D28BE">
      <w:pPr>
        <w:spacing w:after="0" w:line="360" w:lineRule="auto"/>
        <w:ind w:left="709" w:hanging="709"/>
        <w:contextualSpacing w:val="0"/>
        <w:jc w:val="both"/>
        <w:rPr>
          <w:rFonts w:ascii="Times New Roman" w:hAnsi="Times New Roman" w:cs="Times New Roman"/>
          <w:sz w:val="24"/>
          <w:szCs w:val="24"/>
        </w:rPr>
      </w:pPr>
      <w:r w:rsidRPr="006A7A9B">
        <w:rPr>
          <w:rFonts w:ascii="Times New Roman" w:hAnsi="Times New Roman" w:cs="Times New Roman"/>
          <w:sz w:val="24"/>
          <w:szCs w:val="24"/>
          <w:lang w:val="es-ES"/>
        </w:rPr>
        <w:t xml:space="preserve">Jimeno, J. F., </w:t>
      </w:r>
      <w:proofErr w:type="spellStart"/>
      <w:r w:rsidRPr="006A7A9B">
        <w:rPr>
          <w:rFonts w:ascii="Times New Roman" w:hAnsi="Times New Roman" w:cs="Times New Roman"/>
          <w:sz w:val="24"/>
          <w:szCs w:val="24"/>
          <w:lang w:val="es-ES"/>
        </w:rPr>
        <w:t>Lacuesta</w:t>
      </w:r>
      <w:proofErr w:type="spellEnd"/>
      <w:r w:rsidRPr="006A7A9B">
        <w:rPr>
          <w:rFonts w:ascii="Times New Roman" w:hAnsi="Times New Roman" w:cs="Times New Roman"/>
          <w:sz w:val="24"/>
          <w:szCs w:val="24"/>
          <w:lang w:val="es-ES"/>
        </w:rPr>
        <w:t xml:space="preserve">, A., Martínez-Matute, M., </w:t>
      </w:r>
      <w:r w:rsidR="00651D70">
        <w:rPr>
          <w:rFonts w:ascii="Times New Roman" w:hAnsi="Times New Roman" w:cs="Times New Roman"/>
          <w:sz w:val="24"/>
          <w:szCs w:val="24"/>
          <w:lang w:val="es-ES"/>
        </w:rPr>
        <w:t>&amp;</w:t>
      </w:r>
      <w:r w:rsidRPr="006A7A9B">
        <w:rPr>
          <w:rFonts w:ascii="Times New Roman" w:hAnsi="Times New Roman" w:cs="Times New Roman"/>
          <w:sz w:val="24"/>
          <w:szCs w:val="24"/>
          <w:lang w:val="es-ES"/>
        </w:rPr>
        <w:t xml:space="preserve"> E., V. (2016). </w:t>
      </w:r>
      <w:r w:rsidRPr="006A7A9B">
        <w:rPr>
          <w:rFonts w:ascii="Times New Roman" w:hAnsi="Times New Roman" w:cs="Times New Roman"/>
          <w:sz w:val="24"/>
          <w:szCs w:val="24"/>
          <w:lang w:val="en-US"/>
        </w:rPr>
        <w:t xml:space="preserve">Education, </w:t>
      </w:r>
      <w:proofErr w:type="spellStart"/>
      <w:r w:rsidRPr="006A7A9B">
        <w:rPr>
          <w:rFonts w:ascii="Times New Roman" w:hAnsi="Times New Roman" w:cs="Times New Roman"/>
          <w:sz w:val="24"/>
          <w:szCs w:val="24"/>
          <w:lang w:val="en-US"/>
        </w:rPr>
        <w:t>labour</w:t>
      </w:r>
      <w:proofErr w:type="spellEnd"/>
      <w:r w:rsidRPr="006A7A9B">
        <w:rPr>
          <w:rFonts w:ascii="Times New Roman" w:hAnsi="Times New Roman" w:cs="Times New Roman"/>
          <w:sz w:val="24"/>
          <w:szCs w:val="24"/>
          <w:lang w:val="en-US"/>
        </w:rPr>
        <w:t xml:space="preserve"> market experience and cognitive skills. OECD Education Working Paper No. 146. </w:t>
      </w:r>
      <w:r w:rsidRPr="006A7A9B">
        <w:rPr>
          <w:rFonts w:ascii="Times New Roman" w:hAnsi="Times New Roman" w:cs="Times New Roman"/>
          <w:sz w:val="24"/>
          <w:szCs w:val="24"/>
        </w:rPr>
        <w:t xml:space="preserve">Paris: OECD Publishing. </w:t>
      </w:r>
      <w:hyperlink r:id="rId33" w:history="1">
        <w:r w:rsidR="00A35733" w:rsidRPr="006A7A9B">
          <w:rPr>
            <w:rStyle w:val="Hipervnculo"/>
            <w:rFonts w:ascii="Times New Roman" w:hAnsi="Times New Roman" w:cs="Times New Roman"/>
            <w:sz w:val="24"/>
            <w:szCs w:val="24"/>
          </w:rPr>
          <w:t>https://doi.org/10.1787/5jlphd2qj19n-en</w:t>
        </w:r>
      </w:hyperlink>
      <w:r w:rsidRPr="006A7A9B">
        <w:rPr>
          <w:rFonts w:ascii="Times New Roman" w:hAnsi="Times New Roman" w:cs="Times New Roman"/>
          <w:sz w:val="24"/>
          <w:szCs w:val="24"/>
        </w:rPr>
        <w:t>.</w:t>
      </w:r>
    </w:p>
    <w:p w14:paraId="7EA74396" w14:textId="3B3950AA" w:rsidR="004A5835" w:rsidRPr="00F25151"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6A7A9B">
        <w:rPr>
          <w:rFonts w:ascii="Times New Roman" w:hAnsi="Times New Roman" w:cs="Times New Roman"/>
          <w:sz w:val="24"/>
          <w:szCs w:val="24"/>
        </w:rPr>
        <w:t>Jiménez-Ramírez, S.</w:t>
      </w:r>
      <w:r w:rsidR="00534AD3" w:rsidRPr="006A7A9B">
        <w:rPr>
          <w:rFonts w:ascii="Times New Roman" w:hAnsi="Times New Roman" w:cs="Times New Roman"/>
          <w:sz w:val="24"/>
          <w:szCs w:val="24"/>
        </w:rPr>
        <w:t xml:space="preserve"> </w:t>
      </w:r>
      <w:r w:rsidRPr="006A7A9B">
        <w:rPr>
          <w:rFonts w:ascii="Times New Roman" w:hAnsi="Times New Roman" w:cs="Times New Roman"/>
          <w:sz w:val="24"/>
          <w:szCs w:val="24"/>
        </w:rPr>
        <w:t>y Reyes-Camargo, S. (2024). Habilidades cognitivas, calidad de la educación y</w:t>
      </w:r>
      <w:r w:rsidR="00C417B1" w:rsidRPr="006A7A9B">
        <w:rPr>
          <w:rFonts w:ascii="Times New Roman" w:hAnsi="Times New Roman" w:cs="Times New Roman"/>
          <w:sz w:val="24"/>
          <w:szCs w:val="24"/>
        </w:rPr>
        <w:t xml:space="preserve"> </w:t>
      </w:r>
      <w:r w:rsidRPr="006A7A9B">
        <w:rPr>
          <w:rFonts w:ascii="Times New Roman" w:hAnsi="Times New Roman" w:cs="Times New Roman"/>
          <w:sz w:val="24"/>
          <w:szCs w:val="24"/>
        </w:rPr>
        <w:t xml:space="preserve">crecimiento económico en los departamentos de Colombia: un marco de </w:t>
      </w:r>
      <w:r w:rsidRPr="006A7A9B">
        <w:rPr>
          <w:rFonts w:ascii="Times New Roman" w:hAnsi="Times New Roman" w:cs="Times New Roman"/>
          <w:sz w:val="24"/>
          <w:szCs w:val="24"/>
        </w:rPr>
        <w:lastRenderedPageBreak/>
        <w:t>variables instrumentales.</w:t>
      </w:r>
      <w:r w:rsidR="00C417B1" w:rsidRPr="006A7A9B">
        <w:rPr>
          <w:rFonts w:ascii="Times New Roman" w:hAnsi="Times New Roman" w:cs="Times New Roman"/>
          <w:sz w:val="24"/>
          <w:szCs w:val="24"/>
        </w:rPr>
        <w:t xml:space="preserve"> </w:t>
      </w:r>
      <w:proofErr w:type="spellStart"/>
      <w:r w:rsidRPr="00F25151">
        <w:rPr>
          <w:rFonts w:ascii="Times New Roman" w:hAnsi="Times New Roman" w:cs="Times New Roman"/>
          <w:i/>
          <w:iCs/>
          <w:sz w:val="24"/>
          <w:szCs w:val="24"/>
          <w:lang w:val="en-US"/>
        </w:rPr>
        <w:t>Equidad</w:t>
      </w:r>
      <w:proofErr w:type="spellEnd"/>
      <w:r w:rsidRPr="00F25151">
        <w:rPr>
          <w:rFonts w:ascii="Times New Roman" w:hAnsi="Times New Roman" w:cs="Times New Roman"/>
          <w:i/>
          <w:iCs/>
          <w:sz w:val="24"/>
          <w:szCs w:val="24"/>
          <w:lang w:val="en-US"/>
        </w:rPr>
        <w:t xml:space="preserve"> y Desarrollo</w:t>
      </w:r>
      <w:r w:rsidRPr="00F25151">
        <w:rPr>
          <w:rFonts w:ascii="Times New Roman" w:hAnsi="Times New Roman" w:cs="Times New Roman"/>
          <w:sz w:val="24"/>
          <w:szCs w:val="24"/>
          <w:lang w:val="en-US"/>
        </w:rPr>
        <w:t xml:space="preserve">, (43). </w:t>
      </w:r>
      <w:hyperlink r:id="rId34" w:history="1">
        <w:r w:rsidR="004A5835" w:rsidRPr="00F25151">
          <w:rPr>
            <w:rStyle w:val="Hipervnculo"/>
            <w:rFonts w:ascii="Times New Roman" w:hAnsi="Times New Roman" w:cs="Times New Roman"/>
            <w:sz w:val="24"/>
            <w:szCs w:val="24"/>
            <w:lang w:val="en-US"/>
          </w:rPr>
          <w:t>https://doi.org/10.19052/eq.vol1.iss43.4</w:t>
        </w:r>
      </w:hyperlink>
    </w:p>
    <w:p w14:paraId="70DE8FD8" w14:textId="5CCEA93D" w:rsidR="00513F32" w:rsidRPr="00E52ECA" w:rsidRDefault="00C648B8" w:rsidP="009D28BE">
      <w:pPr>
        <w:spacing w:after="0" w:line="360" w:lineRule="auto"/>
        <w:ind w:left="709" w:hanging="709"/>
        <w:contextualSpacing w:val="0"/>
        <w:jc w:val="both"/>
        <w:rPr>
          <w:lang w:val="en-US"/>
        </w:rPr>
      </w:pPr>
      <w:proofErr w:type="spellStart"/>
      <w:r w:rsidRPr="007F1667">
        <w:rPr>
          <w:rFonts w:ascii="Times New Roman" w:hAnsi="Times New Roman" w:cs="Times New Roman"/>
          <w:sz w:val="24"/>
          <w:szCs w:val="24"/>
          <w:lang w:val="en-US"/>
        </w:rPr>
        <w:t>Maehler</w:t>
      </w:r>
      <w:proofErr w:type="spellEnd"/>
      <w:r w:rsidRPr="007F1667">
        <w:rPr>
          <w:rFonts w:ascii="Times New Roman" w:hAnsi="Times New Roman" w:cs="Times New Roman"/>
          <w:sz w:val="24"/>
          <w:szCs w:val="24"/>
          <w:lang w:val="en-US"/>
        </w:rPr>
        <w:t xml:space="preserve">, D. B., Martin, S., Gorges, J., </w:t>
      </w:r>
      <w:r w:rsidR="00A620C3">
        <w:rPr>
          <w:rFonts w:ascii="Times New Roman" w:hAnsi="Times New Roman" w:cs="Times New Roman"/>
          <w:sz w:val="24"/>
          <w:szCs w:val="24"/>
          <w:lang w:val="en-US"/>
        </w:rPr>
        <w:t>&amp;</w:t>
      </w:r>
      <w:r w:rsidRPr="007F1667">
        <w:rPr>
          <w:rFonts w:ascii="Times New Roman" w:hAnsi="Times New Roman" w:cs="Times New Roman"/>
          <w:sz w:val="24"/>
          <w:szCs w:val="24"/>
          <w:lang w:val="en-US"/>
        </w:rPr>
        <w:t xml:space="preserve"> Scherer, R. (2024). Determinants of cognitive skills in adulthood: Age cohort patterns. </w:t>
      </w:r>
      <w:r w:rsidRPr="007F1667">
        <w:rPr>
          <w:rFonts w:ascii="Times New Roman" w:hAnsi="Times New Roman" w:cs="Times New Roman"/>
          <w:i/>
          <w:iCs/>
          <w:sz w:val="24"/>
          <w:szCs w:val="24"/>
          <w:lang w:val="en-US"/>
        </w:rPr>
        <w:t>International Journal of Lifelong Education</w:t>
      </w:r>
      <w:r w:rsidRPr="007F1667">
        <w:rPr>
          <w:rFonts w:ascii="Times New Roman" w:hAnsi="Times New Roman" w:cs="Times New Roman"/>
          <w:sz w:val="24"/>
          <w:szCs w:val="24"/>
          <w:lang w:val="en-US"/>
        </w:rPr>
        <w:t xml:space="preserve">, 1-22. </w:t>
      </w:r>
      <w:hyperlink r:id="rId35" w:history="1">
        <w:r w:rsidR="00513F32" w:rsidRPr="007F1667">
          <w:rPr>
            <w:rStyle w:val="Hipervnculo"/>
            <w:rFonts w:ascii="Times New Roman" w:hAnsi="Times New Roman" w:cs="Times New Roman"/>
            <w:sz w:val="24"/>
            <w:szCs w:val="24"/>
            <w:lang w:val="en-US"/>
          </w:rPr>
          <w:t>https://doi.org/</w:t>
        </w:r>
        <w:r w:rsidR="00513F32" w:rsidRPr="007F1667">
          <w:rPr>
            <w:rStyle w:val="Hipervnculo"/>
            <w:rFonts w:ascii="Times New Roman" w:hAnsi="Times New Roman" w:cs="Times New Roman"/>
            <w:lang w:val="en-US"/>
          </w:rPr>
          <w:t>1</w:t>
        </w:r>
        <w:r w:rsidR="00513F32" w:rsidRPr="007F1667">
          <w:rPr>
            <w:rStyle w:val="Hipervnculo"/>
            <w:rFonts w:ascii="Times New Roman" w:hAnsi="Times New Roman" w:cs="Times New Roman"/>
            <w:sz w:val="24"/>
            <w:szCs w:val="24"/>
            <w:lang w:val="en-US"/>
          </w:rPr>
          <w:t>0.1080/02601370.2024.2390070</w:t>
        </w:r>
      </w:hyperlink>
    </w:p>
    <w:p w14:paraId="6ACE45DC" w14:textId="77777777" w:rsidR="009E6C11" w:rsidRPr="003604FE" w:rsidRDefault="00C648B8" w:rsidP="009D28BE">
      <w:pPr>
        <w:spacing w:after="0" w:line="360" w:lineRule="auto"/>
        <w:ind w:left="709" w:hanging="709"/>
        <w:contextualSpacing w:val="0"/>
        <w:jc w:val="both"/>
        <w:rPr>
          <w:rFonts w:ascii="Times New Roman" w:hAnsi="Times New Roman" w:cs="Times New Roman"/>
          <w:iCs/>
          <w:sz w:val="24"/>
          <w:szCs w:val="24"/>
          <w:lang w:val="en-US"/>
        </w:rPr>
      </w:pPr>
      <w:r w:rsidRPr="003604FE">
        <w:rPr>
          <w:rFonts w:ascii="Times New Roman" w:hAnsi="Times New Roman" w:cs="Times New Roman"/>
          <w:sz w:val="24"/>
          <w:szCs w:val="24"/>
          <w:lang w:val="en-US"/>
        </w:rPr>
        <w:t xml:space="preserve">OECD. (2012). Literacy, Numeracy and Problem Solving in Technology-Rich Environments: Framework for the OECD Survey of Adult Skills. </w:t>
      </w:r>
      <w:r w:rsidRPr="00F25151">
        <w:rPr>
          <w:rFonts w:ascii="Times New Roman" w:hAnsi="Times New Roman" w:cs="Times New Roman"/>
          <w:sz w:val="24"/>
          <w:szCs w:val="24"/>
          <w:lang w:val="en-US"/>
        </w:rPr>
        <w:t xml:space="preserve">OECD Publishing. </w:t>
      </w:r>
      <w:hyperlink r:id="rId36" w:history="1">
        <w:r w:rsidR="009E6C11" w:rsidRPr="00F25151">
          <w:rPr>
            <w:rStyle w:val="Hipervnculo"/>
            <w:rFonts w:ascii="Times New Roman" w:hAnsi="Times New Roman" w:cs="Times New Roman"/>
            <w:sz w:val="24"/>
            <w:szCs w:val="24"/>
            <w:lang w:val="en-US"/>
          </w:rPr>
          <w:t>https://doi.org/10.1787/9789264128859-en</w:t>
        </w:r>
      </w:hyperlink>
    </w:p>
    <w:p w14:paraId="065AF127" w14:textId="1B33CAC7" w:rsidR="009E6C11" w:rsidRPr="003604FE" w:rsidRDefault="00C648B8" w:rsidP="009D28BE">
      <w:pPr>
        <w:spacing w:after="0" w:line="360" w:lineRule="auto"/>
        <w:ind w:left="709" w:hanging="709"/>
        <w:contextualSpacing w:val="0"/>
        <w:jc w:val="both"/>
        <w:rPr>
          <w:rFonts w:ascii="Times New Roman" w:hAnsi="Times New Roman" w:cs="Times New Roman"/>
          <w:iCs/>
          <w:sz w:val="24"/>
          <w:szCs w:val="24"/>
          <w:lang w:val="en-US"/>
        </w:rPr>
      </w:pPr>
      <w:r w:rsidRPr="00F25151">
        <w:rPr>
          <w:rFonts w:ascii="Times New Roman" w:hAnsi="Times New Roman" w:cs="Times New Roman"/>
          <w:sz w:val="24"/>
          <w:szCs w:val="24"/>
          <w:lang w:val="en-US"/>
        </w:rPr>
        <w:t xml:space="preserve"> OECD. (2013). The Survey of Adult Skills: Reader’s Companion. OECD Publishing. </w:t>
      </w:r>
      <w:hyperlink r:id="rId37" w:history="1">
        <w:r w:rsidR="009E6C11" w:rsidRPr="00F25151">
          <w:rPr>
            <w:rStyle w:val="Hipervnculo"/>
            <w:rFonts w:ascii="Times New Roman" w:hAnsi="Times New Roman" w:cs="Times New Roman"/>
            <w:sz w:val="24"/>
            <w:szCs w:val="24"/>
            <w:lang w:val="en-US"/>
          </w:rPr>
          <w:t>https://doi.org/10.1787/9789264204027-en</w:t>
        </w:r>
      </w:hyperlink>
    </w:p>
    <w:p w14:paraId="69E20BC1" w14:textId="4082CD29" w:rsidR="009E6C11" w:rsidRPr="003604FE" w:rsidRDefault="00C648B8" w:rsidP="009D28BE">
      <w:pPr>
        <w:spacing w:after="0" w:line="360" w:lineRule="auto"/>
        <w:ind w:left="709" w:hanging="709"/>
        <w:contextualSpacing w:val="0"/>
        <w:jc w:val="both"/>
        <w:rPr>
          <w:rFonts w:ascii="Times New Roman" w:hAnsi="Times New Roman" w:cs="Times New Roman"/>
          <w:iCs/>
          <w:sz w:val="24"/>
          <w:szCs w:val="24"/>
          <w:lang w:val="en-US"/>
        </w:rPr>
      </w:pPr>
      <w:r w:rsidRPr="00F25151">
        <w:rPr>
          <w:rFonts w:ascii="Times New Roman" w:hAnsi="Times New Roman" w:cs="Times New Roman"/>
          <w:sz w:val="24"/>
          <w:szCs w:val="24"/>
          <w:lang w:val="en-US"/>
        </w:rPr>
        <w:t xml:space="preserve">OECD. (2020). </w:t>
      </w:r>
      <w:r w:rsidRPr="00F25151">
        <w:rPr>
          <w:rFonts w:ascii="Times New Roman" w:hAnsi="Times New Roman" w:cs="Times New Roman"/>
          <w:i/>
          <w:iCs/>
          <w:sz w:val="24"/>
          <w:szCs w:val="24"/>
          <w:lang w:val="en-US"/>
        </w:rPr>
        <w:t>Country Note - México PIAAC</w:t>
      </w:r>
      <w:r w:rsidRPr="00F25151">
        <w:rPr>
          <w:rFonts w:ascii="Times New Roman" w:hAnsi="Times New Roman" w:cs="Times New Roman"/>
          <w:sz w:val="24"/>
          <w:szCs w:val="24"/>
          <w:lang w:val="en-US"/>
        </w:rPr>
        <w:t>.</w:t>
      </w:r>
      <w:r w:rsidR="00985BE5" w:rsidRPr="00F25151">
        <w:rPr>
          <w:rFonts w:ascii="Times New Roman" w:hAnsi="Times New Roman" w:cs="Times New Roman"/>
          <w:sz w:val="24"/>
          <w:szCs w:val="24"/>
          <w:lang w:val="en-US"/>
        </w:rPr>
        <w:t xml:space="preserve"> </w:t>
      </w:r>
      <w:hyperlink r:id="rId38" w:history="1">
        <w:r w:rsidR="00985BE5" w:rsidRPr="00F25151">
          <w:rPr>
            <w:rStyle w:val="Hipervnculo"/>
            <w:rFonts w:ascii="Times New Roman" w:hAnsi="Times New Roman" w:cs="Times New Roman"/>
            <w:sz w:val="24"/>
            <w:szCs w:val="24"/>
            <w:lang w:val="en-US"/>
          </w:rPr>
          <w:t>https://www.oecd.org/centrodemexico/medios/Country%20note%20-%20%20Mexico_espa%C3%B1ol.pdf</w:t>
        </w:r>
      </w:hyperlink>
    </w:p>
    <w:p w14:paraId="2FC94412" w14:textId="4D51EB95" w:rsidR="009E6C11" w:rsidRPr="00F25151" w:rsidRDefault="00C648B8" w:rsidP="009D28BE">
      <w:pPr>
        <w:spacing w:after="0" w:line="360" w:lineRule="auto"/>
        <w:ind w:left="709" w:hanging="709"/>
        <w:contextualSpacing w:val="0"/>
        <w:jc w:val="both"/>
        <w:rPr>
          <w:lang w:val="en-US"/>
        </w:rPr>
      </w:pPr>
      <w:r w:rsidRPr="00F25151">
        <w:rPr>
          <w:rFonts w:ascii="Times New Roman" w:hAnsi="Times New Roman" w:cs="Times New Roman"/>
          <w:sz w:val="24"/>
          <w:szCs w:val="24"/>
          <w:lang w:val="en-US"/>
        </w:rPr>
        <w:t xml:space="preserve">OECD. (2017). OECD Skills Strategy Diagnostic Report: Mexico 2017. OECD Skills Studies. OECD Publishing. </w:t>
      </w:r>
      <w:hyperlink r:id="rId39" w:tgtFrame="_new" w:history="1">
        <w:r w:rsidR="009E6C11" w:rsidRPr="00F25151">
          <w:rPr>
            <w:rStyle w:val="Hipervnculo"/>
            <w:rFonts w:ascii="Times New Roman" w:hAnsi="Times New Roman" w:cs="Times New Roman"/>
            <w:sz w:val="24"/>
            <w:szCs w:val="24"/>
            <w:lang w:val="en-US"/>
          </w:rPr>
          <w:t>https://doi.org/10.1787/9789264287679-en</w:t>
        </w:r>
      </w:hyperlink>
    </w:p>
    <w:p w14:paraId="70A832EA" w14:textId="7DD92F31" w:rsidR="007032A3" w:rsidRPr="009E6C11" w:rsidRDefault="00C648B8" w:rsidP="009D28BE">
      <w:pPr>
        <w:spacing w:after="0" w:line="360" w:lineRule="auto"/>
        <w:ind w:left="709" w:hanging="709"/>
        <w:contextualSpacing w:val="0"/>
        <w:jc w:val="both"/>
        <w:rPr>
          <w:rFonts w:ascii="Times New Roman" w:hAnsi="Times New Roman" w:cs="Times New Roman"/>
          <w:iCs/>
          <w:sz w:val="24"/>
          <w:szCs w:val="24"/>
          <w:lang w:val="en-US"/>
        </w:rPr>
      </w:pPr>
      <w:r w:rsidRPr="00562BFB">
        <w:rPr>
          <w:rFonts w:ascii="Times New Roman" w:hAnsi="Times New Roman" w:cs="Times New Roman"/>
          <w:iCs/>
          <w:sz w:val="24"/>
          <w:szCs w:val="24"/>
          <w:lang w:val="en-US"/>
        </w:rPr>
        <w:t xml:space="preserve">Mishra, C. E., Walters, D., Fraser, E. D., Gillis, D., &amp; Jacobs, S. (2025). Higher Education Fields of Study and the Use of Transferable Skills at Work: An Analysis Using Data from the </w:t>
      </w:r>
      <w:proofErr w:type="spellStart"/>
      <w:r w:rsidRPr="00562BFB">
        <w:rPr>
          <w:rFonts w:ascii="Times New Roman" w:hAnsi="Times New Roman" w:cs="Times New Roman"/>
          <w:iCs/>
          <w:sz w:val="24"/>
          <w:szCs w:val="24"/>
          <w:lang w:val="en-US"/>
        </w:rPr>
        <w:t>Programme</w:t>
      </w:r>
      <w:proofErr w:type="spellEnd"/>
      <w:r w:rsidRPr="00562BFB">
        <w:rPr>
          <w:rFonts w:ascii="Times New Roman" w:hAnsi="Times New Roman" w:cs="Times New Roman"/>
          <w:iCs/>
          <w:sz w:val="24"/>
          <w:szCs w:val="24"/>
          <w:lang w:val="en-US"/>
        </w:rPr>
        <w:t xml:space="preserve"> for the International Assessment of Adult Competencies (PIAAC) in Canada. </w:t>
      </w:r>
      <w:r w:rsidRPr="00A81402">
        <w:rPr>
          <w:rFonts w:ascii="Times New Roman" w:hAnsi="Times New Roman" w:cs="Times New Roman"/>
          <w:i/>
          <w:sz w:val="24"/>
          <w:szCs w:val="24"/>
          <w:lang w:val="en-US"/>
        </w:rPr>
        <w:t>Trends in Higher Education</w:t>
      </w:r>
      <w:r w:rsidRPr="00562BFB">
        <w:rPr>
          <w:rFonts w:ascii="Times New Roman" w:hAnsi="Times New Roman" w:cs="Times New Roman"/>
          <w:iCs/>
          <w:sz w:val="24"/>
          <w:szCs w:val="24"/>
          <w:lang w:val="en-US"/>
        </w:rPr>
        <w:t xml:space="preserve">, 4(2), 19. </w:t>
      </w:r>
      <w:hyperlink r:id="rId40" w:history="1">
        <w:r w:rsidR="007032A3" w:rsidRPr="00562BFB">
          <w:rPr>
            <w:rStyle w:val="Hipervnculo"/>
            <w:rFonts w:ascii="Times New Roman" w:hAnsi="Times New Roman" w:cs="Times New Roman"/>
            <w:iCs/>
            <w:sz w:val="24"/>
            <w:szCs w:val="24"/>
            <w:lang w:val="en-US"/>
          </w:rPr>
          <w:t>https://doi.org/10.3390/higheredu4020019</w:t>
        </w:r>
      </w:hyperlink>
    </w:p>
    <w:p w14:paraId="5F9B5FE6" w14:textId="4C2726EA" w:rsidR="00B60AAA" w:rsidRPr="00D537FB"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D537FB">
        <w:rPr>
          <w:rFonts w:ascii="Times New Roman" w:hAnsi="Times New Roman" w:cs="Times New Roman"/>
          <w:sz w:val="24"/>
          <w:szCs w:val="24"/>
          <w:lang w:val="en-US"/>
        </w:rPr>
        <w:t xml:space="preserve">Pensiero, N., </w:t>
      </w:r>
      <w:r w:rsidR="00A620C3">
        <w:rPr>
          <w:rFonts w:ascii="Times New Roman" w:hAnsi="Times New Roman" w:cs="Times New Roman"/>
          <w:sz w:val="24"/>
          <w:szCs w:val="24"/>
          <w:lang w:val="en-US"/>
        </w:rPr>
        <w:t>&amp;</w:t>
      </w:r>
      <w:r w:rsidRPr="00D537FB">
        <w:rPr>
          <w:rFonts w:ascii="Times New Roman" w:hAnsi="Times New Roman" w:cs="Times New Roman"/>
          <w:sz w:val="24"/>
          <w:szCs w:val="24"/>
          <w:lang w:val="en-US"/>
        </w:rPr>
        <w:t xml:space="preserve"> Barone, C. (2024). Parental schooling, educational attainment, skills, and earnings: A trend analysis across fifteen countries. </w:t>
      </w:r>
      <w:r w:rsidRPr="00D537FB">
        <w:rPr>
          <w:rFonts w:ascii="Times New Roman" w:hAnsi="Times New Roman" w:cs="Times New Roman"/>
          <w:i/>
          <w:iCs/>
          <w:sz w:val="24"/>
          <w:szCs w:val="24"/>
          <w:lang w:val="en-US"/>
        </w:rPr>
        <w:t>Social Forces</w:t>
      </w:r>
      <w:r w:rsidRPr="00D537FB">
        <w:rPr>
          <w:rFonts w:ascii="Times New Roman" w:hAnsi="Times New Roman" w:cs="Times New Roman"/>
          <w:sz w:val="24"/>
          <w:szCs w:val="24"/>
          <w:lang w:val="en-US"/>
        </w:rPr>
        <w:t xml:space="preserve">, 102(4), 1288-1309. </w:t>
      </w:r>
      <w:hyperlink r:id="rId41" w:history="1">
        <w:r w:rsidR="00B60AAA" w:rsidRPr="00D537FB">
          <w:rPr>
            <w:rStyle w:val="Hipervnculo"/>
            <w:rFonts w:ascii="Times New Roman" w:hAnsi="Times New Roman" w:cs="Times New Roman"/>
            <w:sz w:val="24"/>
            <w:szCs w:val="24"/>
            <w:lang w:val="en-US"/>
          </w:rPr>
          <w:t>https://doi.org/10.1093/sf/soad144</w:t>
        </w:r>
      </w:hyperlink>
    </w:p>
    <w:p w14:paraId="3ADD4C5B" w14:textId="3004765D" w:rsidR="005A0A74" w:rsidRPr="00AA3F90" w:rsidRDefault="00C648B8" w:rsidP="009D28BE">
      <w:pPr>
        <w:spacing w:after="0" w:line="360" w:lineRule="auto"/>
        <w:ind w:left="709" w:hanging="709"/>
        <w:contextualSpacing w:val="0"/>
        <w:jc w:val="both"/>
        <w:rPr>
          <w:rFonts w:ascii="Times New Roman" w:hAnsi="Times New Roman" w:cs="Times New Roman"/>
          <w:sz w:val="24"/>
          <w:szCs w:val="24"/>
        </w:rPr>
      </w:pPr>
      <w:r w:rsidRPr="00AA3F90">
        <w:rPr>
          <w:rFonts w:ascii="Times New Roman" w:hAnsi="Times New Roman" w:cs="Times New Roman"/>
          <w:sz w:val="24"/>
          <w:szCs w:val="24"/>
          <w:lang w:val="en-US"/>
        </w:rPr>
        <w:t xml:space="preserve">Pischke, J. S. (2007). The Impact of Length of the School Year on Student Performance and Earnings: Evidence from Germany. </w:t>
      </w:r>
      <w:proofErr w:type="spellStart"/>
      <w:r w:rsidRPr="00AA3F90">
        <w:rPr>
          <w:rFonts w:ascii="Times New Roman" w:hAnsi="Times New Roman" w:cs="Times New Roman"/>
          <w:i/>
          <w:iCs/>
          <w:sz w:val="24"/>
          <w:szCs w:val="24"/>
        </w:rPr>
        <w:t>Economic</w:t>
      </w:r>
      <w:proofErr w:type="spellEnd"/>
      <w:r w:rsidRPr="00AA3F90">
        <w:rPr>
          <w:rFonts w:ascii="Times New Roman" w:hAnsi="Times New Roman" w:cs="Times New Roman"/>
          <w:i/>
          <w:iCs/>
          <w:sz w:val="24"/>
          <w:szCs w:val="24"/>
        </w:rPr>
        <w:t xml:space="preserve"> </w:t>
      </w:r>
      <w:proofErr w:type="spellStart"/>
      <w:r w:rsidRPr="00AA3F90">
        <w:rPr>
          <w:rFonts w:ascii="Times New Roman" w:hAnsi="Times New Roman" w:cs="Times New Roman"/>
          <w:i/>
          <w:iCs/>
          <w:sz w:val="24"/>
          <w:szCs w:val="24"/>
        </w:rPr>
        <w:t>Journal</w:t>
      </w:r>
      <w:proofErr w:type="spellEnd"/>
      <w:r w:rsidRPr="00AA3F90">
        <w:rPr>
          <w:rFonts w:ascii="Times New Roman" w:hAnsi="Times New Roman" w:cs="Times New Roman"/>
          <w:sz w:val="24"/>
          <w:szCs w:val="24"/>
        </w:rPr>
        <w:t xml:space="preserve">, 117(523), 1216-1242. </w:t>
      </w:r>
      <w:hyperlink r:id="rId42" w:history="1">
        <w:r w:rsidR="005A0A74" w:rsidRPr="00AA3F90">
          <w:rPr>
            <w:rStyle w:val="Hipervnculo"/>
            <w:rFonts w:ascii="Times New Roman" w:hAnsi="Times New Roman" w:cs="Times New Roman"/>
            <w:sz w:val="24"/>
            <w:szCs w:val="24"/>
          </w:rPr>
          <w:t>https://doi.org/10.1111/j.1468-0297.2007.02080.x</w:t>
        </w:r>
      </w:hyperlink>
    </w:p>
    <w:p w14:paraId="7C950BBE" w14:textId="2C2C3753" w:rsidR="00E96BDD" w:rsidRPr="00AA3F90" w:rsidRDefault="00C648B8" w:rsidP="009D28BE">
      <w:pPr>
        <w:spacing w:after="0" w:line="360" w:lineRule="auto"/>
        <w:ind w:left="709" w:hanging="709"/>
        <w:contextualSpacing w:val="0"/>
        <w:jc w:val="both"/>
        <w:rPr>
          <w:rStyle w:val="Hipervnculo"/>
          <w:rFonts w:ascii="Times New Roman" w:hAnsi="Times New Roman" w:cs="Times New Roman"/>
          <w:sz w:val="24"/>
          <w:szCs w:val="24"/>
          <w:lang w:val="en-US"/>
        </w:rPr>
      </w:pPr>
      <w:r w:rsidRPr="00AA3F90">
        <w:rPr>
          <w:rFonts w:ascii="Times New Roman" w:hAnsi="Times New Roman" w:cs="Times New Roman"/>
          <w:sz w:val="24"/>
          <w:szCs w:val="24"/>
        </w:rPr>
        <w:t xml:space="preserve">Rebollo-Sanz, Y. F., </w:t>
      </w:r>
      <w:r w:rsidR="00A620C3">
        <w:rPr>
          <w:rFonts w:ascii="Times New Roman" w:hAnsi="Times New Roman" w:cs="Times New Roman"/>
          <w:sz w:val="24"/>
          <w:szCs w:val="24"/>
        </w:rPr>
        <w:t>&amp;</w:t>
      </w:r>
      <w:r w:rsidRPr="00AA3F90">
        <w:rPr>
          <w:rFonts w:ascii="Times New Roman" w:hAnsi="Times New Roman" w:cs="Times New Roman"/>
          <w:sz w:val="24"/>
          <w:szCs w:val="24"/>
        </w:rPr>
        <w:t xml:space="preserve"> De la Rica, S. (2020). </w:t>
      </w:r>
      <w:r w:rsidRPr="00AA3F90">
        <w:rPr>
          <w:rFonts w:ascii="Times New Roman" w:hAnsi="Times New Roman" w:cs="Times New Roman"/>
          <w:sz w:val="24"/>
          <w:szCs w:val="24"/>
          <w:lang w:val="en-US"/>
        </w:rPr>
        <w:t xml:space="preserve">Gender gaps in skills and labor market outcomes: evidence from the PIAAC. </w:t>
      </w:r>
      <w:r w:rsidRPr="00AA3F90">
        <w:rPr>
          <w:rFonts w:ascii="Times New Roman" w:hAnsi="Times New Roman" w:cs="Times New Roman"/>
          <w:i/>
          <w:sz w:val="24"/>
          <w:szCs w:val="24"/>
          <w:lang w:val="en-US"/>
        </w:rPr>
        <w:t>Review of Economics of the Household</w:t>
      </w:r>
      <w:r w:rsidRPr="00AA3F90">
        <w:rPr>
          <w:rFonts w:ascii="Times New Roman" w:hAnsi="Times New Roman" w:cs="Times New Roman"/>
          <w:sz w:val="24"/>
          <w:szCs w:val="24"/>
          <w:lang w:val="en-US"/>
        </w:rPr>
        <w:t xml:space="preserve">, 1-39. </w:t>
      </w:r>
      <w:hyperlink r:id="rId43" w:history="1">
        <w:r w:rsidR="004B3E50" w:rsidRPr="00AA3F90">
          <w:rPr>
            <w:rStyle w:val="Hipervnculo"/>
            <w:rFonts w:ascii="Times New Roman" w:hAnsi="Times New Roman" w:cs="Times New Roman"/>
            <w:sz w:val="24"/>
            <w:szCs w:val="24"/>
            <w:lang w:val="en-US"/>
          </w:rPr>
          <w:t>https://doi.org/10.1007/s11150-020-09523-w</w:t>
        </w:r>
      </w:hyperlink>
    </w:p>
    <w:p w14:paraId="606AD777" w14:textId="03CF438E" w:rsidR="005A0A74" w:rsidRPr="00AA3F90" w:rsidRDefault="00C648B8" w:rsidP="009D28BE">
      <w:pPr>
        <w:spacing w:after="0" w:line="360" w:lineRule="auto"/>
        <w:ind w:left="709" w:hanging="709"/>
        <w:contextualSpacing w:val="0"/>
        <w:jc w:val="both"/>
        <w:rPr>
          <w:rFonts w:ascii="Times New Roman" w:hAnsi="Times New Roman" w:cs="Times New Roman"/>
          <w:sz w:val="24"/>
          <w:szCs w:val="24"/>
        </w:rPr>
      </w:pPr>
      <w:proofErr w:type="spellStart"/>
      <w:r w:rsidRPr="00AA3F90">
        <w:rPr>
          <w:rFonts w:ascii="Times New Roman" w:hAnsi="Times New Roman" w:cs="Times New Roman"/>
          <w:sz w:val="24"/>
          <w:szCs w:val="24"/>
          <w:lang w:val="en-US"/>
        </w:rPr>
        <w:t>Schaie</w:t>
      </w:r>
      <w:proofErr w:type="spellEnd"/>
      <w:r w:rsidRPr="00AA3F90">
        <w:rPr>
          <w:rFonts w:ascii="Times New Roman" w:hAnsi="Times New Roman" w:cs="Times New Roman"/>
          <w:sz w:val="24"/>
          <w:szCs w:val="24"/>
          <w:lang w:val="en-US"/>
        </w:rPr>
        <w:t xml:space="preserve">, K. W. (2005). Developmental influences on adult intelligence: The Seattle longitudinal study. </w:t>
      </w:r>
      <w:r w:rsidRPr="00AA3F90">
        <w:rPr>
          <w:rFonts w:ascii="Times New Roman" w:hAnsi="Times New Roman" w:cs="Times New Roman"/>
          <w:i/>
          <w:iCs/>
          <w:sz w:val="24"/>
          <w:szCs w:val="24"/>
        </w:rPr>
        <w:t xml:space="preserve">Oxford </w:t>
      </w:r>
      <w:proofErr w:type="spellStart"/>
      <w:r w:rsidRPr="00AA3F90">
        <w:rPr>
          <w:rFonts w:ascii="Times New Roman" w:hAnsi="Times New Roman" w:cs="Times New Roman"/>
          <w:i/>
          <w:iCs/>
          <w:sz w:val="24"/>
          <w:szCs w:val="24"/>
        </w:rPr>
        <w:t>University</w:t>
      </w:r>
      <w:proofErr w:type="spellEnd"/>
      <w:r w:rsidRPr="00AA3F90">
        <w:rPr>
          <w:rFonts w:ascii="Times New Roman" w:hAnsi="Times New Roman" w:cs="Times New Roman"/>
          <w:i/>
          <w:iCs/>
          <w:sz w:val="24"/>
          <w:szCs w:val="24"/>
        </w:rPr>
        <w:t xml:space="preserve"> </w:t>
      </w:r>
      <w:proofErr w:type="spellStart"/>
      <w:r w:rsidRPr="00AA3F90">
        <w:rPr>
          <w:rFonts w:ascii="Times New Roman" w:hAnsi="Times New Roman" w:cs="Times New Roman"/>
          <w:i/>
          <w:iCs/>
          <w:sz w:val="24"/>
          <w:szCs w:val="24"/>
        </w:rPr>
        <w:t>Press</w:t>
      </w:r>
      <w:proofErr w:type="spellEnd"/>
      <w:r w:rsidRPr="00AA3F90">
        <w:rPr>
          <w:rFonts w:ascii="Times New Roman" w:hAnsi="Times New Roman" w:cs="Times New Roman"/>
          <w:sz w:val="24"/>
          <w:szCs w:val="24"/>
        </w:rPr>
        <w:t>.</w:t>
      </w:r>
    </w:p>
    <w:p w14:paraId="7CF07321" w14:textId="0B258EB3" w:rsidR="008B661A" w:rsidRPr="00AA3F90" w:rsidRDefault="00C648B8" w:rsidP="009D28BE">
      <w:pPr>
        <w:spacing w:after="0" w:line="360" w:lineRule="auto"/>
        <w:ind w:left="709" w:hanging="709"/>
        <w:contextualSpacing w:val="0"/>
        <w:jc w:val="both"/>
        <w:rPr>
          <w:rFonts w:ascii="Times New Roman" w:hAnsi="Times New Roman" w:cs="Times New Roman"/>
          <w:sz w:val="24"/>
          <w:szCs w:val="24"/>
        </w:rPr>
      </w:pPr>
      <w:r w:rsidRPr="00AA3F90">
        <w:rPr>
          <w:rFonts w:ascii="Times New Roman" w:hAnsi="Times New Roman" w:cs="Times New Roman"/>
          <w:sz w:val="24"/>
          <w:szCs w:val="24"/>
          <w:lang w:val="es-ES"/>
        </w:rPr>
        <w:t xml:space="preserve">Serrano, J. F. J., </w:t>
      </w:r>
      <w:proofErr w:type="spellStart"/>
      <w:r w:rsidRPr="00AA3F90">
        <w:rPr>
          <w:rFonts w:ascii="Times New Roman" w:hAnsi="Times New Roman" w:cs="Times New Roman"/>
          <w:sz w:val="24"/>
          <w:szCs w:val="24"/>
          <w:lang w:val="es-ES"/>
        </w:rPr>
        <w:t>Lacuesta</w:t>
      </w:r>
      <w:proofErr w:type="spellEnd"/>
      <w:r w:rsidRPr="00AA3F90">
        <w:rPr>
          <w:rFonts w:ascii="Times New Roman" w:hAnsi="Times New Roman" w:cs="Times New Roman"/>
          <w:sz w:val="24"/>
          <w:szCs w:val="24"/>
          <w:lang w:val="es-ES"/>
        </w:rPr>
        <w:t>, A., Matute, M. M.</w:t>
      </w:r>
      <w:r w:rsidR="00C737E6" w:rsidRPr="00AA3F90">
        <w:rPr>
          <w:rFonts w:ascii="Times New Roman" w:hAnsi="Times New Roman" w:cs="Times New Roman"/>
          <w:sz w:val="24"/>
          <w:szCs w:val="24"/>
          <w:lang w:val="es-ES"/>
        </w:rPr>
        <w:t xml:space="preserve"> </w:t>
      </w:r>
      <w:r w:rsidR="00337A15" w:rsidRPr="00AA3F90">
        <w:rPr>
          <w:rFonts w:ascii="Times New Roman" w:hAnsi="Times New Roman" w:cs="Times New Roman"/>
          <w:sz w:val="24"/>
          <w:szCs w:val="24"/>
          <w:lang w:val="es-ES"/>
        </w:rPr>
        <w:t>y</w:t>
      </w:r>
      <w:r w:rsidRPr="00AA3F90">
        <w:rPr>
          <w:rFonts w:ascii="Times New Roman" w:hAnsi="Times New Roman" w:cs="Times New Roman"/>
          <w:sz w:val="24"/>
          <w:szCs w:val="24"/>
          <w:lang w:val="es-ES"/>
        </w:rPr>
        <w:t xml:space="preserve"> Villanueva, E. (2017). </w:t>
      </w:r>
      <w:r w:rsidRPr="00AA3F90">
        <w:rPr>
          <w:rFonts w:ascii="Times New Roman" w:hAnsi="Times New Roman" w:cs="Times New Roman"/>
          <w:sz w:val="24"/>
          <w:szCs w:val="24"/>
        </w:rPr>
        <w:t xml:space="preserve">La formación del capital humano en el mercado de trabajo. </w:t>
      </w:r>
      <w:r w:rsidRPr="00AA3F90">
        <w:rPr>
          <w:rFonts w:ascii="Times New Roman" w:hAnsi="Times New Roman" w:cs="Times New Roman"/>
          <w:i/>
          <w:sz w:val="24"/>
          <w:szCs w:val="24"/>
        </w:rPr>
        <w:t>Boletín económico-Banco de España</w:t>
      </w:r>
      <w:r w:rsidR="00DA1B3D" w:rsidRPr="00AA3F90">
        <w:rPr>
          <w:rFonts w:ascii="Times New Roman" w:hAnsi="Times New Roman" w:cs="Times New Roman"/>
          <w:sz w:val="24"/>
          <w:szCs w:val="24"/>
        </w:rPr>
        <w:t>, (4)</w:t>
      </w:r>
      <w:r w:rsidRPr="00AA3F90">
        <w:rPr>
          <w:rFonts w:ascii="Times New Roman" w:hAnsi="Times New Roman" w:cs="Times New Roman"/>
          <w:sz w:val="24"/>
          <w:szCs w:val="24"/>
        </w:rPr>
        <w:t>6.</w:t>
      </w:r>
      <w:r w:rsidR="00DA1B3D" w:rsidRPr="00AA3F90">
        <w:rPr>
          <w:rFonts w:ascii="Times New Roman" w:hAnsi="Times New Roman" w:cs="Times New Roman"/>
          <w:sz w:val="24"/>
          <w:szCs w:val="24"/>
        </w:rPr>
        <w:t xml:space="preserve"> </w:t>
      </w:r>
    </w:p>
    <w:p w14:paraId="2F7DA39D" w14:textId="0618E2AB" w:rsidR="006210B7" w:rsidRPr="00AA3F90"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AA3F90">
        <w:rPr>
          <w:rFonts w:ascii="Times New Roman" w:hAnsi="Times New Roman" w:cs="Times New Roman"/>
          <w:sz w:val="24"/>
          <w:szCs w:val="24"/>
        </w:rPr>
        <w:lastRenderedPageBreak/>
        <w:t xml:space="preserve">Sevilla, </w:t>
      </w:r>
      <w:r w:rsidR="00A620C3">
        <w:rPr>
          <w:rFonts w:ascii="Times New Roman" w:hAnsi="Times New Roman" w:cs="Times New Roman"/>
          <w:sz w:val="24"/>
          <w:szCs w:val="24"/>
        </w:rPr>
        <w:t>M.-P.</w:t>
      </w:r>
      <w:r w:rsidRPr="00AA3F90">
        <w:rPr>
          <w:rFonts w:ascii="Times New Roman" w:hAnsi="Times New Roman" w:cs="Times New Roman"/>
          <w:sz w:val="24"/>
          <w:szCs w:val="24"/>
        </w:rPr>
        <w:t xml:space="preserve">, </w:t>
      </w:r>
      <w:r w:rsidR="00A620C3">
        <w:rPr>
          <w:rFonts w:ascii="Times New Roman" w:hAnsi="Times New Roman" w:cs="Times New Roman"/>
          <w:sz w:val="24"/>
          <w:szCs w:val="24"/>
        </w:rPr>
        <w:t>&amp;</w:t>
      </w:r>
      <w:r w:rsidRPr="00AA3F90">
        <w:rPr>
          <w:rFonts w:ascii="Times New Roman" w:hAnsi="Times New Roman" w:cs="Times New Roman"/>
          <w:sz w:val="24"/>
          <w:szCs w:val="24"/>
        </w:rPr>
        <w:t xml:space="preserve"> Farías, M. (20</w:t>
      </w:r>
      <w:r w:rsidR="001C0BAD" w:rsidRPr="00AA3F90">
        <w:rPr>
          <w:rFonts w:ascii="Times New Roman" w:hAnsi="Times New Roman" w:cs="Times New Roman"/>
          <w:sz w:val="24"/>
          <w:szCs w:val="24"/>
        </w:rPr>
        <w:t>20</w:t>
      </w:r>
      <w:r w:rsidRPr="00AA3F90">
        <w:rPr>
          <w:rFonts w:ascii="Times New Roman" w:hAnsi="Times New Roman" w:cs="Times New Roman"/>
          <w:sz w:val="24"/>
          <w:szCs w:val="24"/>
        </w:rPr>
        <w:t xml:space="preserve">). </w:t>
      </w:r>
      <w:proofErr w:type="spellStart"/>
      <w:r w:rsidRPr="00AA3F90">
        <w:rPr>
          <w:rFonts w:ascii="Times New Roman" w:hAnsi="Times New Roman" w:cs="Times New Roman"/>
          <w:sz w:val="24"/>
          <w:szCs w:val="24"/>
          <w:lang w:val="en-US"/>
        </w:rPr>
        <w:t>Labour</w:t>
      </w:r>
      <w:proofErr w:type="spellEnd"/>
      <w:r w:rsidRPr="00AA3F90">
        <w:rPr>
          <w:rFonts w:ascii="Times New Roman" w:hAnsi="Times New Roman" w:cs="Times New Roman"/>
          <w:sz w:val="24"/>
          <w:szCs w:val="24"/>
          <w:lang w:val="en-US"/>
        </w:rPr>
        <w:t xml:space="preserve"> market mismatch in emerging countries: The case of Chile.</w:t>
      </w:r>
      <w:r w:rsidR="00576443" w:rsidRPr="00AA3F90">
        <w:rPr>
          <w:rFonts w:ascii="Times New Roman" w:hAnsi="Times New Roman" w:cs="Times New Roman"/>
          <w:sz w:val="24"/>
          <w:szCs w:val="24"/>
          <w:lang w:val="en-US"/>
        </w:rPr>
        <w:t xml:space="preserve"> </w:t>
      </w:r>
      <w:r w:rsidRPr="00AA3F90">
        <w:rPr>
          <w:rFonts w:ascii="Times New Roman" w:hAnsi="Times New Roman" w:cs="Times New Roman"/>
          <w:i/>
          <w:iCs/>
          <w:sz w:val="24"/>
          <w:szCs w:val="24"/>
          <w:lang w:val="en-US"/>
        </w:rPr>
        <w:t>Compare: A Journal of Comparative and International Education</w:t>
      </w:r>
      <w:r w:rsidRPr="00AA3F90">
        <w:rPr>
          <w:rFonts w:ascii="Times New Roman" w:hAnsi="Times New Roman" w:cs="Times New Roman"/>
          <w:sz w:val="24"/>
          <w:szCs w:val="24"/>
          <w:lang w:val="en-US"/>
        </w:rPr>
        <w:t xml:space="preserve">, 50(2), 276-293. </w:t>
      </w:r>
      <w:hyperlink r:id="rId44" w:history="1">
        <w:r w:rsidR="006210B7" w:rsidRPr="00AA3F90">
          <w:rPr>
            <w:rStyle w:val="Hipervnculo"/>
            <w:rFonts w:ascii="Times New Roman" w:hAnsi="Times New Roman" w:cs="Times New Roman"/>
            <w:sz w:val="24"/>
            <w:szCs w:val="24"/>
            <w:lang w:val="en-US"/>
          </w:rPr>
          <w:t>https://doi.org/10.1080/03057925.2019.1675495</w:t>
        </w:r>
      </w:hyperlink>
      <w:r w:rsidRPr="00AA3F90">
        <w:rPr>
          <w:rFonts w:ascii="Times New Roman" w:hAnsi="Times New Roman" w:cs="Times New Roman"/>
          <w:sz w:val="24"/>
          <w:szCs w:val="24"/>
          <w:lang w:val="en-US"/>
        </w:rPr>
        <w:t>.</w:t>
      </w:r>
    </w:p>
    <w:p w14:paraId="01FA83CC" w14:textId="3EED3651" w:rsidR="00456323" w:rsidRPr="002E5764" w:rsidRDefault="00C648B8" w:rsidP="009D28BE">
      <w:pPr>
        <w:spacing w:after="0" w:line="360" w:lineRule="auto"/>
        <w:ind w:left="709" w:hanging="709"/>
        <w:contextualSpacing w:val="0"/>
        <w:jc w:val="both"/>
        <w:rPr>
          <w:rFonts w:ascii="Times New Roman" w:hAnsi="Times New Roman" w:cs="Times New Roman"/>
          <w:sz w:val="24"/>
          <w:szCs w:val="24"/>
          <w:lang w:val="en-US"/>
        </w:rPr>
      </w:pPr>
      <w:r w:rsidRPr="00AA3F90">
        <w:rPr>
          <w:rFonts w:ascii="Times New Roman" w:hAnsi="Times New Roman" w:cs="Times New Roman"/>
          <w:sz w:val="24"/>
          <w:szCs w:val="24"/>
          <w:lang w:val="en-US"/>
        </w:rPr>
        <w:t xml:space="preserve">Shields, R., </w:t>
      </w:r>
      <w:r w:rsidR="00A620C3">
        <w:rPr>
          <w:rFonts w:ascii="Times New Roman" w:hAnsi="Times New Roman" w:cs="Times New Roman"/>
          <w:sz w:val="24"/>
          <w:szCs w:val="24"/>
          <w:lang w:val="en-US"/>
        </w:rPr>
        <w:t>&amp;</w:t>
      </w:r>
      <w:r w:rsidRPr="00AA3F90">
        <w:rPr>
          <w:rFonts w:ascii="Times New Roman" w:hAnsi="Times New Roman" w:cs="Times New Roman"/>
          <w:sz w:val="24"/>
          <w:szCs w:val="24"/>
          <w:lang w:val="en-US"/>
        </w:rPr>
        <w:t xml:space="preserve"> Sandoval Hernandez, A. (2020). Mixed signals: cognitive skills, qualifications and earnings in an international comparative perspective. </w:t>
      </w:r>
      <w:r w:rsidRPr="00AA3F90">
        <w:rPr>
          <w:rFonts w:ascii="Times New Roman" w:hAnsi="Times New Roman" w:cs="Times New Roman"/>
          <w:i/>
          <w:sz w:val="24"/>
          <w:szCs w:val="24"/>
          <w:lang w:val="en-US"/>
        </w:rPr>
        <w:t>Oxford Review of Education</w:t>
      </w:r>
      <w:r w:rsidRPr="00AA3F90">
        <w:rPr>
          <w:rFonts w:ascii="Times New Roman" w:hAnsi="Times New Roman" w:cs="Times New Roman"/>
          <w:sz w:val="24"/>
          <w:szCs w:val="24"/>
          <w:lang w:val="en-US"/>
        </w:rPr>
        <w:t>, 46(1), 111</w:t>
      </w:r>
      <w:r w:rsidR="002231F0" w:rsidRPr="00AA3F90">
        <w:rPr>
          <w:rFonts w:ascii="Times New Roman" w:hAnsi="Times New Roman" w:cs="Times New Roman"/>
          <w:sz w:val="24"/>
          <w:szCs w:val="24"/>
          <w:lang w:val="en-US"/>
        </w:rPr>
        <w:t>-128.</w:t>
      </w:r>
      <w:r w:rsidRPr="00AA3F90">
        <w:rPr>
          <w:rFonts w:ascii="Times New Roman" w:hAnsi="Times New Roman" w:cs="Times New Roman"/>
          <w:sz w:val="24"/>
          <w:szCs w:val="24"/>
          <w:lang w:val="en-US"/>
        </w:rPr>
        <w:t xml:space="preserve"> </w:t>
      </w:r>
      <w:hyperlink r:id="rId45" w:history="1">
        <w:r w:rsidR="00456323" w:rsidRPr="00AA3F90">
          <w:rPr>
            <w:rStyle w:val="Hipervnculo"/>
            <w:rFonts w:ascii="Times New Roman" w:hAnsi="Times New Roman" w:cs="Times New Roman"/>
            <w:sz w:val="24"/>
            <w:szCs w:val="24"/>
            <w:lang w:val="en-US"/>
          </w:rPr>
          <w:t>https://doi.org/10.1080/03054985.2019.1687436</w:t>
        </w:r>
      </w:hyperlink>
      <w:r w:rsidRPr="00AA3F90">
        <w:rPr>
          <w:rFonts w:ascii="Times New Roman" w:hAnsi="Times New Roman" w:cs="Times New Roman"/>
          <w:sz w:val="24"/>
          <w:szCs w:val="24"/>
          <w:lang w:val="en-US"/>
        </w:rPr>
        <w:t>.</w:t>
      </w:r>
    </w:p>
    <w:p w14:paraId="60C58B0A" w14:textId="1AF1EEAD" w:rsidR="00895B94" w:rsidRPr="00755967" w:rsidRDefault="00C648B8" w:rsidP="009D28BE">
      <w:pPr>
        <w:spacing w:after="0" w:line="360" w:lineRule="auto"/>
        <w:ind w:left="709" w:hanging="709"/>
        <w:contextualSpacing w:val="0"/>
        <w:jc w:val="both"/>
        <w:rPr>
          <w:rFonts w:ascii="Times New Roman" w:hAnsi="Times New Roman" w:cs="Times New Roman"/>
          <w:sz w:val="24"/>
          <w:szCs w:val="24"/>
          <w:lang w:val="es-ES"/>
        </w:rPr>
      </w:pPr>
      <w:r w:rsidRPr="008B60B0">
        <w:rPr>
          <w:rFonts w:ascii="Times New Roman" w:hAnsi="Times New Roman" w:cs="Times New Roman"/>
          <w:sz w:val="24"/>
          <w:szCs w:val="24"/>
          <w:lang w:val="en-US"/>
        </w:rPr>
        <w:t xml:space="preserve">Sobiech Pellegrini, I., Chmura, R., Sawulski, J., &amp; </w:t>
      </w:r>
      <w:proofErr w:type="spellStart"/>
      <w:r w:rsidRPr="008B60B0">
        <w:rPr>
          <w:rFonts w:ascii="Times New Roman" w:hAnsi="Times New Roman" w:cs="Times New Roman"/>
          <w:sz w:val="24"/>
          <w:szCs w:val="24"/>
          <w:lang w:val="en-US"/>
        </w:rPr>
        <w:t>Mętrak</w:t>
      </w:r>
      <w:proofErr w:type="spellEnd"/>
      <w:r w:rsidRPr="008B60B0">
        <w:rPr>
          <w:rFonts w:ascii="Times New Roman" w:hAnsi="Times New Roman" w:cs="Times New Roman"/>
          <w:sz w:val="24"/>
          <w:szCs w:val="24"/>
          <w:lang w:val="en-US"/>
        </w:rPr>
        <w:t xml:space="preserve">, T. (2025). Can the improvements in human capital quality mitigate the negative impact of ageing on growth? </w:t>
      </w:r>
      <w:r w:rsidRPr="00F25151">
        <w:rPr>
          <w:rFonts w:ascii="Times New Roman" w:hAnsi="Times New Roman" w:cs="Times New Roman"/>
          <w:sz w:val="24"/>
          <w:szCs w:val="24"/>
          <w:lang w:val="en-US"/>
        </w:rPr>
        <w:t xml:space="preserve">Evidence from selected EU countries. </w:t>
      </w:r>
      <w:r w:rsidRPr="00F25151">
        <w:rPr>
          <w:rFonts w:ascii="Times New Roman" w:hAnsi="Times New Roman" w:cs="Times New Roman"/>
          <w:i/>
          <w:iCs/>
          <w:sz w:val="24"/>
          <w:szCs w:val="24"/>
          <w:lang w:val="en-US"/>
        </w:rPr>
        <w:t>Economics of Transition and Institutional Change</w:t>
      </w:r>
      <w:r w:rsidRPr="00F25151">
        <w:rPr>
          <w:rFonts w:ascii="Times New Roman" w:hAnsi="Times New Roman" w:cs="Times New Roman"/>
          <w:sz w:val="24"/>
          <w:szCs w:val="24"/>
          <w:lang w:val="en-US"/>
        </w:rPr>
        <w:t xml:space="preserve">, 33(2), 253-274. </w:t>
      </w:r>
      <w:hyperlink r:id="rId46" w:history="1">
        <w:r w:rsidR="00895B94" w:rsidRPr="008B60B0">
          <w:rPr>
            <w:rStyle w:val="Hipervnculo"/>
            <w:rFonts w:ascii="Times New Roman" w:hAnsi="Times New Roman" w:cs="Times New Roman"/>
            <w:sz w:val="24"/>
            <w:szCs w:val="24"/>
            <w:lang w:val="es-ES"/>
          </w:rPr>
          <w:t>https://doi.org/10.1111/ecot.12430</w:t>
        </w:r>
      </w:hyperlink>
    </w:p>
    <w:p w14:paraId="4F56EB01" w14:textId="3AE02173" w:rsidR="005A0A74" w:rsidRPr="00CB256D" w:rsidRDefault="00C648B8" w:rsidP="009D28BE">
      <w:pPr>
        <w:spacing w:after="0" w:line="360" w:lineRule="auto"/>
        <w:ind w:left="709" w:hanging="709"/>
        <w:contextualSpacing w:val="0"/>
        <w:jc w:val="both"/>
      </w:pPr>
      <w:r w:rsidRPr="00CB256D">
        <w:rPr>
          <w:rFonts w:ascii="Times New Roman" w:hAnsi="Times New Roman" w:cs="Times New Roman"/>
          <w:sz w:val="24"/>
          <w:szCs w:val="24"/>
        </w:rPr>
        <w:t xml:space="preserve">Valenzuela Sánchez, N. A. y Palomares Vega, M. M. (2023). Análisis y evaluación de las competencias laborales en el mercado de trabajo mexicano. </w:t>
      </w:r>
      <w:r w:rsidRPr="00CB256D">
        <w:rPr>
          <w:rFonts w:ascii="Times New Roman" w:hAnsi="Times New Roman" w:cs="Times New Roman"/>
          <w:i/>
          <w:iCs/>
          <w:sz w:val="24"/>
          <w:szCs w:val="24"/>
        </w:rPr>
        <w:t>LATAM Revista Latinoamericana de Ciencias Sociales y Humanidades</w:t>
      </w:r>
      <w:r w:rsidRPr="00CB256D">
        <w:rPr>
          <w:rFonts w:ascii="Times New Roman" w:hAnsi="Times New Roman" w:cs="Times New Roman"/>
          <w:sz w:val="24"/>
          <w:szCs w:val="24"/>
        </w:rPr>
        <w:t xml:space="preserve">, 4(6), 1108-1126. </w:t>
      </w:r>
      <w:hyperlink r:id="rId47" w:tgtFrame="_new" w:history="1">
        <w:r w:rsidR="005A0A74" w:rsidRPr="00CB256D">
          <w:rPr>
            <w:rStyle w:val="Hipervnculo"/>
            <w:rFonts w:ascii="Times New Roman" w:hAnsi="Times New Roman" w:cs="Times New Roman"/>
            <w:sz w:val="24"/>
            <w:szCs w:val="24"/>
          </w:rPr>
          <w:t>https://doi.org/10.56712/latam.v4i6.1509</w:t>
        </w:r>
      </w:hyperlink>
    </w:p>
    <w:p w14:paraId="0E869422" w14:textId="43700A00" w:rsidR="00085248" w:rsidRPr="00F25151" w:rsidRDefault="00C648B8" w:rsidP="009D28BE">
      <w:pPr>
        <w:spacing w:after="0" w:line="360" w:lineRule="auto"/>
        <w:ind w:left="709" w:hanging="709"/>
        <w:contextualSpacing w:val="0"/>
        <w:jc w:val="both"/>
        <w:rPr>
          <w:rFonts w:ascii="Times New Roman" w:hAnsi="Times New Roman" w:cs="Times New Roman"/>
          <w:iCs/>
          <w:sz w:val="24"/>
          <w:szCs w:val="24"/>
        </w:rPr>
      </w:pPr>
      <w:r w:rsidRPr="00F25151">
        <w:rPr>
          <w:rFonts w:ascii="Times New Roman" w:hAnsi="Times New Roman" w:cs="Times New Roman"/>
          <w:iCs/>
          <w:sz w:val="24"/>
          <w:szCs w:val="24"/>
        </w:rPr>
        <w:t xml:space="preserve">Vázquez Campos, J. E. y Mireles-Cárdenas, C. (2024). Pensamiento crítico y habilidades informativas: Binomio para la formación de usuarios en educación media superior en México. </w:t>
      </w:r>
      <w:r w:rsidRPr="00F25151">
        <w:rPr>
          <w:rFonts w:ascii="Times New Roman" w:hAnsi="Times New Roman" w:cs="Times New Roman"/>
          <w:i/>
          <w:sz w:val="24"/>
          <w:szCs w:val="24"/>
        </w:rPr>
        <w:t>Revista Estudios de la Información</w:t>
      </w:r>
      <w:r w:rsidRPr="00F25151">
        <w:rPr>
          <w:rFonts w:ascii="Times New Roman" w:hAnsi="Times New Roman" w:cs="Times New Roman"/>
          <w:iCs/>
          <w:sz w:val="24"/>
          <w:szCs w:val="24"/>
        </w:rPr>
        <w:t xml:space="preserve">, 2(2), 53–71. </w:t>
      </w:r>
      <w:hyperlink r:id="rId48" w:history="1">
        <w:r w:rsidR="00085248" w:rsidRPr="00F25151">
          <w:rPr>
            <w:rStyle w:val="Hipervnculo"/>
            <w:rFonts w:ascii="Times New Roman" w:hAnsi="Times New Roman" w:cs="Times New Roman"/>
            <w:iCs/>
            <w:sz w:val="24"/>
            <w:szCs w:val="24"/>
          </w:rPr>
          <w:t>https://doi.org/10.54167/rei.v2i2.1688</w:t>
        </w:r>
      </w:hyperlink>
      <w:r w:rsidRPr="00F25151">
        <w:rPr>
          <w:rFonts w:ascii="Times New Roman" w:hAnsi="Times New Roman" w:cs="Times New Roman"/>
          <w:iCs/>
          <w:sz w:val="24"/>
          <w:szCs w:val="24"/>
        </w:rPr>
        <w:t xml:space="preserve"> </w:t>
      </w:r>
    </w:p>
    <w:p w14:paraId="5FCCD010" w14:textId="4A098C55" w:rsidR="005A0A74" w:rsidRPr="0081727D" w:rsidRDefault="00C648B8" w:rsidP="009D28BE">
      <w:pPr>
        <w:spacing w:after="0" w:line="360" w:lineRule="auto"/>
        <w:ind w:left="709" w:hanging="709"/>
        <w:contextualSpacing w:val="0"/>
        <w:jc w:val="both"/>
        <w:rPr>
          <w:rFonts w:ascii="Times New Roman" w:hAnsi="Times New Roman" w:cs="Times New Roman"/>
          <w:sz w:val="24"/>
          <w:szCs w:val="24"/>
        </w:rPr>
      </w:pPr>
      <w:r w:rsidRPr="0081727D">
        <w:rPr>
          <w:rFonts w:ascii="Times New Roman" w:hAnsi="Times New Roman" w:cs="Times New Roman"/>
          <w:sz w:val="24"/>
          <w:szCs w:val="24"/>
        </w:rPr>
        <w:t xml:space="preserve">Van </w:t>
      </w:r>
      <w:proofErr w:type="spellStart"/>
      <w:r w:rsidRPr="0081727D">
        <w:rPr>
          <w:rFonts w:ascii="Times New Roman" w:hAnsi="Times New Roman" w:cs="Times New Roman"/>
          <w:sz w:val="24"/>
          <w:szCs w:val="24"/>
        </w:rPr>
        <w:t>Laar</w:t>
      </w:r>
      <w:proofErr w:type="spellEnd"/>
      <w:r w:rsidRPr="0081727D">
        <w:rPr>
          <w:rFonts w:ascii="Times New Roman" w:hAnsi="Times New Roman" w:cs="Times New Roman"/>
          <w:sz w:val="24"/>
          <w:szCs w:val="24"/>
        </w:rPr>
        <w:t xml:space="preserve">, E., Van </w:t>
      </w:r>
      <w:proofErr w:type="spellStart"/>
      <w:r w:rsidRPr="0081727D">
        <w:rPr>
          <w:rFonts w:ascii="Times New Roman" w:hAnsi="Times New Roman" w:cs="Times New Roman"/>
          <w:sz w:val="24"/>
          <w:szCs w:val="24"/>
        </w:rPr>
        <w:t>Deursen</w:t>
      </w:r>
      <w:proofErr w:type="spellEnd"/>
      <w:r w:rsidRPr="0081727D">
        <w:rPr>
          <w:rFonts w:ascii="Times New Roman" w:hAnsi="Times New Roman" w:cs="Times New Roman"/>
          <w:sz w:val="24"/>
          <w:szCs w:val="24"/>
        </w:rPr>
        <w:t>, A. J. A. M., Van Dijk, J. A. G. M.</w:t>
      </w:r>
      <w:r w:rsidR="000D599F" w:rsidRPr="0081727D">
        <w:rPr>
          <w:rFonts w:ascii="Times New Roman" w:hAnsi="Times New Roman" w:cs="Times New Roman"/>
          <w:sz w:val="24"/>
          <w:szCs w:val="24"/>
        </w:rPr>
        <w:t xml:space="preserve"> </w:t>
      </w:r>
      <w:r w:rsidR="002C22C3">
        <w:rPr>
          <w:rFonts w:ascii="Times New Roman" w:hAnsi="Times New Roman" w:cs="Times New Roman"/>
          <w:sz w:val="24"/>
          <w:szCs w:val="24"/>
        </w:rPr>
        <w:t>&amp;</w:t>
      </w:r>
      <w:r w:rsidR="00337A15" w:rsidRPr="0081727D">
        <w:rPr>
          <w:rFonts w:ascii="Times New Roman" w:hAnsi="Times New Roman" w:cs="Times New Roman"/>
          <w:sz w:val="24"/>
          <w:szCs w:val="24"/>
        </w:rPr>
        <w:t xml:space="preserve"> </w:t>
      </w:r>
      <w:r w:rsidRPr="0081727D">
        <w:rPr>
          <w:rFonts w:ascii="Times New Roman" w:hAnsi="Times New Roman" w:cs="Times New Roman"/>
          <w:sz w:val="24"/>
          <w:szCs w:val="24"/>
        </w:rPr>
        <w:t xml:space="preserve">de Haan, J. (2020). </w:t>
      </w:r>
      <w:r w:rsidRPr="0081727D">
        <w:rPr>
          <w:rFonts w:ascii="Times New Roman" w:hAnsi="Times New Roman" w:cs="Times New Roman"/>
          <w:sz w:val="24"/>
          <w:szCs w:val="24"/>
          <w:lang w:val="en-US"/>
        </w:rPr>
        <w:t xml:space="preserve">Determinants of 21st-century skills and 21st-century digital skills for workers: A systematic literature review. </w:t>
      </w:r>
      <w:r w:rsidRPr="0081727D">
        <w:rPr>
          <w:rFonts w:ascii="Times New Roman" w:hAnsi="Times New Roman" w:cs="Times New Roman"/>
          <w:i/>
          <w:iCs/>
          <w:sz w:val="24"/>
          <w:szCs w:val="24"/>
        </w:rPr>
        <w:t>SAGE Open</w:t>
      </w:r>
      <w:r w:rsidRPr="0081727D">
        <w:rPr>
          <w:rFonts w:ascii="Times New Roman" w:hAnsi="Times New Roman" w:cs="Times New Roman"/>
          <w:sz w:val="24"/>
          <w:szCs w:val="24"/>
        </w:rPr>
        <w:t xml:space="preserve">, 10(1). </w:t>
      </w:r>
      <w:hyperlink r:id="rId49" w:tgtFrame="_new" w:history="1">
        <w:r w:rsidR="005A0A74" w:rsidRPr="0081727D">
          <w:rPr>
            <w:rStyle w:val="Hipervnculo"/>
            <w:rFonts w:ascii="Times New Roman" w:hAnsi="Times New Roman" w:cs="Times New Roman"/>
            <w:sz w:val="24"/>
            <w:szCs w:val="24"/>
          </w:rPr>
          <w:t>https://doi.org/10.1177/2158244019900176</w:t>
        </w:r>
      </w:hyperlink>
    </w:p>
    <w:p w14:paraId="7854D035" w14:textId="75E548B0" w:rsidR="00564DF8" w:rsidRPr="00564DF8" w:rsidRDefault="00C648B8" w:rsidP="009D28BE">
      <w:pPr>
        <w:spacing w:after="0" w:line="360" w:lineRule="auto"/>
        <w:ind w:left="709" w:hanging="709"/>
        <w:contextualSpacing w:val="0"/>
        <w:jc w:val="both"/>
        <w:rPr>
          <w:rFonts w:ascii="Times New Roman" w:hAnsi="Times New Roman" w:cs="Times New Roman"/>
          <w:iCs/>
          <w:sz w:val="24"/>
          <w:szCs w:val="24"/>
          <w:lang w:val="es-ES"/>
        </w:rPr>
      </w:pPr>
      <w:r w:rsidRPr="0081727D">
        <w:rPr>
          <w:rFonts w:ascii="Times New Roman" w:hAnsi="Times New Roman" w:cs="Times New Roman"/>
          <w:sz w:val="24"/>
          <w:szCs w:val="24"/>
          <w:lang w:val="es-ES"/>
        </w:rPr>
        <w:t xml:space="preserve">Villar, A. (2013). Formación y habilidades cognitivas en la población adulta española. Comparación intergeneracional de los conocimientos matemáticos a partir de los datos del PIAAC. </w:t>
      </w:r>
      <w:r w:rsidRPr="0081727D">
        <w:rPr>
          <w:rFonts w:ascii="Times New Roman" w:hAnsi="Times New Roman" w:cs="Times New Roman"/>
          <w:i/>
          <w:sz w:val="24"/>
          <w:szCs w:val="24"/>
          <w:lang w:val="es-ES"/>
        </w:rPr>
        <w:t>Instituto Nacional de Evaluación Educativa: PIAAC. Programa internacional para la evaluación de las competencias de la población adulta.</w:t>
      </w:r>
    </w:p>
    <w:p w14:paraId="1B0D7F00" w14:textId="78228B0F" w:rsidR="00564DF8" w:rsidRPr="00F25151" w:rsidRDefault="00C648B8" w:rsidP="009D28BE">
      <w:pPr>
        <w:spacing w:after="0" w:line="360" w:lineRule="auto"/>
        <w:ind w:left="709" w:hanging="709"/>
        <w:contextualSpacing w:val="0"/>
        <w:jc w:val="both"/>
        <w:rPr>
          <w:rFonts w:ascii="Times New Roman" w:hAnsi="Times New Roman" w:cs="Times New Roman"/>
          <w:iCs/>
          <w:sz w:val="24"/>
          <w:szCs w:val="24"/>
          <w:lang w:val="en-US"/>
        </w:rPr>
      </w:pPr>
      <w:r w:rsidRPr="00F25151">
        <w:rPr>
          <w:rFonts w:ascii="Times New Roman" w:hAnsi="Times New Roman" w:cs="Times New Roman"/>
          <w:iCs/>
          <w:sz w:val="24"/>
          <w:szCs w:val="24"/>
          <w:lang w:val="en-US"/>
        </w:rPr>
        <w:t xml:space="preserve">Wiener, R. C., Waters, C., &amp; Bastin, M. (2025). Appalachian Numeracy and Literacy and Oral Health, an Ecological Study, PIAAC and BRFSS. Journal of Public Health Dentistry. </w:t>
      </w:r>
      <w:hyperlink r:id="rId50" w:history="1">
        <w:r w:rsidR="00564DF8" w:rsidRPr="00F25151">
          <w:rPr>
            <w:rStyle w:val="Hipervnculo"/>
            <w:rFonts w:ascii="Times New Roman" w:hAnsi="Times New Roman" w:cs="Times New Roman"/>
            <w:iCs/>
            <w:sz w:val="24"/>
            <w:szCs w:val="24"/>
            <w:lang w:val="en-US"/>
          </w:rPr>
          <w:t>https://doi.org/10.1111/jphd.12672</w:t>
        </w:r>
      </w:hyperlink>
    </w:p>
    <w:p w14:paraId="7439A81D" w14:textId="333D6C53" w:rsidR="0057635D" w:rsidRPr="00F25151" w:rsidRDefault="00C648B8" w:rsidP="009D28BE">
      <w:pPr>
        <w:spacing w:after="0" w:line="360" w:lineRule="auto"/>
        <w:ind w:left="709" w:hanging="709"/>
        <w:contextualSpacing w:val="0"/>
        <w:jc w:val="both"/>
        <w:rPr>
          <w:lang w:val="en-US"/>
        </w:rPr>
      </w:pPr>
      <w:r w:rsidRPr="00D43E88">
        <w:rPr>
          <w:rFonts w:ascii="Times New Roman" w:hAnsi="Times New Roman" w:cs="Times New Roman"/>
          <w:iCs/>
          <w:sz w:val="24"/>
          <w:szCs w:val="24"/>
          <w:lang w:val="en-US"/>
        </w:rPr>
        <w:t xml:space="preserve">Xu, X. (2024). A profile of core workplace skills in developing countries: utilizing PIAAC datasets. </w:t>
      </w:r>
      <w:r w:rsidRPr="00D43E88">
        <w:rPr>
          <w:rFonts w:ascii="Times New Roman" w:hAnsi="Times New Roman" w:cs="Times New Roman"/>
          <w:i/>
          <w:sz w:val="24"/>
          <w:szCs w:val="24"/>
          <w:lang w:val="en-US"/>
        </w:rPr>
        <w:t>Higher Education, Skills and Work-Based Learning</w:t>
      </w:r>
      <w:r w:rsidRPr="00D43E88">
        <w:rPr>
          <w:rFonts w:ascii="Times New Roman" w:hAnsi="Times New Roman" w:cs="Times New Roman"/>
          <w:iCs/>
          <w:sz w:val="24"/>
          <w:szCs w:val="24"/>
          <w:lang w:val="en-US"/>
        </w:rPr>
        <w:t xml:space="preserve">, 14(2), 492-509. </w:t>
      </w:r>
      <w:hyperlink r:id="rId51" w:history="1">
        <w:r w:rsidR="0057635D" w:rsidRPr="00D43E88">
          <w:rPr>
            <w:rStyle w:val="Hipervnculo"/>
            <w:rFonts w:ascii="Times New Roman" w:hAnsi="Times New Roman" w:cs="Times New Roman"/>
            <w:iCs/>
            <w:sz w:val="24"/>
            <w:szCs w:val="24"/>
            <w:lang w:val="en-US"/>
          </w:rPr>
          <w:t>https://doi.org/10.1108/HESWBL-09-2022-0184</w:t>
        </w:r>
      </w:hyperlink>
    </w:p>
    <w:p w14:paraId="080DF042" w14:textId="040448E7" w:rsidR="00BD76A4" w:rsidRDefault="00BD76A4" w:rsidP="009D28BE">
      <w:pPr>
        <w:spacing w:after="0" w:line="360" w:lineRule="auto"/>
        <w:ind w:left="709" w:hanging="709"/>
        <w:contextualSpacing w:val="0"/>
        <w:jc w:val="both"/>
        <w:rPr>
          <w:rFonts w:ascii="Times New Roman" w:hAnsi="Times New Roman" w:cs="Times New Roman"/>
          <w:iCs/>
          <w:sz w:val="24"/>
          <w:szCs w:val="24"/>
          <w:lang w:val="en-US"/>
        </w:rPr>
      </w:pPr>
      <w:proofErr w:type="spellStart"/>
      <w:r w:rsidRPr="00F25151">
        <w:rPr>
          <w:rFonts w:ascii="Times New Roman" w:hAnsi="Times New Roman" w:cs="Times New Roman"/>
          <w:iCs/>
          <w:sz w:val="24"/>
          <w:szCs w:val="24"/>
          <w:lang w:val="pt-BR"/>
        </w:rPr>
        <w:lastRenderedPageBreak/>
        <w:t>Yildirim</w:t>
      </w:r>
      <w:proofErr w:type="spellEnd"/>
      <w:r w:rsidRPr="00F25151">
        <w:rPr>
          <w:rFonts w:ascii="Times New Roman" w:hAnsi="Times New Roman" w:cs="Times New Roman"/>
          <w:iCs/>
          <w:sz w:val="24"/>
          <w:szCs w:val="24"/>
          <w:lang w:val="pt-BR"/>
        </w:rPr>
        <w:t xml:space="preserve"> </w:t>
      </w:r>
      <w:proofErr w:type="spellStart"/>
      <w:r w:rsidRPr="00F25151">
        <w:rPr>
          <w:rFonts w:ascii="Times New Roman" w:hAnsi="Times New Roman" w:cs="Times New Roman"/>
          <w:iCs/>
          <w:sz w:val="24"/>
          <w:szCs w:val="24"/>
          <w:lang w:val="pt-BR"/>
        </w:rPr>
        <w:t>Erbasli</w:t>
      </w:r>
      <w:proofErr w:type="spellEnd"/>
      <w:r w:rsidRPr="00F25151">
        <w:rPr>
          <w:rFonts w:ascii="Times New Roman" w:hAnsi="Times New Roman" w:cs="Times New Roman"/>
          <w:iCs/>
          <w:sz w:val="24"/>
          <w:szCs w:val="24"/>
          <w:lang w:val="pt-BR"/>
        </w:rPr>
        <w:t xml:space="preserve">, S. N., </w:t>
      </w:r>
      <w:r w:rsidR="002C22C3" w:rsidRPr="00F25151">
        <w:rPr>
          <w:rFonts w:ascii="Times New Roman" w:hAnsi="Times New Roman" w:cs="Times New Roman"/>
          <w:iCs/>
          <w:sz w:val="24"/>
          <w:szCs w:val="24"/>
          <w:lang w:val="pt-BR"/>
        </w:rPr>
        <w:t>&amp;</w:t>
      </w:r>
      <w:r w:rsidRPr="00F25151">
        <w:rPr>
          <w:rFonts w:ascii="Times New Roman" w:hAnsi="Times New Roman" w:cs="Times New Roman"/>
          <w:iCs/>
          <w:sz w:val="24"/>
          <w:szCs w:val="24"/>
          <w:lang w:val="pt-BR"/>
        </w:rPr>
        <w:t xml:space="preserve"> </w:t>
      </w:r>
      <w:proofErr w:type="spellStart"/>
      <w:r w:rsidRPr="00F25151">
        <w:rPr>
          <w:rFonts w:ascii="Times New Roman" w:hAnsi="Times New Roman" w:cs="Times New Roman"/>
          <w:iCs/>
          <w:sz w:val="24"/>
          <w:szCs w:val="24"/>
          <w:lang w:val="pt-BR"/>
        </w:rPr>
        <w:t>Cui</w:t>
      </w:r>
      <w:proofErr w:type="spellEnd"/>
      <w:r w:rsidRPr="00F25151">
        <w:rPr>
          <w:rFonts w:ascii="Times New Roman" w:hAnsi="Times New Roman" w:cs="Times New Roman"/>
          <w:iCs/>
          <w:sz w:val="24"/>
          <w:szCs w:val="24"/>
          <w:lang w:val="pt-BR"/>
        </w:rPr>
        <w:t xml:space="preserve">, Y. (2022). </w:t>
      </w:r>
      <w:r w:rsidRPr="00BD76A4">
        <w:rPr>
          <w:rFonts w:ascii="Times New Roman" w:hAnsi="Times New Roman" w:cs="Times New Roman"/>
          <w:iCs/>
          <w:sz w:val="24"/>
          <w:szCs w:val="24"/>
          <w:lang w:val="en-US"/>
        </w:rPr>
        <w:t xml:space="preserve">Cognitive Skills of Canadian Educators: An Analysis of PIAAC Data. </w:t>
      </w:r>
      <w:r w:rsidRPr="00BD76A4">
        <w:rPr>
          <w:rFonts w:ascii="Times New Roman" w:hAnsi="Times New Roman" w:cs="Times New Roman"/>
          <w:i/>
          <w:sz w:val="24"/>
          <w:szCs w:val="24"/>
          <w:lang w:val="en-US"/>
        </w:rPr>
        <w:t>Alberta Journal of Educational Research</w:t>
      </w:r>
      <w:r w:rsidRPr="00BD76A4">
        <w:rPr>
          <w:rFonts w:ascii="Times New Roman" w:hAnsi="Times New Roman" w:cs="Times New Roman"/>
          <w:iCs/>
          <w:sz w:val="24"/>
          <w:szCs w:val="24"/>
          <w:lang w:val="en-US"/>
        </w:rPr>
        <w:t>, 68(2), 234</w:t>
      </w:r>
      <w:r>
        <w:rPr>
          <w:rFonts w:ascii="Times New Roman" w:hAnsi="Times New Roman" w:cs="Times New Roman"/>
          <w:iCs/>
          <w:sz w:val="24"/>
          <w:szCs w:val="24"/>
          <w:lang w:val="en-US"/>
        </w:rPr>
        <w:t>-</w:t>
      </w:r>
      <w:r w:rsidRPr="00BD76A4">
        <w:rPr>
          <w:rFonts w:ascii="Times New Roman" w:hAnsi="Times New Roman" w:cs="Times New Roman"/>
          <w:iCs/>
          <w:sz w:val="24"/>
          <w:szCs w:val="24"/>
          <w:lang w:val="en-US"/>
        </w:rPr>
        <w:t xml:space="preserve">253. </w:t>
      </w:r>
      <w:hyperlink r:id="rId52" w:history="1">
        <w:r w:rsidRPr="00502D22">
          <w:rPr>
            <w:rStyle w:val="Hipervnculo"/>
            <w:rFonts w:ascii="Times New Roman" w:hAnsi="Times New Roman" w:cs="Times New Roman"/>
            <w:iCs/>
            <w:sz w:val="24"/>
            <w:szCs w:val="24"/>
            <w:lang w:val="en-US"/>
          </w:rPr>
          <w:t>https://doi.org/10.11575/ajer.v68i2.71334</w:t>
        </w:r>
      </w:hyperlink>
    </w:p>
    <w:p w14:paraId="7814860E" w14:textId="1427F638" w:rsidR="00F5378E" w:rsidRPr="00F5378E" w:rsidRDefault="00F5378E" w:rsidP="00F5378E">
      <w:pPr>
        <w:spacing w:after="120" w:line="360" w:lineRule="auto"/>
        <w:ind w:firstLine="0"/>
        <w:contextualSpacing w:val="0"/>
        <w:rPr>
          <w:rFonts w:ascii="Times New Roman" w:hAnsi="Times New Roman" w:cs="Times New Roman"/>
          <w:b/>
          <w:bCs/>
          <w:iCs/>
          <w:sz w:val="28"/>
          <w:szCs w:val="28"/>
          <w:lang w:val="en-US"/>
        </w:rPr>
      </w:pPr>
    </w:p>
    <w:tbl>
      <w:tblPr>
        <w:tblStyle w:val="Tablaconcuadrcula"/>
        <w:tblW w:w="0" w:type="auto"/>
        <w:tblInd w:w="709" w:type="dxa"/>
        <w:tblLook w:val="04A0" w:firstRow="1" w:lastRow="0" w:firstColumn="1" w:lastColumn="0" w:noHBand="0" w:noVBand="1"/>
      </w:tblPr>
      <w:tblGrid>
        <w:gridCol w:w="2232"/>
        <w:gridCol w:w="5887"/>
      </w:tblGrid>
      <w:tr w:rsidR="00F5378E" w:rsidRPr="009D28BE" w14:paraId="769BCA5F" w14:textId="77777777" w:rsidTr="00294B02">
        <w:tc>
          <w:tcPr>
            <w:tcW w:w="2263" w:type="dxa"/>
          </w:tcPr>
          <w:p w14:paraId="3916F694" w14:textId="2BCFA48F" w:rsidR="00F5378E" w:rsidRPr="009D28BE" w:rsidRDefault="00F5378E" w:rsidP="000148F9">
            <w:pPr>
              <w:spacing w:after="120"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Contribution Role</w:t>
            </w:r>
          </w:p>
        </w:tc>
        <w:tc>
          <w:tcPr>
            <w:tcW w:w="6422" w:type="dxa"/>
          </w:tcPr>
          <w:p w14:paraId="40FE4B4E" w14:textId="52294424" w:rsidR="00F5378E" w:rsidRPr="009D28BE" w:rsidRDefault="00F5378E" w:rsidP="009D28BE">
            <w:pPr>
              <w:spacing w:after="120"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Author(s)</w:t>
            </w:r>
          </w:p>
        </w:tc>
      </w:tr>
      <w:tr w:rsidR="00F5378E" w:rsidRPr="009D28BE" w14:paraId="7D451476" w14:textId="77777777" w:rsidTr="00294B02">
        <w:tc>
          <w:tcPr>
            <w:tcW w:w="2263" w:type="dxa"/>
          </w:tcPr>
          <w:p w14:paraId="51AF92F3" w14:textId="3A03E7F9" w:rsidR="00F5378E" w:rsidRPr="009D28BE" w:rsidRDefault="009F3BB2"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Conceptualization</w:t>
            </w:r>
          </w:p>
        </w:tc>
        <w:tc>
          <w:tcPr>
            <w:tcW w:w="6422" w:type="dxa"/>
          </w:tcPr>
          <w:p w14:paraId="57A5589B" w14:textId="77D74544" w:rsidR="00F5378E" w:rsidRPr="009D28BE" w:rsidRDefault="007C0CA1"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 (principal), Norma Aida Valenzuela S</w:t>
            </w:r>
            <w:r w:rsidR="00394B0A" w:rsidRPr="009D28BE">
              <w:rPr>
                <w:rFonts w:ascii="Times New Roman" w:hAnsi="Times New Roman" w:cs="Times New Roman"/>
                <w:iCs/>
                <w:sz w:val="24"/>
                <w:szCs w:val="24"/>
                <w:lang w:val="en-US"/>
              </w:rPr>
              <w:t>á</w:t>
            </w:r>
            <w:r w:rsidRPr="009D28BE">
              <w:rPr>
                <w:rFonts w:ascii="Times New Roman" w:hAnsi="Times New Roman" w:cs="Times New Roman"/>
                <w:iCs/>
                <w:sz w:val="24"/>
                <w:szCs w:val="24"/>
                <w:lang w:val="en-US"/>
              </w:rPr>
              <w:t>nchez (supporter)</w:t>
            </w:r>
          </w:p>
        </w:tc>
      </w:tr>
      <w:tr w:rsidR="00F5378E" w:rsidRPr="009D28BE" w14:paraId="736FCEB8" w14:textId="77777777" w:rsidTr="00294B02">
        <w:tc>
          <w:tcPr>
            <w:tcW w:w="2263" w:type="dxa"/>
          </w:tcPr>
          <w:p w14:paraId="5E2EF11F" w14:textId="1CC31D9C" w:rsidR="00F5378E" w:rsidRPr="009D28BE" w:rsidRDefault="009F3BB2"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Methodology</w:t>
            </w:r>
          </w:p>
        </w:tc>
        <w:tc>
          <w:tcPr>
            <w:tcW w:w="6422" w:type="dxa"/>
          </w:tcPr>
          <w:p w14:paraId="49E50EA6" w14:textId="6367A1D3" w:rsidR="00F5378E" w:rsidRPr="009D28BE" w:rsidRDefault="008E5F1E"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 (same), Norma Aida Valenzuela S</w:t>
            </w:r>
            <w:r w:rsidR="00394B0A" w:rsidRPr="009D28BE">
              <w:rPr>
                <w:rFonts w:ascii="Times New Roman" w:hAnsi="Times New Roman" w:cs="Times New Roman"/>
                <w:iCs/>
                <w:sz w:val="24"/>
                <w:szCs w:val="24"/>
                <w:lang w:val="en-US"/>
              </w:rPr>
              <w:t>á</w:t>
            </w:r>
            <w:r w:rsidRPr="009D28BE">
              <w:rPr>
                <w:rFonts w:ascii="Times New Roman" w:hAnsi="Times New Roman" w:cs="Times New Roman"/>
                <w:iCs/>
                <w:sz w:val="24"/>
                <w:szCs w:val="24"/>
                <w:lang w:val="en-US"/>
              </w:rPr>
              <w:t>nchez (same)</w:t>
            </w:r>
          </w:p>
        </w:tc>
      </w:tr>
      <w:tr w:rsidR="00F5378E" w:rsidRPr="009D28BE" w14:paraId="7DD12056" w14:textId="77777777" w:rsidTr="00294B02">
        <w:tc>
          <w:tcPr>
            <w:tcW w:w="2263" w:type="dxa"/>
          </w:tcPr>
          <w:p w14:paraId="235A4F93" w14:textId="7C6782FA" w:rsidR="00F5378E" w:rsidRPr="009D28BE" w:rsidRDefault="009F3BB2"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Software</w:t>
            </w:r>
          </w:p>
        </w:tc>
        <w:tc>
          <w:tcPr>
            <w:tcW w:w="6422" w:type="dxa"/>
          </w:tcPr>
          <w:p w14:paraId="5AAB6F13" w14:textId="407018DD" w:rsidR="00F5378E"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Not Applicable</w:t>
            </w:r>
          </w:p>
        </w:tc>
      </w:tr>
      <w:tr w:rsidR="00F5378E" w:rsidRPr="009D28BE" w14:paraId="4E2EE02A" w14:textId="77777777" w:rsidTr="00294B02">
        <w:tc>
          <w:tcPr>
            <w:tcW w:w="2263" w:type="dxa"/>
          </w:tcPr>
          <w:p w14:paraId="5AD28DC9" w14:textId="32FBCB86" w:rsidR="00F5378E" w:rsidRPr="009D28BE" w:rsidRDefault="009F3BB2"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Validation</w:t>
            </w:r>
          </w:p>
        </w:tc>
        <w:tc>
          <w:tcPr>
            <w:tcW w:w="6422" w:type="dxa"/>
          </w:tcPr>
          <w:p w14:paraId="5A962C50" w14:textId="4BD36B0D" w:rsidR="00F5378E"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 (same), Norma Aida Valenzuela Sánchez (same)</w:t>
            </w:r>
          </w:p>
        </w:tc>
      </w:tr>
      <w:tr w:rsidR="00597346" w:rsidRPr="009D28BE" w14:paraId="62044626" w14:textId="77777777" w:rsidTr="00294B02">
        <w:tc>
          <w:tcPr>
            <w:tcW w:w="2263" w:type="dxa"/>
          </w:tcPr>
          <w:p w14:paraId="775A82B2" w14:textId="1CE1A828" w:rsidR="00597346" w:rsidRPr="009D28BE" w:rsidRDefault="00597346"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Formal Analysis</w:t>
            </w:r>
          </w:p>
        </w:tc>
        <w:tc>
          <w:tcPr>
            <w:tcW w:w="6422" w:type="dxa"/>
          </w:tcPr>
          <w:p w14:paraId="6654E5E4" w14:textId="0CD74A99" w:rsidR="00597346"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 (same), Norma Aida Valenzuela Sánchez (same)</w:t>
            </w:r>
          </w:p>
        </w:tc>
      </w:tr>
      <w:tr w:rsidR="00597346" w:rsidRPr="009D28BE" w14:paraId="1FB5CC8D" w14:textId="77777777" w:rsidTr="00294B02">
        <w:tc>
          <w:tcPr>
            <w:tcW w:w="2263" w:type="dxa"/>
          </w:tcPr>
          <w:p w14:paraId="59041657" w14:textId="10328258" w:rsidR="00597346" w:rsidRPr="009D28BE" w:rsidRDefault="00597346"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Investigation</w:t>
            </w:r>
          </w:p>
        </w:tc>
        <w:tc>
          <w:tcPr>
            <w:tcW w:w="6422" w:type="dxa"/>
          </w:tcPr>
          <w:p w14:paraId="0CD9EF16" w14:textId="2C973AE7" w:rsidR="00597346"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 (same), Norma Aida Valenzuela Sánchez (same)</w:t>
            </w:r>
          </w:p>
        </w:tc>
      </w:tr>
      <w:tr w:rsidR="00597346" w:rsidRPr="009D28BE" w14:paraId="158357EE" w14:textId="77777777" w:rsidTr="00294B02">
        <w:tc>
          <w:tcPr>
            <w:tcW w:w="2263" w:type="dxa"/>
          </w:tcPr>
          <w:p w14:paraId="1C75017C" w14:textId="19C42789" w:rsidR="00597346" w:rsidRPr="009D28BE" w:rsidRDefault="00597346"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Resources</w:t>
            </w:r>
          </w:p>
        </w:tc>
        <w:tc>
          <w:tcPr>
            <w:tcW w:w="6422" w:type="dxa"/>
          </w:tcPr>
          <w:p w14:paraId="4FC6B7BB" w14:textId="7EEC6D46" w:rsidR="00597346"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Not Applicable</w:t>
            </w:r>
          </w:p>
        </w:tc>
      </w:tr>
      <w:tr w:rsidR="00597346" w:rsidRPr="009D28BE" w14:paraId="7C86C9D5" w14:textId="77777777" w:rsidTr="00294B02">
        <w:tc>
          <w:tcPr>
            <w:tcW w:w="2263" w:type="dxa"/>
          </w:tcPr>
          <w:p w14:paraId="6AD0F483" w14:textId="7E433E77" w:rsidR="00597346" w:rsidRPr="009D28BE" w:rsidRDefault="00597346"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Data curation</w:t>
            </w:r>
          </w:p>
        </w:tc>
        <w:tc>
          <w:tcPr>
            <w:tcW w:w="6422" w:type="dxa"/>
          </w:tcPr>
          <w:p w14:paraId="6D41487D" w14:textId="7BC4B285" w:rsidR="00597346"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 (same), Norma Aida Valenzuela Sánchez (same)</w:t>
            </w:r>
          </w:p>
        </w:tc>
      </w:tr>
      <w:tr w:rsidR="00597346" w:rsidRPr="009D28BE" w14:paraId="1CC6D9AE" w14:textId="77777777" w:rsidTr="00294B02">
        <w:tc>
          <w:tcPr>
            <w:tcW w:w="2263" w:type="dxa"/>
          </w:tcPr>
          <w:p w14:paraId="59F9FC45" w14:textId="0325EC96" w:rsidR="00597346" w:rsidRPr="009D28BE" w:rsidRDefault="00597346"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Writing – Preparing               the original draft</w:t>
            </w:r>
          </w:p>
        </w:tc>
        <w:tc>
          <w:tcPr>
            <w:tcW w:w="6422" w:type="dxa"/>
          </w:tcPr>
          <w:p w14:paraId="664FC1B3" w14:textId="427332C4" w:rsidR="00597346"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 xml:space="preserve">Beatriz M. Terán-Pérez </w:t>
            </w:r>
          </w:p>
        </w:tc>
      </w:tr>
      <w:tr w:rsidR="00597346" w:rsidRPr="009D28BE" w14:paraId="35A4B7B9" w14:textId="77777777" w:rsidTr="00294B02">
        <w:tc>
          <w:tcPr>
            <w:tcW w:w="2263" w:type="dxa"/>
          </w:tcPr>
          <w:p w14:paraId="1399A009" w14:textId="0F05E6A9" w:rsidR="00597346" w:rsidRPr="009D28BE" w:rsidRDefault="00597346"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Writing – Review and Editing</w:t>
            </w:r>
          </w:p>
        </w:tc>
        <w:tc>
          <w:tcPr>
            <w:tcW w:w="6422" w:type="dxa"/>
          </w:tcPr>
          <w:p w14:paraId="079D391D" w14:textId="0E944A8C" w:rsidR="00597346"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 (same), Norma Aida Valenzuela Sánchez (same)</w:t>
            </w:r>
          </w:p>
        </w:tc>
      </w:tr>
      <w:tr w:rsidR="00597346" w:rsidRPr="009D28BE" w14:paraId="39B17F84" w14:textId="77777777" w:rsidTr="00294B02">
        <w:tc>
          <w:tcPr>
            <w:tcW w:w="2263" w:type="dxa"/>
          </w:tcPr>
          <w:p w14:paraId="0B28F1CD" w14:textId="093DBA5C" w:rsidR="00597346" w:rsidRPr="009D28BE" w:rsidRDefault="00597346"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Display</w:t>
            </w:r>
          </w:p>
        </w:tc>
        <w:tc>
          <w:tcPr>
            <w:tcW w:w="6422" w:type="dxa"/>
          </w:tcPr>
          <w:p w14:paraId="3CD104CA" w14:textId="5CA5CE49" w:rsidR="00597346"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w:t>
            </w:r>
          </w:p>
        </w:tc>
      </w:tr>
      <w:tr w:rsidR="00597346" w:rsidRPr="009D28BE" w14:paraId="523E3E63" w14:textId="77777777" w:rsidTr="00294B02">
        <w:tc>
          <w:tcPr>
            <w:tcW w:w="2263" w:type="dxa"/>
          </w:tcPr>
          <w:p w14:paraId="6975C564" w14:textId="5451D4F7" w:rsidR="00597346" w:rsidRPr="009D28BE" w:rsidRDefault="00597346"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Supervision</w:t>
            </w:r>
          </w:p>
        </w:tc>
        <w:tc>
          <w:tcPr>
            <w:tcW w:w="6422" w:type="dxa"/>
          </w:tcPr>
          <w:p w14:paraId="66227062" w14:textId="3D449318" w:rsidR="00597346"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 (same), Norma Aida Valenzuela Sánchez (same)</w:t>
            </w:r>
          </w:p>
        </w:tc>
      </w:tr>
      <w:tr w:rsidR="00597346" w:rsidRPr="009D28BE" w14:paraId="0C145031" w14:textId="77777777" w:rsidTr="00294B02">
        <w:tc>
          <w:tcPr>
            <w:tcW w:w="2263" w:type="dxa"/>
          </w:tcPr>
          <w:p w14:paraId="38EC2D30" w14:textId="2FDF6812" w:rsidR="00597346" w:rsidRPr="009D28BE" w:rsidRDefault="00597346"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Project Management</w:t>
            </w:r>
          </w:p>
        </w:tc>
        <w:tc>
          <w:tcPr>
            <w:tcW w:w="6422" w:type="dxa"/>
          </w:tcPr>
          <w:p w14:paraId="578E6061" w14:textId="1C7E7F48" w:rsidR="00597346"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 (same), Norma Aida Valenzuela Sánchez (same)</w:t>
            </w:r>
          </w:p>
        </w:tc>
      </w:tr>
      <w:tr w:rsidR="00597346" w:rsidRPr="009D28BE" w14:paraId="61A0FE7A" w14:textId="77777777" w:rsidTr="00294B02">
        <w:tc>
          <w:tcPr>
            <w:tcW w:w="2263" w:type="dxa"/>
          </w:tcPr>
          <w:p w14:paraId="0255314F" w14:textId="04893A06" w:rsidR="00597346" w:rsidRPr="009D28BE" w:rsidRDefault="00597346" w:rsidP="009D28BE">
            <w:pPr>
              <w:spacing w:line="360" w:lineRule="auto"/>
              <w:ind w:firstLine="0"/>
              <w:contextualSpacing w:val="0"/>
              <w:rPr>
                <w:rFonts w:ascii="Times New Roman" w:hAnsi="Times New Roman" w:cs="Times New Roman"/>
                <w:iCs/>
                <w:sz w:val="24"/>
                <w:szCs w:val="24"/>
                <w:lang w:val="en-US"/>
              </w:rPr>
            </w:pPr>
            <w:r w:rsidRPr="009D28BE">
              <w:rPr>
                <w:rFonts w:ascii="Times New Roman" w:hAnsi="Times New Roman" w:cs="Times New Roman"/>
                <w:iCs/>
                <w:sz w:val="24"/>
                <w:szCs w:val="24"/>
                <w:lang w:val="en-US"/>
              </w:rPr>
              <w:t>Acquisition of funds</w:t>
            </w:r>
          </w:p>
        </w:tc>
        <w:tc>
          <w:tcPr>
            <w:tcW w:w="6422" w:type="dxa"/>
          </w:tcPr>
          <w:p w14:paraId="19515E72" w14:textId="77806848" w:rsidR="00597346" w:rsidRPr="009D28BE" w:rsidRDefault="00597346" w:rsidP="009D28BE">
            <w:pPr>
              <w:spacing w:line="276" w:lineRule="auto"/>
              <w:ind w:firstLine="0"/>
              <w:contextualSpacing w:val="0"/>
              <w:jc w:val="both"/>
              <w:rPr>
                <w:rFonts w:ascii="Times New Roman" w:hAnsi="Times New Roman" w:cs="Times New Roman"/>
                <w:iCs/>
                <w:sz w:val="24"/>
                <w:szCs w:val="24"/>
                <w:lang w:val="en-US"/>
              </w:rPr>
            </w:pPr>
            <w:r w:rsidRPr="009D28BE">
              <w:rPr>
                <w:rFonts w:ascii="Times New Roman" w:hAnsi="Times New Roman" w:cs="Times New Roman"/>
                <w:iCs/>
                <w:sz w:val="24"/>
                <w:szCs w:val="24"/>
                <w:lang w:val="en-US"/>
              </w:rPr>
              <w:t>Beatriz M. Terán-Pérez (same), Norma Aida Valenzuela Sánchez (same)</w:t>
            </w:r>
          </w:p>
        </w:tc>
      </w:tr>
    </w:tbl>
    <w:p w14:paraId="383DF0E0" w14:textId="77777777" w:rsidR="00F5378E" w:rsidRPr="00F5378E" w:rsidRDefault="00F5378E" w:rsidP="00F5378E">
      <w:pPr>
        <w:spacing w:after="120" w:line="360" w:lineRule="auto"/>
        <w:ind w:left="709" w:hanging="709"/>
        <w:contextualSpacing w:val="0"/>
        <w:jc w:val="center"/>
        <w:rPr>
          <w:rFonts w:ascii="Times New Roman" w:hAnsi="Times New Roman" w:cs="Times New Roman"/>
          <w:b/>
          <w:bCs/>
          <w:iCs/>
          <w:sz w:val="32"/>
          <w:szCs w:val="32"/>
          <w:lang w:val="en-US"/>
        </w:rPr>
      </w:pPr>
    </w:p>
    <w:p w14:paraId="35A6F066" w14:textId="77777777" w:rsidR="00BD76A4" w:rsidRPr="00D43E88" w:rsidRDefault="00BD76A4" w:rsidP="00A16E46">
      <w:pPr>
        <w:spacing w:after="120" w:line="360" w:lineRule="auto"/>
        <w:ind w:left="709" w:hanging="709"/>
        <w:contextualSpacing w:val="0"/>
        <w:jc w:val="both"/>
        <w:rPr>
          <w:rFonts w:ascii="Times New Roman" w:hAnsi="Times New Roman" w:cs="Times New Roman"/>
          <w:iCs/>
          <w:sz w:val="24"/>
          <w:szCs w:val="24"/>
          <w:lang w:val="en-US"/>
        </w:rPr>
      </w:pPr>
    </w:p>
    <w:p w14:paraId="0583E813" w14:textId="77777777" w:rsidR="00702FCF" w:rsidRPr="00070FBD" w:rsidRDefault="00702FCF" w:rsidP="00702FCF">
      <w:pPr>
        <w:rPr>
          <w:rFonts w:ascii="Arial" w:hAnsi="Arial" w:cs="Arial"/>
          <w:b/>
          <w:bCs/>
          <w:lang w:val="en-US"/>
        </w:rPr>
      </w:pPr>
    </w:p>
    <w:sectPr w:rsidR="00702FCF" w:rsidRPr="00070FBD" w:rsidSect="009D28BE">
      <w:headerReference w:type="default" r:id="rId53"/>
      <w:footerReference w:type="default" r:id="rId54"/>
      <w:pgSz w:w="12240" w:h="15840" w:code="1"/>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361A" w14:textId="77777777" w:rsidR="00D202CE" w:rsidRDefault="00D202CE">
      <w:pPr>
        <w:spacing w:after="0" w:line="240" w:lineRule="auto"/>
      </w:pPr>
      <w:r>
        <w:separator/>
      </w:r>
    </w:p>
  </w:endnote>
  <w:endnote w:type="continuationSeparator" w:id="0">
    <w:p w14:paraId="0E218C1E" w14:textId="77777777" w:rsidR="00D202CE" w:rsidRDefault="00D2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A5F4" w14:textId="611E5D83" w:rsidR="00CD5B94" w:rsidRPr="009D28BE" w:rsidRDefault="009D28BE" w:rsidP="009D28BE">
    <w:pPr>
      <w:pStyle w:val="Piedepgina"/>
      <w:ind w:firstLine="0"/>
      <w:jc w:val="center"/>
      <w:rPr>
        <w:sz w:val="20"/>
        <w:szCs w:val="20"/>
      </w:rPr>
    </w:pPr>
    <w:r w:rsidRPr="002A3D98">
      <w:rPr>
        <w:noProof/>
        <w:lang w:eastAsia="es-MX"/>
      </w:rPr>
      <w:drawing>
        <wp:inline distT="0" distB="0" distL="0" distR="0" wp14:anchorId="25832387" wp14:editId="32F6B5EE">
          <wp:extent cx="1600200" cy="419100"/>
          <wp:effectExtent l="0" t="0" r="0" b="0"/>
          <wp:docPr id="1247124253" name="Imagen 124712425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sz w:val="20"/>
        <w:szCs w:val="20"/>
      </w:rPr>
      <w:t xml:space="preserve">          </w:t>
    </w:r>
    <w:r w:rsidRPr="006739CC">
      <w:rPr>
        <w:rFonts w:cs="Calibri"/>
        <w:b/>
      </w:rPr>
      <w:t>Vol. 1</w:t>
    </w:r>
    <w:r>
      <w:rPr>
        <w:rFonts w:cs="Calibri"/>
        <w:b/>
      </w:rPr>
      <w:t>6</w:t>
    </w:r>
    <w:r w:rsidRPr="006739CC">
      <w:rPr>
        <w:rFonts w:cs="Calibri"/>
        <w:b/>
      </w:rPr>
      <w:t xml:space="preserve"> </w:t>
    </w:r>
    <w:proofErr w:type="spellStart"/>
    <w:r w:rsidRPr="006739CC">
      <w:rPr>
        <w:rFonts w:cs="Calibri"/>
        <w:b/>
      </w:rPr>
      <w:t>Num</w:t>
    </w:r>
    <w:proofErr w:type="spellEnd"/>
    <w:r w:rsidRPr="006739CC">
      <w:rPr>
        <w:rFonts w:cs="Calibri"/>
        <w:b/>
      </w:rPr>
      <w:t xml:space="preserve">. </w:t>
    </w:r>
    <w:r>
      <w:rPr>
        <w:rFonts w:cs="Calibri"/>
        <w:b/>
      </w:rPr>
      <w:t>31</w:t>
    </w:r>
    <w:r w:rsidRPr="006739CC">
      <w:rPr>
        <w:rFonts w:cs="Calibri"/>
        <w:b/>
      </w:rPr>
      <w:t xml:space="preserve"> </w:t>
    </w:r>
    <w:r>
      <w:rPr>
        <w:rFonts w:cs="Calibri"/>
        <w:b/>
      </w:rPr>
      <w:t xml:space="preserve">Julio - </w:t>
    </w:r>
    <w:proofErr w:type="gramStart"/>
    <w:r>
      <w:rPr>
        <w:rFonts w:cs="Calibri"/>
        <w:b/>
      </w:rPr>
      <w:t>Diciembre</w:t>
    </w:r>
    <w:proofErr w:type="gramEnd"/>
    <w:r>
      <w:rPr>
        <w:rFonts w:cs="Calibri"/>
        <w:b/>
      </w:rPr>
      <w:t xml:space="preserve"> 2025</w:t>
    </w:r>
    <w:r w:rsidRPr="001043F3">
      <w:rPr>
        <w:rFonts w:cs="Calibri"/>
        <w:b/>
      </w:rPr>
      <w:t>, e</w:t>
    </w:r>
    <w:r w:rsidR="0056654A">
      <w:rPr>
        <w:rFonts w:cs="Calibri"/>
        <w:b/>
      </w:rPr>
      <w:t>954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655B" w14:textId="77777777" w:rsidR="00D202CE" w:rsidRDefault="00D202CE">
      <w:pPr>
        <w:spacing w:after="0" w:line="240" w:lineRule="auto"/>
      </w:pPr>
      <w:r>
        <w:separator/>
      </w:r>
    </w:p>
  </w:footnote>
  <w:footnote w:type="continuationSeparator" w:id="0">
    <w:p w14:paraId="59BCB525" w14:textId="77777777" w:rsidR="00D202CE" w:rsidRDefault="00D20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54B8" w14:textId="42E27974" w:rsidR="009D28BE" w:rsidRDefault="009D28BE" w:rsidP="009D28BE">
    <w:pPr>
      <w:pStyle w:val="Encabezado"/>
      <w:ind w:firstLine="0"/>
      <w:jc w:val="center"/>
    </w:pPr>
    <w:r w:rsidRPr="002A3D98">
      <w:rPr>
        <w:noProof/>
        <w:lang w:eastAsia="es-MX"/>
      </w:rPr>
      <w:drawing>
        <wp:inline distT="0" distB="0" distL="0" distR="0" wp14:anchorId="055A2C1D" wp14:editId="6F5B0742">
          <wp:extent cx="5397500" cy="635000"/>
          <wp:effectExtent l="0" t="0" r="0" b="0"/>
          <wp:docPr id="365579919" name="Imagen 36557991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9A4"/>
    <w:multiLevelType w:val="hybridMultilevel"/>
    <w:tmpl w:val="BB4271EC"/>
    <w:lvl w:ilvl="0" w:tplc="79DC9360">
      <w:start w:val="1"/>
      <w:numFmt w:val="upperLetter"/>
      <w:lvlText w:val="%1."/>
      <w:lvlJc w:val="left"/>
      <w:pPr>
        <w:ind w:left="720" w:hanging="360"/>
      </w:pPr>
      <w:rPr>
        <w:rFonts w:hint="default"/>
      </w:rPr>
    </w:lvl>
    <w:lvl w:ilvl="1" w:tplc="5A28406E" w:tentative="1">
      <w:start w:val="1"/>
      <w:numFmt w:val="lowerLetter"/>
      <w:lvlText w:val="%2."/>
      <w:lvlJc w:val="left"/>
      <w:pPr>
        <w:ind w:left="1440" w:hanging="360"/>
      </w:pPr>
    </w:lvl>
    <w:lvl w:ilvl="2" w:tplc="2624A0E2" w:tentative="1">
      <w:start w:val="1"/>
      <w:numFmt w:val="lowerRoman"/>
      <w:lvlText w:val="%3."/>
      <w:lvlJc w:val="right"/>
      <w:pPr>
        <w:ind w:left="2160" w:hanging="180"/>
      </w:pPr>
    </w:lvl>
    <w:lvl w:ilvl="3" w:tplc="775224DC" w:tentative="1">
      <w:start w:val="1"/>
      <w:numFmt w:val="decimal"/>
      <w:lvlText w:val="%4."/>
      <w:lvlJc w:val="left"/>
      <w:pPr>
        <w:ind w:left="2880" w:hanging="360"/>
      </w:pPr>
    </w:lvl>
    <w:lvl w:ilvl="4" w:tplc="8B26AF32" w:tentative="1">
      <w:start w:val="1"/>
      <w:numFmt w:val="lowerLetter"/>
      <w:lvlText w:val="%5."/>
      <w:lvlJc w:val="left"/>
      <w:pPr>
        <w:ind w:left="3600" w:hanging="360"/>
      </w:pPr>
    </w:lvl>
    <w:lvl w:ilvl="5" w:tplc="A10E1F4C" w:tentative="1">
      <w:start w:val="1"/>
      <w:numFmt w:val="lowerRoman"/>
      <w:lvlText w:val="%6."/>
      <w:lvlJc w:val="right"/>
      <w:pPr>
        <w:ind w:left="4320" w:hanging="180"/>
      </w:pPr>
    </w:lvl>
    <w:lvl w:ilvl="6" w:tplc="E69C7B3A" w:tentative="1">
      <w:start w:val="1"/>
      <w:numFmt w:val="decimal"/>
      <w:lvlText w:val="%7."/>
      <w:lvlJc w:val="left"/>
      <w:pPr>
        <w:ind w:left="5040" w:hanging="360"/>
      </w:pPr>
    </w:lvl>
    <w:lvl w:ilvl="7" w:tplc="D5FEEF5E" w:tentative="1">
      <w:start w:val="1"/>
      <w:numFmt w:val="lowerLetter"/>
      <w:lvlText w:val="%8."/>
      <w:lvlJc w:val="left"/>
      <w:pPr>
        <w:ind w:left="5760" w:hanging="360"/>
      </w:pPr>
    </w:lvl>
    <w:lvl w:ilvl="8" w:tplc="AC363E5E" w:tentative="1">
      <w:start w:val="1"/>
      <w:numFmt w:val="lowerRoman"/>
      <w:lvlText w:val="%9."/>
      <w:lvlJc w:val="right"/>
      <w:pPr>
        <w:ind w:left="6480" w:hanging="180"/>
      </w:pPr>
    </w:lvl>
  </w:abstractNum>
  <w:abstractNum w:abstractNumId="1" w15:restartNumberingAfterBreak="0">
    <w:nsid w:val="1A561D59"/>
    <w:multiLevelType w:val="hybridMultilevel"/>
    <w:tmpl w:val="DD3CE300"/>
    <w:lvl w:ilvl="0" w:tplc="3D788280">
      <w:start w:val="1"/>
      <w:numFmt w:val="decimal"/>
      <w:lvlText w:val="%1."/>
      <w:lvlJc w:val="left"/>
      <w:pPr>
        <w:ind w:left="720" w:hanging="360"/>
      </w:pPr>
      <w:rPr>
        <w:rFonts w:hint="default"/>
      </w:rPr>
    </w:lvl>
    <w:lvl w:ilvl="1" w:tplc="DCFAE6AA" w:tentative="1">
      <w:start w:val="1"/>
      <w:numFmt w:val="lowerLetter"/>
      <w:lvlText w:val="%2."/>
      <w:lvlJc w:val="left"/>
      <w:pPr>
        <w:ind w:left="1440" w:hanging="360"/>
      </w:pPr>
    </w:lvl>
    <w:lvl w:ilvl="2" w:tplc="CF06BFE8" w:tentative="1">
      <w:start w:val="1"/>
      <w:numFmt w:val="lowerRoman"/>
      <w:lvlText w:val="%3."/>
      <w:lvlJc w:val="right"/>
      <w:pPr>
        <w:ind w:left="2160" w:hanging="180"/>
      </w:pPr>
    </w:lvl>
    <w:lvl w:ilvl="3" w:tplc="C5C21834" w:tentative="1">
      <w:start w:val="1"/>
      <w:numFmt w:val="decimal"/>
      <w:lvlText w:val="%4."/>
      <w:lvlJc w:val="left"/>
      <w:pPr>
        <w:ind w:left="2880" w:hanging="360"/>
      </w:pPr>
    </w:lvl>
    <w:lvl w:ilvl="4" w:tplc="08225D1E" w:tentative="1">
      <w:start w:val="1"/>
      <w:numFmt w:val="lowerLetter"/>
      <w:lvlText w:val="%5."/>
      <w:lvlJc w:val="left"/>
      <w:pPr>
        <w:ind w:left="3600" w:hanging="360"/>
      </w:pPr>
    </w:lvl>
    <w:lvl w:ilvl="5" w:tplc="E09C6586" w:tentative="1">
      <w:start w:val="1"/>
      <w:numFmt w:val="lowerRoman"/>
      <w:lvlText w:val="%6."/>
      <w:lvlJc w:val="right"/>
      <w:pPr>
        <w:ind w:left="4320" w:hanging="180"/>
      </w:pPr>
    </w:lvl>
    <w:lvl w:ilvl="6" w:tplc="5A6AF2DC" w:tentative="1">
      <w:start w:val="1"/>
      <w:numFmt w:val="decimal"/>
      <w:lvlText w:val="%7."/>
      <w:lvlJc w:val="left"/>
      <w:pPr>
        <w:ind w:left="5040" w:hanging="360"/>
      </w:pPr>
    </w:lvl>
    <w:lvl w:ilvl="7" w:tplc="62E8B8DA" w:tentative="1">
      <w:start w:val="1"/>
      <w:numFmt w:val="lowerLetter"/>
      <w:lvlText w:val="%8."/>
      <w:lvlJc w:val="left"/>
      <w:pPr>
        <w:ind w:left="5760" w:hanging="360"/>
      </w:pPr>
    </w:lvl>
    <w:lvl w:ilvl="8" w:tplc="0FCE98DC" w:tentative="1">
      <w:start w:val="1"/>
      <w:numFmt w:val="lowerRoman"/>
      <w:lvlText w:val="%9."/>
      <w:lvlJc w:val="right"/>
      <w:pPr>
        <w:ind w:left="6480" w:hanging="180"/>
      </w:pPr>
    </w:lvl>
  </w:abstractNum>
  <w:abstractNum w:abstractNumId="2" w15:restartNumberingAfterBreak="0">
    <w:nsid w:val="1C7F5C6E"/>
    <w:multiLevelType w:val="multilevel"/>
    <w:tmpl w:val="5C66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A7FC9"/>
    <w:multiLevelType w:val="hybridMultilevel"/>
    <w:tmpl w:val="3E525C76"/>
    <w:lvl w:ilvl="0" w:tplc="FB98B680">
      <w:start w:val="1"/>
      <w:numFmt w:val="bullet"/>
      <w:lvlText w:val=""/>
      <w:lvlJc w:val="left"/>
      <w:pPr>
        <w:ind w:left="720" w:hanging="360"/>
      </w:pPr>
      <w:rPr>
        <w:rFonts w:ascii="Symbol" w:hAnsi="Symbol" w:hint="default"/>
      </w:rPr>
    </w:lvl>
    <w:lvl w:ilvl="1" w:tplc="C8E45D86" w:tentative="1">
      <w:start w:val="1"/>
      <w:numFmt w:val="bullet"/>
      <w:lvlText w:val="o"/>
      <w:lvlJc w:val="left"/>
      <w:pPr>
        <w:ind w:left="1440" w:hanging="360"/>
      </w:pPr>
      <w:rPr>
        <w:rFonts w:ascii="Courier New" w:hAnsi="Courier New" w:cs="Courier New" w:hint="default"/>
      </w:rPr>
    </w:lvl>
    <w:lvl w:ilvl="2" w:tplc="6E4CF922" w:tentative="1">
      <w:start w:val="1"/>
      <w:numFmt w:val="bullet"/>
      <w:lvlText w:val=""/>
      <w:lvlJc w:val="left"/>
      <w:pPr>
        <w:ind w:left="2160" w:hanging="360"/>
      </w:pPr>
      <w:rPr>
        <w:rFonts w:ascii="Wingdings" w:hAnsi="Wingdings" w:hint="default"/>
      </w:rPr>
    </w:lvl>
    <w:lvl w:ilvl="3" w:tplc="521C54A2" w:tentative="1">
      <w:start w:val="1"/>
      <w:numFmt w:val="bullet"/>
      <w:lvlText w:val=""/>
      <w:lvlJc w:val="left"/>
      <w:pPr>
        <w:ind w:left="2880" w:hanging="360"/>
      </w:pPr>
      <w:rPr>
        <w:rFonts w:ascii="Symbol" w:hAnsi="Symbol" w:hint="default"/>
      </w:rPr>
    </w:lvl>
    <w:lvl w:ilvl="4" w:tplc="4734E73A" w:tentative="1">
      <w:start w:val="1"/>
      <w:numFmt w:val="bullet"/>
      <w:lvlText w:val="o"/>
      <w:lvlJc w:val="left"/>
      <w:pPr>
        <w:ind w:left="3600" w:hanging="360"/>
      </w:pPr>
      <w:rPr>
        <w:rFonts w:ascii="Courier New" w:hAnsi="Courier New" w:cs="Courier New" w:hint="default"/>
      </w:rPr>
    </w:lvl>
    <w:lvl w:ilvl="5" w:tplc="5686C75C" w:tentative="1">
      <w:start w:val="1"/>
      <w:numFmt w:val="bullet"/>
      <w:lvlText w:val=""/>
      <w:lvlJc w:val="left"/>
      <w:pPr>
        <w:ind w:left="4320" w:hanging="360"/>
      </w:pPr>
      <w:rPr>
        <w:rFonts w:ascii="Wingdings" w:hAnsi="Wingdings" w:hint="default"/>
      </w:rPr>
    </w:lvl>
    <w:lvl w:ilvl="6" w:tplc="D05006BA" w:tentative="1">
      <w:start w:val="1"/>
      <w:numFmt w:val="bullet"/>
      <w:lvlText w:val=""/>
      <w:lvlJc w:val="left"/>
      <w:pPr>
        <w:ind w:left="5040" w:hanging="360"/>
      </w:pPr>
      <w:rPr>
        <w:rFonts w:ascii="Symbol" w:hAnsi="Symbol" w:hint="default"/>
      </w:rPr>
    </w:lvl>
    <w:lvl w:ilvl="7" w:tplc="6DBAD5BC" w:tentative="1">
      <w:start w:val="1"/>
      <w:numFmt w:val="bullet"/>
      <w:lvlText w:val="o"/>
      <w:lvlJc w:val="left"/>
      <w:pPr>
        <w:ind w:left="5760" w:hanging="360"/>
      </w:pPr>
      <w:rPr>
        <w:rFonts w:ascii="Courier New" w:hAnsi="Courier New" w:cs="Courier New" w:hint="default"/>
      </w:rPr>
    </w:lvl>
    <w:lvl w:ilvl="8" w:tplc="3C52922A" w:tentative="1">
      <w:start w:val="1"/>
      <w:numFmt w:val="bullet"/>
      <w:lvlText w:val=""/>
      <w:lvlJc w:val="left"/>
      <w:pPr>
        <w:ind w:left="6480" w:hanging="360"/>
      </w:pPr>
      <w:rPr>
        <w:rFonts w:ascii="Wingdings" w:hAnsi="Wingdings" w:hint="default"/>
      </w:rPr>
    </w:lvl>
  </w:abstractNum>
  <w:abstractNum w:abstractNumId="4" w15:restartNumberingAfterBreak="0">
    <w:nsid w:val="2BF0483F"/>
    <w:multiLevelType w:val="multilevel"/>
    <w:tmpl w:val="BE9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C54A1"/>
    <w:multiLevelType w:val="hybridMultilevel"/>
    <w:tmpl w:val="62CEEEC0"/>
    <w:lvl w:ilvl="0" w:tplc="32F42690">
      <w:start w:val="1"/>
      <w:numFmt w:val="bullet"/>
      <w:lvlText w:val=""/>
      <w:lvlJc w:val="left"/>
      <w:pPr>
        <w:ind w:left="720" w:hanging="360"/>
      </w:pPr>
      <w:rPr>
        <w:rFonts w:ascii="Symbol" w:hAnsi="Symbol" w:hint="default"/>
      </w:rPr>
    </w:lvl>
    <w:lvl w:ilvl="1" w:tplc="A784009E" w:tentative="1">
      <w:start w:val="1"/>
      <w:numFmt w:val="bullet"/>
      <w:lvlText w:val="o"/>
      <w:lvlJc w:val="left"/>
      <w:pPr>
        <w:ind w:left="1440" w:hanging="360"/>
      </w:pPr>
      <w:rPr>
        <w:rFonts w:ascii="Courier New" w:hAnsi="Courier New" w:cs="Courier New" w:hint="default"/>
      </w:rPr>
    </w:lvl>
    <w:lvl w:ilvl="2" w:tplc="F078CA72" w:tentative="1">
      <w:start w:val="1"/>
      <w:numFmt w:val="bullet"/>
      <w:lvlText w:val=""/>
      <w:lvlJc w:val="left"/>
      <w:pPr>
        <w:ind w:left="2160" w:hanging="360"/>
      </w:pPr>
      <w:rPr>
        <w:rFonts w:ascii="Wingdings" w:hAnsi="Wingdings" w:hint="default"/>
      </w:rPr>
    </w:lvl>
    <w:lvl w:ilvl="3" w:tplc="322C0E54" w:tentative="1">
      <w:start w:val="1"/>
      <w:numFmt w:val="bullet"/>
      <w:lvlText w:val=""/>
      <w:lvlJc w:val="left"/>
      <w:pPr>
        <w:ind w:left="2880" w:hanging="360"/>
      </w:pPr>
      <w:rPr>
        <w:rFonts w:ascii="Symbol" w:hAnsi="Symbol" w:hint="default"/>
      </w:rPr>
    </w:lvl>
    <w:lvl w:ilvl="4" w:tplc="2C6A5B1C" w:tentative="1">
      <w:start w:val="1"/>
      <w:numFmt w:val="bullet"/>
      <w:lvlText w:val="o"/>
      <w:lvlJc w:val="left"/>
      <w:pPr>
        <w:ind w:left="3600" w:hanging="360"/>
      </w:pPr>
      <w:rPr>
        <w:rFonts w:ascii="Courier New" w:hAnsi="Courier New" w:cs="Courier New" w:hint="default"/>
      </w:rPr>
    </w:lvl>
    <w:lvl w:ilvl="5" w:tplc="D916D61C" w:tentative="1">
      <w:start w:val="1"/>
      <w:numFmt w:val="bullet"/>
      <w:lvlText w:val=""/>
      <w:lvlJc w:val="left"/>
      <w:pPr>
        <w:ind w:left="4320" w:hanging="360"/>
      </w:pPr>
      <w:rPr>
        <w:rFonts w:ascii="Wingdings" w:hAnsi="Wingdings" w:hint="default"/>
      </w:rPr>
    </w:lvl>
    <w:lvl w:ilvl="6" w:tplc="7660C02A" w:tentative="1">
      <w:start w:val="1"/>
      <w:numFmt w:val="bullet"/>
      <w:lvlText w:val=""/>
      <w:lvlJc w:val="left"/>
      <w:pPr>
        <w:ind w:left="5040" w:hanging="360"/>
      </w:pPr>
      <w:rPr>
        <w:rFonts w:ascii="Symbol" w:hAnsi="Symbol" w:hint="default"/>
      </w:rPr>
    </w:lvl>
    <w:lvl w:ilvl="7" w:tplc="818C5E1C" w:tentative="1">
      <w:start w:val="1"/>
      <w:numFmt w:val="bullet"/>
      <w:lvlText w:val="o"/>
      <w:lvlJc w:val="left"/>
      <w:pPr>
        <w:ind w:left="5760" w:hanging="360"/>
      </w:pPr>
      <w:rPr>
        <w:rFonts w:ascii="Courier New" w:hAnsi="Courier New" w:cs="Courier New" w:hint="default"/>
      </w:rPr>
    </w:lvl>
    <w:lvl w:ilvl="8" w:tplc="C0B20218" w:tentative="1">
      <w:start w:val="1"/>
      <w:numFmt w:val="bullet"/>
      <w:lvlText w:val=""/>
      <w:lvlJc w:val="left"/>
      <w:pPr>
        <w:ind w:left="6480" w:hanging="360"/>
      </w:pPr>
      <w:rPr>
        <w:rFonts w:ascii="Wingdings" w:hAnsi="Wingdings" w:hint="default"/>
      </w:rPr>
    </w:lvl>
  </w:abstractNum>
  <w:abstractNum w:abstractNumId="6" w15:restartNumberingAfterBreak="0">
    <w:nsid w:val="4BDA39CE"/>
    <w:multiLevelType w:val="hybridMultilevel"/>
    <w:tmpl w:val="1E6EE3A8"/>
    <w:lvl w:ilvl="0" w:tplc="D026D176">
      <w:start w:val="1"/>
      <w:numFmt w:val="bullet"/>
      <w:lvlText w:val=""/>
      <w:lvlJc w:val="left"/>
      <w:pPr>
        <w:ind w:left="720" w:hanging="360"/>
      </w:pPr>
      <w:rPr>
        <w:rFonts w:ascii="Symbol" w:hAnsi="Symbol" w:hint="default"/>
      </w:rPr>
    </w:lvl>
    <w:lvl w:ilvl="1" w:tplc="1D42E31E" w:tentative="1">
      <w:start w:val="1"/>
      <w:numFmt w:val="bullet"/>
      <w:lvlText w:val="o"/>
      <w:lvlJc w:val="left"/>
      <w:pPr>
        <w:ind w:left="1440" w:hanging="360"/>
      </w:pPr>
      <w:rPr>
        <w:rFonts w:ascii="Courier New" w:hAnsi="Courier New" w:cs="Courier New" w:hint="default"/>
      </w:rPr>
    </w:lvl>
    <w:lvl w:ilvl="2" w:tplc="95E4CE6C" w:tentative="1">
      <w:start w:val="1"/>
      <w:numFmt w:val="bullet"/>
      <w:lvlText w:val=""/>
      <w:lvlJc w:val="left"/>
      <w:pPr>
        <w:ind w:left="2160" w:hanging="360"/>
      </w:pPr>
      <w:rPr>
        <w:rFonts w:ascii="Wingdings" w:hAnsi="Wingdings" w:hint="default"/>
      </w:rPr>
    </w:lvl>
    <w:lvl w:ilvl="3" w:tplc="91C23E58" w:tentative="1">
      <w:start w:val="1"/>
      <w:numFmt w:val="bullet"/>
      <w:lvlText w:val=""/>
      <w:lvlJc w:val="left"/>
      <w:pPr>
        <w:ind w:left="2880" w:hanging="360"/>
      </w:pPr>
      <w:rPr>
        <w:rFonts w:ascii="Symbol" w:hAnsi="Symbol" w:hint="default"/>
      </w:rPr>
    </w:lvl>
    <w:lvl w:ilvl="4" w:tplc="43940594" w:tentative="1">
      <w:start w:val="1"/>
      <w:numFmt w:val="bullet"/>
      <w:lvlText w:val="o"/>
      <w:lvlJc w:val="left"/>
      <w:pPr>
        <w:ind w:left="3600" w:hanging="360"/>
      </w:pPr>
      <w:rPr>
        <w:rFonts w:ascii="Courier New" w:hAnsi="Courier New" w:cs="Courier New" w:hint="default"/>
      </w:rPr>
    </w:lvl>
    <w:lvl w:ilvl="5" w:tplc="7C7C3B88" w:tentative="1">
      <w:start w:val="1"/>
      <w:numFmt w:val="bullet"/>
      <w:lvlText w:val=""/>
      <w:lvlJc w:val="left"/>
      <w:pPr>
        <w:ind w:left="4320" w:hanging="360"/>
      </w:pPr>
      <w:rPr>
        <w:rFonts w:ascii="Wingdings" w:hAnsi="Wingdings" w:hint="default"/>
      </w:rPr>
    </w:lvl>
    <w:lvl w:ilvl="6" w:tplc="4264692C" w:tentative="1">
      <w:start w:val="1"/>
      <w:numFmt w:val="bullet"/>
      <w:lvlText w:val=""/>
      <w:lvlJc w:val="left"/>
      <w:pPr>
        <w:ind w:left="5040" w:hanging="360"/>
      </w:pPr>
      <w:rPr>
        <w:rFonts w:ascii="Symbol" w:hAnsi="Symbol" w:hint="default"/>
      </w:rPr>
    </w:lvl>
    <w:lvl w:ilvl="7" w:tplc="18DAD4B8" w:tentative="1">
      <w:start w:val="1"/>
      <w:numFmt w:val="bullet"/>
      <w:lvlText w:val="o"/>
      <w:lvlJc w:val="left"/>
      <w:pPr>
        <w:ind w:left="5760" w:hanging="360"/>
      </w:pPr>
      <w:rPr>
        <w:rFonts w:ascii="Courier New" w:hAnsi="Courier New" w:cs="Courier New" w:hint="default"/>
      </w:rPr>
    </w:lvl>
    <w:lvl w:ilvl="8" w:tplc="44FCC9CE" w:tentative="1">
      <w:start w:val="1"/>
      <w:numFmt w:val="bullet"/>
      <w:lvlText w:val=""/>
      <w:lvlJc w:val="left"/>
      <w:pPr>
        <w:ind w:left="6480" w:hanging="360"/>
      </w:pPr>
      <w:rPr>
        <w:rFonts w:ascii="Wingdings" w:hAnsi="Wingdings" w:hint="default"/>
      </w:rPr>
    </w:lvl>
  </w:abstractNum>
  <w:abstractNum w:abstractNumId="7" w15:restartNumberingAfterBreak="0">
    <w:nsid w:val="5774443B"/>
    <w:multiLevelType w:val="multilevel"/>
    <w:tmpl w:val="B2F85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C61E2D"/>
    <w:multiLevelType w:val="hybridMultilevel"/>
    <w:tmpl w:val="52421C52"/>
    <w:lvl w:ilvl="0" w:tplc="D5582F5E">
      <w:start w:val="1"/>
      <w:numFmt w:val="upperLetter"/>
      <w:lvlText w:val="%1."/>
      <w:lvlJc w:val="left"/>
      <w:pPr>
        <w:ind w:left="720" w:hanging="360"/>
      </w:pPr>
      <w:rPr>
        <w:rFonts w:hint="default"/>
        <w:i w:val="0"/>
      </w:rPr>
    </w:lvl>
    <w:lvl w:ilvl="1" w:tplc="79566D5A" w:tentative="1">
      <w:start w:val="1"/>
      <w:numFmt w:val="lowerLetter"/>
      <w:lvlText w:val="%2."/>
      <w:lvlJc w:val="left"/>
      <w:pPr>
        <w:ind w:left="1440" w:hanging="360"/>
      </w:pPr>
    </w:lvl>
    <w:lvl w:ilvl="2" w:tplc="ABDA7CCC" w:tentative="1">
      <w:start w:val="1"/>
      <w:numFmt w:val="lowerRoman"/>
      <w:lvlText w:val="%3."/>
      <w:lvlJc w:val="right"/>
      <w:pPr>
        <w:ind w:left="2160" w:hanging="180"/>
      </w:pPr>
    </w:lvl>
    <w:lvl w:ilvl="3" w:tplc="39D62C0E" w:tentative="1">
      <w:start w:val="1"/>
      <w:numFmt w:val="decimal"/>
      <w:lvlText w:val="%4."/>
      <w:lvlJc w:val="left"/>
      <w:pPr>
        <w:ind w:left="2880" w:hanging="360"/>
      </w:pPr>
    </w:lvl>
    <w:lvl w:ilvl="4" w:tplc="58E6D4CE" w:tentative="1">
      <w:start w:val="1"/>
      <w:numFmt w:val="lowerLetter"/>
      <w:lvlText w:val="%5."/>
      <w:lvlJc w:val="left"/>
      <w:pPr>
        <w:ind w:left="3600" w:hanging="360"/>
      </w:pPr>
    </w:lvl>
    <w:lvl w:ilvl="5" w:tplc="9042A736" w:tentative="1">
      <w:start w:val="1"/>
      <w:numFmt w:val="lowerRoman"/>
      <w:lvlText w:val="%6."/>
      <w:lvlJc w:val="right"/>
      <w:pPr>
        <w:ind w:left="4320" w:hanging="180"/>
      </w:pPr>
    </w:lvl>
    <w:lvl w:ilvl="6" w:tplc="445E4CCA" w:tentative="1">
      <w:start w:val="1"/>
      <w:numFmt w:val="decimal"/>
      <w:lvlText w:val="%7."/>
      <w:lvlJc w:val="left"/>
      <w:pPr>
        <w:ind w:left="5040" w:hanging="360"/>
      </w:pPr>
    </w:lvl>
    <w:lvl w:ilvl="7" w:tplc="4D727076" w:tentative="1">
      <w:start w:val="1"/>
      <w:numFmt w:val="lowerLetter"/>
      <w:lvlText w:val="%8."/>
      <w:lvlJc w:val="left"/>
      <w:pPr>
        <w:ind w:left="5760" w:hanging="360"/>
      </w:pPr>
    </w:lvl>
    <w:lvl w:ilvl="8" w:tplc="BF20D340" w:tentative="1">
      <w:start w:val="1"/>
      <w:numFmt w:val="lowerRoman"/>
      <w:lvlText w:val="%9."/>
      <w:lvlJc w:val="right"/>
      <w:pPr>
        <w:ind w:left="6480" w:hanging="180"/>
      </w:pPr>
    </w:lvl>
  </w:abstractNum>
  <w:abstractNum w:abstractNumId="9" w15:restartNumberingAfterBreak="0">
    <w:nsid w:val="57C84F7F"/>
    <w:multiLevelType w:val="hybridMultilevel"/>
    <w:tmpl w:val="DA72CE14"/>
    <w:lvl w:ilvl="0" w:tplc="B9AED40C">
      <w:start w:val="1"/>
      <w:numFmt w:val="upperLetter"/>
      <w:lvlText w:val="%1."/>
      <w:lvlJc w:val="left"/>
      <w:pPr>
        <w:ind w:left="720" w:hanging="360"/>
      </w:pPr>
      <w:rPr>
        <w:rFonts w:hint="default"/>
      </w:rPr>
    </w:lvl>
    <w:lvl w:ilvl="1" w:tplc="91561FCE" w:tentative="1">
      <w:start w:val="1"/>
      <w:numFmt w:val="lowerLetter"/>
      <w:lvlText w:val="%2."/>
      <w:lvlJc w:val="left"/>
      <w:pPr>
        <w:ind w:left="1440" w:hanging="360"/>
      </w:pPr>
    </w:lvl>
    <w:lvl w:ilvl="2" w:tplc="8C4EED94" w:tentative="1">
      <w:start w:val="1"/>
      <w:numFmt w:val="lowerRoman"/>
      <w:lvlText w:val="%3."/>
      <w:lvlJc w:val="right"/>
      <w:pPr>
        <w:ind w:left="2160" w:hanging="180"/>
      </w:pPr>
    </w:lvl>
    <w:lvl w:ilvl="3" w:tplc="E9DAF6AE" w:tentative="1">
      <w:start w:val="1"/>
      <w:numFmt w:val="decimal"/>
      <w:lvlText w:val="%4."/>
      <w:lvlJc w:val="left"/>
      <w:pPr>
        <w:ind w:left="2880" w:hanging="360"/>
      </w:pPr>
    </w:lvl>
    <w:lvl w:ilvl="4" w:tplc="0CF6B344" w:tentative="1">
      <w:start w:val="1"/>
      <w:numFmt w:val="lowerLetter"/>
      <w:lvlText w:val="%5."/>
      <w:lvlJc w:val="left"/>
      <w:pPr>
        <w:ind w:left="3600" w:hanging="360"/>
      </w:pPr>
    </w:lvl>
    <w:lvl w:ilvl="5" w:tplc="ED5EDC9A" w:tentative="1">
      <w:start w:val="1"/>
      <w:numFmt w:val="lowerRoman"/>
      <w:lvlText w:val="%6."/>
      <w:lvlJc w:val="right"/>
      <w:pPr>
        <w:ind w:left="4320" w:hanging="180"/>
      </w:pPr>
    </w:lvl>
    <w:lvl w:ilvl="6" w:tplc="A93A8510" w:tentative="1">
      <w:start w:val="1"/>
      <w:numFmt w:val="decimal"/>
      <w:lvlText w:val="%7."/>
      <w:lvlJc w:val="left"/>
      <w:pPr>
        <w:ind w:left="5040" w:hanging="360"/>
      </w:pPr>
    </w:lvl>
    <w:lvl w:ilvl="7" w:tplc="4B9CFECA" w:tentative="1">
      <w:start w:val="1"/>
      <w:numFmt w:val="lowerLetter"/>
      <w:lvlText w:val="%8."/>
      <w:lvlJc w:val="left"/>
      <w:pPr>
        <w:ind w:left="5760" w:hanging="360"/>
      </w:pPr>
    </w:lvl>
    <w:lvl w:ilvl="8" w:tplc="235E24A8" w:tentative="1">
      <w:start w:val="1"/>
      <w:numFmt w:val="lowerRoman"/>
      <w:lvlText w:val="%9."/>
      <w:lvlJc w:val="right"/>
      <w:pPr>
        <w:ind w:left="6480" w:hanging="180"/>
      </w:pPr>
    </w:lvl>
  </w:abstractNum>
  <w:abstractNum w:abstractNumId="10" w15:restartNumberingAfterBreak="0">
    <w:nsid w:val="5BF3371A"/>
    <w:multiLevelType w:val="hybridMultilevel"/>
    <w:tmpl w:val="1BAACF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B7505B"/>
    <w:multiLevelType w:val="hybridMultilevel"/>
    <w:tmpl w:val="5D3057D0"/>
    <w:lvl w:ilvl="0" w:tplc="7E202A44">
      <w:start w:val="1"/>
      <w:numFmt w:val="upperRoman"/>
      <w:lvlText w:val="%1."/>
      <w:lvlJc w:val="left"/>
      <w:pPr>
        <w:ind w:left="1080" w:hanging="720"/>
      </w:pPr>
      <w:rPr>
        <w:rFonts w:ascii="Times New Roman" w:hAnsi="Times New Roman" w:cs="Times New Roman" w:hint="default"/>
        <w:b w:val="0"/>
      </w:rPr>
    </w:lvl>
    <w:lvl w:ilvl="1" w:tplc="FED60690" w:tentative="1">
      <w:start w:val="1"/>
      <w:numFmt w:val="lowerLetter"/>
      <w:lvlText w:val="%2."/>
      <w:lvlJc w:val="left"/>
      <w:pPr>
        <w:ind w:left="1440" w:hanging="360"/>
      </w:pPr>
    </w:lvl>
    <w:lvl w:ilvl="2" w:tplc="0A943F6A" w:tentative="1">
      <w:start w:val="1"/>
      <w:numFmt w:val="lowerRoman"/>
      <w:lvlText w:val="%3."/>
      <w:lvlJc w:val="right"/>
      <w:pPr>
        <w:ind w:left="2160" w:hanging="180"/>
      </w:pPr>
    </w:lvl>
    <w:lvl w:ilvl="3" w:tplc="3F0E6270" w:tentative="1">
      <w:start w:val="1"/>
      <w:numFmt w:val="decimal"/>
      <w:lvlText w:val="%4."/>
      <w:lvlJc w:val="left"/>
      <w:pPr>
        <w:ind w:left="2880" w:hanging="360"/>
      </w:pPr>
    </w:lvl>
    <w:lvl w:ilvl="4" w:tplc="C11A7D50" w:tentative="1">
      <w:start w:val="1"/>
      <w:numFmt w:val="lowerLetter"/>
      <w:lvlText w:val="%5."/>
      <w:lvlJc w:val="left"/>
      <w:pPr>
        <w:ind w:left="3600" w:hanging="360"/>
      </w:pPr>
    </w:lvl>
    <w:lvl w:ilvl="5" w:tplc="D520C710" w:tentative="1">
      <w:start w:val="1"/>
      <w:numFmt w:val="lowerRoman"/>
      <w:lvlText w:val="%6."/>
      <w:lvlJc w:val="right"/>
      <w:pPr>
        <w:ind w:left="4320" w:hanging="180"/>
      </w:pPr>
    </w:lvl>
    <w:lvl w:ilvl="6" w:tplc="6D12EC0A" w:tentative="1">
      <w:start w:val="1"/>
      <w:numFmt w:val="decimal"/>
      <w:lvlText w:val="%7."/>
      <w:lvlJc w:val="left"/>
      <w:pPr>
        <w:ind w:left="5040" w:hanging="360"/>
      </w:pPr>
    </w:lvl>
    <w:lvl w:ilvl="7" w:tplc="FC062886" w:tentative="1">
      <w:start w:val="1"/>
      <w:numFmt w:val="lowerLetter"/>
      <w:lvlText w:val="%8."/>
      <w:lvlJc w:val="left"/>
      <w:pPr>
        <w:ind w:left="5760" w:hanging="360"/>
      </w:pPr>
    </w:lvl>
    <w:lvl w:ilvl="8" w:tplc="204C6C0E" w:tentative="1">
      <w:start w:val="1"/>
      <w:numFmt w:val="lowerRoman"/>
      <w:lvlText w:val="%9."/>
      <w:lvlJc w:val="right"/>
      <w:pPr>
        <w:ind w:left="6480" w:hanging="180"/>
      </w:pPr>
    </w:lvl>
  </w:abstractNum>
  <w:abstractNum w:abstractNumId="12" w15:restartNumberingAfterBreak="0">
    <w:nsid w:val="6927475A"/>
    <w:multiLevelType w:val="multilevel"/>
    <w:tmpl w:val="3676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D4A04"/>
    <w:multiLevelType w:val="hybridMultilevel"/>
    <w:tmpl w:val="0700F804"/>
    <w:lvl w:ilvl="0" w:tplc="B8DC7AA4">
      <w:start w:val="1"/>
      <w:numFmt w:val="upperLetter"/>
      <w:lvlText w:val="%1."/>
      <w:lvlJc w:val="left"/>
      <w:pPr>
        <w:ind w:left="720" w:hanging="360"/>
      </w:pPr>
      <w:rPr>
        <w:rFonts w:hint="default"/>
      </w:rPr>
    </w:lvl>
    <w:lvl w:ilvl="1" w:tplc="7D1E7D08" w:tentative="1">
      <w:start w:val="1"/>
      <w:numFmt w:val="lowerLetter"/>
      <w:lvlText w:val="%2."/>
      <w:lvlJc w:val="left"/>
      <w:pPr>
        <w:ind w:left="1440" w:hanging="360"/>
      </w:pPr>
    </w:lvl>
    <w:lvl w:ilvl="2" w:tplc="30DCE896" w:tentative="1">
      <w:start w:val="1"/>
      <w:numFmt w:val="lowerRoman"/>
      <w:lvlText w:val="%3."/>
      <w:lvlJc w:val="right"/>
      <w:pPr>
        <w:ind w:left="2160" w:hanging="180"/>
      </w:pPr>
    </w:lvl>
    <w:lvl w:ilvl="3" w:tplc="7EF28838" w:tentative="1">
      <w:start w:val="1"/>
      <w:numFmt w:val="decimal"/>
      <w:lvlText w:val="%4."/>
      <w:lvlJc w:val="left"/>
      <w:pPr>
        <w:ind w:left="2880" w:hanging="360"/>
      </w:pPr>
    </w:lvl>
    <w:lvl w:ilvl="4" w:tplc="49300922" w:tentative="1">
      <w:start w:val="1"/>
      <w:numFmt w:val="lowerLetter"/>
      <w:lvlText w:val="%5."/>
      <w:lvlJc w:val="left"/>
      <w:pPr>
        <w:ind w:left="3600" w:hanging="360"/>
      </w:pPr>
    </w:lvl>
    <w:lvl w:ilvl="5" w:tplc="C9B0E7BE" w:tentative="1">
      <w:start w:val="1"/>
      <w:numFmt w:val="lowerRoman"/>
      <w:lvlText w:val="%6."/>
      <w:lvlJc w:val="right"/>
      <w:pPr>
        <w:ind w:left="4320" w:hanging="180"/>
      </w:pPr>
    </w:lvl>
    <w:lvl w:ilvl="6" w:tplc="05BEC2DA" w:tentative="1">
      <w:start w:val="1"/>
      <w:numFmt w:val="decimal"/>
      <w:lvlText w:val="%7."/>
      <w:lvlJc w:val="left"/>
      <w:pPr>
        <w:ind w:left="5040" w:hanging="360"/>
      </w:pPr>
    </w:lvl>
    <w:lvl w:ilvl="7" w:tplc="DA04510C" w:tentative="1">
      <w:start w:val="1"/>
      <w:numFmt w:val="lowerLetter"/>
      <w:lvlText w:val="%8."/>
      <w:lvlJc w:val="left"/>
      <w:pPr>
        <w:ind w:left="5760" w:hanging="360"/>
      </w:pPr>
    </w:lvl>
    <w:lvl w:ilvl="8" w:tplc="B426BA64" w:tentative="1">
      <w:start w:val="1"/>
      <w:numFmt w:val="lowerRoman"/>
      <w:lvlText w:val="%9."/>
      <w:lvlJc w:val="right"/>
      <w:pPr>
        <w:ind w:left="6480" w:hanging="180"/>
      </w:pPr>
    </w:lvl>
  </w:abstractNum>
  <w:num w:numId="1" w16cid:durableId="956255351">
    <w:abstractNumId w:val="2"/>
  </w:num>
  <w:num w:numId="2" w16cid:durableId="200166018">
    <w:abstractNumId w:val="7"/>
  </w:num>
  <w:num w:numId="3" w16cid:durableId="694038456">
    <w:abstractNumId w:val="12"/>
  </w:num>
  <w:num w:numId="4" w16cid:durableId="582253267">
    <w:abstractNumId w:val="5"/>
  </w:num>
  <w:num w:numId="5" w16cid:durableId="1128161583">
    <w:abstractNumId w:val="3"/>
  </w:num>
  <w:num w:numId="6" w16cid:durableId="1234391905">
    <w:abstractNumId w:val="1"/>
  </w:num>
  <w:num w:numId="7" w16cid:durableId="1050150590">
    <w:abstractNumId w:val="11"/>
  </w:num>
  <w:num w:numId="8" w16cid:durableId="522747674">
    <w:abstractNumId w:val="9"/>
  </w:num>
  <w:num w:numId="9" w16cid:durableId="629213323">
    <w:abstractNumId w:val="0"/>
  </w:num>
  <w:num w:numId="10" w16cid:durableId="1728802936">
    <w:abstractNumId w:val="13"/>
  </w:num>
  <w:num w:numId="11" w16cid:durableId="1203327750">
    <w:abstractNumId w:val="6"/>
  </w:num>
  <w:num w:numId="12" w16cid:durableId="2086800558">
    <w:abstractNumId w:val="8"/>
  </w:num>
  <w:num w:numId="13" w16cid:durableId="1668707342">
    <w:abstractNumId w:val="4"/>
  </w:num>
  <w:num w:numId="14" w16cid:durableId="1478495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D6"/>
    <w:rsid w:val="00001251"/>
    <w:rsid w:val="000025E9"/>
    <w:rsid w:val="000052A2"/>
    <w:rsid w:val="00005992"/>
    <w:rsid w:val="00005E63"/>
    <w:rsid w:val="00005F77"/>
    <w:rsid w:val="000103DF"/>
    <w:rsid w:val="00010D4B"/>
    <w:rsid w:val="0001290B"/>
    <w:rsid w:val="000130F1"/>
    <w:rsid w:val="000148F9"/>
    <w:rsid w:val="000151EB"/>
    <w:rsid w:val="00016B20"/>
    <w:rsid w:val="000173E3"/>
    <w:rsid w:val="00021311"/>
    <w:rsid w:val="000215DF"/>
    <w:rsid w:val="00021B88"/>
    <w:rsid w:val="000255B9"/>
    <w:rsid w:val="000265A0"/>
    <w:rsid w:val="00027598"/>
    <w:rsid w:val="00030D9F"/>
    <w:rsid w:val="00032C58"/>
    <w:rsid w:val="00033D0B"/>
    <w:rsid w:val="00035F4D"/>
    <w:rsid w:val="0003734E"/>
    <w:rsid w:val="0003785F"/>
    <w:rsid w:val="00041764"/>
    <w:rsid w:val="00042B61"/>
    <w:rsid w:val="00043F5C"/>
    <w:rsid w:val="0004572C"/>
    <w:rsid w:val="00056724"/>
    <w:rsid w:val="000612C4"/>
    <w:rsid w:val="0006529C"/>
    <w:rsid w:val="00066D7C"/>
    <w:rsid w:val="00070F31"/>
    <w:rsid w:val="00070FBD"/>
    <w:rsid w:val="000765B5"/>
    <w:rsid w:val="000810F6"/>
    <w:rsid w:val="00081AA6"/>
    <w:rsid w:val="000828F9"/>
    <w:rsid w:val="00082E04"/>
    <w:rsid w:val="0008308F"/>
    <w:rsid w:val="00085248"/>
    <w:rsid w:val="000874D2"/>
    <w:rsid w:val="00090526"/>
    <w:rsid w:val="00092E5A"/>
    <w:rsid w:val="0009666A"/>
    <w:rsid w:val="000969CD"/>
    <w:rsid w:val="000A1911"/>
    <w:rsid w:val="000A34B4"/>
    <w:rsid w:val="000A5ACE"/>
    <w:rsid w:val="000A612E"/>
    <w:rsid w:val="000B0449"/>
    <w:rsid w:val="000B0FE4"/>
    <w:rsid w:val="000B5C79"/>
    <w:rsid w:val="000B634A"/>
    <w:rsid w:val="000C0037"/>
    <w:rsid w:val="000C0E00"/>
    <w:rsid w:val="000C0E54"/>
    <w:rsid w:val="000C1FB5"/>
    <w:rsid w:val="000C3BFF"/>
    <w:rsid w:val="000C4693"/>
    <w:rsid w:val="000C5736"/>
    <w:rsid w:val="000C6ACF"/>
    <w:rsid w:val="000D2232"/>
    <w:rsid w:val="000D2AC5"/>
    <w:rsid w:val="000D599F"/>
    <w:rsid w:val="000D66F6"/>
    <w:rsid w:val="000E01A5"/>
    <w:rsid w:val="000E06A7"/>
    <w:rsid w:val="000E1221"/>
    <w:rsid w:val="000E1E69"/>
    <w:rsid w:val="000F1248"/>
    <w:rsid w:val="000F33EC"/>
    <w:rsid w:val="000F48CF"/>
    <w:rsid w:val="000F6F9B"/>
    <w:rsid w:val="00103E52"/>
    <w:rsid w:val="00104947"/>
    <w:rsid w:val="00107DE5"/>
    <w:rsid w:val="00110817"/>
    <w:rsid w:val="001110D1"/>
    <w:rsid w:val="001148A6"/>
    <w:rsid w:val="00114BDB"/>
    <w:rsid w:val="00121B7C"/>
    <w:rsid w:val="00123ABD"/>
    <w:rsid w:val="00124831"/>
    <w:rsid w:val="00124A56"/>
    <w:rsid w:val="00125602"/>
    <w:rsid w:val="00126DAA"/>
    <w:rsid w:val="0014457D"/>
    <w:rsid w:val="00146569"/>
    <w:rsid w:val="0015058A"/>
    <w:rsid w:val="00151924"/>
    <w:rsid w:val="00153ADD"/>
    <w:rsid w:val="00154023"/>
    <w:rsid w:val="0015785A"/>
    <w:rsid w:val="0016111A"/>
    <w:rsid w:val="001613DE"/>
    <w:rsid w:val="0016353F"/>
    <w:rsid w:val="00165826"/>
    <w:rsid w:val="00166101"/>
    <w:rsid w:val="001727C4"/>
    <w:rsid w:val="00172D05"/>
    <w:rsid w:val="00174C7C"/>
    <w:rsid w:val="00177221"/>
    <w:rsid w:val="00177469"/>
    <w:rsid w:val="00190EE7"/>
    <w:rsid w:val="00191773"/>
    <w:rsid w:val="0019201B"/>
    <w:rsid w:val="001964D0"/>
    <w:rsid w:val="0019683B"/>
    <w:rsid w:val="00197BED"/>
    <w:rsid w:val="001A11F0"/>
    <w:rsid w:val="001A311A"/>
    <w:rsid w:val="001A3CC5"/>
    <w:rsid w:val="001A409B"/>
    <w:rsid w:val="001A475E"/>
    <w:rsid w:val="001A6833"/>
    <w:rsid w:val="001B6173"/>
    <w:rsid w:val="001B70B0"/>
    <w:rsid w:val="001C0BAD"/>
    <w:rsid w:val="001C33CF"/>
    <w:rsid w:val="001C4A95"/>
    <w:rsid w:val="001D4DC6"/>
    <w:rsid w:val="001D6BE2"/>
    <w:rsid w:val="001D741C"/>
    <w:rsid w:val="001E023F"/>
    <w:rsid w:val="001E0297"/>
    <w:rsid w:val="001E0672"/>
    <w:rsid w:val="001E223C"/>
    <w:rsid w:val="001E4626"/>
    <w:rsid w:val="001E7CBB"/>
    <w:rsid w:val="001F1540"/>
    <w:rsid w:val="001F4CCF"/>
    <w:rsid w:val="001F5B60"/>
    <w:rsid w:val="001F65DE"/>
    <w:rsid w:val="001F727E"/>
    <w:rsid w:val="001F7A60"/>
    <w:rsid w:val="00200E2C"/>
    <w:rsid w:val="00201BDC"/>
    <w:rsid w:val="00203456"/>
    <w:rsid w:val="00205D97"/>
    <w:rsid w:val="002078CC"/>
    <w:rsid w:val="00210953"/>
    <w:rsid w:val="0021130E"/>
    <w:rsid w:val="00211F05"/>
    <w:rsid w:val="00213D2E"/>
    <w:rsid w:val="00215EDB"/>
    <w:rsid w:val="00217626"/>
    <w:rsid w:val="002231F0"/>
    <w:rsid w:val="00223F80"/>
    <w:rsid w:val="002251C6"/>
    <w:rsid w:val="00227AC3"/>
    <w:rsid w:val="00233189"/>
    <w:rsid w:val="00233D96"/>
    <w:rsid w:val="00234C70"/>
    <w:rsid w:val="00241027"/>
    <w:rsid w:val="00242DF3"/>
    <w:rsid w:val="0024742A"/>
    <w:rsid w:val="00247550"/>
    <w:rsid w:val="00247E06"/>
    <w:rsid w:val="0025035E"/>
    <w:rsid w:val="002507BD"/>
    <w:rsid w:val="00252ED8"/>
    <w:rsid w:val="00257FB3"/>
    <w:rsid w:val="002600D3"/>
    <w:rsid w:val="0026076E"/>
    <w:rsid w:val="00261978"/>
    <w:rsid w:val="002619E5"/>
    <w:rsid w:val="00262532"/>
    <w:rsid w:val="00262783"/>
    <w:rsid w:val="002657D0"/>
    <w:rsid w:val="00265C3F"/>
    <w:rsid w:val="00267D5F"/>
    <w:rsid w:val="00267F31"/>
    <w:rsid w:val="002718B1"/>
    <w:rsid w:val="002731D2"/>
    <w:rsid w:val="00273E5A"/>
    <w:rsid w:val="0027422A"/>
    <w:rsid w:val="0027680A"/>
    <w:rsid w:val="002769CF"/>
    <w:rsid w:val="00276B8F"/>
    <w:rsid w:val="00283F9B"/>
    <w:rsid w:val="00290626"/>
    <w:rsid w:val="00291407"/>
    <w:rsid w:val="00293736"/>
    <w:rsid w:val="00294B02"/>
    <w:rsid w:val="002A01B4"/>
    <w:rsid w:val="002A108C"/>
    <w:rsid w:val="002A2EA0"/>
    <w:rsid w:val="002A3346"/>
    <w:rsid w:val="002A3E88"/>
    <w:rsid w:val="002A4578"/>
    <w:rsid w:val="002B276E"/>
    <w:rsid w:val="002B381B"/>
    <w:rsid w:val="002B5B1C"/>
    <w:rsid w:val="002B6D2C"/>
    <w:rsid w:val="002C1326"/>
    <w:rsid w:val="002C1C7D"/>
    <w:rsid w:val="002C22C3"/>
    <w:rsid w:val="002C2A0B"/>
    <w:rsid w:val="002C4F5A"/>
    <w:rsid w:val="002C7ACE"/>
    <w:rsid w:val="002D35C3"/>
    <w:rsid w:val="002D365F"/>
    <w:rsid w:val="002E4BF8"/>
    <w:rsid w:val="002E5764"/>
    <w:rsid w:val="002E6BE5"/>
    <w:rsid w:val="002E726F"/>
    <w:rsid w:val="002E7CA5"/>
    <w:rsid w:val="002F0969"/>
    <w:rsid w:val="002F2AB4"/>
    <w:rsid w:val="002F4222"/>
    <w:rsid w:val="0030004C"/>
    <w:rsid w:val="00300292"/>
    <w:rsid w:val="00314749"/>
    <w:rsid w:val="00314AE3"/>
    <w:rsid w:val="0032758A"/>
    <w:rsid w:val="00331C38"/>
    <w:rsid w:val="00332BF2"/>
    <w:rsid w:val="00333D97"/>
    <w:rsid w:val="00333F7E"/>
    <w:rsid w:val="0033401D"/>
    <w:rsid w:val="0033745E"/>
    <w:rsid w:val="00337A15"/>
    <w:rsid w:val="00337AED"/>
    <w:rsid w:val="00342530"/>
    <w:rsid w:val="00343CE0"/>
    <w:rsid w:val="003461B3"/>
    <w:rsid w:val="003505A6"/>
    <w:rsid w:val="0035124B"/>
    <w:rsid w:val="00352147"/>
    <w:rsid w:val="003545DC"/>
    <w:rsid w:val="003604FE"/>
    <w:rsid w:val="0036464C"/>
    <w:rsid w:val="00367F72"/>
    <w:rsid w:val="00370FEB"/>
    <w:rsid w:val="003823B8"/>
    <w:rsid w:val="003830A9"/>
    <w:rsid w:val="003870AE"/>
    <w:rsid w:val="003871F0"/>
    <w:rsid w:val="00387A38"/>
    <w:rsid w:val="003918A2"/>
    <w:rsid w:val="00392D69"/>
    <w:rsid w:val="00394B0A"/>
    <w:rsid w:val="003A0122"/>
    <w:rsid w:val="003A3034"/>
    <w:rsid w:val="003A5450"/>
    <w:rsid w:val="003B5C3B"/>
    <w:rsid w:val="003B6A99"/>
    <w:rsid w:val="003B6B63"/>
    <w:rsid w:val="003C017C"/>
    <w:rsid w:val="003C02D2"/>
    <w:rsid w:val="003C07E3"/>
    <w:rsid w:val="003C3316"/>
    <w:rsid w:val="003C4EB3"/>
    <w:rsid w:val="003C658B"/>
    <w:rsid w:val="003D00ED"/>
    <w:rsid w:val="003D34FD"/>
    <w:rsid w:val="003D4DE4"/>
    <w:rsid w:val="003D4ED2"/>
    <w:rsid w:val="003D7AD3"/>
    <w:rsid w:val="003E061F"/>
    <w:rsid w:val="003E22F9"/>
    <w:rsid w:val="003E26F8"/>
    <w:rsid w:val="003E3D68"/>
    <w:rsid w:val="003F25E2"/>
    <w:rsid w:val="003F47B1"/>
    <w:rsid w:val="003F60BB"/>
    <w:rsid w:val="003F60C0"/>
    <w:rsid w:val="00401607"/>
    <w:rsid w:val="00404510"/>
    <w:rsid w:val="00412194"/>
    <w:rsid w:val="00417280"/>
    <w:rsid w:val="004217BF"/>
    <w:rsid w:val="00422967"/>
    <w:rsid w:val="00422975"/>
    <w:rsid w:val="004234D4"/>
    <w:rsid w:val="0042477A"/>
    <w:rsid w:val="0043036C"/>
    <w:rsid w:val="00430401"/>
    <w:rsid w:val="004347D0"/>
    <w:rsid w:val="00440E9A"/>
    <w:rsid w:val="004447DC"/>
    <w:rsid w:val="00451CC9"/>
    <w:rsid w:val="00452054"/>
    <w:rsid w:val="00456323"/>
    <w:rsid w:val="00456A52"/>
    <w:rsid w:val="00457953"/>
    <w:rsid w:val="0046058F"/>
    <w:rsid w:val="00460667"/>
    <w:rsid w:val="00461604"/>
    <w:rsid w:val="00462429"/>
    <w:rsid w:val="00463DDB"/>
    <w:rsid w:val="00467A8F"/>
    <w:rsid w:val="00472AFB"/>
    <w:rsid w:val="00476551"/>
    <w:rsid w:val="00477746"/>
    <w:rsid w:val="00482066"/>
    <w:rsid w:val="004862E0"/>
    <w:rsid w:val="004928CE"/>
    <w:rsid w:val="00494A11"/>
    <w:rsid w:val="0049500B"/>
    <w:rsid w:val="004A0CEC"/>
    <w:rsid w:val="004A2B89"/>
    <w:rsid w:val="004A5835"/>
    <w:rsid w:val="004A61EA"/>
    <w:rsid w:val="004A6FC5"/>
    <w:rsid w:val="004A7BD6"/>
    <w:rsid w:val="004B3E50"/>
    <w:rsid w:val="004B74CB"/>
    <w:rsid w:val="004B7E43"/>
    <w:rsid w:val="004C140A"/>
    <w:rsid w:val="004E5809"/>
    <w:rsid w:val="004E7CB9"/>
    <w:rsid w:val="004F2C3C"/>
    <w:rsid w:val="0050040C"/>
    <w:rsid w:val="00502CA3"/>
    <w:rsid w:val="0050308C"/>
    <w:rsid w:val="00504203"/>
    <w:rsid w:val="0050431F"/>
    <w:rsid w:val="00504B3B"/>
    <w:rsid w:val="00511539"/>
    <w:rsid w:val="00513F32"/>
    <w:rsid w:val="00515101"/>
    <w:rsid w:val="00515257"/>
    <w:rsid w:val="005152C1"/>
    <w:rsid w:val="00515983"/>
    <w:rsid w:val="0051664A"/>
    <w:rsid w:val="005170BD"/>
    <w:rsid w:val="00517DCC"/>
    <w:rsid w:val="0052027D"/>
    <w:rsid w:val="005219FB"/>
    <w:rsid w:val="00522DD5"/>
    <w:rsid w:val="005244A2"/>
    <w:rsid w:val="00524658"/>
    <w:rsid w:val="00526874"/>
    <w:rsid w:val="00531283"/>
    <w:rsid w:val="00534138"/>
    <w:rsid w:val="005348B5"/>
    <w:rsid w:val="00534AD3"/>
    <w:rsid w:val="00537C17"/>
    <w:rsid w:val="00537FF1"/>
    <w:rsid w:val="0054000A"/>
    <w:rsid w:val="00543BAB"/>
    <w:rsid w:val="00544274"/>
    <w:rsid w:val="0054628F"/>
    <w:rsid w:val="0054761C"/>
    <w:rsid w:val="005527EA"/>
    <w:rsid w:val="00557FC7"/>
    <w:rsid w:val="0056170D"/>
    <w:rsid w:val="005628EE"/>
    <w:rsid w:val="00562BFB"/>
    <w:rsid w:val="00564DF8"/>
    <w:rsid w:val="005657CB"/>
    <w:rsid w:val="005657F0"/>
    <w:rsid w:val="00566388"/>
    <w:rsid w:val="0056654A"/>
    <w:rsid w:val="00566B19"/>
    <w:rsid w:val="0056751D"/>
    <w:rsid w:val="00570157"/>
    <w:rsid w:val="00572D27"/>
    <w:rsid w:val="00572FDA"/>
    <w:rsid w:val="005736EB"/>
    <w:rsid w:val="00573F85"/>
    <w:rsid w:val="0057635D"/>
    <w:rsid w:val="00576443"/>
    <w:rsid w:val="005772F0"/>
    <w:rsid w:val="00580490"/>
    <w:rsid w:val="00581744"/>
    <w:rsid w:val="00585F6D"/>
    <w:rsid w:val="00590957"/>
    <w:rsid w:val="0059399B"/>
    <w:rsid w:val="00595185"/>
    <w:rsid w:val="00597346"/>
    <w:rsid w:val="005976A9"/>
    <w:rsid w:val="00597F2F"/>
    <w:rsid w:val="005A03D6"/>
    <w:rsid w:val="005A0A74"/>
    <w:rsid w:val="005A28AE"/>
    <w:rsid w:val="005B0B68"/>
    <w:rsid w:val="005B0E9D"/>
    <w:rsid w:val="005B3D7A"/>
    <w:rsid w:val="005B633D"/>
    <w:rsid w:val="005C0B58"/>
    <w:rsid w:val="005C0FB8"/>
    <w:rsid w:val="005C19D2"/>
    <w:rsid w:val="005C39D7"/>
    <w:rsid w:val="005D14D5"/>
    <w:rsid w:val="005D1846"/>
    <w:rsid w:val="005D2C32"/>
    <w:rsid w:val="005D48D6"/>
    <w:rsid w:val="005D5D75"/>
    <w:rsid w:val="005E0015"/>
    <w:rsid w:val="005E08CC"/>
    <w:rsid w:val="005E2EFA"/>
    <w:rsid w:val="005F32D4"/>
    <w:rsid w:val="005F5D85"/>
    <w:rsid w:val="005F7DFF"/>
    <w:rsid w:val="00600419"/>
    <w:rsid w:val="006014C5"/>
    <w:rsid w:val="00601B90"/>
    <w:rsid w:val="00602AF2"/>
    <w:rsid w:val="00613B69"/>
    <w:rsid w:val="006150B3"/>
    <w:rsid w:val="00617C9E"/>
    <w:rsid w:val="006210B7"/>
    <w:rsid w:val="0062160F"/>
    <w:rsid w:val="0062580F"/>
    <w:rsid w:val="006275F3"/>
    <w:rsid w:val="00627DDF"/>
    <w:rsid w:val="00634772"/>
    <w:rsid w:val="0063510C"/>
    <w:rsid w:val="0064231A"/>
    <w:rsid w:val="006513D5"/>
    <w:rsid w:val="00651CB4"/>
    <w:rsid w:val="00651D70"/>
    <w:rsid w:val="006531C8"/>
    <w:rsid w:val="0065339A"/>
    <w:rsid w:val="00656471"/>
    <w:rsid w:val="00657AE6"/>
    <w:rsid w:val="00660245"/>
    <w:rsid w:val="00661FFD"/>
    <w:rsid w:val="00663558"/>
    <w:rsid w:val="006638F1"/>
    <w:rsid w:val="00666EFA"/>
    <w:rsid w:val="0067135A"/>
    <w:rsid w:val="00677F63"/>
    <w:rsid w:val="00682F0D"/>
    <w:rsid w:val="00683EED"/>
    <w:rsid w:val="00685287"/>
    <w:rsid w:val="00685D50"/>
    <w:rsid w:val="00686A71"/>
    <w:rsid w:val="00691708"/>
    <w:rsid w:val="00693767"/>
    <w:rsid w:val="0069389B"/>
    <w:rsid w:val="00693D0E"/>
    <w:rsid w:val="00694141"/>
    <w:rsid w:val="00694BB0"/>
    <w:rsid w:val="006972C7"/>
    <w:rsid w:val="0069742A"/>
    <w:rsid w:val="006A0DD9"/>
    <w:rsid w:val="006A367C"/>
    <w:rsid w:val="006A38B4"/>
    <w:rsid w:val="006A5480"/>
    <w:rsid w:val="006A7A9B"/>
    <w:rsid w:val="006B6A20"/>
    <w:rsid w:val="006B7821"/>
    <w:rsid w:val="006C0360"/>
    <w:rsid w:val="006C14A6"/>
    <w:rsid w:val="006C150B"/>
    <w:rsid w:val="006C628E"/>
    <w:rsid w:val="006D1B0C"/>
    <w:rsid w:val="006D550C"/>
    <w:rsid w:val="006D79A5"/>
    <w:rsid w:val="006E0CD4"/>
    <w:rsid w:val="006E6C6B"/>
    <w:rsid w:val="006F10FF"/>
    <w:rsid w:val="006F1892"/>
    <w:rsid w:val="006F3DB6"/>
    <w:rsid w:val="006F6E34"/>
    <w:rsid w:val="00702FCF"/>
    <w:rsid w:val="007032A3"/>
    <w:rsid w:val="007046A3"/>
    <w:rsid w:val="007106B9"/>
    <w:rsid w:val="00711D12"/>
    <w:rsid w:val="007126B7"/>
    <w:rsid w:val="0071415D"/>
    <w:rsid w:val="00714D38"/>
    <w:rsid w:val="00716186"/>
    <w:rsid w:val="00716317"/>
    <w:rsid w:val="007176DD"/>
    <w:rsid w:val="00720CB6"/>
    <w:rsid w:val="00726993"/>
    <w:rsid w:val="00730456"/>
    <w:rsid w:val="00732240"/>
    <w:rsid w:val="007329EB"/>
    <w:rsid w:val="0073346B"/>
    <w:rsid w:val="00733D2F"/>
    <w:rsid w:val="00737A03"/>
    <w:rsid w:val="007424D6"/>
    <w:rsid w:val="007552A2"/>
    <w:rsid w:val="00755967"/>
    <w:rsid w:val="00762483"/>
    <w:rsid w:val="00762601"/>
    <w:rsid w:val="007630AB"/>
    <w:rsid w:val="00766CDF"/>
    <w:rsid w:val="007675AF"/>
    <w:rsid w:val="00773B0F"/>
    <w:rsid w:val="00773E3C"/>
    <w:rsid w:val="00774C47"/>
    <w:rsid w:val="007754BA"/>
    <w:rsid w:val="00775E88"/>
    <w:rsid w:val="00783700"/>
    <w:rsid w:val="007936AC"/>
    <w:rsid w:val="00794BEB"/>
    <w:rsid w:val="00796ED5"/>
    <w:rsid w:val="007A3924"/>
    <w:rsid w:val="007A53B1"/>
    <w:rsid w:val="007A674A"/>
    <w:rsid w:val="007A6F9E"/>
    <w:rsid w:val="007B539C"/>
    <w:rsid w:val="007B53DC"/>
    <w:rsid w:val="007B65BE"/>
    <w:rsid w:val="007B79A0"/>
    <w:rsid w:val="007C0CA1"/>
    <w:rsid w:val="007C0DC7"/>
    <w:rsid w:val="007C699C"/>
    <w:rsid w:val="007C6D43"/>
    <w:rsid w:val="007D22CC"/>
    <w:rsid w:val="007D44C4"/>
    <w:rsid w:val="007D6F25"/>
    <w:rsid w:val="007D78F5"/>
    <w:rsid w:val="007E065F"/>
    <w:rsid w:val="007E0B30"/>
    <w:rsid w:val="007E3826"/>
    <w:rsid w:val="007E67C0"/>
    <w:rsid w:val="007F15D7"/>
    <w:rsid w:val="007F1667"/>
    <w:rsid w:val="007F2956"/>
    <w:rsid w:val="007F3D83"/>
    <w:rsid w:val="007F4ED0"/>
    <w:rsid w:val="008007BC"/>
    <w:rsid w:val="00801049"/>
    <w:rsid w:val="008041E4"/>
    <w:rsid w:val="008053F9"/>
    <w:rsid w:val="008055FD"/>
    <w:rsid w:val="008056B0"/>
    <w:rsid w:val="008122BB"/>
    <w:rsid w:val="008157F0"/>
    <w:rsid w:val="0081727D"/>
    <w:rsid w:val="00820D2B"/>
    <w:rsid w:val="0082243C"/>
    <w:rsid w:val="00830214"/>
    <w:rsid w:val="008314C4"/>
    <w:rsid w:val="00834C42"/>
    <w:rsid w:val="0083715E"/>
    <w:rsid w:val="00842CED"/>
    <w:rsid w:val="00853E63"/>
    <w:rsid w:val="00861933"/>
    <w:rsid w:val="00866D1D"/>
    <w:rsid w:val="00871069"/>
    <w:rsid w:val="0087298A"/>
    <w:rsid w:val="00872A3F"/>
    <w:rsid w:val="00872D82"/>
    <w:rsid w:val="008751DE"/>
    <w:rsid w:val="00875BA5"/>
    <w:rsid w:val="008834D4"/>
    <w:rsid w:val="0088397E"/>
    <w:rsid w:val="00884CB9"/>
    <w:rsid w:val="0088673A"/>
    <w:rsid w:val="00887FBE"/>
    <w:rsid w:val="008904B2"/>
    <w:rsid w:val="00890AE2"/>
    <w:rsid w:val="008919FD"/>
    <w:rsid w:val="008938A5"/>
    <w:rsid w:val="00893A41"/>
    <w:rsid w:val="008952FA"/>
    <w:rsid w:val="00895B94"/>
    <w:rsid w:val="00896807"/>
    <w:rsid w:val="00896D56"/>
    <w:rsid w:val="00897B9C"/>
    <w:rsid w:val="008A42DD"/>
    <w:rsid w:val="008A69F4"/>
    <w:rsid w:val="008B0536"/>
    <w:rsid w:val="008B17C0"/>
    <w:rsid w:val="008B1FFC"/>
    <w:rsid w:val="008B2075"/>
    <w:rsid w:val="008B263A"/>
    <w:rsid w:val="008B45C3"/>
    <w:rsid w:val="008B60B0"/>
    <w:rsid w:val="008B661A"/>
    <w:rsid w:val="008B7F81"/>
    <w:rsid w:val="008C13B9"/>
    <w:rsid w:val="008C6780"/>
    <w:rsid w:val="008C6F2E"/>
    <w:rsid w:val="008D08C0"/>
    <w:rsid w:val="008D0C54"/>
    <w:rsid w:val="008D487B"/>
    <w:rsid w:val="008D5EEA"/>
    <w:rsid w:val="008D6E9A"/>
    <w:rsid w:val="008E1B86"/>
    <w:rsid w:val="008E5672"/>
    <w:rsid w:val="008E5EEA"/>
    <w:rsid w:val="008E5F1E"/>
    <w:rsid w:val="008E639C"/>
    <w:rsid w:val="008E7519"/>
    <w:rsid w:val="008F0D99"/>
    <w:rsid w:val="008F2CE7"/>
    <w:rsid w:val="008F3551"/>
    <w:rsid w:val="008F5363"/>
    <w:rsid w:val="00902C23"/>
    <w:rsid w:val="00911FFC"/>
    <w:rsid w:val="009131B1"/>
    <w:rsid w:val="0091447E"/>
    <w:rsid w:val="0091457E"/>
    <w:rsid w:val="00922D0D"/>
    <w:rsid w:val="00925577"/>
    <w:rsid w:val="009357C8"/>
    <w:rsid w:val="0093650A"/>
    <w:rsid w:val="00943BC1"/>
    <w:rsid w:val="00944DB3"/>
    <w:rsid w:val="00947B23"/>
    <w:rsid w:val="00952001"/>
    <w:rsid w:val="00953519"/>
    <w:rsid w:val="00955153"/>
    <w:rsid w:val="00963254"/>
    <w:rsid w:val="0096370D"/>
    <w:rsid w:val="00964F9D"/>
    <w:rsid w:val="00965FAF"/>
    <w:rsid w:val="00967CC6"/>
    <w:rsid w:val="00970982"/>
    <w:rsid w:val="00971045"/>
    <w:rsid w:val="009721EF"/>
    <w:rsid w:val="00974125"/>
    <w:rsid w:val="00974AFD"/>
    <w:rsid w:val="00976665"/>
    <w:rsid w:val="00981281"/>
    <w:rsid w:val="00981C35"/>
    <w:rsid w:val="00983353"/>
    <w:rsid w:val="00983F59"/>
    <w:rsid w:val="00985BE5"/>
    <w:rsid w:val="009962C0"/>
    <w:rsid w:val="00996F87"/>
    <w:rsid w:val="009971AF"/>
    <w:rsid w:val="009A15D3"/>
    <w:rsid w:val="009A24ED"/>
    <w:rsid w:val="009A2F74"/>
    <w:rsid w:val="009A37CB"/>
    <w:rsid w:val="009A57E4"/>
    <w:rsid w:val="009A6C18"/>
    <w:rsid w:val="009B1187"/>
    <w:rsid w:val="009B3134"/>
    <w:rsid w:val="009B4039"/>
    <w:rsid w:val="009B49D6"/>
    <w:rsid w:val="009B4E1C"/>
    <w:rsid w:val="009B701F"/>
    <w:rsid w:val="009B7326"/>
    <w:rsid w:val="009C0FB7"/>
    <w:rsid w:val="009C290E"/>
    <w:rsid w:val="009C2984"/>
    <w:rsid w:val="009C5EF3"/>
    <w:rsid w:val="009C7390"/>
    <w:rsid w:val="009D28BE"/>
    <w:rsid w:val="009E6C11"/>
    <w:rsid w:val="009E767A"/>
    <w:rsid w:val="009F01AF"/>
    <w:rsid w:val="009F0D17"/>
    <w:rsid w:val="009F34C0"/>
    <w:rsid w:val="009F3BB2"/>
    <w:rsid w:val="009F5442"/>
    <w:rsid w:val="009F5D38"/>
    <w:rsid w:val="009F5E2A"/>
    <w:rsid w:val="009F7F36"/>
    <w:rsid w:val="00A00A7C"/>
    <w:rsid w:val="00A01217"/>
    <w:rsid w:val="00A020ED"/>
    <w:rsid w:val="00A0264F"/>
    <w:rsid w:val="00A067B7"/>
    <w:rsid w:val="00A071AB"/>
    <w:rsid w:val="00A10EB6"/>
    <w:rsid w:val="00A1113F"/>
    <w:rsid w:val="00A12256"/>
    <w:rsid w:val="00A14812"/>
    <w:rsid w:val="00A15FE8"/>
    <w:rsid w:val="00A16E46"/>
    <w:rsid w:val="00A24335"/>
    <w:rsid w:val="00A24804"/>
    <w:rsid w:val="00A27251"/>
    <w:rsid w:val="00A30BC8"/>
    <w:rsid w:val="00A31C1F"/>
    <w:rsid w:val="00A3280B"/>
    <w:rsid w:val="00A34EC9"/>
    <w:rsid w:val="00A35733"/>
    <w:rsid w:val="00A37B03"/>
    <w:rsid w:val="00A37C30"/>
    <w:rsid w:val="00A40648"/>
    <w:rsid w:val="00A41B72"/>
    <w:rsid w:val="00A424DA"/>
    <w:rsid w:val="00A428AD"/>
    <w:rsid w:val="00A43854"/>
    <w:rsid w:val="00A446DA"/>
    <w:rsid w:val="00A45443"/>
    <w:rsid w:val="00A51073"/>
    <w:rsid w:val="00A55448"/>
    <w:rsid w:val="00A55F31"/>
    <w:rsid w:val="00A56310"/>
    <w:rsid w:val="00A56CD6"/>
    <w:rsid w:val="00A576CD"/>
    <w:rsid w:val="00A57814"/>
    <w:rsid w:val="00A620C3"/>
    <w:rsid w:val="00A62654"/>
    <w:rsid w:val="00A662A9"/>
    <w:rsid w:val="00A67FFE"/>
    <w:rsid w:val="00A70212"/>
    <w:rsid w:val="00A711EA"/>
    <w:rsid w:val="00A7750C"/>
    <w:rsid w:val="00A81402"/>
    <w:rsid w:val="00A91A36"/>
    <w:rsid w:val="00A94224"/>
    <w:rsid w:val="00A95EC5"/>
    <w:rsid w:val="00A96729"/>
    <w:rsid w:val="00AA1899"/>
    <w:rsid w:val="00AA3F90"/>
    <w:rsid w:val="00AA49EA"/>
    <w:rsid w:val="00AA4D9C"/>
    <w:rsid w:val="00AB3981"/>
    <w:rsid w:val="00AB72FB"/>
    <w:rsid w:val="00AB7C30"/>
    <w:rsid w:val="00AD20FE"/>
    <w:rsid w:val="00AD5860"/>
    <w:rsid w:val="00AD5A63"/>
    <w:rsid w:val="00AD7947"/>
    <w:rsid w:val="00AE3DB2"/>
    <w:rsid w:val="00AF2773"/>
    <w:rsid w:val="00AF27F4"/>
    <w:rsid w:val="00AF3D57"/>
    <w:rsid w:val="00AF60BC"/>
    <w:rsid w:val="00AF6EC6"/>
    <w:rsid w:val="00B022DA"/>
    <w:rsid w:val="00B02BA1"/>
    <w:rsid w:val="00B04D80"/>
    <w:rsid w:val="00B0563F"/>
    <w:rsid w:val="00B070BB"/>
    <w:rsid w:val="00B10230"/>
    <w:rsid w:val="00B119B4"/>
    <w:rsid w:val="00B133F0"/>
    <w:rsid w:val="00B15D2E"/>
    <w:rsid w:val="00B16B0C"/>
    <w:rsid w:val="00B2181B"/>
    <w:rsid w:val="00B2243A"/>
    <w:rsid w:val="00B23640"/>
    <w:rsid w:val="00B30573"/>
    <w:rsid w:val="00B31461"/>
    <w:rsid w:val="00B336C1"/>
    <w:rsid w:val="00B34DE4"/>
    <w:rsid w:val="00B358EB"/>
    <w:rsid w:val="00B369DF"/>
    <w:rsid w:val="00B36D7A"/>
    <w:rsid w:val="00B40AEF"/>
    <w:rsid w:val="00B42256"/>
    <w:rsid w:val="00B42351"/>
    <w:rsid w:val="00B42D27"/>
    <w:rsid w:val="00B449CD"/>
    <w:rsid w:val="00B47E95"/>
    <w:rsid w:val="00B50A56"/>
    <w:rsid w:val="00B50F64"/>
    <w:rsid w:val="00B531F8"/>
    <w:rsid w:val="00B54680"/>
    <w:rsid w:val="00B54F8E"/>
    <w:rsid w:val="00B55C37"/>
    <w:rsid w:val="00B574DD"/>
    <w:rsid w:val="00B60AAA"/>
    <w:rsid w:val="00B61AB0"/>
    <w:rsid w:val="00B63ACE"/>
    <w:rsid w:val="00B65AEE"/>
    <w:rsid w:val="00B70939"/>
    <w:rsid w:val="00B73144"/>
    <w:rsid w:val="00B738FE"/>
    <w:rsid w:val="00B743F4"/>
    <w:rsid w:val="00B75BB7"/>
    <w:rsid w:val="00B7690E"/>
    <w:rsid w:val="00B81829"/>
    <w:rsid w:val="00B82C24"/>
    <w:rsid w:val="00B83D48"/>
    <w:rsid w:val="00B867A5"/>
    <w:rsid w:val="00B875E0"/>
    <w:rsid w:val="00B903B9"/>
    <w:rsid w:val="00B909CF"/>
    <w:rsid w:val="00B91B57"/>
    <w:rsid w:val="00B93C99"/>
    <w:rsid w:val="00B94B32"/>
    <w:rsid w:val="00B9619F"/>
    <w:rsid w:val="00B97A7A"/>
    <w:rsid w:val="00BA0080"/>
    <w:rsid w:val="00BA16D0"/>
    <w:rsid w:val="00BA5046"/>
    <w:rsid w:val="00BA5845"/>
    <w:rsid w:val="00BA64E4"/>
    <w:rsid w:val="00BA7007"/>
    <w:rsid w:val="00BB0023"/>
    <w:rsid w:val="00BB05E1"/>
    <w:rsid w:val="00BB1B68"/>
    <w:rsid w:val="00BB7276"/>
    <w:rsid w:val="00BC467C"/>
    <w:rsid w:val="00BC5908"/>
    <w:rsid w:val="00BD3FB5"/>
    <w:rsid w:val="00BD5348"/>
    <w:rsid w:val="00BD5592"/>
    <w:rsid w:val="00BD76A4"/>
    <w:rsid w:val="00BE6118"/>
    <w:rsid w:val="00BE6889"/>
    <w:rsid w:val="00BF1FEC"/>
    <w:rsid w:val="00BF39AB"/>
    <w:rsid w:val="00BF4F0E"/>
    <w:rsid w:val="00C005DC"/>
    <w:rsid w:val="00C00E97"/>
    <w:rsid w:val="00C02D89"/>
    <w:rsid w:val="00C06570"/>
    <w:rsid w:val="00C066CE"/>
    <w:rsid w:val="00C07181"/>
    <w:rsid w:val="00C07BEF"/>
    <w:rsid w:val="00C11129"/>
    <w:rsid w:val="00C1183E"/>
    <w:rsid w:val="00C11FAA"/>
    <w:rsid w:val="00C14B46"/>
    <w:rsid w:val="00C155BE"/>
    <w:rsid w:val="00C17F54"/>
    <w:rsid w:val="00C20B85"/>
    <w:rsid w:val="00C216AF"/>
    <w:rsid w:val="00C24BA9"/>
    <w:rsid w:val="00C27A00"/>
    <w:rsid w:val="00C309A2"/>
    <w:rsid w:val="00C310C6"/>
    <w:rsid w:val="00C331EA"/>
    <w:rsid w:val="00C33D93"/>
    <w:rsid w:val="00C417B1"/>
    <w:rsid w:val="00C41D59"/>
    <w:rsid w:val="00C469BC"/>
    <w:rsid w:val="00C46EB1"/>
    <w:rsid w:val="00C523F0"/>
    <w:rsid w:val="00C55499"/>
    <w:rsid w:val="00C554EB"/>
    <w:rsid w:val="00C57418"/>
    <w:rsid w:val="00C61884"/>
    <w:rsid w:val="00C640D3"/>
    <w:rsid w:val="00C648B8"/>
    <w:rsid w:val="00C661DF"/>
    <w:rsid w:val="00C676BA"/>
    <w:rsid w:val="00C70732"/>
    <w:rsid w:val="00C71D05"/>
    <w:rsid w:val="00C728B7"/>
    <w:rsid w:val="00C737E6"/>
    <w:rsid w:val="00C73B5D"/>
    <w:rsid w:val="00C84915"/>
    <w:rsid w:val="00C8619E"/>
    <w:rsid w:val="00C93419"/>
    <w:rsid w:val="00C93E2A"/>
    <w:rsid w:val="00CA05A8"/>
    <w:rsid w:val="00CA0AA9"/>
    <w:rsid w:val="00CA1199"/>
    <w:rsid w:val="00CA1EE6"/>
    <w:rsid w:val="00CA4434"/>
    <w:rsid w:val="00CA47FB"/>
    <w:rsid w:val="00CA7539"/>
    <w:rsid w:val="00CB0957"/>
    <w:rsid w:val="00CB1125"/>
    <w:rsid w:val="00CB256D"/>
    <w:rsid w:val="00CB38D9"/>
    <w:rsid w:val="00CB5750"/>
    <w:rsid w:val="00CB5AF0"/>
    <w:rsid w:val="00CB6C28"/>
    <w:rsid w:val="00CD115C"/>
    <w:rsid w:val="00CD5B94"/>
    <w:rsid w:val="00CE0ADD"/>
    <w:rsid w:val="00CE1B4C"/>
    <w:rsid w:val="00CE1FE8"/>
    <w:rsid w:val="00CE1FFC"/>
    <w:rsid w:val="00CE4322"/>
    <w:rsid w:val="00CE56D6"/>
    <w:rsid w:val="00CE6E42"/>
    <w:rsid w:val="00CF0513"/>
    <w:rsid w:val="00CF0B91"/>
    <w:rsid w:val="00CF3444"/>
    <w:rsid w:val="00CF556C"/>
    <w:rsid w:val="00D00708"/>
    <w:rsid w:val="00D01D9E"/>
    <w:rsid w:val="00D042C6"/>
    <w:rsid w:val="00D04A0A"/>
    <w:rsid w:val="00D056FA"/>
    <w:rsid w:val="00D137C6"/>
    <w:rsid w:val="00D15099"/>
    <w:rsid w:val="00D1567D"/>
    <w:rsid w:val="00D17F6B"/>
    <w:rsid w:val="00D20101"/>
    <w:rsid w:val="00D202CE"/>
    <w:rsid w:val="00D2327B"/>
    <w:rsid w:val="00D236F1"/>
    <w:rsid w:val="00D27A92"/>
    <w:rsid w:val="00D41153"/>
    <w:rsid w:val="00D42D32"/>
    <w:rsid w:val="00D42E2D"/>
    <w:rsid w:val="00D4379D"/>
    <w:rsid w:val="00D43E88"/>
    <w:rsid w:val="00D46AD6"/>
    <w:rsid w:val="00D502DD"/>
    <w:rsid w:val="00D526B8"/>
    <w:rsid w:val="00D537FB"/>
    <w:rsid w:val="00D53B2F"/>
    <w:rsid w:val="00D54D59"/>
    <w:rsid w:val="00D55596"/>
    <w:rsid w:val="00D61DEC"/>
    <w:rsid w:val="00D627A3"/>
    <w:rsid w:val="00D62FE9"/>
    <w:rsid w:val="00D6325D"/>
    <w:rsid w:val="00D655AC"/>
    <w:rsid w:val="00D66B7E"/>
    <w:rsid w:val="00D71F7B"/>
    <w:rsid w:val="00D74FB8"/>
    <w:rsid w:val="00D75E7E"/>
    <w:rsid w:val="00D909F2"/>
    <w:rsid w:val="00D92A45"/>
    <w:rsid w:val="00D942C8"/>
    <w:rsid w:val="00D96DEB"/>
    <w:rsid w:val="00DA07D6"/>
    <w:rsid w:val="00DA1B3D"/>
    <w:rsid w:val="00DA5A59"/>
    <w:rsid w:val="00DA6849"/>
    <w:rsid w:val="00DA7FF2"/>
    <w:rsid w:val="00DB2A57"/>
    <w:rsid w:val="00DC003F"/>
    <w:rsid w:val="00DC6419"/>
    <w:rsid w:val="00DC7103"/>
    <w:rsid w:val="00DD2B62"/>
    <w:rsid w:val="00DE1917"/>
    <w:rsid w:val="00DE27B9"/>
    <w:rsid w:val="00DF1004"/>
    <w:rsid w:val="00DF237D"/>
    <w:rsid w:val="00DF6766"/>
    <w:rsid w:val="00E00F43"/>
    <w:rsid w:val="00E01A9B"/>
    <w:rsid w:val="00E02328"/>
    <w:rsid w:val="00E025B3"/>
    <w:rsid w:val="00E0399A"/>
    <w:rsid w:val="00E05C9B"/>
    <w:rsid w:val="00E1113C"/>
    <w:rsid w:val="00E13006"/>
    <w:rsid w:val="00E13727"/>
    <w:rsid w:val="00E14FD1"/>
    <w:rsid w:val="00E158FA"/>
    <w:rsid w:val="00E17ACC"/>
    <w:rsid w:val="00E20A84"/>
    <w:rsid w:val="00E20DEB"/>
    <w:rsid w:val="00E24F23"/>
    <w:rsid w:val="00E252EF"/>
    <w:rsid w:val="00E25A7B"/>
    <w:rsid w:val="00E30025"/>
    <w:rsid w:val="00E319D3"/>
    <w:rsid w:val="00E3542F"/>
    <w:rsid w:val="00E36043"/>
    <w:rsid w:val="00E40DBE"/>
    <w:rsid w:val="00E44DD9"/>
    <w:rsid w:val="00E45439"/>
    <w:rsid w:val="00E51455"/>
    <w:rsid w:val="00E51471"/>
    <w:rsid w:val="00E52ECA"/>
    <w:rsid w:val="00E55CC6"/>
    <w:rsid w:val="00E55CFB"/>
    <w:rsid w:val="00E57695"/>
    <w:rsid w:val="00E62753"/>
    <w:rsid w:val="00E65A0C"/>
    <w:rsid w:val="00E70778"/>
    <w:rsid w:val="00E72B59"/>
    <w:rsid w:val="00E73A12"/>
    <w:rsid w:val="00E74FE7"/>
    <w:rsid w:val="00E75E8D"/>
    <w:rsid w:val="00E7660E"/>
    <w:rsid w:val="00E80D86"/>
    <w:rsid w:val="00E83B00"/>
    <w:rsid w:val="00E840A5"/>
    <w:rsid w:val="00E84F93"/>
    <w:rsid w:val="00E85431"/>
    <w:rsid w:val="00E85844"/>
    <w:rsid w:val="00E86A1F"/>
    <w:rsid w:val="00E86D65"/>
    <w:rsid w:val="00E96BDD"/>
    <w:rsid w:val="00E96FF3"/>
    <w:rsid w:val="00EA29FD"/>
    <w:rsid w:val="00EA49B5"/>
    <w:rsid w:val="00EA5B73"/>
    <w:rsid w:val="00EA7962"/>
    <w:rsid w:val="00EA7A75"/>
    <w:rsid w:val="00EB1B83"/>
    <w:rsid w:val="00EB2741"/>
    <w:rsid w:val="00EB3901"/>
    <w:rsid w:val="00EB4706"/>
    <w:rsid w:val="00EB7460"/>
    <w:rsid w:val="00EB7EC8"/>
    <w:rsid w:val="00EC5BD2"/>
    <w:rsid w:val="00EC6161"/>
    <w:rsid w:val="00EC7478"/>
    <w:rsid w:val="00EC7B05"/>
    <w:rsid w:val="00ED2E0E"/>
    <w:rsid w:val="00ED4AF5"/>
    <w:rsid w:val="00EE19C8"/>
    <w:rsid w:val="00EE487F"/>
    <w:rsid w:val="00EE5E2D"/>
    <w:rsid w:val="00F01AF0"/>
    <w:rsid w:val="00F03955"/>
    <w:rsid w:val="00F039C2"/>
    <w:rsid w:val="00F03D0E"/>
    <w:rsid w:val="00F04369"/>
    <w:rsid w:val="00F11158"/>
    <w:rsid w:val="00F12984"/>
    <w:rsid w:val="00F14792"/>
    <w:rsid w:val="00F15C20"/>
    <w:rsid w:val="00F16524"/>
    <w:rsid w:val="00F24D56"/>
    <w:rsid w:val="00F25151"/>
    <w:rsid w:val="00F306C7"/>
    <w:rsid w:val="00F32B07"/>
    <w:rsid w:val="00F34BF0"/>
    <w:rsid w:val="00F3787E"/>
    <w:rsid w:val="00F40780"/>
    <w:rsid w:val="00F41A08"/>
    <w:rsid w:val="00F43F27"/>
    <w:rsid w:val="00F45D68"/>
    <w:rsid w:val="00F462C6"/>
    <w:rsid w:val="00F47404"/>
    <w:rsid w:val="00F523A9"/>
    <w:rsid w:val="00F52C46"/>
    <w:rsid w:val="00F536B0"/>
    <w:rsid w:val="00F5378E"/>
    <w:rsid w:val="00F562A3"/>
    <w:rsid w:val="00F6093F"/>
    <w:rsid w:val="00F6095B"/>
    <w:rsid w:val="00F6548C"/>
    <w:rsid w:val="00F70BB2"/>
    <w:rsid w:val="00F758A1"/>
    <w:rsid w:val="00F75CF6"/>
    <w:rsid w:val="00F80853"/>
    <w:rsid w:val="00F82658"/>
    <w:rsid w:val="00F82A9F"/>
    <w:rsid w:val="00F8339A"/>
    <w:rsid w:val="00F87588"/>
    <w:rsid w:val="00F92BB7"/>
    <w:rsid w:val="00F930CF"/>
    <w:rsid w:val="00F93638"/>
    <w:rsid w:val="00F94A30"/>
    <w:rsid w:val="00F96923"/>
    <w:rsid w:val="00FA0135"/>
    <w:rsid w:val="00FA1BF1"/>
    <w:rsid w:val="00FA2F0E"/>
    <w:rsid w:val="00FA4B85"/>
    <w:rsid w:val="00FA5CBC"/>
    <w:rsid w:val="00FA6188"/>
    <w:rsid w:val="00FA6EA8"/>
    <w:rsid w:val="00FB0866"/>
    <w:rsid w:val="00FB6507"/>
    <w:rsid w:val="00FC18BF"/>
    <w:rsid w:val="00FC27FC"/>
    <w:rsid w:val="00FC2A41"/>
    <w:rsid w:val="00FC5DDE"/>
    <w:rsid w:val="00FC7E43"/>
    <w:rsid w:val="00FD171D"/>
    <w:rsid w:val="00FD2747"/>
    <w:rsid w:val="00FD3735"/>
    <w:rsid w:val="00FD6B20"/>
    <w:rsid w:val="00FD6EB9"/>
    <w:rsid w:val="00FD707D"/>
    <w:rsid w:val="00FD728A"/>
    <w:rsid w:val="00FE33FB"/>
    <w:rsid w:val="00FF032F"/>
    <w:rsid w:val="00FF0C4E"/>
    <w:rsid w:val="00FF1D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130A"/>
  <w15:chartTrackingRefBased/>
  <w15:docId w15:val="{819ECFC8-820E-4760-A381-80FC1567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11"/>
    <w:pPr>
      <w:spacing w:line="480" w:lineRule="auto"/>
      <w:ind w:firstLine="720"/>
      <w:contextualSpacing/>
    </w:pPr>
  </w:style>
  <w:style w:type="paragraph" w:styleId="Ttulo1">
    <w:name w:val="heading 1"/>
    <w:basedOn w:val="Normal"/>
    <w:next w:val="Normal"/>
    <w:link w:val="Ttulo1Car"/>
    <w:autoRedefine/>
    <w:uiPriority w:val="9"/>
    <w:qFormat/>
    <w:rsid w:val="00021311"/>
    <w:pPr>
      <w:keepNext/>
      <w:keepLines/>
      <w:spacing w:before="24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1311"/>
    <w:rPr>
      <w:rFonts w:eastAsiaTheme="majorEastAsia" w:cstheme="majorBidi"/>
      <w:b/>
      <w:szCs w:val="32"/>
    </w:rPr>
  </w:style>
  <w:style w:type="paragraph" w:customStyle="1" w:styleId="Nivel3">
    <w:name w:val="Nivel 3"/>
    <w:basedOn w:val="Ttulo1"/>
    <w:link w:val="Nivel3Car"/>
    <w:qFormat/>
    <w:rsid w:val="00021311"/>
    <w:rPr>
      <w:rFonts w:ascii="Times New Roman" w:hAnsi="Times New Roman"/>
      <w:i/>
      <w:sz w:val="24"/>
    </w:rPr>
  </w:style>
  <w:style w:type="character" w:customStyle="1" w:styleId="Nivel3Car">
    <w:name w:val="Nivel 3 Car"/>
    <w:basedOn w:val="Fuentedeprrafopredeter"/>
    <w:link w:val="Nivel3"/>
    <w:rsid w:val="00021311"/>
    <w:rPr>
      <w:rFonts w:ascii="Times New Roman" w:eastAsiaTheme="majorEastAsia" w:hAnsi="Times New Roman" w:cstheme="majorBidi"/>
      <w:b/>
      <w:i/>
      <w:sz w:val="24"/>
      <w:szCs w:val="32"/>
    </w:rPr>
  </w:style>
  <w:style w:type="character" w:styleId="Textoennegrita">
    <w:name w:val="Strong"/>
    <w:basedOn w:val="Fuentedeprrafopredeter"/>
    <w:uiPriority w:val="22"/>
    <w:qFormat/>
    <w:rsid w:val="00AD20FE"/>
    <w:rPr>
      <w:b/>
      <w:bCs/>
    </w:rPr>
  </w:style>
  <w:style w:type="character" w:styleId="Hipervnculo">
    <w:name w:val="Hyperlink"/>
    <w:basedOn w:val="Fuentedeprrafopredeter"/>
    <w:uiPriority w:val="99"/>
    <w:unhideWhenUsed/>
    <w:rsid w:val="006F1892"/>
    <w:rPr>
      <w:color w:val="0563C1" w:themeColor="hyperlink"/>
      <w:u w:val="single"/>
    </w:rPr>
  </w:style>
  <w:style w:type="paragraph" w:styleId="Encabezado">
    <w:name w:val="header"/>
    <w:basedOn w:val="Normal"/>
    <w:link w:val="EncabezadoCar"/>
    <w:uiPriority w:val="99"/>
    <w:unhideWhenUsed/>
    <w:rsid w:val="00CD5B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5B94"/>
  </w:style>
  <w:style w:type="paragraph" w:styleId="Piedepgina">
    <w:name w:val="footer"/>
    <w:basedOn w:val="Normal"/>
    <w:link w:val="PiedepginaCar"/>
    <w:uiPriority w:val="99"/>
    <w:unhideWhenUsed/>
    <w:rsid w:val="00CD5B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5B94"/>
  </w:style>
  <w:style w:type="paragraph" w:styleId="Textonotapie">
    <w:name w:val="footnote text"/>
    <w:basedOn w:val="Normal"/>
    <w:link w:val="TextonotapieCar"/>
    <w:uiPriority w:val="99"/>
    <w:unhideWhenUsed/>
    <w:rsid w:val="002B276E"/>
    <w:pPr>
      <w:spacing w:after="0" w:line="240" w:lineRule="auto"/>
    </w:pPr>
    <w:rPr>
      <w:sz w:val="20"/>
      <w:szCs w:val="20"/>
    </w:rPr>
  </w:style>
  <w:style w:type="character" w:customStyle="1" w:styleId="TextonotapieCar">
    <w:name w:val="Texto nota pie Car"/>
    <w:basedOn w:val="Fuentedeprrafopredeter"/>
    <w:link w:val="Textonotapie"/>
    <w:uiPriority w:val="99"/>
    <w:rsid w:val="002B276E"/>
    <w:rPr>
      <w:sz w:val="20"/>
      <w:szCs w:val="20"/>
    </w:rPr>
  </w:style>
  <w:style w:type="character" w:styleId="Refdenotaalpie">
    <w:name w:val="footnote reference"/>
    <w:basedOn w:val="Fuentedeprrafopredeter"/>
    <w:uiPriority w:val="99"/>
    <w:semiHidden/>
    <w:unhideWhenUsed/>
    <w:rsid w:val="002B276E"/>
    <w:rPr>
      <w:vertAlign w:val="superscript"/>
    </w:rPr>
  </w:style>
  <w:style w:type="character" w:styleId="Mencinsinresolver">
    <w:name w:val="Unresolved Mention"/>
    <w:basedOn w:val="Fuentedeprrafopredeter"/>
    <w:uiPriority w:val="99"/>
    <w:semiHidden/>
    <w:unhideWhenUsed/>
    <w:rsid w:val="00CE0ADD"/>
    <w:rPr>
      <w:color w:val="605E5C"/>
      <w:shd w:val="clear" w:color="auto" w:fill="E1DFDD"/>
    </w:rPr>
  </w:style>
  <w:style w:type="paragraph" w:styleId="Prrafodelista">
    <w:name w:val="List Paragraph"/>
    <w:basedOn w:val="Normal"/>
    <w:uiPriority w:val="34"/>
    <w:qFormat/>
    <w:rsid w:val="00C1183E"/>
    <w:pPr>
      <w:ind w:left="720"/>
    </w:pPr>
  </w:style>
  <w:style w:type="character" w:styleId="Hipervnculovisitado">
    <w:name w:val="FollowedHyperlink"/>
    <w:basedOn w:val="Fuentedeprrafopredeter"/>
    <w:uiPriority w:val="99"/>
    <w:semiHidden/>
    <w:unhideWhenUsed/>
    <w:rsid w:val="00C005DC"/>
    <w:rPr>
      <w:color w:val="954F72" w:themeColor="followedHyperlink"/>
      <w:u w:val="single"/>
    </w:rPr>
  </w:style>
  <w:style w:type="table" w:styleId="Tablaconcuadrcula">
    <w:name w:val="Table Grid"/>
    <w:basedOn w:val="Tablanormal"/>
    <w:uiPriority w:val="39"/>
    <w:rsid w:val="00F5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9D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contextualSpacing w:val="0"/>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D28BE"/>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6/science.1251868" TargetMode="External"/><Relationship Id="rId18" Type="http://schemas.openxmlformats.org/officeDocument/2006/relationships/hyperlink" Target="https://www.cedlas.econo.unlp.edu.ar/wp/wp-content/uploads/doc_cedlas330.pdf?dl=0" TargetMode="External"/><Relationship Id="rId26" Type="http://schemas.openxmlformats.org/officeDocument/2006/relationships/hyperlink" Target="https://doi.org/10.1257/aer.90.5.1184" TargetMode="External"/><Relationship Id="rId39" Type="http://schemas.openxmlformats.org/officeDocument/2006/relationships/hyperlink" Target="https://doi.org/10.1787/9789264287679-en" TargetMode="External"/><Relationship Id="rId21" Type="http://schemas.openxmlformats.org/officeDocument/2006/relationships/hyperlink" Target="http://dx.doi.org/10.1257/aer.104.9.2633" TargetMode="External"/><Relationship Id="rId34" Type="http://schemas.openxmlformats.org/officeDocument/2006/relationships/hyperlink" Target="https://doi.org/10.19052/eq.vol1.iss43.4" TargetMode="External"/><Relationship Id="rId42" Type="http://schemas.openxmlformats.org/officeDocument/2006/relationships/hyperlink" Target="https://doi.org/10.1111/j.1468-0297.2007.02080.x" TargetMode="External"/><Relationship Id="rId47" Type="http://schemas.openxmlformats.org/officeDocument/2006/relationships/hyperlink" Target="https://doi.org/10.56712/latam.v4i6.1509" TargetMode="External"/><Relationship Id="rId50" Type="http://schemas.openxmlformats.org/officeDocument/2006/relationships/hyperlink" Target="https://doi.org/10.1111/jphd.12672"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0313831.2019.1659403" TargetMode="External"/><Relationship Id="rId29" Type="http://schemas.openxmlformats.org/officeDocument/2006/relationships/hyperlink" Target="https://doi.org/10.1257/jel.46.3.607" TargetMode="External"/><Relationship Id="rId11" Type="http://schemas.openxmlformats.org/officeDocument/2006/relationships/hyperlink" Target="https://doi.org/10.1016/j.compedu.2014.12.017" TargetMode="External"/><Relationship Id="rId24" Type="http://schemas.openxmlformats.org/officeDocument/2006/relationships/hyperlink" Target="https://doi.org/10.1080/09645292.2024.2318221" TargetMode="External"/><Relationship Id="rId32" Type="http://schemas.openxmlformats.org/officeDocument/2006/relationships/hyperlink" Target="https://doi.org/10.1007/s40888-024-00328-z" TargetMode="External"/><Relationship Id="rId37" Type="http://schemas.openxmlformats.org/officeDocument/2006/relationships/hyperlink" Target="https://doi.org/10.1787/9789264204027-en" TargetMode="External"/><Relationship Id="rId40" Type="http://schemas.openxmlformats.org/officeDocument/2006/relationships/hyperlink" Target="https://doi.org/10.3390/higheredu4020019" TargetMode="External"/><Relationship Id="rId45" Type="http://schemas.openxmlformats.org/officeDocument/2006/relationships/hyperlink" Target="https://doi.org/10.1080/03054985.2019.1687436"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2804/revistas.urosario.edu.co/economia/a.8628" TargetMode="External"/><Relationship Id="rId19" Type="http://schemas.openxmlformats.org/officeDocument/2006/relationships/hyperlink" Target="https://doi.org/10.1111/ejed.12318" TargetMode="External"/><Relationship Id="rId31" Type="http://schemas.openxmlformats.org/officeDocument/2006/relationships/hyperlink" Target="https://doi.org/10.15517/revedu.v47i1.51740" TargetMode="External"/><Relationship Id="rId44" Type="http://schemas.openxmlformats.org/officeDocument/2006/relationships/hyperlink" Target="https://doi.org/10.1080/03057925.2019.1675495" TargetMode="External"/><Relationship Id="rId52" Type="http://schemas.openxmlformats.org/officeDocument/2006/relationships/hyperlink" Target="https://doi.org/10.11575/ajer.v68i2.71334" TargetMode="External"/><Relationship Id="rId4" Type="http://schemas.openxmlformats.org/officeDocument/2006/relationships/settings" Target="settings.xml"/><Relationship Id="rId9" Type="http://schemas.openxmlformats.org/officeDocument/2006/relationships/hyperlink" Target="https://doi.org/10.1086/250071" TargetMode="External"/><Relationship Id="rId14" Type="http://schemas.openxmlformats.org/officeDocument/2006/relationships/hyperlink" Target="https://doi.org/10.1162/003355303322552801" TargetMode="External"/><Relationship Id="rId22" Type="http://schemas.openxmlformats.org/officeDocument/2006/relationships/hyperlink" Target="https://doi.org/10.1037/0022-3514.86.1.130" TargetMode="External"/><Relationship Id="rId27" Type="http://schemas.openxmlformats.org/officeDocument/2006/relationships/hyperlink" Target="https://doi.org/10.1126/sciadv.ads1560" TargetMode="External"/><Relationship Id="rId30" Type="http://schemas.openxmlformats.org/officeDocument/2006/relationships/hyperlink" Target="https://doi.org/10.1086/504455" TargetMode="External"/><Relationship Id="rId35" Type="http://schemas.openxmlformats.org/officeDocument/2006/relationships/hyperlink" Target="https://doi.org/10.1080/02601370.2024.2390070" TargetMode="External"/><Relationship Id="rId43" Type="http://schemas.openxmlformats.org/officeDocument/2006/relationships/hyperlink" Target="https://doi.org/10.1007/s11150-020-09523-w" TargetMode="External"/><Relationship Id="rId48" Type="http://schemas.openxmlformats.org/officeDocument/2006/relationships/hyperlink" Target="https://doi.org/10.54167/rei.v2i2.1688" TargetMode="External"/><Relationship Id="rId56" Type="http://schemas.openxmlformats.org/officeDocument/2006/relationships/theme" Target="theme/theme1.xml"/><Relationship Id="rId8" Type="http://schemas.openxmlformats.org/officeDocument/2006/relationships/hyperlink" Target="https://doi.org/10.1093/esr/jcs049" TargetMode="External"/><Relationship Id="rId51" Type="http://schemas.openxmlformats.org/officeDocument/2006/relationships/hyperlink" Target="https://doi.org/10.1108/HESWBL-09-2022-0184" TargetMode="External"/><Relationship Id="rId3" Type="http://schemas.openxmlformats.org/officeDocument/2006/relationships/styles" Target="styles.xml"/><Relationship Id="rId12" Type="http://schemas.openxmlformats.org/officeDocument/2006/relationships/hyperlink" Target="https://doi.org/10.1111/ilr.12169" TargetMode="External"/><Relationship Id="rId17" Type="http://schemas.openxmlformats.org/officeDocument/2006/relationships/hyperlink" Target="http://dx.doi.org/10.2139/ssrn.4456360" TargetMode="External"/><Relationship Id="rId25" Type="http://schemas.openxmlformats.org/officeDocument/2006/relationships/hyperlink" Target="https://link.springer.com/article/10.1007/s11205-016-1292-7" TargetMode="External"/><Relationship Id="rId33" Type="http://schemas.openxmlformats.org/officeDocument/2006/relationships/hyperlink" Target="https://doi.org/10.1787/5jlphd2qj19n-en" TargetMode="External"/><Relationship Id="rId38" Type="http://schemas.openxmlformats.org/officeDocument/2006/relationships/hyperlink" Target="https://www.oecd.org/centrodemexico/medios/Country%20note%20-%20%20Mexico_espa%C3%B1ol.pdf" TargetMode="External"/><Relationship Id="rId46" Type="http://schemas.openxmlformats.org/officeDocument/2006/relationships/hyperlink" Target="https://doi.org/10.1111/ecot.12430" TargetMode="External"/><Relationship Id="rId20" Type="http://schemas.openxmlformats.org/officeDocument/2006/relationships/hyperlink" Target="https://doi.org/10.1111/j.1542-4774.2012.01096.x" TargetMode="External"/><Relationship Id="rId41" Type="http://schemas.openxmlformats.org/officeDocument/2006/relationships/hyperlink" Target="https://doi.org/10.1093/sf/soad14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787/d35017ee-en" TargetMode="External"/><Relationship Id="rId23" Type="http://schemas.openxmlformats.org/officeDocument/2006/relationships/hyperlink" Target="https://doi.org/10.1016/j.stueduc.2021.101069" TargetMode="External"/><Relationship Id="rId28" Type="http://schemas.openxmlformats.org/officeDocument/2006/relationships/hyperlink" Target="https://doi.org/10.1016/j.euroecorev.2014.10.006" TargetMode="External"/><Relationship Id="rId36" Type="http://schemas.openxmlformats.org/officeDocument/2006/relationships/hyperlink" Target="https://doi.org/10.1787/9789264128859-en" TargetMode="External"/><Relationship Id="rId49" Type="http://schemas.openxmlformats.org/officeDocument/2006/relationships/hyperlink" Target="https://doi.org/10.1177/215824401990017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03164-98B5-4CBD-B5A2-394F846A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8945</Words>
  <Characters>49199</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Gustavo Toledo</cp:lastModifiedBy>
  <cp:revision>5</cp:revision>
  <dcterms:created xsi:type="dcterms:W3CDTF">2025-08-25T07:50:00Z</dcterms:created>
  <dcterms:modified xsi:type="dcterms:W3CDTF">2025-08-27T14:20:00Z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fb1c0c437bf7e28ef99a16abbcddc3be9278b7c50d2d3dcdca8fbaff4d6409bd</vt:lpwstr>
  </property>
</Properties>
</file>