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7C008" w14:textId="58C4A99C" w:rsidR="00D97A4B" w:rsidRPr="00C53067" w:rsidRDefault="00C53067" w:rsidP="00D97A4B">
      <w:pPr>
        <w:pStyle w:val="Ttulo1"/>
        <w:spacing w:after="240" w:line="360" w:lineRule="auto"/>
        <w:jc w:val="right"/>
        <w:rPr>
          <w:rFonts w:ascii="Times New Roman" w:hAnsi="Times New Roman" w:cs="Times New Roman"/>
          <w:b/>
          <w:bCs/>
          <w:i/>
          <w:iCs/>
          <w:color w:val="auto"/>
          <w:sz w:val="24"/>
          <w:szCs w:val="24"/>
        </w:rPr>
      </w:pPr>
      <w:r w:rsidRPr="00C53067">
        <w:rPr>
          <w:rFonts w:ascii="Times New Roman" w:hAnsi="Times New Roman" w:cs="Times New Roman"/>
          <w:b/>
          <w:bCs/>
          <w:i/>
          <w:iCs/>
          <w:color w:val="auto"/>
          <w:sz w:val="24"/>
          <w:szCs w:val="24"/>
        </w:rPr>
        <w:t>https://doi.org/10.23913/ride.v16i31.2636</w:t>
      </w:r>
    </w:p>
    <w:p w14:paraId="2A40436F" w14:textId="3A72128D" w:rsidR="00D97A4B" w:rsidRDefault="00D97A4B" w:rsidP="00D97A4B">
      <w:pPr>
        <w:pStyle w:val="Ttulo1"/>
        <w:spacing w:after="240" w:line="360" w:lineRule="auto"/>
        <w:jc w:val="right"/>
        <w:rPr>
          <w:rFonts w:ascii="Times New Roman" w:hAnsi="Times New Roman" w:cs="Times New Roman"/>
          <w:b/>
          <w:bCs/>
          <w:color w:val="auto"/>
          <w:sz w:val="28"/>
          <w:szCs w:val="28"/>
        </w:rPr>
      </w:pPr>
      <w:r w:rsidRPr="00693E3A">
        <w:rPr>
          <w:rFonts w:ascii="Times New Roman" w:hAnsi="Times New Roman"/>
          <w:b/>
          <w:bCs/>
          <w:i/>
          <w:iCs/>
          <w:color w:val="000000" w:themeColor="text1"/>
          <w:sz w:val="24"/>
          <w:szCs w:val="24"/>
        </w:rPr>
        <w:t>Artículos científicos</w:t>
      </w:r>
    </w:p>
    <w:p w14:paraId="38F6B6A0" w14:textId="68EEBFC8" w:rsidR="00807258" w:rsidRPr="00D97A4B" w:rsidRDefault="00D97A4B" w:rsidP="00D97A4B">
      <w:pPr>
        <w:pStyle w:val="Ttulo1"/>
        <w:spacing w:before="0"/>
        <w:jc w:val="right"/>
        <w:rPr>
          <w:rFonts w:ascii="Calibri" w:hAnsi="Calibri" w:cs="Calibri"/>
          <w:b/>
          <w:bCs/>
          <w:color w:val="auto"/>
        </w:rPr>
      </w:pPr>
      <w:r w:rsidRPr="00D97A4B">
        <w:rPr>
          <w:rFonts w:ascii="Calibri" w:hAnsi="Calibri" w:cs="Calibri"/>
          <w:b/>
          <w:bCs/>
          <w:color w:val="auto"/>
        </w:rPr>
        <w:t>Responsabilidad Penal en la Salud Pública Mexicana: Retos, Casos Representativos y Propuestas para Prevenir la Negligencia en Emergencias Sanitarias</w:t>
      </w:r>
    </w:p>
    <w:p w14:paraId="6BC8F6D5" w14:textId="33EE82B5" w:rsidR="00807258" w:rsidRPr="00D97A4B" w:rsidRDefault="00D97A4B" w:rsidP="00D97A4B">
      <w:pPr>
        <w:jc w:val="right"/>
        <w:rPr>
          <w:rFonts w:ascii="Calibri" w:hAnsi="Calibri" w:cs="Calibri"/>
          <w:b/>
          <w:bCs/>
          <w:i/>
          <w:iCs/>
          <w:sz w:val="28"/>
          <w:szCs w:val="28"/>
          <w:lang w:val="en-US"/>
        </w:rPr>
      </w:pPr>
      <w:r w:rsidRPr="00C53067">
        <w:rPr>
          <w:rFonts w:ascii="Calibri" w:hAnsi="Calibri" w:cs="Calibri"/>
          <w:b/>
          <w:bCs/>
          <w:i/>
          <w:iCs/>
          <w:sz w:val="28"/>
          <w:szCs w:val="28"/>
          <w:lang w:val="en-US"/>
        </w:rPr>
        <w:br/>
      </w:r>
      <w:r w:rsidRPr="00D97A4B">
        <w:rPr>
          <w:rFonts w:ascii="Calibri" w:hAnsi="Calibri" w:cs="Calibri"/>
          <w:b/>
          <w:bCs/>
          <w:i/>
          <w:iCs/>
          <w:sz w:val="28"/>
          <w:szCs w:val="28"/>
          <w:lang w:val="en-US"/>
        </w:rPr>
        <w:t>Criminal Liability in Mexican Public Health: Challenges, Representative Cases and Proposals to Prevent Negligence in Health Emergencies</w:t>
      </w:r>
    </w:p>
    <w:p w14:paraId="0B2A4A91" w14:textId="60191B2A" w:rsidR="00D97A4B" w:rsidRPr="00D97A4B" w:rsidRDefault="00D97A4B" w:rsidP="00D97A4B">
      <w:pPr>
        <w:jc w:val="right"/>
        <w:rPr>
          <w:rFonts w:ascii="Calibri" w:hAnsi="Calibri" w:cs="Calibri"/>
          <w:b/>
          <w:bCs/>
          <w:i/>
          <w:iCs/>
          <w:sz w:val="28"/>
          <w:szCs w:val="28"/>
          <w:lang w:val="es-MX"/>
        </w:rPr>
      </w:pPr>
      <w:r w:rsidRPr="00C53067">
        <w:rPr>
          <w:rFonts w:ascii="Calibri" w:hAnsi="Calibri" w:cs="Calibri"/>
          <w:b/>
          <w:bCs/>
          <w:i/>
          <w:iCs/>
          <w:sz w:val="28"/>
          <w:szCs w:val="28"/>
          <w:lang w:val="es-MX"/>
        </w:rPr>
        <w:br/>
      </w:r>
      <w:proofErr w:type="spellStart"/>
      <w:r w:rsidRPr="00D97A4B">
        <w:rPr>
          <w:rFonts w:ascii="Calibri" w:hAnsi="Calibri" w:cs="Calibri"/>
          <w:b/>
          <w:bCs/>
          <w:i/>
          <w:iCs/>
          <w:sz w:val="28"/>
          <w:szCs w:val="28"/>
          <w:lang w:val="es-MX"/>
        </w:rPr>
        <w:t>Responsabilidade</w:t>
      </w:r>
      <w:proofErr w:type="spellEnd"/>
      <w:r w:rsidRPr="00D97A4B">
        <w:rPr>
          <w:rFonts w:ascii="Calibri" w:hAnsi="Calibri" w:cs="Calibri"/>
          <w:b/>
          <w:bCs/>
          <w:i/>
          <w:iCs/>
          <w:sz w:val="28"/>
          <w:szCs w:val="28"/>
          <w:lang w:val="es-MX"/>
        </w:rPr>
        <w:t xml:space="preserve"> Penal </w:t>
      </w:r>
      <w:proofErr w:type="spellStart"/>
      <w:r w:rsidRPr="00D97A4B">
        <w:rPr>
          <w:rFonts w:ascii="Calibri" w:hAnsi="Calibri" w:cs="Calibri"/>
          <w:b/>
          <w:bCs/>
          <w:i/>
          <w:iCs/>
          <w:sz w:val="28"/>
          <w:szCs w:val="28"/>
          <w:lang w:val="es-MX"/>
        </w:rPr>
        <w:t>na</w:t>
      </w:r>
      <w:proofErr w:type="spellEnd"/>
      <w:r w:rsidRPr="00D97A4B">
        <w:rPr>
          <w:rFonts w:ascii="Calibri" w:hAnsi="Calibri" w:cs="Calibri"/>
          <w:b/>
          <w:bCs/>
          <w:i/>
          <w:iCs/>
          <w:sz w:val="28"/>
          <w:szCs w:val="28"/>
          <w:lang w:val="es-MX"/>
        </w:rPr>
        <w:t xml:space="preserve"> </w:t>
      </w:r>
      <w:proofErr w:type="spellStart"/>
      <w:r w:rsidRPr="00D97A4B">
        <w:rPr>
          <w:rFonts w:ascii="Calibri" w:hAnsi="Calibri" w:cs="Calibri"/>
          <w:b/>
          <w:bCs/>
          <w:i/>
          <w:iCs/>
          <w:sz w:val="28"/>
          <w:szCs w:val="28"/>
          <w:lang w:val="es-MX"/>
        </w:rPr>
        <w:t>Saúde</w:t>
      </w:r>
      <w:proofErr w:type="spellEnd"/>
      <w:r w:rsidRPr="00D97A4B">
        <w:rPr>
          <w:rFonts w:ascii="Calibri" w:hAnsi="Calibri" w:cs="Calibri"/>
          <w:b/>
          <w:bCs/>
          <w:i/>
          <w:iCs/>
          <w:sz w:val="28"/>
          <w:szCs w:val="28"/>
          <w:lang w:val="es-MX"/>
        </w:rPr>
        <w:t xml:space="preserve"> Pública Mexicana: </w:t>
      </w:r>
      <w:proofErr w:type="spellStart"/>
      <w:r w:rsidRPr="00D97A4B">
        <w:rPr>
          <w:rFonts w:ascii="Calibri" w:hAnsi="Calibri" w:cs="Calibri"/>
          <w:b/>
          <w:bCs/>
          <w:i/>
          <w:iCs/>
          <w:sz w:val="28"/>
          <w:szCs w:val="28"/>
          <w:lang w:val="es-MX"/>
        </w:rPr>
        <w:t>Desafios</w:t>
      </w:r>
      <w:proofErr w:type="spellEnd"/>
      <w:r w:rsidRPr="00D97A4B">
        <w:rPr>
          <w:rFonts w:ascii="Calibri" w:hAnsi="Calibri" w:cs="Calibri"/>
          <w:b/>
          <w:bCs/>
          <w:i/>
          <w:iCs/>
          <w:sz w:val="28"/>
          <w:szCs w:val="28"/>
          <w:lang w:val="es-MX"/>
        </w:rPr>
        <w:t xml:space="preserve">, Casos Representativos e </w:t>
      </w:r>
      <w:proofErr w:type="spellStart"/>
      <w:r w:rsidRPr="00D97A4B">
        <w:rPr>
          <w:rFonts w:ascii="Calibri" w:hAnsi="Calibri" w:cs="Calibri"/>
          <w:b/>
          <w:bCs/>
          <w:i/>
          <w:iCs/>
          <w:sz w:val="28"/>
          <w:szCs w:val="28"/>
          <w:lang w:val="es-MX"/>
        </w:rPr>
        <w:t>Propostas</w:t>
      </w:r>
      <w:proofErr w:type="spellEnd"/>
      <w:r w:rsidRPr="00D97A4B">
        <w:rPr>
          <w:rFonts w:ascii="Calibri" w:hAnsi="Calibri" w:cs="Calibri"/>
          <w:b/>
          <w:bCs/>
          <w:i/>
          <w:iCs/>
          <w:sz w:val="28"/>
          <w:szCs w:val="28"/>
          <w:lang w:val="es-MX"/>
        </w:rPr>
        <w:t xml:space="preserve"> para Prevenir a </w:t>
      </w:r>
      <w:proofErr w:type="spellStart"/>
      <w:r w:rsidRPr="00D97A4B">
        <w:rPr>
          <w:rFonts w:ascii="Calibri" w:hAnsi="Calibri" w:cs="Calibri"/>
          <w:b/>
          <w:bCs/>
          <w:i/>
          <w:iCs/>
          <w:sz w:val="28"/>
          <w:szCs w:val="28"/>
          <w:lang w:val="es-MX"/>
        </w:rPr>
        <w:t>Negligência</w:t>
      </w:r>
      <w:proofErr w:type="spellEnd"/>
      <w:r w:rsidRPr="00D97A4B">
        <w:rPr>
          <w:rFonts w:ascii="Calibri" w:hAnsi="Calibri" w:cs="Calibri"/>
          <w:b/>
          <w:bCs/>
          <w:i/>
          <w:iCs/>
          <w:sz w:val="28"/>
          <w:szCs w:val="28"/>
          <w:lang w:val="es-MX"/>
        </w:rPr>
        <w:t xml:space="preserve"> em </w:t>
      </w:r>
      <w:proofErr w:type="spellStart"/>
      <w:r w:rsidRPr="00D97A4B">
        <w:rPr>
          <w:rFonts w:ascii="Calibri" w:hAnsi="Calibri" w:cs="Calibri"/>
          <w:b/>
          <w:bCs/>
          <w:i/>
          <w:iCs/>
          <w:sz w:val="28"/>
          <w:szCs w:val="28"/>
          <w:lang w:val="es-MX"/>
        </w:rPr>
        <w:t>Emergências</w:t>
      </w:r>
      <w:proofErr w:type="spellEnd"/>
      <w:r w:rsidRPr="00D97A4B">
        <w:rPr>
          <w:rFonts w:ascii="Calibri" w:hAnsi="Calibri" w:cs="Calibri"/>
          <w:b/>
          <w:bCs/>
          <w:i/>
          <w:iCs/>
          <w:sz w:val="28"/>
          <w:szCs w:val="28"/>
          <w:lang w:val="es-MX"/>
        </w:rPr>
        <w:t xml:space="preserve"> de </w:t>
      </w:r>
      <w:proofErr w:type="spellStart"/>
      <w:r w:rsidRPr="00D97A4B">
        <w:rPr>
          <w:rFonts w:ascii="Calibri" w:hAnsi="Calibri" w:cs="Calibri"/>
          <w:b/>
          <w:bCs/>
          <w:i/>
          <w:iCs/>
          <w:sz w:val="28"/>
          <w:szCs w:val="28"/>
          <w:lang w:val="es-MX"/>
        </w:rPr>
        <w:t>Saúde</w:t>
      </w:r>
      <w:proofErr w:type="spellEnd"/>
    </w:p>
    <w:p w14:paraId="17B23A00" w14:textId="77777777" w:rsidR="00807258" w:rsidRPr="00D97A4B" w:rsidRDefault="00807258">
      <w:pPr>
        <w:spacing w:after="0" w:line="240" w:lineRule="auto"/>
        <w:jc w:val="right"/>
        <w:rPr>
          <w:rFonts w:ascii="Times New Roman" w:hAnsi="Times New Roman" w:cs="Times New Roman"/>
          <w:lang w:val="es-MX"/>
        </w:rPr>
      </w:pPr>
    </w:p>
    <w:p w14:paraId="2B67C5C7" w14:textId="77777777" w:rsidR="00807258" w:rsidRPr="00D97A4B" w:rsidRDefault="00D97A4B" w:rsidP="00D97A4B">
      <w:pPr>
        <w:spacing w:after="0"/>
        <w:ind w:left="3884" w:right="16" w:firstLine="1304"/>
        <w:jc w:val="right"/>
        <w:rPr>
          <w:rFonts w:ascii="Calibri" w:hAnsi="Calibri" w:cs="Calibri"/>
          <w:b/>
          <w:bCs/>
        </w:rPr>
      </w:pPr>
      <w:r w:rsidRPr="00D97A4B">
        <w:rPr>
          <w:rFonts w:ascii="Calibri" w:hAnsi="Calibri" w:cs="Calibri"/>
          <w:b/>
          <w:bCs/>
        </w:rPr>
        <w:t xml:space="preserve">Ranulfo Martínez Carrillo </w:t>
      </w:r>
    </w:p>
    <w:p w14:paraId="6F1C06AA" w14:textId="77777777" w:rsidR="00D97A4B" w:rsidRDefault="00D97A4B" w:rsidP="00D97A4B">
      <w:pPr>
        <w:spacing w:after="0"/>
        <w:ind w:right="16"/>
        <w:jc w:val="right"/>
        <w:rPr>
          <w:rFonts w:ascii="Times New Roman" w:hAnsi="Times New Roman" w:cs="Times New Roman"/>
        </w:rPr>
      </w:pPr>
      <w:r>
        <w:rPr>
          <w:rFonts w:ascii="Times New Roman" w:hAnsi="Times New Roman" w:cs="Times New Roman"/>
        </w:rPr>
        <w:t>Universidad de Guadalajara, Centro Universitario de los Valles, México</w:t>
      </w:r>
    </w:p>
    <w:p w14:paraId="471B2A7A" w14:textId="30154437" w:rsidR="00807258" w:rsidRPr="00D97A4B" w:rsidRDefault="00D97A4B" w:rsidP="00D97A4B">
      <w:pPr>
        <w:spacing w:after="0"/>
        <w:ind w:left="3884" w:right="16"/>
        <w:jc w:val="right"/>
        <w:rPr>
          <w:rFonts w:ascii="Calibri" w:hAnsi="Calibri" w:cs="Calibri"/>
          <w:color w:val="FF0000"/>
        </w:rPr>
      </w:pPr>
      <w:r w:rsidRPr="00D97A4B">
        <w:rPr>
          <w:rFonts w:ascii="Calibri" w:eastAsiaTheme="majorEastAsia" w:hAnsi="Calibri" w:cs="Calibri"/>
          <w:color w:val="FF0000"/>
        </w:rPr>
        <w:t>ranulfo.martinez@academicos.udg.mx</w:t>
      </w:r>
    </w:p>
    <w:p w14:paraId="78395339" w14:textId="4E4CAB4E" w:rsidR="00807258" w:rsidRDefault="00D97A4B" w:rsidP="00D97A4B">
      <w:pPr>
        <w:spacing w:after="0" w:line="360" w:lineRule="auto"/>
        <w:jc w:val="right"/>
        <w:rPr>
          <w:rFonts w:ascii="Times New Roman" w:hAnsi="Times New Roman" w:cs="Times New Roman"/>
        </w:rPr>
      </w:pPr>
      <w:r w:rsidRPr="004C6FA7">
        <w:rPr>
          <w:rFonts w:ascii="Times New Roman" w:hAnsi="Times New Roman" w:cs="Times New Roman"/>
        </w:rPr>
        <w:t>https://orcid.org/</w:t>
      </w:r>
      <w:r>
        <w:rPr>
          <w:rFonts w:ascii="Times New Roman" w:hAnsi="Times New Roman" w:cs="Times New Roman"/>
        </w:rPr>
        <w:t>0009-0002-4341-9605</w:t>
      </w:r>
    </w:p>
    <w:p w14:paraId="5FF1ABE4" w14:textId="77777777" w:rsidR="00D97A4B" w:rsidRDefault="00D97A4B" w:rsidP="00D97A4B">
      <w:pPr>
        <w:pStyle w:val="Ttulo3"/>
        <w:spacing w:before="0"/>
        <w:jc w:val="both"/>
        <w:rPr>
          <w:rFonts w:ascii="Times New Roman" w:eastAsia="Aptos" w:hAnsi="Times New Roman" w:cs="Times New Roman"/>
          <w:b/>
          <w:bCs/>
          <w:color w:val="auto"/>
          <w:sz w:val="28"/>
          <w:szCs w:val="28"/>
        </w:rPr>
      </w:pPr>
    </w:p>
    <w:p w14:paraId="15F86A94" w14:textId="5A4D3B88" w:rsidR="00807258" w:rsidRPr="00D97A4B" w:rsidRDefault="00D97A4B" w:rsidP="00D97A4B">
      <w:pPr>
        <w:pStyle w:val="Ttulo3"/>
        <w:spacing w:before="0" w:line="360" w:lineRule="auto"/>
        <w:jc w:val="both"/>
        <w:rPr>
          <w:rFonts w:ascii="Calibri" w:hAnsi="Calibri" w:cs="Calibri"/>
          <w:color w:val="auto"/>
          <w:sz w:val="28"/>
          <w:szCs w:val="28"/>
        </w:rPr>
      </w:pPr>
      <w:r w:rsidRPr="00D97A4B">
        <w:rPr>
          <w:rFonts w:ascii="Calibri" w:eastAsia="Aptos" w:hAnsi="Calibri" w:cs="Calibri"/>
          <w:b/>
          <w:bCs/>
          <w:color w:val="auto"/>
          <w:sz w:val="28"/>
          <w:szCs w:val="28"/>
        </w:rPr>
        <w:t>Resumen</w:t>
      </w:r>
    </w:p>
    <w:p w14:paraId="761D71C6" w14:textId="77777777" w:rsidR="00807258" w:rsidRDefault="00D97A4B" w:rsidP="00D97A4B">
      <w:pPr>
        <w:spacing w:after="0" w:line="360" w:lineRule="auto"/>
        <w:jc w:val="both"/>
        <w:rPr>
          <w:rFonts w:ascii="Times New Roman" w:hAnsi="Times New Roman" w:cs="Times New Roman"/>
        </w:rPr>
      </w:pPr>
      <w:r>
        <w:rPr>
          <w:rFonts w:ascii="Times New Roman" w:eastAsia="Aptos" w:hAnsi="Times New Roman" w:cs="Times New Roman"/>
        </w:rPr>
        <w:t>La negligencia en salud pública representa un desafío crítico para los sistemas de salud, especialmente en contextos como el mexicano, donde las emergencias sanitarias han evidenciado deficiencias estructurales y operativas. Este artículo analiza la responsabilidad penal como un mecanismo para abordar las omisiones y fallas en la gestión de crisis sanitarias, destacando casos representativos y proponiendo líneas de acción para prevenir futuras negligencias. A través del marco jurídico mexicano, se evalúan los retos en la implementación de sanciones penales, incluyendo la dificultad de establecer pruebas, la falta de normatividad clara y las tensiones entre decisiones políticas y médicas. Asimismo, se presentan estadísticas sobre denuncias y procesos legales relacionados con negligencia en salud pública, y se proponen líneas de investigación y desarrollo legislativo que incluyen la creación de marcos normativos especializados, la capacitación en gestión de crisis y el diseño de herramientas de monitoreo. Las conclusiones destacan la necesidad de un enfoque integral que combine sanciones penales con reformas estructurales, promoviendo un sistema de salud más resiliente y equitativo.</w:t>
      </w:r>
    </w:p>
    <w:p w14:paraId="17CA7D58" w14:textId="08B3A86D" w:rsidR="00807258" w:rsidRDefault="00D97A4B" w:rsidP="00D97A4B">
      <w:pPr>
        <w:pStyle w:val="Ttulo3"/>
        <w:spacing w:before="0" w:line="360" w:lineRule="auto"/>
        <w:jc w:val="both"/>
        <w:rPr>
          <w:rFonts w:ascii="Times New Roman" w:eastAsia="Aptos" w:hAnsi="Times New Roman" w:cs="Times New Roman"/>
        </w:rPr>
      </w:pPr>
      <w:r w:rsidRPr="00D97A4B">
        <w:rPr>
          <w:rFonts w:ascii="Calibri" w:eastAsia="Aptos" w:hAnsi="Calibri" w:cs="Calibri"/>
          <w:b/>
          <w:bCs/>
          <w:color w:val="auto"/>
          <w:sz w:val="28"/>
          <w:szCs w:val="28"/>
        </w:rPr>
        <w:lastRenderedPageBreak/>
        <w:t>Palabras clave:</w:t>
      </w:r>
      <w:r>
        <w:rPr>
          <w:rFonts w:ascii="Calibri" w:eastAsia="Aptos" w:hAnsi="Calibri" w:cs="Calibri"/>
          <w:b/>
          <w:bCs/>
          <w:color w:val="auto"/>
          <w:sz w:val="28"/>
          <w:szCs w:val="28"/>
        </w:rPr>
        <w:t xml:space="preserve"> </w:t>
      </w:r>
      <w:r>
        <w:rPr>
          <w:rFonts w:ascii="Times New Roman" w:eastAsia="Aptos" w:hAnsi="Times New Roman" w:cs="Times New Roman"/>
        </w:rPr>
        <w:t>Negligencia en salud pública, responsabilidad penal, emergencias sanitarias, marco jurídico mexicano, prevención de negligencias, reformas legislativas.</w:t>
      </w:r>
    </w:p>
    <w:p w14:paraId="159E2558" w14:textId="77777777" w:rsidR="00D97A4B" w:rsidRPr="00D97A4B" w:rsidRDefault="00D97A4B" w:rsidP="00D97A4B">
      <w:pPr>
        <w:spacing w:after="0" w:line="360" w:lineRule="auto"/>
        <w:jc w:val="both"/>
      </w:pPr>
    </w:p>
    <w:p w14:paraId="4E376326" w14:textId="541ED902" w:rsidR="00807258" w:rsidRPr="00C53067" w:rsidRDefault="00D97A4B" w:rsidP="00D97A4B">
      <w:pPr>
        <w:pStyle w:val="Ttulo3"/>
        <w:spacing w:before="0" w:line="360" w:lineRule="auto"/>
        <w:jc w:val="both"/>
        <w:rPr>
          <w:rFonts w:ascii="Calibri" w:eastAsia="Aptos" w:hAnsi="Calibri" w:cs="Calibri"/>
          <w:b/>
          <w:bCs/>
          <w:color w:val="auto"/>
          <w:sz w:val="28"/>
          <w:szCs w:val="28"/>
          <w:lang w:val="en-US"/>
        </w:rPr>
      </w:pPr>
      <w:r w:rsidRPr="00C53067">
        <w:rPr>
          <w:rFonts w:ascii="Calibri" w:eastAsia="Aptos" w:hAnsi="Calibri" w:cs="Calibri"/>
          <w:b/>
          <w:bCs/>
          <w:color w:val="auto"/>
          <w:sz w:val="28"/>
          <w:szCs w:val="28"/>
          <w:lang w:val="en-US"/>
        </w:rPr>
        <w:t>Abstract</w:t>
      </w:r>
    </w:p>
    <w:p w14:paraId="3DE37BE7" w14:textId="77777777" w:rsidR="00807258" w:rsidRPr="00D97A4B" w:rsidRDefault="00D97A4B" w:rsidP="00D97A4B">
      <w:pPr>
        <w:spacing w:after="0" w:line="360" w:lineRule="auto"/>
        <w:jc w:val="both"/>
        <w:rPr>
          <w:rFonts w:ascii="Times New Roman" w:hAnsi="Times New Roman" w:cs="Times New Roman"/>
          <w:lang w:val="en-US"/>
        </w:rPr>
      </w:pPr>
      <w:r w:rsidRPr="00D97A4B">
        <w:rPr>
          <w:rFonts w:ascii="Times New Roman" w:eastAsia="Aptos" w:hAnsi="Times New Roman" w:cs="Times New Roman"/>
          <w:lang w:val="en-US"/>
        </w:rPr>
        <w:t xml:space="preserve">Negligence in public health poses a critical challenge for healthcare systems, particularly in Mexico, where health emergencies have highlighted structural and operational deficiencies. This paper explores criminal liability as a mechanism to address omissions and failures in crisis management, emphasizing representative cases and proposing actions to prevent future negligence. Through the analysis of the Mexican legal framework, the challenges of implementing criminal sanctions are evaluated, including </w:t>
      </w:r>
      <w:r w:rsidRPr="00D97A4B">
        <w:rPr>
          <w:rFonts w:ascii="Times New Roman" w:hAnsi="Times New Roman" w:cs="Times New Roman"/>
          <w:lang w:val="en-US"/>
        </w:rPr>
        <w:t>evidentiary standards</w:t>
      </w:r>
      <w:r w:rsidRPr="00D97A4B">
        <w:rPr>
          <w:rFonts w:ascii="Times New Roman" w:eastAsia="Aptos" w:hAnsi="Times New Roman" w:cs="Times New Roman"/>
          <w:lang w:val="en-US"/>
        </w:rPr>
        <w:t xml:space="preserve">, </w:t>
      </w:r>
      <w:r w:rsidRPr="00D97A4B">
        <w:rPr>
          <w:rFonts w:ascii="Times New Roman" w:hAnsi="Times New Roman" w:cs="Times New Roman"/>
          <w:lang w:val="en-US"/>
        </w:rPr>
        <w:t>lack of clear regulation</w:t>
      </w:r>
      <w:r w:rsidRPr="00D97A4B">
        <w:rPr>
          <w:rFonts w:ascii="Times New Roman" w:eastAsia="Aptos" w:hAnsi="Times New Roman" w:cs="Times New Roman"/>
          <w:lang w:val="en-US"/>
        </w:rPr>
        <w:t>, and tensions between political and medical decisions. Additionally, statistics on complaints and legal proceedings related to public health negligence are presented, along with proposals for future research and legislative development, such as specialized normative frameworks, crisis management training, and monitoring tools. The conclusions underscore the need for an integrated approach combining criminal sanctions with structural reforms to promote a more resilient and equitable healthcare system.</w:t>
      </w:r>
    </w:p>
    <w:p w14:paraId="5B151140" w14:textId="0FC4FDF1" w:rsidR="00807258" w:rsidRDefault="00D97A4B" w:rsidP="00D97A4B">
      <w:pPr>
        <w:pStyle w:val="Ttulo3"/>
        <w:spacing w:before="0" w:line="360" w:lineRule="auto"/>
        <w:jc w:val="both"/>
        <w:rPr>
          <w:rFonts w:ascii="Times New Roman" w:eastAsia="Aptos" w:hAnsi="Times New Roman" w:cs="Times New Roman"/>
          <w:color w:val="auto"/>
          <w:lang w:val="en-US"/>
        </w:rPr>
      </w:pPr>
      <w:r w:rsidRPr="00D97A4B">
        <w:rPr>
          <w:rFonts w:ascii="Calibri" w:eastAsia="Aptos" w:hAnsi="Calibri" w:cs="Calibri"/>
          <w:b/>
          <w:bCs/>
          <w:color w:val="auto"/>
          <w:sz w:val="28"/>
          <w:szCs w:val="28"/>
          <w:lang w:val="en-US"/>
        </w:rPr>
        <w:t>Keywords:</w:t>
      </w:r>
      <w:r w:rsidRPr="00D97A4B">
        <w:rPr>
          <w:rFonts w:ascii="Times New Roman" w:eastAsia="Aptos" w:hAnsi="Times New Roman" w:cs="Times New Roman"/>
          <w:b/>
          <w:bCs/>
          <w:color w:val="auto"/>
          <w:lang w:val="en-US"/>
        </w:rPr>
        <w:t xml:space="preserve"> </w:t>
      </w:r>
      <w:r w:rsidRPr="00D97A4B">
        <w:rPr>
          <w:rFonts w:ascii="Times New Roman" w:eastAsia="Aptos" w:hAnsi="Times New Roman" w:cs="Times New Roman"/>
          <w:color w:val="auto"/>
          <w:lang w:val="en-US"/>
        </w:rPr>
        <w:t>Public health negligence, criminal liability, health emergencies, Mexican legal framework, negligence prevention, legislative reforms</w:t>
      </w:r>
      <w:r>
        <w:rPr>
          <w:rFonts w:ascii="Times New Roman" w:eastAsia="Aptos" w:hAnsi="Times New Roman" w:cs="Times New Roman"/>
          <w:color w:val="auto"/>
          <w:lang w:val="en-US"/>
        </w:rPr>
        <w:t>.</w:t>
      </w:r>
    </w:p>
    <w:p w14:paraId="4D40BBDB" w14:textId="77777777" w:rsidR="00D97A4B" w:rsidRDefault="00D97A4B" w:rsidP="00D97A4B">
      <w:pPr>
        <w:spacing w:after="0" w:line="360" w:lineRule="auto"/>
        <w:jc w:val="both"/>
        <w:rPr>
          <w:lang w:val="en-US"/>
        </w:rPr>
      </w:pPr>
    </w:p>
    <w:p w14:paraId="36FD237D" w14:textId="51502F1F" w:rsidR="00D97A4B" w:rsidRPr="00D97A4B" w:rsidRDefault="00D97A4B" w:rsidP="00D97A4B">
      <w:pPr>
        <w:spacing w:after="0" w:line="360" w:lineRule="auto"/>
        <w:jc w:val="both"/>
        <w:rPr>
          <w:rFonts w:ascii="Calibri" w:eastAsia="Aptos" w:hAnsi="Calibri" w:cs="Calibri"/>
          <w:b/>
          <w:bCs/>
          <w:sz w:val="28"/>
          <w:szCs w:val="28"/>
          <w:lang w:val="en-US"/>
        </w:rPr>
      </w:pPr>
      <w:proofErr w:type="spellStart"/>
      <w:r w:rsidRPr="00D97A4B">
        <w:rPr>
          <w:rFonts w:ascii="Calibri" w:eastAsia="Aptos" w:hAnsi="Calibri" w:cs="Calibri"/>
          <w:b/>
          <w:bCs/>
          <w:sz w:val="28"/>
          <w:szCs w:val="28"/>
          <w:lang w:val="en-US"/>
        </w:rPr>
        <w:t>Resumo</w:t>
      </w:r>
      <w:proofErr w:type="spellEnd"/>
    </w:p>
    <w:p w14:paraId="2C72BB50" w14:textId="77777777" w:rsidR="00D97A4B" w:rsidRDefault="00D97A4B" w:rsidP="00D97A4B">
      <w:pPr>
        <w:spacing w:after="0" w:line="360" w:lineRule="auto"/>
        <w:jc w:val="both"/>
        <w:rPr>
          <w:rFonts w:ascii="Times New Roman" w:hAnsi="Times New Roman" w:cs="Times New Roman"/>
          <w:lang w:val="es-MX"/>
        </w:rPr>
      </w:pPr>
      <w:r w:rsidRPr="00D97A4B">
        <w:rPr>
          <w:rFonts w:ascii="Times New Roman" w:hAnsi="Times New Roman" w:cs="Times New Roman"/>
          <w:lang w:val="es-MX"/>
        </w:rPr>
        <w:t xml:space="preserve">A </w:t>
      </w:r>
      <w:proofErr w:type="spellStart"/>
      <w:r w:rsidRPr="00D97A4B">
        <w:rPr>
          <w:rFonts w:ascii="Times New Roman" w:hAnsi="Times New Roman" w:cs="Times New Roman"/>
          <w:lang w:val="es-MX"/>
        </w:rPr>
        <w:t>negligência</w:t>
      </w:r>
      <w:proofErr w:type="spellEnd"/>
      <w:r w:rsidRPr="00D97A4B">
        <w:rPr>
          <w:rFonts w:ascii="Times New Roman" w:hAnsi="Times New Roman" w:cs="Times New Roman"/>
          <w:lang w:val="es-MX"/>
        </w:rPr>
        <w:t xml:space="preserve"> em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pública representa </w:t>
      </w:r>
      <w:proofErr w:type="spellStart"/>
      <w:r w:rsidRPr="00D97A4B">
        <w:rPr>
          <w:rFonts w:ascii="Times New Roman" w:hAnsi="Times New Roman" w:cs="Times New Roman"/>
          <w:lang w:val="es-MX"/>
        </w:rPr>
        <w:t>um</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desafio</w:t>
      </w:r>
      <w:proofErr w:type="spellEnd"/>
      <w:r w:rsidRPr="00D97A4B">
        <w:rPr>
          <w:rFonts w:ascii="Times New Roman" w:hAnsi="Times New Roman" w:cs="Times New Roman"/>
          <w:lang w:val="es-MX"/>
        </w:rPr>
        <w:t xml:space="preserve"> crítico para os sistemas de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especialmente em contextos como o México, onde </w:t>
      </w:r>
      <w:proofErr w:type="spellStart"/>
      <w:r w:rsidRPr="00D97A4B">
        <w:rPr>
          <w:rFonts w:ascii="Times New Roman" w:hAnsi="Times New Roman" w:cs="Times New Roman"/>
          <w:lang w:val="es-MX"/>
        </w:rPr>
        <w:t>emergências</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expuseram</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deficiências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estruturais</w:t>
      </w:r>
      <w:proofErr w:type="spellEnd"/>
      <w:r w:rsidRPr="00D97A4B">
        <w:rPr>
          <w:rFonts w:ascii="Times New Roman" w:hAnsi="Times New Roman" w:cs="Times New Roman"/>
          <w:lang w:val="es-MX"/>
        </w:rPr>
        <w:t xml:space="preserve"> e </w:t>
      </w:r>
      <w:proofErr w:type="spellStart"/>
      <w:r w:rsidRPr="00D97A4B">
        <w:rPr>
          <w:rFonts w:ascii="Times New Roman" w:hAnsi="Times New Roman" w:cs="Times New Roman"/>
          <w:lang w:val="es-MX"/>
        </w:rPr>
        <w:t>operacionais</w:t>
      </w:r>
      <w:proofErr w:type="spellEnd"/>
      <w:r w:rsidRPr="00D97A4B">
        <w:rPr>
          <w:rFonts w:ascii="Times New Roman" w:hAnsi="Times New Roman" w:cs="Times New Roman"/>
          <w:lang w:val="es-MX"/>
        </w:rPr>
        <w:t xml:space="preserve">. Este artigo </w:t>
      </w:r>
      <w:proofErr w:type="spellStart"/>
      <w:r w:rsidRPr="00D97A4B">
        <w:rPr>
          <w:rFonts w:ascii="Times New Roman" w:hAnsi="Times New Roman" w:cs="Times New Roman"/>
          <w:lang w:val="es-MX"/>
        </w:rPr>
        <w:t>analisa</w:t>
      </w:r>
      <w:proofErr w:type="spellEnd"/>
      <w:r w:rsidRPr="00D97A4B">
        <w:rPr>
          <w:rFonts w:ascii="Times New Roman" w:hAnsi="Times New Roman" w:cs="Times New Roman"/>
          <w:lang w:val="es-MX"/>
        </w:rPr>
        <w:t xml:space="preserve"> a </w:t>
      </w:r>
      <w:proofErr w:type="spellStart"/>
      <w:r w:rsidRPr="00D97A4B">
        <w:rPr>
          <w:rFonts w:ascii="Times New Roman" w:hAnsi="Times New Roman" w:cs="Times New Roman"/>
          <w:lang w:val="es-MX"/>
        </w:rPr>
        <w:t>responsabilidade</w:t>
      </w:r>
      <w:proofErr w:type="spellEnd"/>
      <w:r w:rsidRPr="00D97A4B">
        <w:rPr>
          <w:rFonts w:ascii="Times New Roman" w:hAnsi="Times New Roman" w:cs="Times New Roman"/>
          <w:lang w:val="es-MX"/>
        </w:rPr>
        <w:t xml:space="preserve"> penal como </w:t>
      </w:r>
      <w:proofErr w:type="spellStart"/>
      <w:r w:rsidRPr="00D97A4B">
        <w:rPr>
          <w:rFonts w:ascii="Times New Roman" w:hAnsi="Times New Roman" w:cs="Times New Roman"/>
          <w:lang w:val="es-MX"/>
        </w:rPr>
        <w:t>um</w:t>
      </w:r>
      <w:proofErr w:type="spellEnd"/>
      <w:r w:rsidRPr="00D97A4B">
        <w:rPr>
          <w:rFonts w:ascii="Times New Roman" w:hAnsi="Times New Roman" w:cs="Times New Roman"/>
          <w:lang w:val="es-MX"/>
        </w:rPr>
        <w:t xml:space="preserve"> mecanismo para </w:t>
      </w:r>
      <w:proofErr w:type="spellStart"/>
      <w:r w:rsidRPr="00D97A4B">
        <w:rPr>
          <w:rFonts w:ascii="Times New Roman" w:hAnsi="Times New Roman" w:cs="Times New Roman"/>
          <w:lang w:val="es-MX"/>
        </w:rPr>
        <w:t>lidar</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com</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omissões</w:t>
      </w:r>
      <w:proofErr w:type="spellEnd"/>
      <w:r w:rsidRPr="00D97A4B">
        <w:rPr>
          <w:rFonts w:ascii="Times New Roman" w:hAnsi="Times New Roman" w:cs="Times New Roman"/>
          <w:lang w:val="es-MX"/>
        </w:rPr>
        <w:t xml:space="preserve"> e </w:t>
      </w:r>
      <w:proofErr w:type="spellStart"/>
      <w:r w:rsidRPr="00D97A4B">
        <w:rPr>
          <w:rFonts w:ascii="Times New Roman" w:hAnsi="Times New Roman" w:cs="Times New Roman"/>
          <w:lang w:val="es-MX"/>
        </w:rPr>
        <w:t>falhas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na</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gestão</w:t>
      </w:r>
      <w:proofErr w:type="spellEnd"/>
      <w:r w:rsidRPr="00D97A4B">
        <w:rPr>
          <w:rFonts w:ascii="Times New Roman" w:hAnsi="Times New Roman" w:cs="Times New Roman"/>
          <w:lang w:val="es-MX"/>
        </w:rPr>
        <w:t xml:space="preserve"> de crises de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destacando casos representativos e </w:t>
      </w:r>
      <w:proofErr w:type="spellStart"/>
      <w:r w:rsidRPr="00D97A4B">
        <w:rPr>
          <w:rFonts w:ascii="Times New Roman" w:hAnsi="Times New Roman" w:cs="Times New Roman"/>
          <w:lang w:val="es-MX"/>
        </w:rPr>
        <w:t>propondo</w:t>
      </w:r>
      <w:proofErr w:type="spellEnd"/>
      <w:r w:rsidRPr="00D97A4B">
        <w:rPr>
          <w:rFonts w:ascii="Times New Roman" w:hAnsi="Times New Roman" w:cs="Times New Roman"/>
          <w:lang w:val="es-MX"/>
        </w:rPr>
        <w:t xml:space="preserve"> cursos de </w:t>
      </w:r>
      <w:proofErr w:type="spellStart"/>
      <w:r w:rsidRPr="00D97A4B">
        <w:rPr>
          <w:rFonts w:ascii="Times New Roman" w:hAnsi="Times New Roman" w:cs="Times New Roman"/>
          <w:lang w:val="es-MX"/>
        </w:rPr>
        <w:t>ação</w:t>
      </w:r>
      <w:proofErr w:type="spellEnd"/>
      <w:r w:rsidRPr="00D97A4B">
        <w:rPr>
          <w:rFonts w:ascii="Times New Roman" w:hAnsi="Times New Roman" w:cs="Times New Roman"/>
          <w:lang w:val="es-MX"/>
        </w:rPr>
        <w:t xml:space="preserve"> para prevenir futuras </w:t>
      </w:r>
      <w:proofErr w:type="spellStart"/>
      <w:r w:rsidRPr="00D97A4B">
        <w:rPr>
          <w:rFonts w:ascii="Times New Roman" w:hAnsi="Times New Roman" w:cs="Times New Roman"/>
          <w:lang w:val="es-MX"/>
        </w:rPr>
        <w:t>negligências</w:t>
      </w:r>
      <w:proofErr w:type="spellEnd"/>
      <w:r w:rsidRPr="00D97A4B">
        <w:rPr>
          <w:rFonts w:ascii="Times New Roman" w:hAnsi="Times New Roman" w:cs="Times New Roman"/>
          <w:lang w:val="es-MX"/>
        </w:rPr>
        <w:t xml:space="preserve">. Utilizando o </w:t>
      </w:r>
      <w:proofErr w:type="spellStart"/>
      <w:r w:rsidRPr="00D97A4B">
        <w:rPr>
          <w:rFonts w:ascii="Times New Roman" w:hAnsi="Times New Roman" w:cs="Times New Roman"/>
          <w:lang w:val="es-MX"/>
        </w:rPr>
        <w:t>arcabouço</w:t>
      </w:r>
      <w:proofErr w:type="spellEnd"/>
      <w:r w:rsidRPr="00D97A4B">
        <w:rPr>
          <w:rFonts w:ascii="Times New Roman" w:hAnsi="Times New Roman" w:cs="Times New Roman"/>
          <w:lang w:val="es-MX"/>
        </w:rPr>
        <w:t xml:space="preserve"> legal mexicano, os </w:t>
      </w:r>
      <w:proofErr w:type="spellStart"/>
      <w:r w:rsidRPr="00D97A4B">
        <w:rPr>
          <w:rFonts w:ascii="Times New Roman" w:hAnsi="Times New Roman" w:cs="Times New Roman"/>
          <w:lang w:val="es-MX"/>
        </w:rPr>
        <w:t>desafios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na</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implementação</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sanções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penais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são</w:t>
      </w:r>
      <w:proofErr w:type="spellEnd"/>
      <w:r w:rsidRPr="00D97A4B">
        <w:rPr>
          <w:rFonts w:ascii="Times New Roman" w:hAnsi="Times New Roman" w:cs="Times New Roman"/>
          <w:lang w:val="es-MX"/>
        </w:rPr>
        <w:t xml:space="preserve"> avaliados, </w:t>
      </w:r>
      <w:proofErr w:type="spellStart"/>
      <w:r w:rsidRPr="00D97A4B">
        <w:rPr>
          <w:rFonts w:ascii="Times New Roman" w:hAnsi="Times New Roman" w:cs="Times New Roman"/>
          <w:lang w:val="es-MX"/>
        </w:rPr>
        <w:t>incluindo</w:t>
      </w:r>
      <w:proofErr w:type="spellEnd"/>
      <w:r w:rsidRPr="00D97A4B">
        <w:rPr>
          <w:rFonts w:ascii="Times New Roman" w:hAnsi="Times New Roman" w:cs="Times New Roman"/>
          <w:lang w:val="es-MX"/>
        </w:rPr>
        <w:t xml:space="preserve"> a </w:t>
      </w:r>
      <w:proofErr w:type="spellStart"/>
      <w:r w:rsidRPr="00D97A4B">
        <w:rPr>
          <w:rFonts w:ascii="Times New Roman" w:hAnsi="Times New Roman" w:cs="Times New Roman"/>
          <w:lang w:val="es-MX"/>
        </w:rPr>
        <w:t>dificuldade</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estabelecer</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evidências</w:t>
      </w:r>
      <w:proofErr w:type="spellEnd"/>
      <w:r w:rsidRPr="00D97A4B">
        <w:rPr>
          <w:rFonts w:ascii="Times New Roman" w:hAnsi="Times New Roman" w:cs="Times New Roman"/>
          <w:lang w:val="es-MX"/>
        </w:rPr>
        <w:t xml:space="preserve">, a falta de </w:t>
      </w:r>
      <w:proofErr w:type="spellStart"/>
      <w:r w:rsidRPr="00D97A4B">
        <w:rPr>
          <w:rFonts w:ascii="Times New Roman" w:hAnsi="Times New Roman" w:cs="Times New Roman"/>
          <w:lang w:val="es-MX"/>
        </w:rPr>
        <w:t>regulamentações</w:t>
      </w:r>
      <w:proofErr w:type="spellEnd"/>
      <w:r w:rsidRPr="00D97A4B">
        <w:rPr>
          <w:rFonts w:ascii="Times New Roman" w:hAnsi="Times New Roman" w:cs="Times New Roman"/>
          <w:lang w:val="es-MX"/>
        </w:rPr>
        <w:t xml:space="preserve"> claras </w:t>
      </w:r>
      <w:proofErr w:type="gramStart"/>
      <w:r w:rsidRPr="00D97A4B">
        <w:rPr>
          <w:rFonts w:ascii="Times New Roman" w:hAnsi="Times New Roman" w:cs="Times New Roman"/>
          <w:lang w:val="es-MX"/>
        </w:rPr>
        <w:t>e</w:t>
      </w:r>
      <w:proofErr w:type="gramEnd"/>
      <w:r w:rsidRPr="00D97A4B">
        <w:rPr>
          <w:rFonts w:ascii="Times New Roman" w:hAnsi="Times New Roman" w:cs="Times New Roman"/>
          <w:lang w:val="es-MX"/>
        </w:rPr>
        <w:t xml:space="preserve"> as </w:t>
      </w:r>
      <w:proofErr w:type="spellStart"/>
      <w:r w:rsidRPr="00D97A4B">
        <w:rPr>
          <w:rFonts w:ascii="Times New Roman" w:hAnsi="Times New Roman" w:cs="Times New Roman"/>
          <w:lang w:val="es-MX"/>
        </w:rPr>
        <w:t>tensões</w:t>
      </w:r>
      <w:proofErr w:type="spellEnd"/>
      <w:r w:rsidRPr="00D97A4B">
        <w:rPr>
          <w:rFonts w:ascii="Times New Roman" w:hAnsi="Times New Roman" w:cs="Times New Roman"/>
          <w:lang w:val="es-MX"/>
        </w:rPr>
        <w:t xml:space="preserve"> entre </w:t>
      </w:r>
      <w:proofErr w:type="spellStart"/>
      <w:r w:rsidRPr="00D97A4B">
        <w:rPr>
          <w:rFonts w:ascii="Times New Roman" w:hAnsi="Times New Roman" w:cs="Times New Roman"/>
          <w:lang w:val="es-MX"/>
        </w:rPr>
        <w:t>decisões</w:t>
      </w:r>
      <w:proofErr w:type="spellEnd"/>
      <w:r w:rsidRPr="00D97A4B">
        <w:rPr>
          <w:rFonts w:ascii="Times New Roman" w:hAnsi="Times New Roman" w:cs="Times New Roman"/>
          <w:lang w:val="es-MX"/>
        </w:rPr>
        <w:t xml:space="preserve"> políticas e médicas. </w:t>
      </w:r>
      <w:proofErr w:type="spellStart"/>
      <w:r w:rsidRPr="00D97A4B">
        <w:rPr>
          <w:rFonts w:ascii="Times New Roman" w:hAnsi="Times New Roman" w:cs="Times New Roman"/>
          <w:lang w:val="es-MX"/>
        </w:rPr>
        <w:t>Estatísticas</w:t>
      </w:r>
      <w:proofErr w:type="spellEnd"/>
      <w:r w:rsidRPr="00D97A4B">
        <w:rPr>
          <w:rFonts w:ascii="Times New Roman" w:hAnsi="Times New Roman" w:cs="Times New Roman"/>
          <w:lang w:val="es-MX"/>
        </w:rPr>
        <w:t xml:space="preserve"> sobre </w:t>
      </w:r>
      <w:proofErr w:type="spellStart"/>
      <w:r w:rsidRPr="00D97A4B">
        <w:rPr>
          <w:rFonts w:ascii="Times New Roman" w:hAnsi="Times New Roman" w:cs="Times New Roman"/>
          <w:lang w:val="es-MX"/>
        </w:rPr>
        <w:t>reclamações</w:t>
      </w:r>
      <w:proofErr w:type="spellEnd"/>
      <w:r w:rsidRPr="00D97A4B">
        <w:rPr>
          <w:rFonts w:ascii="Times New Roman" w:hAnsi="Times New Roman" w:cs="Times New Roman"/>
          <w:lang w:val="es-MX"/>
        </w:rPr>
        <w:t xml:space="preserve"> e </w:t>
      </w:r>
      <w:proofErr w:type="spellStart"/>
      <w:r w:rsidRPr="00D97A4B">
        <w:rPr>
          <w:rFonts w:ascii="Times New Roman" w:hAnsi="Times New Roman" w:cs="Times New Roman"/>
          <w:lang w:val="es-MX"/>
        </w:rPr>
        <w:t>processos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judiciais</w:t>
      </w:r>
      <w:proofErr w:type="spellEnd"/>
      <w:r w:rsidRPr="00D97A4B">
        <w:rPr>
          <w:rFonts w:ascii="Times New Roman" w:hAnsi="Times New Roman" w:cs="Times New Roman"/>
          <w:lang w:val="es-MX"/>
        </w:rPr>
        <w:t xml:space="preserve"> relacionados à </w:t>
      </w:r>
      <w:proofErr w:type="spellStart"/>
      <w:r w:rsidRPr="00D97A4B">
        <w:rPr>
          <w:rFonts w:ascii="Times New Roman" w:hAnsi="Times New Roman" w:cs="Times New Roman"/>
          <w:lang w:val="es-MX"/>
        </w:rPr>
        <w:t>negligência</w:t>
      </w:r>
      <w:proofErr w:type="spellEnd"/>
      <w:r w:rsidRPr="00D97A4B">
        <w:rPr>
          <w:rFonts w:ascii="Times New Roman" w:hAnsi="Times New Roman" w:cs="Times New Roman"/>
          <w:lang w:val="es-MX"/>
        </w:rPr>
        <w:t xml:space="preserve"> em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pública </w:t>
      </w:r>
      <w:proofErr w:type="spellStart"/>
      <w:r w:rsidRPr="00D97A4B">
        <w:rPr>
          <w:rFonts w:ascii="Times New Roman" w:hAnsi="Times New Roman" w:cs="Times New Roman"/>
          <w:lang w:val="es-MX"/>
        </w:rPr>
        <w:t>também</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são</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apresentadas</w:t>
      </w:r>
      <w:proofErr w:type="spellEnd"/>
      <w:r w:rsidRPr="00D97A4B">
        <w:rPr>
          <w:rFonts w:ascii="Times New Roman" w:hAnsi="Times New Roman" w:cs="Times New Roman"/>
          <w:lang w:val="es-MX"/>
        </w:rPr>
        <w:t xml:space="preserve">, e </w:t>
      </w:r>
      <w:proofErr w:type="spellStart"/>
      <w:r w:rsidRPr="00D97A4B">
        <w:rPr>
          <w:rFonts w:ascii="Times New Roman" w:hAnsi="Times New Roman" w:cs="Times New Roman"/>
          <w:lang w:val="es-MX"/>
        </w:rPr>
        <w:t>linhas</w:t>
      </w:r>
      <w:proofErr w:type="spellEnd"/>
      <w:r w:rsidRPr="00D97A4B">
        <w:rPr>
          <w:rFonts w:ascii="Times New Roman" w:hAnsi="Times New Roman" w:cs="Times New Roman"/>
          <w:lang w:val="es-MX"/>
        </w:rPr>
        <w:t xml:space="preserve"> de pesquisa e </w:t>
      </w:r>
      <w:proofErr w:type="spellStart"/>
      <w:r w:rsidRPr="00D97A4B">
        <w:rPr>
          <w:rFonts w:ascii="Times New Roman" w:hAnsi="Times New Roman" w:cs="Times New Roman"/>
          <w:lang w:val="es-MX"/>
        </w:rPr>
        <w:t>desenvolvimento</w:t>
      </w:r>
      <w:proofErr w:type="spellEnd"/>
      <w:r w:rsidRPr="00D97A4B">
        <w:rPr>
          <w:rFonts w:ascii="Times New Roman" w:hAnsi="Times New Roman" w:cs="Times New Roman"/>
          <w:lang w:val="es-MX"/>
        </w:rPr>
        <w:t xml:space="preserve"> legislativo </w:t>
      </w:r>
      <w:proofErr w:type="spellStart"/>
      <w:r w:rsidRPr="00D97A4B">
        <w:rPr>
          <w:rFonts w:ascii="Times New Roman" w:hAnsi="Times New Roman" w:cs="Times New Roman"/>
          <w:lang w:val="es-MX"/>
        </w:rPr>
        <w:t>são</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propostas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incluindo</w:t>
      </w:r>
      <w:proofErr w:type="spellEnd"/>
      <w:r w:rsidRPr="00D97A4B">
        <w:rPr>
          <w:rFonts w:ascii="Times New Roman" w:hAnsi="Times New Roman" w:cs="Times New Roman"/>
          <w:lang w:val="es-MX"/>
        </w:rPr>
        <w:t xml:space="preserve"> a </w:t>
      </w:r>
      <w:proofErr w:type="spellStart"/>
      <w:r w:rsidRPr="00D97A4B">
        <w:rPr>
          <w:rFonts w:ascii="Times New Roman" w:hAnsi="Times New Roman" w:cs="Times New Roman"/>
          <w:lang w:val="es-MX"/>
        </w:rPr>
        <w:t>criação</w:t>
      </w:r>
      <w:proofErr w:type="spellEnd"/>
      <w:r w:rsidRPr="00D97A4B">
        <w:rPr>
          <w:rFonts w:ascii="Times New Roman" w:hAnsi="Times New Roman" w:cs="Times New Roman"/>
          <w:lang w:val="es-MX"/>
        </w:rPr>
        <w:t xml:space="preserve"> de marcos </w:t>
      </w:r>
      <w:proofErr w:type="spellStart"/>
      <w:r w:rsidRPr="00D97A4B">
        <w:rPr>
          <w:rFonts w:ascii="Times New Roman" w:hAnsi="Times New Roman" w:cs="Times New Roman"/>
          <w:lang w:val="es-MX"/>
        </w:rPr>
        <w:t>regulatórios</w:t>
      </w:r>
      <w:proofErr w:type="spellEnd"/>
      <w:r w:rsidRPr="00D97A4B">
        <w:rPr>
          <w:rFonts w:ascii="Times New Roman" w:hAnsi="Times New Roman" w:cs="Times New Roman"/>
          <w:lang w:val="es-MX"/>
        </w:rPr>
        <w:t xml:space="preserve"> especializados, </w:t>
      </w:r>
      <w:proofErr w:type="spellStart"/>
      <w:r w:rsidRPr="00D97A4B">
        <w:rPr>
          <w:rFonts w:ascii="Times New Roman" w:hAnsi="Times New Roman" w:cs="Times New Roman"/>
          <w:lang w:val="es-MX"/>
        </w:rPr>
        <w:t>treinamento</w:t>
      </w:r>
      <w:proofErr w:type="spellEnd"/>
      <w:r w:rsidRPr="00D97A4B">
        <w:rPr>
          <w:rFonts w:ascii="Times New Roman" w:hAnsi="Times New Roman" w:cs="Times New Roman"/>
          <w:lang w:val="es-MX"/>
        </w:rPr>
        <w:t xml:space="preserve"> em </w:t>
      </w:r>
      <w:proofErr w:type="spellStart"/>
      <w:r w:rsidRPr="00D97A4B">
        <w:rPr>
          <w:rFonts w:ascii="Times New Roman" w:hAnsi="Times New Roman" w:cs="Times New Roman"/>
          <w:lang w:val="es-MX"/>
        </w:rPr>
        <w:t>gestão</w:t>
      </w:r>
      <w:proofErr w:type="spellEnd"/>
      <w:r w:rsidRPr="00D97A4B">
        <w:rPr>
          <w:rFonts w:ascii="Times New Roman" w:hAnsi="Times New Roman" w:cs="Times New Roman"/>
          <w:lang w:val="es-MX"/>
        </w:rPr>
        <w:t xml:space="preserve"> de crises e o </w:t>
      </w:r>
      <w:proofErr w:type="spellStart"/>
      <w:r w:rsidRPr="00D97A4B">
        <w:rPr>
          <w:rFonts w:ascii="Times New Roman" w:hAnsi="Times New Roman" w:cs="Times New Roman"/>
          <w:lang w:val="es-MX"/>
        </w:rPr>
        <w:t>design</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ferramentas</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monitoramento</w:t>
      </w:r>
      <w:proofErr w:type="spellEnd"/>
      <w:r w:rsidRPr="00D97A4B">
        <w:rPr>
          <w:rFonts w:ascii="Times New Roman" w:hAnsi="Times New Roman" w:cs="Times New Roman"/>
          <w:lang w:val="es-MX"/>
        </w:rPr>
        <w:t xml:space="preserve">. As </w:t>
      </w:r>
      <w:proofErr w:type="spellStart"/>
      <w:r w:rsidRPr="00D97A4B">
        <w:rPr>
          <w:rFonts w:ascii="Times New Roman" w:hAnsi="Times New Roman" w:cs="Times New Roman"/>
          <w:lang w:val="es-MX"/>
        </w:rPr>
        <w:t>conclusões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destacam</w:t>
      </w:r>
      <w:proofErr w:type="spellEnd"/>
      <w:r w:rsidRPr="00D97A4B">
        <w:rPr>
          <w:rFonts w:ascii="Times New Roman" w:hAnsi="Times New Roman" w:cs="Times New Roman"/>
          <w:lang w:val="es-MX"/>
        </w:rPr>
        <w:t xml:space="preserve"> a </w:t>
      </w:r>
      <w:proofErr w:type="spellStart"/>
      <w:r w:rsidRPr="00D97A4B">
        <w:rPr>
          <w:rFonts w:ascii="Times New Roman" w:hAnsi="Times New Roman" w:cs="Times New Roman"/>
          <w:lang w:val="es-MX"/>
        </w:rPr>
        <w:lastRenderedPageBreak/>
        <w:t>necessidade</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uma</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abordagem</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abrangente</w:t>
      </w:r>
      <w:proofErr w:type="spellEnd"/>
      <w:r w:rsidRPr="00D97A4B">
        <w:rPr>
          <w:rFonts w:ascii="Times New Roman" w:hAnsi="Times New Roman" w:cs="Times New Roman"/>
          <w:lang w:val="es-MX"/>
        </w:rPr>
        <w:t xml:space="preserve"> que combine </w:t>
      </w:r>
      <w:proofErr w:type="spellStart"/>
      <w:r w:rsidRPr="00D97A4B">
        <w:rPr>
          <w:rFonts w:ascii="Times New Roman" w:hAnsi="Times New Roman" w:cs="Times New Roman"/>
          <w:lang w:val="es-MX"/>
        </w:rPr>
        <w:t>sanções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penais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com</w:t>
      </w:r>
      <w:proofErr w:type="spellEnd"/>
      <w:r w:rsidRPr="00D97A4B">
        <w:rPr>
          <w:rFonts w:ascii="Times New Roman" w:hAnsi="Times New Roman" w:cs="Times New Roman"/>
          <w:lang w:val="es-MX"/>
        </w:rPr>
        <w:t xml:space="preserve"> reformas </w:t>
      </w:r>
      <w:proofErr w:type="spellStart"/>
      <w:r w:rsidRPr="00D97A4B">
        <w:rPr>
          <w:rFonts w:ascii="Times New Roman" w:hAnsi="Times New Roman" w:cs="Times New Roman"/>
          <w:lang w:val="es-MX"/>
        </w:rPr>
        <w:t>estruturais</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promovendo</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um</w:t>
      </w:r>
      <w:proofErr w:type="spellEnd"/>
      <w:r w:rsidRPr="00D97A4B">
        <w:rPr>
          <w:rFonts w:ascii="Times New Roman" w:hAnsi="Times New Roman" w:cs="Times New Roman"/>
          <w:lang w:val="es-MX"/>
        </w:rPr>
        <w:t xml:space="preserve"> sistema de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mais</w:t>
      </w:r>
      <w:proofErr w:type="spellEnd"/>
      <w:r w:rsidRPr="00D97A4B">
        <w:rPr>
          <w:rFonts w:ascii="Times New Roman" w:hAnsi="Times New Roman" w:cs="Times New Roman"/>
          <w:lang w:val="es-MX"/>
        </w:rPr>
        <w:t xml:space="preserve"> resiliente </w:t>
      </w:r>
      <w:proofErr w:type="gramStart"/>
      <w:r w:rsidRPr="00D97A4B">
        <w:rPr>
          <w:rFonts w:ascii="Times New Roman" w:hAnsi="Times New Roman" w:cs="Times New Roman"/>
          <w:lang w:val="es-MX"/>
        </w:rPr>
        <w:t>e</w:t>
      </w:r>
      <w:proofErr w:type="gramEnd"/>
      <w:r w:rsidRPr="00D97A4B">
        <w:rPr>
          <w:rFonts w:ascii="Times New Roman" w:hAnsi="Times New Roman" w:cs="Times New Roman"/>
          <w:lang w:val="es-MX"/>
        </w:rPr>
        <w:t xml:space="preserve"> equitativo. </w:t>
      </w:r>
    </w:p>
    <w:p w14:paraId="3CBDBDE1" w14:textId="57D1F361" w:rsidR="00D97A4B" w:rsidRDefault="00D97A4B" w:rsidP="00D97A4B">
      <w:pPr>
        <w:spacing w:line="360" w:lineRule="auto"/>
        <w:jc w:val="both"/>
        <w:rPr>
          <w:rFonts w:ascii="Times New Roman" w:hAnsi="Times New Roman" w:cs="Times New Roman"/>
          <w:lang w:val="es-MX"/>
        </w:rPr>
      </w:pPr>
      <w:proofErr w:type="spellStart"/>
      <w:r w:rsidRPr="00C53067">
        <w:rPr>
          <w:rFonts w:ascii="Calibri" w:eastAsia="Aptos" w:hAnsi="Calibri" w:cs="Calibri"/>
          <w:b/>
          <w:bCs/>
          <w:sz w:val="28"/>
          <w:szCs w:val="28"/>
          <w:lang w:val="es-MX"/>
        </w:rPr>
        <w:t>Palavras</w:t>
      </w:r>
      <w:proofErr w:type="spellEnd"/>
      <w:r w:rsidRPr="00C53067">
        <w:rPr>
          <w:rFonts w:ascii="Calibri" w:eastAsia="Aptos" w:hAnsi="Calibri" w:cs="Calibri"/>
          <w:b/>
          <w:bCs/>
          <w:sz w:val="28"/>
          <w:szCs w:val="28"/>
          <w:lang w:val="es-MX"/>
        </w:rPr>
        <w:t>-chave:</w:t>
      </w:r>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Negligência</w:t>
      </w:r>
      <w:proofErr w:type="spellEnd"/>
      <w:r w:rsidRPr="00D97A4B">
        <w:rPr>
          <w:rFonts w:ascii="Times New Roman" w:hAnsi="Times New Roman" w:cs="Times New Roman"/>
          <w:lang w:val="es-MX"/>
        </w:rPr>
        <w:t xml:space="preserve"> em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pública, </w:t>
      </w:r>
      <w:proofErr w:type="spellStart"/>
      <w:r w:rsidRPr="00D97A4B">
        <w:rPr>
          <w:rFonts w:ascii="Times New Roman" w:hAnsi="Times New Roman" w:cs="Times New Roman"/>
          <w:lang w:val="es-MX"/>
        </w:rPr>
        <w:t>responsabilidade</w:t>
      </w:r>
      <w:proofErr w:type="spellEnd"/>
      <w:r w:rsidRPr="00D97A4B">
        <w:rPr>
          <w:rFonts w:ascii="Times New Roman" w:hAnsi="Times New Roman" w:cs="Times New Roman"/>
          <w:lang w:val="es-MX"/>
        </w:rPr>
        <w:t xml:space="preserve"> penal, </w:t>
      </w:r>
      <w:proofErr w:type="spellStart"/>
      <w:r w:rsidRPr="00D97A4B">
        <w:rPr>
          <w:rFonts w:ascii="Times New Roman" w:hAnsi="Times New Roman" w:cs="Times New Roman"/>
          <w:lang w:val="es-MX"/>
        </w:rPr>
        <w:t>emergências</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saúde</w:t>
      </w:r>
      <w:proofErr w:type="spellEnd"/>
      <w:r w:rsidRPr="00D97A4B">
        <w:rPr>
          <w:rFonts w:ascii="Times New Roman" w:hAnsi="Times New Roman" w:cs="Times New Roman"/>
          <w:lang w:val="es-MX"/>
        </w:rPr>
        <w:t xml:space="preserve">, </w:t>
      </w:r>
      <w:proofErr w:type="spellStart"/>
      <w:r w:rsidRPr="00D97A4B">
        <w:rPr>
          <w:rFonts w:ascii="Times New Roman" w:hAnsi="Times New Roman" w:cs="Times New Roman"/>
          <w:lang w:val="es-MX"/>
        </w:rPr>
        <w:t>arcabouço</w:t>
      </w:r>
      <w:proofErr w:type="spellEnd"/>
      <w:r w:rsidRPr="00D97A4B">
        <w:rPr>
          <w:rFonts w:ascii="Times New Roman" w:hAnsi="Times New Roman" w:cs="Times New Roman"/>
          <w:lang w:val="es-MX"/>
        </w:rPr>
        <w:t xml:space="preserve"> legal mexicano, </w:t>
      </w:r>
      <w:proofErr w:type="spellStart"/>
      <w:r w:rsidRPr="00D97A4B">
        <w:rPr>
          <w:rFonts w:ascii="Times New Roman" w:hAnsi="Times New Roman" w:cs="Times New Roman"/>
          <w:lang w:val="es-MX"/>
        </w:rPr>
        <w:t>prevenção</w:t>
      </w:r>
      <w:proofErr w:type="spellEnd"/>
      <w:r w:rsidRPr="00D97A4B">
        <w:rPr>
          <w:rFonts w:ascii="Times New Roman" w:hAnsi="Times New Roman" w:cs="Times New Roman"/>
          <w:lang w:val="es-MX"/>
        </w:rPr>
        <w:t xml:space="preserve"> de </w:t>
      </w:r>
      <w:proofErr w:type="spellStart"/>
      <w:r w:rsidRPr="00D97A4B">
        <w:rPr>
          <w:rFonts w:ascii="Times New Roman" w:hAnsi="Times New Roman" w:cs="Times New Roman"/>
          <w:lang w:val="es-MX"/>
        </w:rPr>
        <w:t>negligência</w:t>
      </w:r>
      <w:proofErr w:type="spellEnd"/>
      <w:r w:rsidRPr="00D97A4B">
        <w:rPr>
          <w:rFonts w:ascii="Times New Roman" w:hAnsi="Times New Roman" w:cs="Times New Roman"/>
          <w:lang w:val="es-MX"/>
        </w:rPr>
        <w:t>, reformas legislativas.</w:t>
      </w:r>
    </w:p>
    <w:p w14:paraId="6601F6EE" w14:textId="0B06A33E" w:rsidR="00D97A4B" w:rsidRPr="00D97A4B" w:rsidRDefault="00D97A4B" w:rsidP="00D97A4B">
      <w:pPr>
        <w:shd w:val="clear" w:color="auto" w:fill="FFFFFF"/>
        <w:tabs>
          <w:tab w:val="left" w:pos="8647"/>
        </w:tabs>
        <w:suppressAutoHyphens w:val="0"/>
        <w:spacing w:after="0" w:line="240" w:lineRule="auto"/>
        <w:rPr>
          <w:rFonts w:ascii="Times New Roman" w:eastAsia="Times New Roman" w:hAnsi="Times New Roman" w:cs="Consolas"/>
          <w:color w:val="000000"/>
          <w:szCs w:val="20"/>
          <w:lang w:eastAsia="es-ES"/>
        </w:rPr>
      </w:pPr>
      <w:r w:rsidRPr="00D97A4B">
        <w:rPr>
          <w:rFonts w:ascii="Times New Roman" w:eastAsia="Times New Roman" w:hAnsi="Times New Roman" w:cs="Consolas"/>
          <w:b/>
          <w:color w:val="000000"/>
          <w:szCs w:val="20"/>
          <w:lang w:eastAsia="es-ES"/>
        </w:rPr>
        <w:t xml:space="preserve">Fecha Recepción: </w:t>
      </w:r>
      <w:proofErr w:type="gramStart"/>
      <w:r>
        <w:rPr>
          <w:rFonts w:ascii="Times New Roman" w:eastAsia="Times New Roman" w:hAnsi="Times New Roman" w:cs="Consolas"/>
          <w:color w:val="000000"/>
          <w:szCs w:val="20"/>
          <w:lang w:eastAsia="es-ES"/>
        </w:rPr>
        <w:t>Marzo</w:t>
      </w:r>
      <w:proofErr w:type="gramEnd"/>
      <w:r w:rsidRPr="00D97A4B">
        <w:rPr>
          <w:rFonts w:ascii="Times New Roman" w:eastAsia="Times New Roman" w:hAnsi="Times New Roman" w:cs="Consolas"/>
          <w:color w:val="000000"/>
          <w:szCs w:val="20"/>
          <w:lang w:eastAsia="es-ES"/>
        </w:rPr>
        <w:t xml:space="preserve"> 2025             </w:t>
      </w:r>
      <w:r>
        <w:rPr>
          <w:rFonts w:ascii="Times New Roman" w:eastAsia="Times New Roman" w:hAnsi="Times New Roman" w:cs="Consolas"/>
          <w:color w:val="000000"/>
          <w:szCs w:val="20"/>
          <w:lang w:eastAsia="es-ES"/>
        </w:rPr>
        <w:t xml:space="preserve">    </w:t>
      </w:r>
      <w:r w:rsidRPr="00D97A4B">
        <w:rPr>
          <w:rFonts w:ascii="Times New Roman" w:eastAsia="Times New Roman" w:hAnsi="Times New Roman" w:cs="Consolas"/>
          <w:color w:val="000000"/>
          <w:szCs w:val="20"/>
          <w:lang w:eastAsia="es-ES"/>
        </w:rPr>
        <w:t xml:space="preserve">                   </w:t>
      </w:r>
      <w:r w:rsidRPr="00D97A4B">
        <w:rPr>
          <w:rFonts w:ascii="Times New Roman" w:eastAsia="Times New Roman" w:hAnsi="Times New Roman" w:cs="Consolas"/>
          <w:b/>
          <w:color w:val="000000"/>
          <w:szCs w:val="20"/>
          <w:lang w:eastAsia="es-ES"/>
        </w:rPr>
        <w:t xml:space="preserve">Fecha Aceptación: </w:t>
      </w:r>
      <w:r>
        <w:rPr>
          <w:rFonts w:ascii="Times New Roman" w:eastAsia="Times New Roman" w:hAnsi="Times New Roman" w:cs="Consolas"/>
          <w:color w:val="000000"/>
          <w:szCs w:val="20"/>
          <w:lang w:eastAsia="es-ES"/>
        </w:rPr>
        <w:t>Octu</w:t>
      </w:r>
      <w:r w:rsidRPr="00D97A4B">
        <w:rPr>
          <w:rFonts w:ascii="Times New Roman" w:eastAsia="Times New Roman" w:hAnsi="Times New Roman" w:cs="Consolas"/>
          <w:color w:val="000000"/>
          <w:szCs w:val="20"/>
          <w:lang w:eastAsia="es-ES"/>
        </w:rPr>
        <w:t>bre 2025</w:t>
      </w:r>
    </w:p>
    <w:p w14:paraId="0995C273" w14:textId="746AEBE3" w:rsidR="00D97A4B" w:rsidRPr="00D97A4B" w:rsidRDefault="00C53067" w:rsidP="00D97A4B">
      <w:pPr>
        <w:spacing w:after="0" w:line="360" w:lineRule="auto"/>
        <w:jc w:val="both"/>
        <w:rPr>
          <w:rFonts w:ascii="Times New Roman" w:hAnsi="Times New Roman" w:cs="Times New Roman"/>
          <w:lang w:val="es-MX"/>
        </w:rPr>
      </w:pPr>
      <w:r>
        <w:rPr>
          <w:rFonts w:eastAsia="Times New Roman" w:cs="Times New Roman"/>
          <w:noProof/>
          <w:kern w:val="2"/>
          <w:sz w:val="22"/>
          <w:szCs w:val="22"/>
          <w:lang w:val="es-MX"/>
        </w:rPr>
        <w:pict w14:anchorId="6ABCBF40">
          <v:rect id="_x0000_i1025" style="width:441.9pt;height:.05pt" o:hralign="center" o:hrstd="t" o:hr="t" fillcolor="#a0a0a0" stroked="f"/>
        </w:pict>
      </w:r>
    </w:p>
    <w:p w14:paraId="0ADA7E94" w14:textId="77777777" w:rsidR="00807258" w:rsidRPr="00D97A4B" w:rsidRDefault="00D97A4B" w:rsidP="00D97A4B">
      <w:pPr>
        <w:pStyle w:val="Ttulo3"/>
        <w:spacing w:before="0" w:line="360" w:lineRule="auto"/>
        <w:jc w:val="center"/>
        <w:rPr>
          <w:rFonts w:ascii="Times New Roman" w:hAnsi="Times New Roman" w:cs="Times New Roman"/>
          <w:color w:val="auto"/>
          <w:sz w:val="32"/>
          <w:szCs w:val="32"/>
        </w:rPr>
      </w:pPr>
      <w:r w:rsidRPr="00D97A4B">
        <w:rPr>
          <w:rFonts w:ascii="Times New Roman" w:eastAsia="Aptos" w:hAnsi="Times New Roman" w:cs="Times New Roman"/>
          <w:b/>
          <w:bCs/>
          <w:color w:val="auto"/>
          <w:sz w:val="32"/>
          <w:szCs w:val="32"/>
        </w:rPr>
        <w:t>Introducción</w:t>
      </w:r>
    </w:p>
    <w:p w14:paraId="7B36A331"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negligencia en la gestión de la salud pública constituye un desafío crítico para las sociedades modernas, especialmente en contextos como el mexicano, donde las emergencias sanitarias han expuesto profundas vulnerabilidades estructurales y operativas del sistema de salud. La pandemia de COVID-19 actuó como un catalizador que evidenció la falta de planificación, omisiones en la toma de decisiones y la insuficiente implementación de medidas adecuadas, lo que resultó en consecuencias devastadoras para la población. En este contexto, la responsabilidad penal emerge no solo como un mecanismo de sanción, sino también como una herramienta preventiva que busca garantizar la protección de los derechos fundamentales, como el derecho a la salud.</w:t>
      </w:r>
    </w:p>
    <w:p w14:paraId="7A1F8E2D"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 nivel global, la negligencia en salud pública ha sido un problema recurrente. Según la Organización Mundial de la Salud (OMS), más del 30% de los sistemas de salud en América Latina reportaron interrupciones significativas en la prestación de servicios esenciales durante la pandemia, destacando la falta de planificación y la gestión inadecuada de recursos como factores determinantes. Países como Brasil y Argentina enfrentaron situaciones similares a las de México, con decisiones administrativas deficientes, asignaciones desiguales de recursos y altos niveles de saturación hospitalaria. Estas experiencias internacionales resaltan la importancia de contar con marcos normativos robustos que permitan tanto prevenir como sancionar actos de negligencia en la gestión sanitaria.</w:t>
      </w:r>
    </w:p>
    <w:p w14:paraId="279E4C76"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En el caso mexicano, el marco jurídico establece la responsabilidad penal como un instrumento para sancionar conductas que atenten contra la salud y la vida de las personas. Sin embargo, su implementación enfrenta barreras significativas, como la dificultad de </w:t>
      </w:r>
      <w:r>
        <w:rPr>
          <w:rFonts w:ascii="Times New Roman" w:hAnsi="Times New Roman" w:cs="Times New Roman"/>
        </w:rPr>
        <w:t>acreditar la relación de causalidad</w:t>
      </w:r>
      <w:r>
        <w:rPr>
          <w:rFonts w:ascii="Times New Roman" w:eastAsia="Aptos" w:hAnsi="Times New Roman" w:cs="Times New Roman"/>
        </w:rPr>
        <w:t>, la presión política y social, y la limitada capacidad del sistema judicial para procesar estos casos. Además, existe un debate sobre si la criminalización de la negligencia en salud pública podría generar efectos adversos, como la desincentivación de la participación de profesionales médicos en situaciones de alto riesgo.</w:t>
      </w:r>
    </w:p>
    <w:p w14:paraId="7EE804EF"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lastRenderedPageBreak/>
        <w:t>La experiencia de México durante la pandemia de COVID-19 reveló estas limitaciones de manera evidente. Las carencias en infraestructura hospitalaria, la insuficiencia de insumos médicos esenciales y las decisiones políticas controvertidas dificultaron una respuesta efectiva ante la crisis. Casos emblemáticos de negligencia profesional y administrativa, ampliamente documentados por medios de comunicación y organizaciones civiles, destacaron la necesidad de establecer un marco jurídico más claro y específico que permita no solo sancionar, sino también prevenir futuras negligencias.</w:t>
      </w:r>
    </w:p>
    <w:p w14:paraId="26123C43"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Este artículo aborda la problemática desde una perspectiva integral, explorando cómo la negligencia en la gestión de la salud pública puede ser abordada mediante el derecho penal en México. A través de un análisis de marcos legales existentes, casos representativos y desafíos prácticos, se busca proponer soluciones que no solo permitan sancionar a los responsables, sino que también prevengan futuras negligencias. En un país donde las desigualdades estructurales en el acceso a la salud son profundas y persistentes, garantizar una gestión efectiva de las crisis sanitarias es fundamental para proteger a las comunidades más vulnerables.</w:t>
      </w:r>
    </w:p>
    <w:p w14:paraId="249E9E7F"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El objetivo principal es demostrar que, aunque el derecho penal puede ser una herramienta efectiva para sancionar conductas graves de negligencia en salud pública, su aplicación debe estar acompañada de reformas legislativas, estrategias de capacitación y mecanismos de supervisión que fortalezcan la capacidad de respuesta del sistema de salud. En este sentido, este análisis busca contribuir a un debate más amplio sobre cómo las herramientas jurídicas pueden integrarse en políticas de salud pública que prioricen la equidad, la eficiencia y el respeto por los derechos humanos.</w:t>
      </w:r>
    </w:p>
    <w:p w14:paraId="743344E7"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 partir de estas premisas, el presente trabajo se organiza en varias secciones. Se inicia con un análisis conceptual de la negligencia en salud pública y su relación con la responsabilidad penal. Posteriormente, se examina la legislación mexicana y su capacidad para abordar estos casos, incluyendo un análisis de casos representativos. Más adelante, se analizan los desafíos en la implementación de sanciones penales, seguido de propuestas legislativas y de investigación orientadas a prevenir futuras negligencias. Finalmente, se concluye destacando la necesidad de un enfoque integral que combine la sanción penal con el fortalecimiento de las capacidades institucionales y operativas del sistema de salud.</w:t>
      </w:r>
    </w:p>
    <w:p w14:paraId="6DE738CB"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La negligencia en salud pública, especialmente en la gestión de crisis sanitarias, es un fenómeno que pone en riesgo no solo la vida de los individuos afectados, sino también la confianza en las instituciones responsables de garantizar el bienestar </w:t>
      </w:r>
      <w:r>
        <w:rPr>
          <w:rFonts w:ascii="Times New Roman" w:eastAsia="Aptos" w:hAnsi="Times New Roman" w:cs="Times New Roman"/>
        </w:rPr>
        <w:lastRenderedPageBreak/>
        <w:t>colectivo. Este apartado tiene como objetivo analizar las definiciones clave que sustentan el concepto de negligencia en este ámbito, estableciendo las bases para comprender su relación con la responsabilidad penal y su aplicación en el contexto mexicano.</w:t>
      </w:r>
    </w:p>
    <w:p w14:paraId="6FC807F1" w14:textId="77777777" w:rsidR="00D97A4B" w:rsidRDefault="00D97A4B" w:rsidP="00D97A4B">
      <w:pPr>
        <w:spacing w:after="0" w:line="360" w:lineRule="auto"/>
        <w:ind w:firstLine="709"/>
        <w:jc w:val="both"/>
        <w:rPr>
          <w:rFonts w:ascii="Times New Roman" w:hAnsi="Times New Roman" w:cs="Times New Roman"/>
        </w:rPr>
      </w:pPr>
    </w:p>
    <w:p w14:paraId="5A7AACB8" w14:textId="77777777" w:rsidR="00807258" w:rsidRDefault="00D97A4B" w:rsidP="00D97A4B">
      <w:pPr>
        <w:pStyle w:val="Prrafodelista"/>
        <w:spacing w:after="0" w:line="360" w:lineRule="auto"/>
        <w:ind w:left="0"/>
        <w:jc w:val="center"/>
        <w:rPr>
          <w:rFonts w:ascii="Times" w:hAnsi="Times"/>
          <w:b/>
          <w:bCs/>
          <w:color w:val="131413"/>
          <w:sz w:val="28"/>
          <w:szCs w:val="28"/>
          <w:shd w:val="clear" w:color="auto" w:fill="FFFFFF"/>
        </w:rPr>
      </w:pPr>
      <w:r>
        <w:rPr>
          <w:rFonts w:ascii="Times" w:hAnsi="Times"/>
          <w:b/>
          <w:bCs/>
          <w:color w:val="131413"/>
          <w:sz w:val="28"/>
          <w:szCs w:val="28"/>
          <w:shd w:val="clear" w:color="auto" w:fill="FFFFFF"/>
        </w:rPr>
        <w:t>Marco teórico conceptual y revisión de la literatura</w:t>
      </w:r>
    </w:p>
    <w:p w14:paraId="2F40FB1E"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 lo largo de la historia, diversas crisis sanitarias han expuesto fallas estructurales en el sistema de salud mexicano. Durante el brote de influenza H1N1 en 2009, la respuesta institucional evidenció una infraestructura hospitalaria insuficiente y la asignación desigual de medicamentos antivirales. Décadas antes, el resurgimiento del cólera en los años 90 reveló graves carencias en la infraestructura de agua potable y saneamiento, afectando principalmente a las comunidades rurales. Estas experiencias subrayan la necesidad de marcos jurídicos más sólidos que no solo sancionen la negligencia, sino que también prevengan su recurrencia mediante medidas estructurales y preventivas.</w:t>
      </w:r>
    </w:p>
    <w:p w14:paraId="6AEE736E"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salud pública puede definirse como el esfuerzo organizado de la sociedad para proteger y mejorar la salud de las comunidades mediante la prevención de enfermedades, la promoción de estilos de vida saludables y la garantía de acceso equitativo a los servicios de salud. Esta definición subraya la responsabilidad colectiva que tienen los gobiernos, las instituciones y los profesionales médicos en la protección de este derecho fundamental. En México, el derecho a la salud está consagrado en el artículo 4º de la Constitución Política, lo que refuerza la obligación del Estado de garantizar servicios de salud accesibles y de calidad para toda la población.</w:t>
      </w:r>
    </w:p>
    <w:p w14:paraId="58CF3261"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En este contexto, la negligencia se entiende como la omisión de las medidas necesarias para evitar daños previsibles, o como la ejecución inadecuada de acciones que resultan en un perjuicio a terceros. En términos jurídicos, la negligencia puede clasificarse como un tipo de culpa, diferenciándose del dolo en que no implica una intención deliberada de causar daño. En el ámbito de la salud pública, la negligencia puede manifestarse de diversas formas, desde la falta de planificación adecuada en la respuesta a emergencias sanitarias hasta la omisión de tratamientos médicos esenciales en situaciones críticas.</w:t>
      </w:r>
    </w:p>
    <w:p w14:paraId="4AB2B479" w14:textId="77777777" w:rsidR="00D97A4B" w:rsidRDefault="00D97A4B" w:rsidP="00D97A4B">
      <w:pPr>
        <w:spacing w:after="0" w:line="360" w:lineRule="auto"/>
        <w:ind w:firstLine="709"/>
        <w:jc w:val="both"/>
        <w:rPr>
          <w:rFonts w:ascii="Times New Roman" w:hAnsi="Times New Roman" w:cs="Times New Roman"/>
        </w:rPr>
      </w:pPr>
    </w:p>
    <w:p w14:paraId="460F9C9D" w14:textId="77777777" w:rsidR="00C53067" w:rsidRDefault="00C53067" w:rsidP="00D97A4B">
      <w:pPr>
        <w:spacing w:after="0" w:line="360" w:lineRule="auto"/>
        <w:ind w:firstLine="709"/>
        <w:jc w:val="both"/>
        <w:rPr>
          <w:rFonts w:ascii="Times New Roman" w:hAnsi="Times New Roman" w:cs="Times New Roman"/>
        </w:rPr>
      </w:pPr>
    </w:p>
    <w:p w14:paraId="48695230" w14:textId="77777777" w:rsidR="00C53067" w:rsidRDefault="00C53067" w:rsidP="00D97A4B">
      <w:pPr>
        <w:spacing w:after="0" w:line="360" w:lineRule="auto"/>
        <w:ind w:firstLine="709"/>
        <w:jc w:val="both"/>
        <w:rPr>
          <w:rFonts w:ascii="Times New Roman" w:hAnsi="Times New Roman" w:cs="Times New Roman"/>
        </w:rPr>
      </w:pPr>
    </w:p>
    <w:p w14:paraId="34961DF7" w14:textId="77777777" w:rsidR="00C53067" w:rsidRDefault="00C53067" w:rsidP="00D97A4B">
      <w:pPr>
        <w:spacing w:after="0" w:line="360" w:lineRule="auto"/>
        <w:ind w:firstLine="709"/>
        <w:jc w:val="both"/>
        <w:rPr>
          <w:rFonts w:ascii="Times New Roman" w:hAnsi="Times New Roman" w:cs="Times New Roman"/>
        </w:rPr>
      </w:pPr>
    </w:p>
    <w:p w14:paraId="1FCC90FA" w14:textId="77777777" w:rsidR="00807258" w:rsidRDefault="00D97A4B" w:rsidP="00D97A4B">
      <w:pPr>
        <w:spacing w:after="0" w:line="360" w:lineRule="auto"/>
        <w:jc w:val="center"/>
        <w:rPr>
          <w:rFonts w:ascii="Times" w:hAnsi="Times"/>
          <w:b/>
          <w:bCs/>
          <w:color w:val="131413"/>
          <w:sz w:val="28"/>
          <w:szCs w:val="28"/>
          <w:shd w:val="clear" w:color="auto" w:fill="FFFFFF"/>
        </w:rPr>
      </w:pPr>
      <w:r>
        <w:rPr>
          <w:rFonts w:ascii="Times" w:hAnsi="Times"/>
          <w:b/>
          <w:bCs/>
          <w:color w:val="131413"/>
          <w:sz w:val="28"/>
          <w:szCs w:val="28"/>
          <w:shd w:val="clear" w:color="auto" w:fill="FFFFFF"/>
        </w:rPr>
        <w:lastRenderedPageBreak/>
        <w:t>Revisión sistemática de la literatura científica</w:t>
      </w:r>
    </w:p>
    <w:p w14:paraId="05E28337"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negligencia en salud pública en México ha generado un incremento sostenido en las demandas legales contra instituciones de salud. Según datos del CCONEVAL, entre 2020 y 2022, las denuncias por negligencia aumentaron un 45%, destacando la falta de insumos médicos y de atención oportuna como las principales causas.</w:t>
      </w:r>
    </w:p>
    <w:p w14:paraId="5DD097E4"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El análisis estadístico refleja un aumento significativo en el número de demandas por negligencia médica durante los años más críticos de la pandemia de COVID-19. Sin embargo, el número de sentencias emitidas sigue siendo proporcionalmente bajo, lo que evidencia las barreras legales y estructurales para garantizar la rendición de cuentas. En la Tabla 1 se presenta una visión general del número de denuncias, procesos judiciales iniciados y sentencias emitidas entre 2020 y 2022.</w:t>
      </w:r>
    </w:p>
    <w:p w14:paraId="265FE789" w14:textId="77777777" w:rsidR="00807258" w:rsidRDefault="00D97A4B">
      <w:pPr>
        <w:pStyle w:val="Ttulo1"/>
        <w:jc w:val="center"/>
        <w:rPr>
          <w:rFonts w:ascii="Times New Roman" w:hAnsi="Times New Roman" w:cs="Times New Roman"/>
          <w:color w:val="auto"/>
          <w:sz w:val="24"/>
          <w:szCs w:val="24"/>
        </w:rPr>
      </w:pPr>
      <w:r w:rsidRPr="00D97A4B">
        <w:rPr>
          <w:rFonts w:ascii="Times New Roman" w:hAnsi="Times New Roman" w:cs="Times New Roman"/>
          <w:b/>
          <w:bCs/>
          <w:color w:val="auto"/>
          <w:sz w:val="24"/>
          <w:szCs w:val="24"/>
        </w:rPr>
        <w:t>Tabla 1.</w:t>
      </w:r>
      <w:r>
        <w:rPr>
          <w:rFonts w:ascii="Times New Roman" w:hAnsi="Times New Roman" w:cs="Times New Roman"/>
          <w:color w:val="auto"/>
          <w:sz w:val="24"/>
          <w:szCs w:val="24"/>
        </w:rPr>
        <w:t xml:space="preserve"> Demandas y Sentencias por Negligencia Médica en México (2020-2022)</w:t>
      </w:r>
    </w:p>
    <w:tbl>
      <w:tblPr>
        <w:tblStyle w:val="Tablaconcuadrcula"/>
        <w:tblW w:w="9142" w:type="dxa"/>
        <w:tblLayout w:type="fixed"/>
        <w:tblLook w:val="06A0" w:firstRow="1" w:lastRow="0" w:firstColumn="1" w:lastColumn="0" w:noHBand="1" w:noVBand="1"/>
      </w:tblPr>
      <w:tblGrid>
        <w:gridCol w:w="1605"/>
        <w:gridCol w:w="4230"/>
        <w:gridCol w:w="3307"/>
      </w:tblGrid>
      <w:tr w:rsidR="00807258" w:rsidRPr="00D97A4B" w14:paraId="12700C0D" w14:textId="77777777" w:rsidTr="00D97A4B">
        <w:trPr>
          <w:trHeight w:val="300"/>
        </w:trPr>
        <w:tc>
          <w:tcPr>
            <w:tcW w:w="1605" w:type="dxa"/>
            <w:shd w:val="clear" w:color="auto" w:fill="auto"/>
          </w:tcPr>
          <w:p w14:paraId="48424737"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Año</w:t>
            </w:r>
          </w:p>
        </w:tc>
        <w:tc>
          <w:tcPr>
            <w:tcW w:w="4230" w:type="dxa"/>
            <w:shd w:val="clear" w:color="auto" w:fill="auto"/>
          </w:tcPr>
          <w:p w14:paraId="31B2D7A8"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Demandas por Negligencia Médica</w:t>
            </w:r>
          </w:p>
        </w:tc>
        <w:tc>
          <w:tcPr>
            <w:tcW w:w="3307" w:type="dxa"/>
            <w:shd w:val="clear" w:color="auto" w:fill="auto"/>
          </w:tcPr>
          <w:p w14:paraId="3508173B"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Sentencias Emitidas</w:t>
            </w:r>
          </w:p>
        </w:tc>
      </w:tr>
      <w:tr w:rsidR="00807258" w:rsidRPr="00D97A4B" w14:paraId="6AA1B77A" w14:textId="77777777" w:rsidTr="00D97A4B">
        <w:trPr>
          <w:trHeight w:val="300"/>
        </w:trPr>
        <w:tc>
          <w:tcPr>
            <w:tcW w:w="1605" w:type="dxa"/>
            <w:shd w:val="clear" w:color="auto" w:fill="auto"/>
          </w:tcPr>
          <w:p w14:paraId="6F8B0B7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2020</w:t>
            </w:r>
          </w:p>
        </w:tc>
        <w:tc>
          <w:tcPr>
            <w:tcW w:w="4230" w:type="dxa"/>
            <w:shd w:val="clear" w:color="auto" w:fill="auto"/>
          </w:tcPr>
          <w:p w14:paraId="4444A02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1,200</w:t>
            </w:r>
          </w:p>
        </w:tc>
        <w:tc>
          <w:tcPr>
            <w:tcW w:w="3307" w:type="dxa"/>
            <w:shd w:val="clear" w:color="auto" w:fill="auto"/>
          </w:tcPr>
          <w:p w14:paraId="17C13883"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200</w:t>
            </w:r>
          </w:p>
        </w:tc>
      </w:tr>
      <w:tr w:rsidR="00807258" w:rsidRPr="00D97A4B" w14:paraId="16E960DF" w14:textId="77777777" w:rsidTr="00D97A4B">
        <w:trPr>
          <w:trHeight w:val="300"/>
        </w:trPr>
        <w:tc>
          <w:tcPr>
            <w:tcW w:w="1605" w:type="dxa"/>
            <w:shd w:val="clear" w:color="auto" w:fill="auto"/>
          </w:tcPr>
          <w:p w14:paraId="5908C4DF"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2021</w:t>
            </w:r>
          </w:p>
        </w:tc>
        <w:tc>
          <w:tcPr>
            <w:tcW w:w="4230" w:type="dxa"/>
            <w:shd w:val="clear" w:color="auto" w:fill="auto"/>
          </w:tcPr>
          <w:p w14:paraId="40757B0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1,600</w:t>
            </w:r>
          </w:p>
        </w:tc>
        <w:tc>
          <w:tcPr>
            <w:tcW w:w="3307" w:type="dxa"/>
            <w:shd w:val="clear" w:color="auto" w:fill="auto"/>
          </w:tcPr>
          <w:p w14:paraId="75FD711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250</w:t>
            </w:r>
          </w:p>
        </w:tc>
      </w:tr>
      <w:tr w:rsidR="00807258" w:rsidRPr="00D97A4B" w14:paraId="62B15A6B" w14:textId="77777777" w:rsidTr="00D97A4B">
        <w:trPr>
          <w:trHeight w:val="300"/>
        </w:trPr>
        <w:tc>
          <w:tcPr>
            <w:tcW w:w="1605" w:type="dxa"/>
            <w:shd w:val="clear" w:color="auto" w:fill="auto"/>
          </w:tcPr>
          <w:p w14:paraId="1235FDE4"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2022</w:t>
            </w:r>
          </w:p>
        </w:tc>
        <w:tc>
          <w:tcPr>
            <w:tcW w:w="4230" w:type="dxa"/>
            <w:shd w:val="clear" w:color="auto" w:fill="auto"/>
          </w:tcPr>
          <w:p w14:paraId="3C59D41E"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2,000</w:t>
            </w:r>
          </w:p>
        </w:tc>
        <w:tc>
          <w:tcPr>
            <w:tcW w:w="3307" w:type="dxa"/>
            <w:shd w:val="clear" w:color="auto" w:fill="auto"/>
          </w:tcPr>
          <w:p w14:paraId="5D2B56E4"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300</w:t>
            </w:r>
          </w:p>
        </w:tc>
      </w:tr>
    </w:tbl>
    <w:p w14:paraId="48E6A2CC" w14:textId="77777777" w:rsidR="00807258" w:rsidRDefault="00D97A4B" w:rsidP="00D97A4B">
      <w:pPr>
        <w:spacing w:after="0" w:line="360" w:lineRule="auto"/>
        <w:ind w:firstLine="709"/>
        <w:jc w:val="center"/>
        <w:rPr>
          <w:rFonts w:ascii="Times New Roman" w:hAnsi="Times New Roman" w:cs="Times New Roman"/>
        </w:rPr>
      </w:pPr>
      <w:r>
        <w:rPr>
          <w:rFonts w:ascii="Times New Roman" w:eastAsia="Aptos" w:hAnsi="Times New Roman" w:cs="Times New Roman"/>
        </w:rPr>
        <w:t xml:space="preserve">Fuente: Consejo Nacional de Salud y </w:t>
      </w:r>
      <w:proofErr w:type="gramStart"/>
      <w:r>
        <w:rPr>
          <w:rFonts w:ascii="Times New Roman" w:eastAsia="Aptos" w:hAnsi="Times New Roman" w:cs="Times New Roman"/>
        </w:rPr>
        <w:t>Fiscalía General</w:t>
      </w:r>
      <w:proofErr w:type="gramEnd"/>
      <w:r>
        <w:rPr>
          <w:rFonts w:ascii="Times New Roman" w:eastAsia="Aptos" w:hAnsi="Times New Roman" w:cs="Times New Roman"/>
        </w:rPr>
        <w:t xml:space="preserve"> de la República, 2021.</w:t>
      </w:r>
    </w:p>
    <w:p w14:paraId="5300437A"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Esta tabla ilustra no solo el aumento de casos, sino también las limitaciones del sistema judicial para emitir sentencias en tiempo y forma.</w:t>
      </w:r>
    </w:p>
    <w:p w14:paraId="4C297137"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siguiente gráfica ilustra el incremento en las demandas por negligencia médica y las sentencias emitidas en México entre 2020 y 2022. Este aumento destaca las crecientes tensiones en el sistema judicial frente a un mayor escrutinio público sobre la gestión de la salud pública.</w:t>
      </w:r>
    </w:p>
    <w:p w14:paraId="6CE93946"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responsabilidad penal en salud pública se refiere a la capacidad de atribuir consecuencias legales a las personas o instituciones cuyos actos u omisiones hayan resultado en daños graves a la salud o a la vida de las personas. En México, el Código Penal Federal contempla disposiciones específicas que sancionan conductas negligentes en el ámbito de la salud, como el artículo 229, que regula la responsabilidad de los profesionales médicos por negligencia, imprudencia o impericia. Sin embargo, estas normativas enfrentan retos significativos en su implementación, particularmente en casos que involucran decisiones de alto nivel, como la asignación de recursos durante una crisis sanitaria.</w:t>
      </w:r>
    </w:p>
    <w:p w14:paraId="4A471AA8"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Un aspecto fundamental de este análisis es la conexión entre la salud pública y el derecho penal. Si bien el derecho penal ha sido tradicionalmente considerado como un último recurso, en situaciones de negligencia grave en salud pública puede desempeñar </w:t>
      </w:r>
      <w:r>
        <w:rPr>
          <w:rFonts w:ascii="Times New Roman" w:eastAsia="Aptos" w:hAnsi="Times New Roman" w:cs="Times New Roman"/>
        </w:rPr>
        <w:lastRenderedPageBreak/>
        <w:t>un papel preventivo y correctivo. La negligencia en este ámbito no solo afecta a los individuos directamente perjudicados, sino que también tiene implicaciones sociales más amplias, como el colapso de sistemas de salud, la propagación descontrolada de enfermedades y el aumento de la desigualdad en el acceso a los servicios de salud.</w:t>
      </w:r>
    </w:p>
    <w:p w14:paraId="24D66BFC"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En el contexto mexicano, esta conexión se torna particularmente relevante debido a las características estructurales del sistema de salud. Por ejemplo, la fragmentación del sistema, la insuficiencia de recursos y las desigualdades territoriales complican la capacidad de respuesta ante emergencias sanitarias, aumentando el riesgo de negligencia. Durante la pandemia de COVID-19, estas debilidades se hicieron evidentes, con casos de hospitales saturados, carencia de equipos de protección para el personal médico y asignación desigual de vacunas. Estas situaciones plantean preguntas críticas sobre la responsabilidad penal de los actores involucrados, desde funcionarios públicos hasta directivos de instituciones privadas.</w:t>
      </w:r>
    </w:p>
    <w:p w14:paraId="50F96AED"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negligencia profesional es otra dimensión importante dentro del marco conceptual. Este término se refiere a las acciones u omisiones de profesionales de la salud que no cumplen con los estándares aceptados de su práctica, resultando en daños a los pacientes. En México, la negligencia médica es uno de los temas más litigados en el ámbito de la salud, y su relación con la responsabilidad penal ha generado debates sobre cómo equilibrar la protección de los pacientes con la seguridad jurídica para los profesionales médicos.</w:t>
      </w:r>
    </w:p>
    <w:p w14:paraId="0B87F1C6"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 crucial señalar que la negligencia en salud pública no debe analizarse de manera aislada, sino como parte de un sistema interconectado que incluye factores sociales, políticos y económicos. La falta de recursos adecuados, la corrupción en la asignación de presupuestos y la ausencia de mecanismos efectivos de supervisión contribuyen a la aparición de conductas negligentes. En este sentido, la responsabilidad penal debe complementarse con reformas estructurales que fortalezcan la capacidad de las instituciones de salud para cumplir con su mandato.</w:t>
      </w:r>
    </w:p>
    <w:p w14:paraId="44EF8A5A" w14:textId="77777777" w:rsidR="00D97A4B" w:rsidRDefault="00D97A4B" w:rsidP="00D97A4B">
      <w:pPr>
        <w:spacing w:after="0" w:line="360" w:lineRule="auto"/>
        <w:ind w:firstLine="709"/>
        <w:jc w:val="center"/>
        <w:rPr>
          <w:rFonts w:ascii="Times" w:hAnsi="Times"/>
          <w:b/>
          <w:bCs/>
          <w:color w:val="131413"/>
          <w:sz w:val="32"/>
          <w:szCs w:val="36"/>
          <w:shd w:val="clear" w:color="auto" w:fill="FFFFFF"/>
        </w:rPr>
      </w:pPr>
    </w:p>
    <w:p w14:paraId="7952ED14" w14:textId="76736B7D" w:rsidR="00807258" w:rsidRDefault="00D97A4B" w:rsidP="00D97A4B">
      <w:pPr>
        <w:spacing w:after="0" w:line="360" w:lineRule="auto"/>
        <w:ind w:firstLine="709"/>
        <w:jc w:val="center"/>
        <w:rPr>
          <w:rFonts w:ascii="Times" w:hAnsi="Times"/>
          <w:b/>
          <w:bCs/>
          <w:color w:val="131413"/>
          <w:sz w:val="32"/>
          <w:szCs w:val="36"/>
          <w:shd w:val="clear" w:color="auto" w:fill="FFFFFF"/>
        </w:rPr>
      </w:pPr>
      <w:r>
        <w:rPr>
          <w:rFonts w:ascii="Times" w:hAnsi="Times"/>
          <w:b/>
          <w:bCs/>
          <w:color w:val="131413"/>
          <w:sz w:val="32"/>
          <w:szCs w:val="36"/>
          <w:shd w:val="clear" w:color="auto" w:fill="FFFFFF"/>
        </w:rPr>
        <w:t>Materiales y método</w:t>
      </w:r>
    </w:p>
    <w:p w14:paraId="7D5E0249" w14:textId="77777777" w:rsidR="00807258" w:rsidRDefault="00D97A4B" w:rsidP="00D97A4B">
      <w:pPr>
        <w:spacing w:after="0" w:line="360" w:lineRule="auto"/>
        <w:ind w:firstLine="709"/>
        <w:jc w:val="both"/>
        <w:rPr>
          <w:rFonts w:ascii="Times New Roman" w:hAnsi="Times New Roman" w:cs="Times New Roman"/>
        </w:rPr>
      </w:pPr>
      <w:r>
        <w:rPr>
          <w:rFonts w:ascii="Times New Roman" w:hAnsi="Times New Roman" w:cs="Times New Roman"/>
        </w:rPr>
        <w:t xml:space="preserve">El diseño de investigación fue de alcance transeccional, con </w:t>
      </w:r>
      <w:proofErr w:type="gramStart"/>
      <w:r>
        <w:rPr>
          <w:rFonts w:ascii="Times New Roman" w:hAnsi="Times New Roman" w:cs="Times New Roman"/>
        </w:rPr>
        <w:t>naturaleza .</w:t>
      </w:r>
      <w:proofErr w:type="gramEnd"/>
      <w:r>
        <w:rPr>
          <w:rFonts w:ascii="Times New Roman" w:hAnsi="Times New Roman" w:cs="Times New Roman"/>
        </w:rPr>
        <w:t xml:space="preserve"> La metodología consistió en el análisis de artículos evaluados estadísticamente mediante la modelación de ecuaciones estructurales, mediante la técnica de recogida de datos. La muestra analizada incluyó seis artículos, en los cuales se identificaron veinticuatro constructos operacionalizados.</w:t>
      </w:r>
    </w:p>
    <w:p w14:paraId="57FBEB01" w14:textId="77777777" w:rsidR="00D97A4B" w:rsidRDefault="00D97A4B" w:rsidP="00D97A4B">
      <w:pPr>
        <w:spacing w:after="0" w:line="360" w:lineRule="auto"/>
        <w:rPr>
          <w:rFonts w:ascii="Times New Roman" w:hAnsi="Times New Roman" w:cs="Times New Roman"/>
        </w:rPr>
      </w:pPr>
    </w:p>
    <w:p w14:paraId="1A8AABA0" w14:textId="66409E0B" w:rsidR="00807258" w:rsidRDefault="00D97A4B" w:rsidP="00D97A4B">
      <w:pPr>
        <w:spacing w:after="0" w:line="360" w:lineRule="auto"/>
        <w:jc w:val="center"/>
        <w:rPr>
          <w:rFonts w:ascii="Times" w:hAnsi="Times"/>
          <w:b/>
          <w:bCs/>
          <w:color w:val="131413"/>
          <w:sz w:val="32"/>
          <w:szCs w:val="36"/>
          <w:shd w:val="clear" w:color="auto" w:fill="FFFFFF"/>
        </w:rPr>
      </w:pPr>
      <w:r>
        <w:rPr>
          <w:rFonts w:ascii="Times" w:hAnsi="Times"/>
          <w:b/>
          <w:bCs/>
          <w:color w:val="131413"/>
          <w:sz w:val="32"/>
          <w:szCs w:val="36"/>
          <w:shd w:val="clear" w:color="auto" w:fill="FFFFFF"/>
        </w:rPr>
        <w:lastRenderedPageBreak/>
        <w:t>Resultados</w:t>
      </w:r>
    </w:p>
    <w:p w14:paraId="54E6CB67"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Para comprender la dimensión jurídica de la negligencia en salud pública en México, resulta útil contrastarla con los enfoques adoptados en otros países. El marco mexicano, regulado principalmente por el artículo 229 del Código Penal Federal, se centra en la responsabilidad profesional médica, pero carece de disposiciones claras para situaciones de emergencia sanitaria. En contraste, España incluye en su Código Penal (art. 142) un enfoque robusto sobre negligencia sanitaria, aplicable tanto a profesionales como a autoridades responsables de la gestión pública. Estados Unidos, por su parte, utiliza el concepto de </w:t>
      </w:r>
      <w:proofErr w:type="spellStart"/>
      <w:r>
        <w:rPr>
          <w:rFonts w:ascii="Times New Roman" w:eastAsia="Aptos" w:hAnsi="Times New Roman" w:cs="Times New Roman"/>
          <w:i/>
          <w:iCs/>
        </w:rPr>
        <w:t>gross</w:t>
      </w:r>
      <w:proofErr w:type="spellEnd"/>
      <w:r>
        <w:rPr>
          <w:rFonts w:ascii="Times New Roman" w:eastAsia="Aptos" w:hAnsi="Times New Roman" w:cs="Times New Roman"/>
          <w:i/>
          <w:iCs/>
        </w:rPr>
        <w:t xml:space="preserve"> </w:t>
      </w:r>
      <w:proofErr w:type="spellStart"/>
      <w:r>
        <w:rPr>
          <w:rFonts w:ascii="Times New Roman" w:eastAsia="Aptos" w:hAnsi="Times New Roman" w:cs="Times New Roman"/>
          <w:i/>
          <w:iCs/>
        </w:rPr>
        <w:t>negligence</w:t>
      </w:r>
      <w:proofErr w:type="spellEnd"/>
      <w:r>
        <w:rPr>
          <w:rFonts w:ascii="Times New Roman" w:eastAsia="Aptos" w:hAnsi="Times New Roman" w:cs="Times New Roman"/>
        </w:rPr>
        <w:t xml:space="preserve"> para abordar conductas graves en salud pública, aplicándolo de manera descentralizada en función de las normativas estatales.</w:t>
      </w:r>
    </w:p>
    <w:p w14:paraId="351603B0"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Para entender cómo México aborda la negligencia en salud pública en comparación con otras jurisdicciones, se presenta la siguiente tabla, que destaca las diferencias clave en el tratamiento penal de estas conductas en México, España y Estados Unidos. Este análisis permite identificar fortalezas y áreas de mejora en el marco jurídico mexicano.</w:t>
      </w:r>
    </w:p>
    <w:p w14:paraId="4D93D89C" w14:textId="77777777" w:rsidR="00D97A4B" w:rsidRDefault="00D97A4B" w:rsidP="00D97A4B">
      <w:pPr>
        <w:spacing w:after="0" w:line="360" w:lineRule="auto"/>
        <w:jc w:val="both"/>
        <w:rPr>
          <w:rFonts w:ascii="Times New Roman" w:eastAsia="Aptos" w:hAnsi="Times New Roman" w:cs="Times New Roman"/>
        </w:rPr>
      </w:pPr>
    </w:p>
    <w:p w14:paraId="2898458A" w14:textId="77777777" w:rsidR="00807258" w:rsidRDefault="00D97A4B" w:rsidP="00D97A4B">
      <w:pPr>
        <w:spacing w:after="0" w:line="360" w:lineRule="auto"/>
        <w:jc w:val="center"/>
        <w:rPr>
          <w:rFonts w:ascii="Times New Roman" w:hAnsi="Times New Roman" w:cs="Times New Roman"/>
        </w:rPr>
      </w:pPr>
      <w:r w:rsidRPr="00D97A4B">
        <w:rPr>
          <w:rFonts w:ascii="Times New Roman" w:eastAsia="Aptos" w:hAnsi="Times New Roman" w:cs="Times New Roman"/>
          <w:b/>
          <w:bCs/>
        </w:rPr>
        <w:t>Tabla 2.</w:t>
      </w:r>
      <w:r>
        <w:rPr>
          <w:rFonts w:ascii="Times New Roman" w:eastAsia="Aptos" w:hAnsi="Times New Roman" w:cs="Times New Roman"/>
        </w:rPr>
        <w:t xml:space="preserve"> Comparación de Tratamiento Penal de la Negligencia en Salud Pública entre México, España y Estados Unidos</w:t>
      </w:r>
    </w:p>
    <w:tbl>
      <w:tblPr>
        <w:tblStyle w:val="Tablaconcuadrcula"/>
        <w:tblW w:w="9015" w:type="dxa"/>
        <w:tblLayout w:type="fixed"/>
        <w:tblLook w:val="06A0" w:firstRow="1" w:lastRow="0" w:firstColumn="1" w:lastColumn="0" w:noHBand="1" w:noVBand="1"/>
      </w:tblPr>
      <w:tblGrid>
        <w:gridCol w:w="1181"/>
        <w:gridCol w:w="5042"/>
        <w:gridCol w:w="2792"/>
      </w:tblGrid>
      <w:tr w:rsidR="00807258" w:rsidRPr="00D97A4B" w14:paraId="4F5300AF" w14:textId="77777777" w:rsidTr="00D97A4B">
        <w:trPr>
          <w:trHeight w:val="300"/>
        </w:trPr>
        <w:tc>
          <w:tcPr>
            <w:tcW w:w="1181" w:type="dxa"/>
            <w:shd w:val="clear" w:color="auto" w:fill="auto"/>
          </w:tcPr>
          <w:p w14:paraId="74B0875C"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País</w:t>
            </w:r>
          </w:p>
        </w:tc>
        <w:tc>
          <w:tcPr>
            <w:tcW w:w="5042" w:type="dxa"/>
            <w:shd w:val="clear" w:color="auto" w:fill="auto"/>
          </w:tcPr>
          <w:p w14:paraId="3345D88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Tratamiento Penal de la Negligencia Sanitaria</w:t>
            </w:r>
          </w:p>
        </w:tc>
        <w:tc>
          <w:tcPr>
            <w:tcW w:w="2792" w:type="dxa"/>
            <w:shd w:val="clear" w:color="auto" w:fill="auto"/>
          </w:tcPr>
          <w:p w14:paraId="1990492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Ejemplo de Caso</w:t>
            </w:r>
          </w:p>
        </w:tc>
      </w:tr>
      <w:tr w:rsidR="00807258" w:rsidRPr="00D97A4B" w14:paraId="2A2416CF" w14:textId="77777777" w:rsidTr="00D97A4B">
        <w:trPr>
          <w:trHeight w:val="300"/>
        </w:trPr>
        <w:tc>
          <w:tcPr>
            <w:tcW w:w="1181" w:type="dxa"/>
            <w:shd w:val="clear" w:color="auto" w:fill="auto"/>
          </w:tcPr>
          <w:p w14:paraId="3E4E1729"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México</w:t>
            </w:r>
          </w:p>
        </w:tc>
        <w:tc>
          <w:tcPr>
            <w:tcW w:w="5042" w:type="dxa"/>
            <w:shd w:val="clear" w:color="auto" w:fill="auto"/>
          </w:tcPr>
          <w:p w14:paraId="54DB54B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Regulación específica para negligencia médica (art. 229 del Código Penal). Limitada aplicación en crisis sanitarias.</w:t>
            </w:r>
          </w:p>
        </w:tc>
        <w:tc>
          <w:tcPr>
            <w:tcW w:w="2792" w:type="dxa"/>
            <w:shd w:val="clear" w:color="auto" w:fill="auto"/>
          </w:tcPr>
          <w:p w14:paraId="7D4DBBA1"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Pandemia de COVID-19: Asignación desigual de recursos.</w:t>
            </w:r>
          </w:p>
        </w:tc>
      </w:tr>
      <w:tr w:rsidR="00807258" w:rsidRPr="00D97A4B" w14:paraId="6CFDE1A9" w14:textId="77777777" w:rsidTr="00D97A4B">
        <w:trPr>
          <w:trHeight w:val="300"/>
        </w:trPr>
        <w:tc>
          <w:tcPr>
            <w:tcW w:w="1181" w:type="dxa"/>
            <w:shd w:val="clear" w:color="auto" w:fill="auto"/>
          </w:tcPr>
          <w:p w14:paraId="458BDED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España</w:t>
            </w:r>
          </w:p>
        </w:tc>
        <w:tc>
          <w:tcPr>
            <w:tcW w:w="5042" w:type="dxa"/>
            <w:shd w:val="clear" w:color="auto" w:fill="auto"/>
          </w:tcPr>
          <w:p w14:paraId="21F09734"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Regulación clara en el Código Penal, con énfasis en negligencia profesional y sanitaria (art. 142).</w:t>
            </w:r>
          </w:p>
        </w:tc>
        <w:tc>
          <w:tcPr>
            <w:tcW w:w="2792" w:type="dxa"/>
            <w:shd w:val="clear" w:color="auto" w:fill="auto"/>
          </w:tcPr>
          <w:p w14:paraId="25E5691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Caso de vacunación irregular en residencias.</w:t>
            </w:r>
          </w:p>
        </w:tc>
      </w:tr>
      <w:tr w:rsidR="00807258" w:rsidRPr="00D97A4B" w14:paraId="4E5E0545" w14:textId="77777777" w:rsidTr="00D97A4B">
        <w:trPr>
          <w:trHeight w:val="300"/>
        </w:trPr>
        <w:tc>
          <w:tcPr>
            <w:tcW w:w="1181" w:type="dxa"/>
            <w:shd w:val="clear" w:color="auto" w:fill="auto"/>
          </w:tcPr>
          <w:p w14:paraId="62C6FAB7"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Estados Unidos</w:t>
            </w:r>
          </w:p>
        </w:tc>
        <w:tc>
          <w:tcPr>
            <w:tcW w:w="5042" w:type="dxa"/>
            <w:shd w:val="clear" w:color="auto" w:fill="auto"/>
          </w:tcPr>
          <w:p w14:paraId="068D3519"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 xml:space="preserve">Tratamiento sectorial y estatal. Uso del concepto de </w:t>
            </w:r>
            <w:proofErr w:type="spellStart"/>
            <w:r w:rsidRPr="00D97A4B">
              <w:rPr>
                <w:rFonts w:ascii="Times New Roman" w:eastAsia="Aptos" w:hAnsi="Times New Roman" w:cs="Times New Roman"/>
                <w:i/>
                <w:iCs/>
              </w:rPr>
              <w:t>gross</w:t>
            </w:r>
            <w:proofErr w:type="spellEnd"/>
            <w:r w:rsidRPr="00D97A4B">
              <w:rPr>
                <w:rFonts w:ascii="Times New Roman" w:eastAsia="Aptos" w:hAnsi="Times New Roman" w:cs="Times New Roman"/>
                <w:i/>
                <w:iCs/>
              </w:rPr>
              <w:t xml:space="preserve"> </w:t>
            </w:r>
            <w:proofErr w:type="spellStart"/>
            <w:r w:rsidRPr="00D97A4B">
              <w:rPr>
                <w:rFonts w:ascii="Times New Roman" w:eastAsia="Aptos" w:hAnsi="Times New Roman" w:cs="Times New Roman"/>
                <w:i/>
                <w:iCs/>
              </w:rPr>
              <w:t>negligence</w:t>
            </w:r>
            <w:proofErr w:type="spellEnd"/>
            <w:r w:rsidRPr="00D97A4B">
              <w:rPr>
                <w:rFonts w:ascii="Times New Roman" w:eastAsia="Aptos" w:hAnsi="Times New Roman" w:cs="Times New Roman"/>
              </w:rPr>
              <w:t xml:space="preserve"> en salud pública.</w:t>
            </w:r>
          </w:p>
        </w:tc>
        <w:tc>
          <w:tcPr>
            <w:tcW w:w="2792" w:type="dxa"/>
            <w:shd w:val="clear" w:color="auto" w:fill="auto"/>
          </w:tcPr>
          <w:p w14:paraId="723AA1CC"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Fallas en distribución de vacunas COVID-19.</w:t>
            </w:r>
          </w:p>
        </w:tc>
      </w:tr>
    </w:tbl>
    <w:p w14:paraId="12D41536" w14:textId="6DFC8A04" w:rsidR="00807258" w:rsidRPr="00D97A4B" w:rsidRDefault="00D97A4B" w:rsidP="00D97A4B">
      <w:pPr>
        <w:spacing w:after="0" w:line="360" w:lineRule="auto"/>
        <w:jc w:val="center"/>
        <w:rPr>
          <w:rFonts w:ascii="Times New Roman" w:hAnsi="Times New Roman" w:cs="Times New Roman"/>
        </w:rPr>
      </w:pPr>
      <w:r>
        <w:rPr>
          <w:rFonts w:ascii="Times New Roman" w:hAnsi="Times New Roman" w:cs="Times New Roman"/>
        </w:rPr>
        <w:t>Fuente: Consejo Nacional de Salud, 2021</w:t>
      </w:r>
    </w:p>
    <w:p w14:paraId="6D3E76E1"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Además del impacto jurídico y administrativo, la negligencia en salud pública plantea importantes preguntas éticas que afectan tanto a los profesionales médicos como a los tomadores de decisiones. Estas tensiones, entre la sanción penal y la responsabilidad ética, requieren un análisis más profundo, como se detalla a continuación.</w:t>
      </w:r>
    </w:p>
    <w:p w14:paraId="106393C5"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La criminalización de la negligencia en salud pública plantea dilemas éticos significativos. Por un lado, la responsabilidad penal busca garantizar justicia para las víctimas; por otro, puede desincentivar la participación de profesionales médicos en situaciones de alto riesgo, por temor a represalias legales. Este debate se torna particularmente complejo en contextos donde las decisiones políticas influyen </w:t>
      </w:r>
      <w:r>
        <w:rPr>
          <w:rFonts w:ascii="Times New Roman" w:eastAsia="Aptos" w:hAnsi="Times New Roman" w:cs="Times New Roman"/>
        </w:rPr>
        <w:lastRenderedPageBreak/>
        <w:t>directamente en los recursos disponibles para los servicios de salud, como ocurrió en México durante la pandemia de COVID-19, cuando la asignación desigual de vacunas provocó cuestionamientos éticos y legales.</w:t>
      </w:r>
    </w:p>
    <w:p w14:paraId="5728B41F"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gestión de emergencias sanitarias en México ha puesto en evidencia las deficiencias estructurales y operativas del sistema de salud, especialmente cuando las omisiones o acciones negligentes de actores clave resultan en graves afectaciones a la salud pública. La responsabilidad penal emerge como un mecanismo crucial para sancionar conductas que atenten contra la seguridad y el bienestar de la población, garantizando a su vez la rendición de cuentas en contextos de crisis sanitaria.</w:t>
      </w:r>
    </w:p>
    <w:p w14:paraId="4F92F502"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En México, el Código Penal Federal regula la responsabilidad de los actores involucrados en el ámbito de la salud. El artículo 229 es particularmente relevante, ya que establece sanciones para los profesionales de la salud que, por negligencia, impericia o imprudencia, causen daño a los pacientes. Este marco, aunque principalmente enfocado en la responsabilidad médica individual, también puede extenderse a la gestión de instituciones y decisiones de políticas públicas en contextos de emergencias sanitarias.</w:t>
      </w:r>
    </w:p>
    <w:p w14:paraId="53CE2F35"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Además, el artículo 214 del mismo código establece penas para funcionarios públicos que, por omisión o mal desempeño, incumplan con sus responsabilidades legales, lo que puede ser aplicable en casos donde las decisiones negligentes agraven una crisis sanitaria. Sin embargo, la aplicación de estas disposiciones enfrenta barreras significativas, como la dificultad de probar la causalidad directa entre la acción u omisión y el daño causado, así como la influencia de intereses políticos en procesos judiciales de alto perfil.</w:t>
      </w:r>
    </w:p>
    <w:p w14:paraId="27F5EA28"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Durante la pandemia de COVID-19, México vivió uno de los periodos más críticos en su historia reciente de salud pública. Las decisiones de alto nivel sobre la distribución de recursos, la priorización de vacunación y la gestión hospitalaria estuvieron marcadas por críticas y denuncias de negligencia. Entre los casos más destacados, se encuentra la asignación desigual de insumos médicos a hospitales públicos en estados con altas tasas de mortalidad. Esta situación derivó en denuncias legales que acusaron a las autoridades sanitarias de omisiones graves en la protección de la vida y salud de la población.</w:t>
      </w:r>
    </w:p>
    <w:p w14:paraId="2024DB92"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Un ejemplo concreto es la falta de equipos de protección personal (EPP) para el personal médico durante las primeras etapas de la pandemia, lo que resultó en un número desproporcionado de infecciones y fallecimientos entre los trabajadores de la salud. Aunque se iniciaron investigaciones legales, muchas de estas se centraron en </w:t>
      </w:r>
      <w:r>
        <w:rPr>
          <w:rFonts w:ascii="Times New Roman" w:eastAsia="Aptos" w:hAnsi="Times New Roman" w:cs="Times New Roman"/>
        </w:rPr>
        <w:lastRenderedPageBreak/>
        <w:t>niveles bajos de responsabilidad administrativa, dejando sin resolver la rendición de cuentas de tomadores de decisiones en el ámbito federal.</w:t>
      </w:r>
    </w:p>
    <w:p w14:paraId="41083E1D"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Las omisiones y carencias documentadas durante la pandemia de COVID-19 en México ilustran las principales áreas en las que falló la gestión de recursos y atención. A continuación, se presenta un desglose porcentual de los factores más críticos identificados, que resalta la importancia de un enfoque integral para abordar estas deficiencias.</w:t>
      </w:r>
    </w:p>
    <w:p w14:paraId="7443C2B6"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Entre las omisiones más destacadas durante la pandemia, se identificaron la falta de equipos de protección personal (EPP), carencias críticas en insumos médicos y saturación hospitalaria. Estas deficiencias no solo generaron impactos graves en la población, sino que también fueron objeto de denuncias por negligencia administrativa. En la Tabla 3 se desglosan las principales carencias reportadas durante este periodo, junto con su impacto porcentual.</w:t>
      </w:r>
    </w:p>
    <w:p w14:paraId="103A9300" w14:textId="77777777" w:rsidR="00D97A4B" w:rsidRDefault="00D97A4B" w:rsidP="00D97A4B">
      <w:pPr>
        <w:spacing w:after="0" w:line="360" w:lineRule="auto"/>
        <w:ind w:firstLine="709"/>
        <w:jc w:val="both"/>
        <w:rPr>
          <w:rFonts w:ascii="Times New Roman" w:hAnsi="Times New Roman" w:cs="Times New Roman"/>
        </w:rPr>
      </w:pPr>
    </w:p>
    <w:p w14:paraId="6691BAB3" w14:textId="77777777" w:rsidR="00807258" w:rsidRDefault="00D97A4B">
      <w:pPr>
        <w:jc w:val="center"/>
        <w:rPr>
          <w:rFonts w:ascii="Times New Roman" w:hAnsi="Times New Roman" w:cs="Times New Roman"/>
        </w:rPr>
      </w:pPr>
      <w:r w:rsidRPr="00D97A4B">
        <w:rPr>
          <w:rFonts w:ascii="Times New Roman" w:eastAsia="Aptos" w:hAnsi="Times New Roman" w:cs="Times New Roman"/>
          <w:b/>
          <w:bCs/>
        </w:rPr>
        <w:t>Tabla 3.</w:t>
      </w:r>
      <w:r>
        <w:rPr>
          <w:rFonts w:ascii="Times New Roman" w:eastAsia="Aptos" w:hAnsi="Times New Roman" w:cs="Times New Roman"/>
        </w:rPr>
        <w:t xml:space="preserve"> Omisiones y Carencias Documentadas durante la Pandemia de COVID-19</w:t>
      </w:r>
    </w:p>
    <w:tbl>
      <w:tblPr>
        <w:tblStyle w:val="Tablaconcuadrcula"/>
        <w:tblW w:w="9141" w:type="dxa"/>
        <w:tblLayout w:type="fixed"/>
        <w:tblLook w:val="06A0" w:firstRow="1" w:lastRow="0" w:firstColumn="1" w:lastColumn="0" w:noHBand="1" w:noVBand="1"/>
      </w:tblPr>
      <w:tblGrid>
        <w:gridCol w:w="7141"/>
        <w:gridCol w:w="2000"/>
      </w:tblGrid>
      <w:tr w:rsidR="00807258" w:rsidRPr="00D97A4B" w14:paraId="19808E26" w14:textId="77777777" w:rsidTr="00D97A4B">
        <w:trPr>
          <w:trHeight w:val="300"/>
        </w:trPr>
        <w:tc>
          <w:tcPr>
            <w:tcW w:w="7140" w:type="dxa"/>
            <w:shd w:val="clear" w:color="auto" w:fill="auto"/>
          </w:tcPr>
          <w:p w14:paraId="7FB44528"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Categoría</w:t>
            </w:r>
          </w:p>
        </w:tc>
        <w:tc>
          <w:tcPr>
            <w:tcW w:w="2000" w:type="dxa"/>
            <w:shd w:val="clear" w:color="auto" w:fill="auto"/>
          </w:tcPr>
          <w:p w14:paraId="41CE1175"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Porcentaje (%)</w:t>
            </w:r>
          </w:p>
        </w:tc>
      </w:tr>
      <w:tr w:rsidR="00807258" w:rsidRPr="00D97A4B" w14:paraId="566FC526" w14:textId="77777777" w:rsidTr="00D97A4B">
        <w:trPr>
          <w:trHeight w:val="300"/>
        </w:trPr>
        <w:tc>
          <w:tcPr>
            <w:tcW w:w="7140" w:type="dxa"/>
            <w:shd w:val="clear" w:color="auto" w:fill="auto"/>
          </w:tcPr>
          <w:p w14:paraId="73D9F6B5"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Falta de EPP para Personal Médico</w:t>
            </w:r>
          </w:p>
        </w:tc>
        <w:tc>
          <w:tcPr>
            <w:tcW w:w="2000" w:type="dxa"/>
            <w:shd w:val="clear" w:color="auto" w:fill="auto"/>
          </w:tcPr>
          <w:p w14:paraId="0BDA72B8"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35</w:t>
            </w:r>
          </w:p>
        </w:tc>
      </w:tr>
      <w:tr w:rsidR="00807258" w:rsidRPr="00D97A4B" w14:paraId="0890D593" w14:textId="77777777" w:rsidTr="00D97A4B">
        <w:trPr>
          <w:trHeight w:val="300"/>
        </w:trPr>
        <w:tc>
          <w:tcPr>
            <w:tcW w:w="7140" w:type="dxa"/>
            <w:shd w:val="clear" w:color="auto" w:fill="auto"/>
          </w:tcPr>
          <w:p w14:paraId="18EB2783"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Carencia de Insumos Médicos Críticos</w:t>
            </w:r>
          </w:p>
        </w:tc>
        <w:tc>
          <w:tcPr>
            <w:tcW w:w="2000" w:type="dxa"/>
            <w:shd w:val="clear" w:color="auto" w:fill="auto"/>
          </w:tcPr>
          <w:p w14:paraId="105784D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25</w:t>
            </w:r>
          </w:p>
        </w:tc>
      </w:tr>
      <w:tr w:rsidR="00807258" w:rsidRPr="00D97A4B" w14:paraId="77208B30" w14:textId="77777777" w:rsidTr="00D97A4B">
        <w:trPr>
          <w:trHeight w:val="300"/>
        </w:trPr>
        <w:tc>
          <w:tcPr>
            <w:tcW w:w="7140" w:type="dxa"/>
            <w:shd w:val="clear" w:color="auto" w:fill="auto"/>
          </w:tcPr>
          <w:p w14:paraId="375E203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Desigualdad en Distribución de Vacunas</w:t>
            </w:r>
          </w:p>
        </w:tc>
        <w:tc>
          <w:tcPr>
            <w:tcW w:w="2000" w:type="dxa"/>
            <w:shd w:val="clear" w:color="auto" w:fill="auto"/>
          </w:tcPr>
          <w:p w14:paraId="310710E9"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w:t>
            </w:r>
          </w:p>
        </w:tc>
      </w:tr>
      <w:tr w:rsidR="00807258" w:rsidRPr="00D97A4B" w14:paraId="3713E89F" w14:textId="77777777" w:rsidTr="00D97A4B">
        <w:trPr>
          <w:trHeight w:val="300"/>
        </w:trPr>
        <w:tc>
          <w:tcPr>
            <w:tcW w:w="7140" w:type="dxa"/>
            <w:shd w:val="clear" w:color="auto" w:fill="auto"/>
          </w:tcPr>
          <w:p w14:paraId="3688BAC2"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Saturación de Infraestructura Hospitalaria</w:t>
            </w:r>
          </w:p>
        </w:tc>
        <w:tc>
          <w:tcPr>
            <w:tcW w:w="2000" w:type="dxa"/>
            <w:shd w:val="clear" w:color="auto" w:fill="auto"/>
          </w:tcPr>
          <w:p w14:paraId="367163F1"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15</w:t>
            </w:r>
          </w:p>
        </w:tc>
      </w:tr>
      <w:tr w:rsidR="00807258" w:rsidRPr="00D97A4B" w14:paraId="2A46E3F1" w14:textId="77777777" w:rsidTr="00D97A4B">
        <w:trPr>
          <w:trHeight w:val="300"/>
        </w:trPr>
        <w:tc>
          <w:tcPr>
            <w:tcW w:w="7140" w:type="dxa"/>
            <w:shd w:val="clear" w:color="auto" w:fill="auto"/>
          </w:tcPr>
          <w:p w14:paraId="11CFEDF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Falta de Protocolos de Emergencia</w:t>
            </w:r>
          </w:p>
        </w:tc>
        <w:tc>
          <w:tcPr>
            <w:tcW w:w="2000" w:type="dxa"/>
            <w:shd w:val="clear" w:color="auto" w:fill="auto"/>
          </w:tcPr>
          <w:p w14:paraId="70E8B3CE"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5</w:t>
            </w:r>
          </w:p>
        </w:tc>
      </w:tr>
    </w:tbl>
    <w:p w14:paraId="7CA362FF" w14:textId="77777777" w:rsidR="00807258" w:rsidRDefault="00D97A4B" w:rsidP="00D97A4B">
      <w:pPr>
        <w:spacing w:after="0" w:line="360" w:lineRule="auto"/>
        <w:jc w:val="center"/>
        <w:rPr>
          <w:rFonts w:ascii="Times New Roman" w:hAnsi="Times New Roman" w:cs="Times New Roman"/>
        </w:rPr>
      </w:pPr>
      <w:r>
        <w:rPr>
          <w:rFonts w:ascii="Times New Roman" w:hAnsi="Times New Roman" w:cs="Times New Roman"/>
        </w:rPr>
        <w:t>Fuente: Consejo Nacional de Salud, 2021.</w:t>
      </w:r>
    </w:p>
    <w:p w14:paraId="2319D7A9"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responsabilidad penal en emergencias sanitarias no solo recae sobre los profesionales médicos, sino que incluye a un conjunto más amplio de actores, como:</w:t>
      </w:r>
    </w:p>
    <w:p w14:paraId="31732E29"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Gobiernos: A nivel federal y estatal, los gobiernos son responsables de diseñar y ejecutar planes de respuesta a emergencias. Las omisiones en la asignación de recursos críticos, la demora en la implementación de políticas o la falta de comunicación efectiva con la población pueden constituir actos de negligencia.</w:t>
      </w:r>
    </w:p>
    <w:p w14:paraId="2ABEA47A"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Instituciones Públicas y Privadas: Las instituciones hospitalarias, tanto públicas como privadas, tienen la responsabilidad de garantizar la calidad en la atención médica y la gestión adecuada de los recursos asignados. La carencia de protocolos de emergencia o la manipulación de insumos puede derivar en responsabilidades penales.</w:t>
      </w:r>
    </w:p>
    <w:p w14:paraId="6EB89E08"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Profesionales Médicos: Aunque enfrentan desafíos extremos durante emergencias, los médicos y otros profesionales de la salud deben actuar conforme a estándares éticos y legales. La negligencia en la atención, aunque no sea intencional, puede generar consecuencias graves.</w:t>
      </w:r>
    </w:p>
    <w:p w14:paraId="3B937E36"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lastRenderedPageBreak/>
        <w:t>A pesar de la existencia de un marco normativo, su aplicación efectiva enfrenta desafíos importantes. En primer lugar, la prueba de la causalidad es un obstáculo técnico en el derecho penal, ya que muchas de las decisiones tomadas durante emergencias sanitarias se justifican como medidas de última instancia. En segundo lugar, el acceso desigual a la justicia limita la capacidad de las víctimas para presentar denuncias, especialmente en comunidades marginadas. Finalmente, la politización de los procesos judiciales puede socavar la objetividad de las investigaciones, especialmente en casos que involucran a altos funcionarios.</w:t>
      </w:r>
    </w:p>
    <w:p w14:paraId="245DA746"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El incremento en las demandas legales por negligencia médica durante la pandemia de COVID-19 refleja la creciente tensión en el sistema judicial mexicano. Sin embargo, la proporción de sentencias emitidas respecto a las demandas interpuestas subraya las barreras existentes para garantizar justicia en estos casos. En la tabla siguiente se muestran las cifras relevantes durante el periodo 2020-2022.</w:t>
      </w:r>
    </w:p>
    <w:p w14:paraId="37E6F11C"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La dificultad para judicializar casos de negligencia en salud pública queda reflejada en el bajo porcentaje de denuncias que resultan en procesos judiciales formales y sentencias. En la Tabla 4 se presenta un desglose de las etapas del proceso judicial relacionadas con casos de negligencia, desde la recepción de denuncias hasta la emisión de sentencias.</w:t>
      </w:r>
    </w:p>
    <w:p w14:paraId="40421582" w14:textId="77777777" w:rsidR="00D97A4B" w:rsidRDefault="00D97A4B" w:rsidP="00D97A4B">
      <w:pPr>
        <w:spacing w:after="0" w:line="360" w:lineRule="auto"/>
        <w:ind w:firstLine="709"/>
        <w:jc w:val="both"/>
        <w:rPr>
          <w:rFonts w:ascii="Times New Roman" w:hAnsi="Times New Roman" w:cs="Times New Roman"/>
        </w:rPr>
      </w:pPr>
    </w:p>
    <w:p w14:paraId="31BCA05B" w14:textId="77777777" w:rsidR="00807258" w:rsidRDefault="00D97A4B" w:rsidP="00D97A4B">
      <w:pPr>
        <w:pStyle w:val="Ttulo3"/>
        <w:spacing w:before="0" w:line="360" w:lineRule="auto"/>
        <w:jc w:val="center"/>
        <w:rPr>
          <w:rFonts w:ascii="Times New Roman" w:hAnsi="Times New Roman" w:cs="Times New Roman"/>
          <w:color w:val="auto"/>
        </w:rPr>
      </w:pPr>
      <w:r w:rsidRPr="00D97A4B">
        <w:rPr>
          <w:rFonts w:ascii="Times New Roman" w:eastAsia="Aptos" w:hAnsi="Times New Roman" w:cs="Times New Roman"/>
          <w:b/>
          <w:bCs/>
          <w:color w:val="auto"/>
        </w:rPr>
        <w:t>Tabla 4.</w:t>
      </w:r>
      <w:r>
        <w:rPr>
          <w:rFonts w:ascii="Times New Roman" w:eastAsia="Aptos" w:hAnsi="Times New Roman" w:cs="Times New Roman"/>
          <w:color w:val="auto"/>
        </w:rPr>
        <w:t xml:space="preserve"> Demandas y Sentencias durante la Pandemia</w:t>
      </w:r>
    </w:p>
    <w:tbl>
      <w:tblPr>
        <w:tblStyle w:val="Tablaconcuadrcula"/>
        <w:tblW w:w="9135" w:type="dxa"/>
        <w:tblLayout w:type="fixed"/>
        <w:tblLook w:val="06A0" w:firstRow="1" w:lastRow="0" w:firstColumn="1" w:lastColumn="0" w:noHBand="1" w:noVBand="1"/>
      </w:tblPr>
      <w:tblGrid>
        <w:gridCol w:w="1140"/>
        <w:gridCol w:w="4964"/>
        <w:gridCol w:w="3031"/>
      </w:tblGrid>
      <w:tr w:rsidR="00807258" w:rsidRPr="00D97A4B" w14:paraId="104FE150" w14:textId="77777777" w:rsidTr="00D97A4B">
        <w:trPr>
          <w:trHeight w:val="300"/>
        </w:trPr>
        <w:tc>
          <w:tcPr>
            <w:tcW w:w="1140" w:type="dxa"/>
            <w:shd w:val="clear" w:color="auto" w:fill="auto"/>
          </w:tcPr>
          <w:p w14:paraId="2C608D17"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Año</w:t>
            </w:r>
          </w:p>
        </w:tc>
        <w:tc>
          <w:tcPr>
            <w:tcW w:w="4964" w:type="dxa"/>
            <w:shd w:val="clear" w:color="auto" w:fill="auto"/>
          </w:tcPr>
          <w:p w14:paraId="0F117085"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Demandas por Negligencia Médica</w:t>
            </w:r>
          </w:p>
        </w:tc>
        <w:tc>
          <w:tcPr>
            <w:tcW w:w="3031" w:type="dxa"/>
            <w:shd w:val="clear" w:color="auto" w:fill="auto"/>
          </w:tcPr>
          <w:p w14:paraId="2B164488"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Sentencias Emitidas</w:t>
            </w:r>
          </w:p>
        </w:tc>
      </w:tr>
      <w:tr w:rsidR="00807258" w:rsidRPr="00D97A4B" w14:paraId="395C7F80" w14:textId="77777777" w:rsidTr="00D97A4B">
        <w:trPr>
          <w:trHeight w:val="300"/>
        </w:trPr>
        <w:tc>
          <w:tcPr>
            <w:tcW w:w="1140" w:type="dxa"/>
            <w:shd w:val="clear" w:color="auto" w:fill="auto"/>
          </w:tcPr>
          <w:p w14:paraId="63836D9C"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2020</w:t>
            </w:r>
          </w:p>
        </w:tc>
        <w:tc>
          <w:tcPr>
            <w:tcW w:w="4964" w:type="dxa"/>
            <w:shd w:val="clear" w:color="auto" w:fill="auto"/>
          </w:tcPr>
          <w:p w14:paraId="4410F8A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1,200</w:t>
            </w:r>
          </w:p>
        </w:tc>
        <w:tc>
          <w:tcPr>
            <w:tcW w:w="3031" w:type="dxa"/>
            <w:shd w:val="clear" w:color="auto" w:fill="auto"/>
          </w:tcPr>
          <w:p w14:paraId="5A20DA1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200</w:t>
            </w:r>
          </w:p>
        </w:tc>
      </w:tr>
      <w:tr w:rsidR="00807258" w:rsidRPr="00D97A4B" w14:paraId="3C956CA6" w14:textId="77777777" w:rsidTr="00D97A4B">
        <w:trPr>
          <w:trHeight w:val="300"/>
        </w:trPr>
        <w:tc>
          <w:tcPr>
            <w:tcW w:w="1140" w:type="dxa"/>
            <w:shd w:val="clear" w:color="auto" w:fill="auto"/>
          </w:tcPr>
          <w:p w14:paraId="2C9419BB"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2021</w:t>
            </w:r>
          </w:p>
        </w:tc>
        <w:tc>
          <w:tcPr>
            <w:tcW w:w="4964" w:type="dxa"/>
            <w:shd w:val="clear" w:color="auto" w:fill="auto"/>
          </w:tcPr>
          <w:p w14:paraId="48ABF8AB"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1,600</w:t>
            </w:r>
          </w:p>
        </w:tc>
        <w:tc>
          <w:tcPr>
            <w:tcW w:w="3031" w:type="dxa"/>
            <w:shd w:val="clear" w:color="auto" w:fill="auto"/>
          </w:tcPr>
          <w:p w14:paraId="086F9AE1"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250</w:t>
            </w:r>
          </w:p>
        </w:tc>
      </w:tr>
      <w:tr w:rsidR="00807258" w:rsidRPr="00D97A4B" w14:paraId="6E93D79C" w14:textId="77777777" w:rsidTr="00D97A4B">
        <w:trPr>
          <w:trHeight w:val="300"/>
        </w:trPr>
        <w:tc>
          <w:tcPr>
            <w:tcW w:w="1140" w:type="dxa"/>
            <w:shd w:val="clear" w:color="auto" w:fill="auto"/>
          </w:tcPr>
          <w:p w14:paraId="4B75FE03"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2022</w:t>
            </w:r>
          </w:p>
        </w:tc>
        <w:tc>
          <w:tcPr>
            <w:tcW w:w="4964" w:type="dxa"/>
            <w:shd w:val="clear" w:color="auto" w:fill="auto"/>
          </w:tcPr>
          <w:p w14:paraId="089E8D8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2,000</w:t>
            </w:r>
          </w:p>
        </w:tc>
        <w:tc>
          <w:tcPr>
            <w:tcW w:w="3031" w:type="dxa"/>
            <w:shd w:val="clear" w:color="auto" w:fill="auto"/>
          </w:tcPr>
          <w:p w14:paraId="45A88F72"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300</w:t>
            </w:r>
          </w:p>
        </w:tc>
      </w:tr>
    </w:tbl>
    <w:p w14:paraId="38C37BA6" w14:textId="423FE6A1" w:rsidR="00807258" w:rsidRPr="00D97A4B" w:rsidRDefault="00D97A4B" w:rsidP="00D97A4B">
      <w:pPr>
        <w:pStyle w:val="Ttulo4"/>
        <w:spacing w:before="0"/>
        <w:jc w:val="center"/>
        <w:rPr>
          <w:rFonts w:ascii="Times New Roman" w:hAnsi="Times New Roman" w:cs="Times New Roman"/>
          <w:i w:val="0"/>
          <w:iCs w:val="0"/>
          <w:color w:val="auto"/>
        </w:rPr>
      </w:pPr>
      <w:r w:rsidRPr="00D97A4B">
        <w:rPr>
          <w:rFonts w:ascii="Times New Roman" w:hAnsi="Times New Roman" w:cs="Times New Roman"/>
          <w:i w:val="0"/>
          <w:iCs w:val="0"/>
          <w:color w:val="auto"/>
        </w:rPr>
        <w:t xml:space="preserve">Fuente: </w:t>
      </w:r>
      <w:proofErr w:type="gramStart"/>
      <w:r w:rsidRPr="00D97A4B">
        <w:rPr>
          <w:rFonts w:ascii="Times New Roman" w:hAnsi="Times New Roman" w:cs="Times New Roman"/>
          <w:i w:val="0"/>
          <w:iCs w:val="0"/>
          <w:color w:val="auto"/>
        </w:rPr>
        <w:t>Fiscalía General</w:t>
      </w:r>
      <w:proofErr w:type="gramEnd"/>
      <w:r w:rsidRPr="00D97A4B">
        <w:rPr>
          <w:rFonts w:ascii="Times New Roman" w:hAnsi="Times New Roman" w:cs="Times New Roman"/>
          <w:i w:val="0"/>
          <w:iCs w:val="0"/>
          <w:color w:val="auto"/>
        </w:rPr>
        <w:t xml:space="preserve"> de la República, 2022</w:t>
      </w:r>
    </w:p>
    <w:p w14:paraId="3E6B726F"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experiencia mexicana durante la pandemia subraya la necesidad de fortalecer el marco jurídico para la responsabilidad penal en salud pública. Esto incluye la creación de protocolos claros para la evaluación de decisiones en emergencias, la capacitación de jueces y fiscales en temas de salud pública y la implementación de mecanismos de supervisión independientes que garanticen la transparencia en la gestión de recursos.</w:t>
      </w:r>
    </w:p>
    <w:p w14:paraId="3B11F214"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La gestión de emergencias sanitarias en México ha revelado profundas carencias estructurales, políticas y jurídicas que afectan la capacidad de garantizar el derecho fundamental a la salud. En este contexto, la responsabilidad penal surge como un mecanismo clave para sancionar las acciones u omisiones que, por negligencia, imprudencia o dolo, resulten en graves afectaciones a la salud pública. Este análisis </w:t>
      </w:r>
      <w:r>
        <w:rPr>
          <w:rFonts w:ascii="Times New Roman" w:eastAsia="Aptos" w:hAnsi="Times New Roman" w:cs="Times New Roman"/>
        </w:rPr>
        <w:lastRenderedPageBreak/>
        <w:t>explora cómo el marco jurídico mexicano regula estas conductas, destacando los desafíos y lecciones derivadas de la pandemia de COVID-19.</w:t>
      </w:r>
    </w:p>
    <w:p w14:paraId="3A80B65E"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El Código Penal Federal establece disposiciones específicas para abordar la responsabilidad penal en salud pública. El artículo 229 regula la negligencia médica, sancionando a profesionales de la salud cuyos actos u omisiones, derivados de impericia, imprudencia o negligencia, causen daño a los pacientes. Este artículo se enfoca principalmente en la práctica médica individual, dejando espacio para interpretaciones en contextos colectivos, como emergencias sanitarias.</w:t>
      </w:r>
    </w:p>
    <w:p w14:paraId="76E10A76"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Además, el artículo 214 sanciona a funcionarios públicos que, por incumplimiento de deberes legales, contribuyan a un deterioro en la prestación de servicios de salud. Este artículo resulta particularmente relevante en situaciones donde las decisiones administrativas o la mala gestión de recursos tienen un impacto directo en la salud de la población. A pesar de su existencia, la aplicación de estas normas ha sido limitada, con pocos casos judicializados y una alta dificultad para probar causalidades directas en contextos complejos.</w:t>
      </w:r>
    </w:p>
    <w:p w14:paraId="325B5AA9"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pandemia de COVID-19 expuso debilidades críticas en la capacidad de respuesta del sistema de salud mexicano. Entre los casos más destacados, se identificaron carencias en la distribución de equipos de protección personal (EPP), asignación desigual de recursos y saturación hospitalaria. Estas situaciones no solo generaron desconfianza en las instituciones públicas, sino que también derivaron en un aumento de denuncias por negligencia administrativa y profesional.</w:t>
      </w:r>
    </w:p>
    <w:p w14:paraId="75B1E0BB"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Por ejemplo, en 2021, diversas asociaciones de trabajadores de la salud denunciaron la falta de EPP como una omisión grave que puso en riesgo la vida de médicos y enfermeros. Aunque estas denuncias fueron mediáticamente relevantes, pocas culminaron en sentencias penales, destacando las limitaciones estructurales del sistema judicial para abordar la responsabilidad en contextos de emergencia. Adicionalmente, la asignación desigual de vacunas entre estados con alta incidencia de casos provocó acusaciones de favoritismo político, aunque no se judicializaron de manera contundente.</w:t>
      </w:r>
    </w:p>
    <w:p w14:paraId="44074FE2"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responsabilidad penal en emergencias sanitarias abarca a una variedad de actores cuyos roles son fundamentales para la gestión adecuada de crisis:</w:t>
      </w:r>
    </w:p>
    <w:p w14:paraId="679064F2"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Funcionarios Públicos: Son responsables de diseñar e implementar políticas de emergencia. La falta de planeación adecuada, como la carencia de protocolos para asignación de recursos críticos, puede ser calificada como negligencia administrativa.</w:t>
      </w:r>
    </w:p>
    <w:p w14:paraId="297D7B92"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lastRenderedPageBreak/>
        <w:t>Instituciones de Salud: Tanto hospitales públicos como privados tienen el deber de garantizar estándares mínimos de calidad en la atención. La manipulación de insumos o la omisión de protocolos de emergencia son conductas susceptibles de sanciones penales.</w:t>
      </w:r>
    </w:p>
    <w:p w14:paraId="4DFA59D8"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Profesionales Médicos: Aunque trabajan bajo presión extrema, los médicos y enfermeros deben actuar conforme a estándares éticos y legales. La negligencia médica, como diagnósticos erróneos debido a descuidos, puede derivar en consecuencias legales.</w:t>
      </w:r>
    </w:p>
    <w:p w14:paraId="18558A17"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aplicación del marco jurídico enfrenta barreras significativas. La principal es la dificultad de probar la causalidad directa entre la acción u omisión y el daño ocasionado. Por ejemplo, en un contexto de saturación hospitalaria, es complejo atribuir la muerte de un paciente exclusivamente a la falta de atención o recursos. Además, el acceso desigual a la justicia limita las posibilidades de las comunidades marginadas para presentar denuncias. Por último, la politización de los procesos judiciales genera escepticismo sobre la imparcialidad de las investigaciones, especialmente en casos que involucran a altos funcionarios públicos.</w:t>
      </w:r>
    </w:p>
    <w:p w14:paraId="249F46EF"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El incremento de demandas legales relacionadas con negligencia en salud pública es un reflejo de las tensiones generadas por la pandemia. Según datos del Consejo Nacional de Salud, entre 2020 y 2022 se presentaron más de 4,800 denuncias por negligencia médica o administrativa, de las cuales solo el 20% se tradujo en investigaciones formales. Estas cifras destacan la necesidad de fortalecer tanto el marco normativo como la capacidad del sistema judicial para procesar estos casos.</w:t>
      </w:r>
    </w:p>
    <w:p w14:paraId="4BB35C00" w14:textId="77777777" w:rsidR="00D97A4B" w:rsidRDefault="00D97A4B" w:rsidP="00D97A4B">
      <w:pPr>
        <w:spacing w:after="0" w:line="360" w:lineRule="auto"/>
        <w:jc w:val="both"/>
        <w:rPr>
          <w:rFonts w:ascii="Times New Roman" w:eastAsia="Aptos" w:hAnsi="Times New Roman" w:cs="Times New Roman"/>
        </w:rPr>
      </w:pPr>
    </w:p>
    <w:p w14:paraId="0D71099B" w14:textId="77777777" w:rsidR="00807258" w:rsidRDefault="00D97A4B" w:rsidP="00D97A4B">
      <w:pPr>
        <w:pStyle w:val="Ttulo3"/>
        <w:spacing w:before="0"/>
        <w:jc w:val="center"/>
        <w:rPr>
          <w:rFonts w:ascii="Times New Roman" w:hAnsi="Times New Roman" w:cs="Times New Roman"/>
          <w:color w:val="auto"/>
        </w:rPr>
      </w:pPr>
      <w:r w:rsidRPr="00D97A4B">
        <w:rPr>
          <w:rFonts w:ascii="Times New Roman" w:eastAsia="Aptos" w:hAnsi="Times New Roman" w:cs="Times New Roman"/>
          <w:b/>
          <w:bCs/>
          <w:color w:val="auto"/>
        </w:rPr>
        <w:t>Tabla 5.</w:t>
      </w:r>
      <w:r>
        <w:rPr>
          <w:rFonts w:ascii="Times New Roman" w:eastAsia="Aptos" w:hAnsi="Times New Roman" w:cs="Times New Roman"/>
          <w:color w:val="auto"/>
        </w:rPr>
        <w:t xml:space="preserve"> Denuncias por negligencia médica o administrativa</w:t>
      </w:r>
    </w:p>
    <w:tbl>
      <w:tblPr>
        <w:tblStyle w:val="Tablaconcuadrcula"/>
        <w:tblW w:w="9141" w:type="dxa"/>
        <w:tblLayout w:type="fixed"/>
        <w:tblLook w:val="06A0" w:firstRow="1" w:lastRow="0" w:firstColumn="1" w:lastColumn="0" w:noHBand="1" w:noVBand="1"/>
      </w:tblPr>
      <w:tblGrid>
        <w:gridCol w:w="1905"/>
        <w:gridCol w:w="2778"/>
        <w:gridCol w:w="2472"/>
        <w:gridCol w:w="1986"/>
      </w:tblGrid>
      <w:tr w:rsidR="00807258" w:rsidRPr="00D97A4B" w14:paraId="726E1A31" w14:textId="77777777" w:rsidTr="00D97A4B">
        <w:trPr>
          <w:trHeight w:val="300"/>
        </w:trPr>
        <w:tc>
          <w:tcPr>
            <w:tcW w:w="1904" w:type="dxa"/>
            <w:shd w:val="clear" w:color="auto" w:fill="auto"/>
          </w:tcPr>
          <w:p w14:paraId="448A3D6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Año</w:t>
            </w:r>
          </w:p>
        </w:tc>
        <w:tc>
          <w:tcPr>
            <w:tcW w:w="2778" w:type="dxa"/>
            <w:shd w:val="clear" w:color="auto" w:fill="auto"/>
          </w:tcPr>
          <w:p w14:paraId="06634855"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Denuncias por Negligencia</w:t>
            </w:r>
          </w:p>
        </w:tc>
        <w:tc>
          <w:tcPr>
            <w:tcW w:w="2472" w:type="dxa"/>
            <w:shd w:val="clear" w:color="auto" w:fill="auto"/>
          </w:tcPr>
          <w:p w14:paraId="29DA8E2B"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Investigaciones Formales</w:t>
            </w:r>
          </w:p>
        </w:tc>
        <w:tc>
          <w:tcPr>
            <w:tcW w:w="1986" w:type="dxa"/>
            <w:shd w:val="clear" w:color="auto" w:fill="auto"/>
          </w:tcPr>
          <w:p w14:paraId="408CBE52"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Sentencias Emitidas</w:t>
            </w:r>
          </w:p>
        </w:tc>
      </w:tr>
      <w:tr w:rsidR="00807258" w:rsidRPr="00D97A4B" w14:paraId="1E14A413" w14:textId="77777777" w:rsidTr="00D97A4B">
        <w:trPr>
          <w:trHeight w:val="300"/>
        </w:trPr>
        <w:tc>
          <w:tcPr>
            <w:tcW w:w="1904" w:type="dxa"/>
            <w:shd w:val="clear" w:color="auto" w:fill="auto"/>
          </w:tcPr>
          <w:p w14:paraId="04EFB1CE"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2020</w:t>
            </w:r>
          </w:p>
        </w:tc>
        <w:tc>
          <w:tcPr>
            <w:tcW w:w="2778" w:type="dxa"/>
            <w:shd w:val="clear" w:color="auto" w:fill="auto"/>
          </w:tcPr>
          <w:p w14:paraId="7A84E3CE"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1,200</w:t>
            </w:r>
          </w:p>
        </w:tc>
        <w:tc>
          <w:tcPr>
            <w:tcW w:w="2472" w:type="dxa"/>
            <w:shd w:val="clear" w:color="auto" w:fill="auto"/>
          </w:tcPr>
          <w:p w14:paraId="572449F9"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240</w:t>
            </w:r>
          </w:p>
        </w:tc>
        <w:tc>
          <w:tcPr>
            <w:tcW w:w="1986" w:type="dxa"/>
            <w:shd w:val="clear" w:color="auto" w:fill="auto"/>
          </w:tcPr>
          <w:p w14:paraId="2636C447"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50</w:t>
            </w:r>
          </w:p>
        </w:tc>
      </w:tr>
      <w:tr w:rsidR="00807258" w:rsidRPr="00D97A4B" w14:paraId="16C8F1CA" w14:textId="77777777" w:rsidTr="00D97A4B">
        <w:trPr>
          <w:trHeight w:val="300"/>
        </w:trPr>
        <w:tc>
          <w:tcPr>
            <w:tcW w:w="1904" w:type="dxa"/>
            <w:shd w:val="clear" w:color="auto" w:fill="auto"/>
          </w:tcPr>
          <w:p w14:paraId="18E71CEF"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2021</w:t>
            </w:r>
          </w:p>
        </w:tc>
        <w:tc>
          <w:tcPr>
            <w:tcW w:w="2778" w:type="dxa"/>
            <w:shd w:val="clear" w:color="auto" w:fill="auto"/>
          </w:tcPr>
          <w:p w14:paraId="754DC0DB"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1,600</w:t>
            </w:r>
          </w:p>
        </w:tc>
        <w:tc>
          <w:tcPr>
            <w:tcW w:w="2472" w:type="dxa"/>
            <w:shd w:val="clear" w:color="auto" w:fill="auto"/>
          </w:tcPr>
          <w:p w14:paraId="42EC8F10"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320</w:t>
            </w:r>
          </w:p>
        </w:tc>
        <w:tc>
          <w:tcPr>
            <w:tcW w:w="1986" w:type="dxa"/>
            <w:shd w:val="clear" w:color="auto" w:fill="auto"/>
          </w:tcPr>
          <w:p w14:paraId="08393C3F"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80</w:t>
            </w:r>
          </w:p>
        </w:tc>
      </w:tr>
      <w:tr w:rsidR="00807258" w:rsidRPr="00D97A4B" w14:paraId="61B3BE79" w14:textId="77777777" w:rsidTr="00D97A4B">
        <w:trPr>
          <w:trHeight w:val="300"/>
        </w:trPr>
        <w:tc>
          <w:tcPr>
            <w:tcW w:w="1904" w:type="dxa"/>
            <w:shd w:val="clear" w:color="auto" w:fill="auto"/>
          </w:tcPr>
          <w:p w14:paraId="35F08F00"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2022</w:t>
            </w:r>
          </w:p>
        </w:tc>
        <w:tc>
          <w:tcPr>
            <w:tcW w:w="2778" w:type="dxa"/>
            <w:shd w:val="clear" w:color="auto" w:fill="auto"/>
          </w:tcPr>
          <w:p w14:paraId="68AACAD0"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2,000</w:t>
            </w:r>
          </w:p>
        </w:tc>
        <w:tc>
          <w:tcPr>
            <w:tcW w:w="2472" w:type="dxa"/>
            <w:shd w:val="clear" w:color="auto" w:fill="auto"/>
          </w:tcPr>
          <w:p w14:paraId="7B338944"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400</w:t>
            </w:r>
          </w:p>
        </w:tc>
        <w:tc>
          <w:tcPr>
            <w:tcW w:w="1986" w:type="dxa"/>
            <w:shd w:val="clear" w:color="auto" w:fill="auto"/>
          </w:tcPr>
          <w:p w14:paraId="0325F1A3"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100</w:t>
            </w:r>
          </w:p>
        </w:tc>
      </w:tr>
    </w:tbl>
    <w:p w14:paraId="479F1401" w14:textId="3ADD59D8" w:rsidR="00807258" w:rsidRPr="00D97A4B" w:rsidRDefault="00D97A4B" w:rsidP="00D97A4B">
      <w:pPr>
        <w:pStyle w:val="Ttulo4"/>
        <w:spacing w:before="0"/>
        <w:jc w:val="center"/>
        <w:rPr>
          <w:rFonts w:ascii="Times New Roman" w:hAnsi="Times New Roman" w:cs="Times New Roman"/>
          <w:i w:val="0"/>
          <w:iCs w:val="0"/>
          <w:color w:val="auto"/>
        </w:rPr>
      </w:pPr>
      <w:r w:rsidRPr="00D97A4B">
        <w:rPr>
          <w:rFonts w:ascii="Times New Roman" w:hAnsi="Times New Roman" w:cs="Times New Roman"/>
          <w:i w:val="0"/>
          <w:iCs w:val="0"/>
          <w:color w:val="auto"/>
        </w:rPr>
        <w:t xml:space="preserve">Fuente: </w:t>
      </w:r>
      <w:proofErr w:type="gramStart"/>
      <w:r w:rsidRPr="00D97A4B">
        <w:rPr>
          <w:rFonts w:ascii="Times New Roman" w:hAnsi="Times New Roman" w:cs="Times New Roman"/>
          <w:i w:val="0"/>
          <w:iCs w:val="0"/>
          <w:color w:val="auto"/>
        </w:rPr>
        <w:t>Fiscalía General</w:t>
      </w:r>
      <w:proofErr w:type="gramEnd"/>
      <w:r w:rsidRPr="00D97A4B">
        <w:rPr>
          <w:rFonts w:ascii="Times New Roman" w:hAnsi="Times New Roman" w:cs="Times New Roman"/>
          <w:i w:val="0"/>
          <w:iCs w:val="0"/>
          <w:color w:val="auto"/>
        </w:rPr>
        <w:t xml:space="preserve"> de la República, 2022</w:t>
      </w:r>
    </w:p>
    <w:p w14:paraId="3CCF585C"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experiencia durante la pandemia subraya la necesidad de reformas estructurales que fortalezcan la capacidad del marco jurídico para abordar la responsabilidad penal en salud pública. Entre las recomendaciones destacan:</w:t>
      </w:r>
    </w:p>
    <w:p w14:paraId="797D8DC5" w14:textId="77777777" w:rsidR="00807258" w:rsidRDefault="00D97A4B" w:rsidP="00D97A4B">
      <w:pPr>
        <w:pStyle w:val="Prrafodelista"/>
        <w:numPr>
          <w:ilvl w:val="0"/>
          <w:numId w:val="2"/>
        </w:numPr>
        <w:spacing w:after="0" w:line="360" w:lineRule="auto"/>
        <w:ind w:firstLine="709"/>
        <w:jc w:val="both"/>
        <w:rPr>
          <w:rFonts w:ascii="Times New Roman" w:eastAsia="Aptos" w:hAnsi="Times New Roman" w:cs="Times New Roman"/>
        </w:rPr>
      </w:pPr>
      <w:r>
        <w:rPr>
          <w:rFonts w:ascii="Times New Roman" w:eastAsia="Aptos" w:hAnsi="Times New Roman" w:cs="Times New Roman"/>
        </w:rPr>
        <w:t>Establecer protocolos claros para la distribución de recursos y la gestión hospitalaria durante emergencias, con supervisión independiente para garantizar la transparencia.</w:t>
      </w:r>
    </w:p>
    <w:p w14:paraId="60B4C24A" w14:textId="77777777" w:rsidR="00807258" w:rsidRDefault="00D97A4B" w:rsidP="00D97A4B">
      <w:pPr>
        <w:pStyle w:val="Prrafodelista"/>
        <w:numPr>
          <w:ilvl w:val="0"/>
          <w:numId w:val="2"/>
        </w:numPr>
        <w:spacing w:after="0" w:line="360" w:lineRule="auto"/>
        <w:ind w:firstLine="709"/>
        <w:jc w:val="both"/>
        <w:rPr>
          <w:rFonts w:ascii="Times New Roman" w:eastAsia="Aptos" w:hAnsi="Times New Roman" w:cs="Times New Roman"/>
        </w:rPr>
      </w:pPr>
      <w:r>
        <w:rPr>
          <w:rFonts w:ascii="Times New Roman" w:eastAsia="Aptos" w:hAnsi="Times New Roman" w:cs="Times New Roman"/>
        </w:rPr>
        <w:lastRenderedPageBreak/>
        <w:t>Capacitar a jueces y fiscales en temas relacionados con salud pública y emergencias sanitarias, asegurando una comprensión técnica de los casos judicializados.</w:t>
      </w:r>
    </w:p>
    <w:p w14:paraId="118E7750" w14:textId="77777777" w:rsidR="00807258" w:rsidRDefault="00D97A4B" w:rsidP="00D97A4B">
      <w:pPr>
        <w:pStyle w:val="Prrafodelista"/>
        <w:numPr>
          <w:ilvl w:val="0"/>
          <w:numId w:val="2"/>
        </w:numPr>
        <w:spacing w:after="0" w:line="360" w:lineRule="auto"/>
        <w:ind w:firstLine="709"/>
        <w:jc w:val="both"/>
        <w:rPr>
          <w:rFonts w:ascii="Times New Roman" w:eastAsia="Aptos" w:hAnsi="Times New Roman" w:cs="Times New Roman"/>
        </w:rPr>
      </w:pPr>
      <w:r>
        <w:rPr>
          <w:rFonts w:ascii="Times New Roman" w:eastAsia="Aptos" w:hAnsi="Times New Roman" w:cs="Times New Roman"/>
        </w:rPr>
        <w:t>Implementar mecanismos de monitoreo que permitan identificar omisiones y deficiencias en tiempo real, previniendo daños antes de que se materialicen.</w:t>
      </w:r>
    </w:p>
    <w:p w14:paraId="2183F728"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negligencia en salud pública ha sido un tema recurrente en México, especialmente en situaciones donde las omisiones y fallas en la gestión sanitaria han resultado en daños significativos a la población. Este apartado explora casos emblemáticos que evidencian las implicaciones legales, sociales y éticas de la negligencia en la gestión sanitaria, apoyándose en estadísticas relevantes para analizar el alcance de este problema.</w:t>
      </w:r>
    </w:p>
    <w:p w14:paraId="0BB390F2" w14:textId="77777777" w:rsidR="00D97A4B" w:rsidRDefault="00D97A4B" w:rsidP="00D97A4B">
      <w:pPr>
        <w:pStyle w:val="Ttulo4"/>
        <w:spacing w:before="0" w:line="360" w:lineRule="auto"/>
        <w:jc w:val="both"/>
        <w:rPr>
          <w:rFonts w:ascii="Times New Roman" w:eastAsia="Aptos" w:hAnsi="Times New Roman" w:cs="Times New Roman"/>
          <w:b/>
          <w:bCs/>
          <w:color w:val="auto"/>
        </w:rPr>
      </w:pPr>
    </w:p>
    <w:p w14:paraId="5EAD6AC2" w14:textId="595E24B8" w:rsidR="00807258" w:rsidRPr="00D97A4B" w:rsidRDefault="00D97A4B" w:rsidP="00D97A4B">
      <w:pPr>
        <w:pStyle w:val="Ttulo4"/>
        <w:spacing w:before="0" w:line="360" w:lineRule="auto"/>
        <w:jc w:val="center"/>
        <w:rPr>
          <w:rFonts w:ascii="Times New Roman" w:hAnsi="Times New Roman" w:cs="Times New Roman"/>
          <w:i w:val="0"/>
          <w:iCs w:val="0"/>
          <w:color w:val="auto"/>
        </w:rPr>
      </w:pPr>
      <w:r w:rsidRPr="00D97A4B">
        <w:rPr>
          <w:rFonts w:ascii="Times New Roman" w:eastAsia="Aptos" w:hAnsi="Times New Roman" w:cs="Times New Roman"/>
          <w:b/>
          <w:bCs/>
          <w:i w:val="0"/>
          <w:iCs w:val="0"/>
          <w:color w:val="auto"/>
        </w:rPr>
        <w:t>Caso 1: Falta de Equipos de Protección Personal (EPP) durante la Pandemia de COVID-19</w:t>
      </w:r>
    </w:p>
    <w:p w14:paraId="3DE57B47"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Uno de los ejemplos más destacados de negligencia en salud pública durante la pandemia fue la insuficiencia de equipos de protección personal (EPP) para el personal médico. Desde los primeros meses de la crisis, trabajadores de la salud denunciaron la falta de insumos básicos como mascarillas, guantes y batas, lo que los expuso a un alto riesgo de contagio. Según un informe del Consejo Nacional de Salud, más del 35% de los hospitales públicos reportaron carencias críticas de EPP durante los primeros seis meses de la pandemia.</w:t>
      </w:r>
    </w:p>
    <w:p w14:paraId="27B734BA"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Esta situación generó múltiples denuncias legales contra instituciones de salud y autoridades responsables, bajo acusaciones de negligencia administrativa. Sin embargo, pocas de estas denuncias llegaron a instancias judiciales formales debido a la dificultad de establecer la causalidad directa entre la falta de EPP y los contagios o fallecimientos.</w:t>
      </w:r>
    </w:p>
    <w:p w14:paraId="5B9AB6A8" w14:textId="77777777" w:rsidR="00D97A4B" w:rsidRDefault="00D97A4B" w:rsidP="00D97A4B">
      <w:pPr>
        <w:pStyle w:val="Ttulo4"/>
        <w:spacing w:before="0" w:line="360" w:lineRule="auto"/>
        <w:jc w:val="both"/>
        <w:rPr>
          <w:rFonts w:ascii="Times New Roman" w:eastAsia="Aptos" w:hAnsi="Times New Roman" w:cs="Times New Roman"/>
          <w:b/>
          <w:bCs/>
          <w:color w:val="auto"/>
        </w:rPr>
      </w:pPr>
    </w:p>
    <w:p w14:paraId="3A6E868F" w14:textId="489D74E8" w:rsidR="00807258" w:rsidRPr="00D97A4B" w:rsidRDefault="00D97A4B" w:rsidP="00D97A4B">
      <w:pPr>
        <w:pStyle w:val="Ttulo4"/>
        <w:spacing w:before="0" w:line="360" w:lineRule="auto"/>
        <w:jc w:val="center"/>
        <w:rPr>
          <w:rFonts w:ascii="Times New Roman" w:hAnsi="Times New Roman" w:cs="Times New Roman"/>
          <w:i w:val="0"/>
          <w:iCs w:val="0"/>
          <w:color w:val="auto"/>
        </w:rPr>
      </w:pPr>
      <w:r w:rsidRPr="00D97A4B">
        <w:rPr>
          <w:rFonts w:ascii="Times New Roman" w:eastAsia="Aptos" w:hAnsi="Times New Roman" w:cs="Times New Roman"/>
          <w:b/>
          <w:bCs/>
          <w:i w:val="0"/>
          <w:iCs w:val="0"/>
          <w:color w:val="auto"/>
        </w:rPr>
        <w:t>Caso 2: Desabasto de Medicamentos Oncológicos</w:t>
      </w:r>
    </w:p>
    <w:p w14:paraId="3D2CDE43"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Otro caso emblemático ocurrió entre 2019 y 2021, cuando el desabasto de medicamentos oncológicos afectó a miles de pacientes, principalmente niños con cáncer. La falta de planeación en la compra y distribución de estos medicamentos fue atribuida tanto a decisiones administrativas como a problemas de logística. Este caso generó protestas masivas de padres de familia y organizaciones civiles, quienes acusaron al gobierno federal de negligencia por no garantizar el acceso oportuno a tratamientos vitales.</w:t>
      </w:r>
    </w:p>
    <w:p w14:paraId="7D5780A9"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lastRenderedPageBreak/>
        <w:t xml:space="preserve">En el ámbito legal, se presentaron más de 50 denuncias ante la </w:t>
      </w:r>
      <w:proofErr w:type="gramStart"/>
      <w:r>
        <w:rPr>
          <w:rFonts w:ascii="Times New Roman" w:eastAsia="Aptos" w:hAnsi="Times New Roman" w:cs="Times New Roman"/>
        </w:rPr>
        <w:t>Fiscalía General</w:t>
      </w:r>
      <w:proofErr w:type="gramEnd"/>
      <w:r>
        <w:rPr>
          <w:rFonts w:ascii="Times New Roman" w:eastAsia="Aptos" w:hAnsi="Times New Roman" w:cs="Times New Roman"/>
        </w:rPr>
        <w:t xml:space="preserve"> de la República (FGR) por omisión en el cumplimiento del deber de las autoridades. Estas denuncias no solo señalaron la negligencia en la gestión, sino que también cuestionaron la falta de transparencia en los procesos de adquisición de medicamentos.</w:t>
      </w:r>
    </w:p>
    <w:p w14:paraId="32FDAB32" w14:textId="77777777" w:rsidR="00D97A4B" w:rsidRDefault="00D97A4B" w:rsidP="00D97A4B">
      <w:pPr>
        <w:pStyle w:val="Ttulo4"/>
        <w:spacing w:before="0" w:line="360" w:lineRule="auto"/>
        <w:jc w:val="both"/>
        <w:rPr>
          <w:rFonts w:ascii="Times New Roman" w:eastAsia="Aptos" w:hAnsi="Times New Roman" w:cs="Times New Roman"/>
          <w:b/>
          <w:bCs/>
          <w:color w:val="auto"/>
        </w:rPr>
      </w:pPr>
    </w:p>
    <w:p w14:paraId="20EFC8CF" w14:textId="707426B4" w:rsidR="00807258" w:rsidRPr="00D97A4B" w:rsidRDefault="00D97A4B" w:rsidP="00D97A4B">
      <w:pPr>
        <w:pStyle w:val="Ttulo4"/>
        <w:spacing w:before="0" w:line="360" w:lineRule="auto"/>
        <w:jc w:val="center"/>
        <w:rPr>
          <w:rFonts w:ascii="Times New Roman" w:hAnsi="Times New Roman" w:cs="Times New Roman"/>
          <w:i w:val="0"/>
          <w:iCs w:val="0"/>
          <w:color w:val="auto"/>
        </w:rPr>
      </w:pPr>
      <w:r w:rsidRPr="00D97A4B">
        <w:rPr>
          <w:rFonts w:ascii="Times New Roman" w:eastAsia="Aptos" w:hAnsi="Times New Roman" w:cs="Times New Roman"/>
          <w:b/>
          <w:bCs/>
          <w:i w:val="0"/>
          <w:iCs w:val="0"/>
          <w:color w:val="auto"/>
        </w:rPr>
        <w:t>Caso 3: Saturación Hospitalaria y Mortalidad Evitable</w:t>
      </w:r>
    </w:p>
    <w:p w14:paraId="29F778F4"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Durante los picos más altos de la pandemia de COVID-19, la saturación de los hospitales públicos alcanzó niveles críticos en ciudades como Ciudad de México y Monterrey. Esto resultó en la negativa de atención médica a pacientes con condiciones graves, lo que generó un aumento en las tasas de mortalidad evitable. Según datos del Instituto Nacional de Estadística y Geografía (INEGI), entre abril y junio de 2020, más del 25% de las muertes en hospitales públicos fueron clasificadas como potencialmente evitables con atención médica oportuna.</w:t>
      </w:r>
    </w:p>
    <w:p w14:paraId="15E7F49F"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Este problema evidenció la falta de protocolos claros para priorizar pacientes en situaciones de crisis, así como la desigualdad en el acceso a recursos médicos entre diferentes regiones del país. Las denuncias por negligencia en estos casos apuntaron tanto a los administradores hospitalarios como a las autoridades sanitarias encargadas de coordinar la respuesta nacional.</w:t>
      </w:r>
    </w:p>
    <w:p w14:paraId="7EA03247"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Estos casos representan una compleja intersección de desafíos legales, sociales y éticos. Desde el punto de vista legal, destacan las dificultades para judicializar la negligencia en salud pública debido a la necesidad de probar causalidad directa y la limitada capacidad del sistema judicial para abordar casos de esta magnitud. Socialmente, la negligencia en salud pública ha erosionado la confianza en las instituciones, generando un sentimiento de desprotección entre la población. Éticamente, plantea preguntas críticas sobre el balance entre la limitación de recursos y la obligación moral de priorizar la vida humana en todas las decisiones.</w:t>
      </w:r>
    </w:p>
    <w:p w14:paraId="62B5C8AC"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El análisis de estadísticas ayuda a dimensionar el problema de la negligencia en salud pública en México. Según datos del Consejo Nacional de Salud y la </w:t>
      </w:r>
      <w:proofErr w:type="gramStart"/>
      <w:r>
        <w:rPr>
          <w:rFonts w:ascii="Times New Roman" w:eastAsia="Aptos" w:hAnsi="Times New Roman" w:cs="Times New Roman"/>
        </w:rPr>
        <w:t>Fiscalía General</w:t>
      </w:r>
      <w:proofErr w:type="gramEnd"/>
      <w:r>
        <w:rPr>
          <w:rFonts w:ascii="Times New Roman" w:eastAsia="Aptos" w:hAnsi="Times New Roman" w:cs="Times New Roman"/>
        </w:rPr>
        <w:t xml:space="preserve"> de la República, entre 2019 y 2022 se presentaron más de 10,000 denuncias relacionadas con negligencia en el ámbito sanitario, de las cuales menos del 15% se tradujeron en procesos judiciales formales.</w:t>
      </w:r>
    </w:p>
    <w:p w14:paraId="72E06A7D" w14:textId="77777777" w:rsidR="00807258" w:rsidRDefault="00807258">
      <w:pPr>
        <w:spacing w:before="240" w:after="240"/>
        <w:jc w:val="both"/>
        <w:rPr>
          <w:rFonts w:ascii="Times New Roman" w:eastAsia="Aptos" w:hAnsi="Times New Roman" w:cs="Times New Roman"/>
        </w:rPr>
      </w:pPr>
    </w:p>
    <w:p w14:paraId="26622EDA" w14:textId="77777777" w:rsidR="00807258" w:rsidRDefault="00807258">
      <w:pPr>
        <w:spacing w:before="240" w:after="240"/>
        <w:jc w:val="both"/>
        <w:rPr>
          <w:rFonts w:ascii="Times New Roman" w:eastAsia="Aptos" w:hAnsi="Times New Roman" w:cs="Times New Roman"/>
        </w:rPr>
      </w:pPr>
    </w:p>
    <w:p w14:paraId="1FAC3B56" w14:textId="77777777" w:rsidR="00807258" w:rsidRDefault="00D97A4B" w:rsidP="00D97A4B">
      <w:pPr>
        <w:pStyle w:val="Ttulo3"/>
        <w:spacing w:before="0" w:line="360" w:lineRule="auto"/>
        <w:jc w:val="center"/>
        <w:rPr>
          <w:rFonts w:ascii="Times New Roman" w:hAnsi="Times New Roman" w:cs="Times New Roman"/>
          <w:color w:val="auto"/>
        </w:rPr>
      </w:pPr>
      <w:r>
        <w:rPr>
          <w:rFonts w:ascii="Times New Roman" w:eastAsia="Aptos" w:hAnsi="Times New Roman" w:cs="Times New Roman"/>
        </w:rPr>
        <w:lastRenderedPageBreak/>
        <w:t xml:space="preserve"> </w:t>
      </w:r>
      <w:r w:rsidRPr="00D97A4B">
        <w:rPr>
          <w:rFonts w:ascii="Times New Roman" w:eastAsia="Aptos" w:hAnsi="Times New Roman" w:cs="Times New Roman"/>
          <w:b/>
          <w:bCs/>
          <w:color w:val="auto"/>
        </w:rPr>
        <w:t>Tabla 6.</w:t>
      </w:r>
      <w:r>
        <w:rPr>
          <w:rFonts w:ascii="Times New Roman" w:eastAsia="Aptos" w:hAnsi="Times New Roman" w:cs="Times New Roman"/>
          <w:color w:val="auto"/>
        </w:rPr>
        <w:t xml:space="preserve"> Denuncias por negligencia ámbito sanitario</w:t>
      </w:r>
    </w:p>
    <w:tbl>
      <w:tblPr>
        <w:tblStyle w:val="Tablaconcuadrcula"/>
        <w:tblW w:w="9152" w:type="dxa"/>
        <w:tblLayout w:type="fixed"/>
        <w:tblLook w:val="06A0" w:firstRow="1" w:lastRow="0" w:firstColumn="1" w:lastColumn="0" w:noHBand="1" w:noVBand="1"/>
      </w:tblPr>
      <w:tblGrid>
        <w:gridCol w:w="1620"/>
        <w:gridCol w:w="2644"/>
        <w:gridCol w:w="2082"/>
        <w:gridCol w:w="2806"/>
      </w:tblGrid>
      <w:tr w:rsidR="00807258" w:rsidRPr="00D97A4B" w14:paraId="35E043F7" w14:textId="77777777">
        <w:trPr>
          <w:trHeight w:val="300"/>
        </w:trPr>
        <w:tc>
          <w:tcPr>
            <w:tcW w:w="1619" w:type="dxa"/>
          </w:tcPr>
          <w:p w14:paraId="2D6D196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Año</w:t>
            </w:r>
          </w:p>
        </w:tc>
        <w:tc>
          <w:tcPr>
            <w:tcW w:w="2644" w:type="dxa"/>
          </w:tcPr>
          <w:p w14:paraId="4D753381"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Denuncias Recibidas</w:t>
            </w:r>
          </w:p>
        </w:tc>
        <w:tc>
          <w:tcPr>
            <w:tcW w:w="2082" w:type="dxa"/>
          </w:tcPr>
          <w:p w14:paraId="2445AB97"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Procesos Judiciales</w:t>
            </w:r>
          </w:p>
        </w:tc>
        <w:tc>
          <w:tcPr>
            <w:tcW w:w="2806" w:type="dxa"/>
          </w:tcPr>
          <w:p w14:paraId="1FD47D8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Sentencias Emitidas</w:t>
            </w:r>
          </w:p>
        </w:tc>
      </w:tr>
      <w:tr w:rsidR="00807258" w:rsidRPr="00D97A4B" w14:paraId="6F76708D" w14:textId="77777777">
        <w:trPr>
          <w:trHeight w:val="300"/>
        </w:trPr>
        <w:tc>
          <w:tcPr>
            <w:tcW w:w="1619" w:type="dxa"/>
          </w:tcPr>
          <w:p w14:paraId="779C1CB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2019</w:t>
            </w:r>
          </w:p>
        </w:tc>
        <w:tc>
          <w:tcPr>
            <w:tcW w:w="2644" w:type="dxa"/>
          </w:tcPr>
          <w:p w14:paraId="3B077FD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2,000</w:t>
            </w:r>
          </w:p>
        </w:tc>
        <w:tc>
          <w:tcPr>
            <w:tcW w:w="2082" w:type="dxa"/>
          </w:tcPr>
          <w:p w14:paraId="29C01447"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300</w:t>
            </w:r>
          </w:p>
        </w:tc>
        <w:tc>
          <w:tcPr>
            <w:tcW w:w="2806" w:type="dxa"/>
          </w:tcPr>
          <w:p w14:paraId="48D6B1F9"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50</w:t>
            </w:r>
          </w:p>
        </w:tc>
      </w:tr>
      <w:tr w:rsidR="00807258" w:rsidRPr="00D97A4B" w14:paraId="7B58B0C8" w14:textId="77777777">
        <w:trPr>
          <w:trHeight w:val="300"/>
        </w:trPr>
        <w:tc>
          <w:tcPr>
            <w:tcW w:w="1619" w:type="dxa"/>
          </w:tcPr>
          <w:p w14:paraId="2DC8BBEC"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2020</w:t>
            </w:r>
          </w:p>
        </w:tc>
        <w:tc>
          <w:tcPr>
            <w:tcW w:w="2644" w:type="dxa"/>
          </w:tcPr>
          <w:p w14:paraId="08DE1964"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3,200</w:t>
            </w:r>
          </w:p>
        </w:tc>
        <w:tc>
          <w:tcPr>
            <w:tcW w:w="2082" w:type="dxa"/>
          </w:tcPr>
          <w:p w14:paraId="4B80BDD6"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480</w:t>
            </w:r>
          </w:p>
        </w:tc>
        <w:tc>
          <w:tcPr>
            <w:tcW w:w="2806" w:type="dxa"/>
          </w:tcPr>
          <w:p w14:paraId="24FF9089"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80</w:t>
            </w:r>
          </w:p>
        </w:tc>
      </w:tr>
      <w:tr w:rsidR="00807258" w:rsidRPr="00D97A4B" w14:paraId="6BDC2266" w14:textId="77777777">
        <w:trPr>
          <w:trHeight w:val="300"/>
        </w:trPr>
        <w:tc>
          <w:tcPr>
            <w:tcW w:w="1619" w:type="dxa"/>
          </w:tcPr>
          <w:p w14:paraId="1482E0C5"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2021</w:t>
            </w:r>
          </w:p>
        </w:tc>
        <w:tc>
          <w:tcPr>
            <w:tcW w:w="2644" w:type="dxa"/>
          </w:tcPr>
          <w:p w14:paraId="7BF59FA2"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2,800</w:t>
            </w:r>
          </w:p>
        </w:tc>
        <w:tc>
          <w:tcPr>
            <w:tcW w:w="2082" w:type="dxa"/>
          </w:tcPr>
          <w:p w14:paraId="18FA014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420</w:t>
            </w:r>
          </w:p>
        </w:tc>
        <w:tc>
          <w:tcPr>
            <w:tcW w:w="2806" w:type="dxa"/>
          </w:tcPr>
          <w:p w14:paraId="4A103C0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70</w:t>
            </w:r>
          </w:p>
        </w:tc>
      </w:tr>
      <w:tr w:rsidR="00807258" w:rsidRPr="00D97A4B" w14:paraId="6E1F84F3" w14:textId="77777777">
        <w:trPr>
          <w:trHeight w:val="300"/>
        </w:trPr>
        <w:tc>
          <w:tcPr>
            <w:tcW w:w="1619" w:type="dxa"/>
          </w:tcPr>
          <w:p w14:paraId="772089EE"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2022</w:t>
            </w:r>
          </w:p>
        </w:tc>
        <w:tc>
          <w:tcPr>
            <w:tcW w:w="2644" w:type="dxa"/>
          </w:tcPr>
          <w:p w14:paraId="36585870"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2,200</w:t>
            </w:r>
          </w:p>
        </w:tc>
        <w:tc>
          <w:tcPr>
            <w:tcW w:w="2082" w:type="dxa"/>
          </w:tcPr>
          <w:p w14:paraId="76458698"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330</w:t>
            </w:r>
          </w:p>
        </w:tc>
        <w:tc>
          <w:tcPr>
            <w:tcW w:w="2806" w:type="dxa"/>
          </w:tcPr>
          <w:p w14:paraId="6449611D"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60</w:t>
            </w:r>
          </w:p>
        </w:tc>
      </w:tr>
    </w:tbl>
    <w:p w14:paraId="4A3C624D" w14:textId="43B7BCEF" w:rsidR="00807258" w:rsidRPr="00D97A4B" w:rsidRDefault="00D97A4B" w:rsidP="00D97A4B">
      <w:pPr>
        <w:pStyle w:val="Ttulo4"/>
        <w:spacing w:before="0"/>
        <w:jc w:val="center"/>
        <w:rPr>
          <w:rFonts w:ascii="Times New Roman" w:hAnsi="Times New Roman" w:cs="Times New Roman"/>
          <w:i w:val="0"/>
          <w:iCs w:val="0"/>
          <w:color w:val="auto"/>
        </w:rPr>
      </w:pPr>
      <w:r w:rsidRPr="00D97A4B">
        <w:rPr>
          <w:rFonts w:ascii="Times New Roman" w:hAnsi="Times New Roman" w:cs="Times New Roman"/>
          <w:i w:val="0"/>
          <w:iCs w:val="0"/>
          <w:color w:val="auto"/>
        </w:rPr>
        <w:t xml:space="preserve">Fuente: </w:t>
      </w:r>
      <w:proofErr w:type="gramStart"/>
      <w:r w:rsidRPr="00D97A4B">
        <w:rPr>
          <w:rFonts w:ascii="Times New Roman" w:hAnsi="Times New Roman" w:cs="Times New Roman"/>
          <w:i w:val="0"/>
          <w:iCs w:val="0"/>
          <w:color w:val="auto"/>
        </w:rPr>
        <w:t>Fiscalía General</w:t>
      </w:r>
      <w:proofErr w:type="gramEnd"/>
      <w:r w:rsidRPr="00D97A4B">
        <w:rPr>
          <w:rFonts w:ascii="Times New Roman" w:hAnsi="Times New Roman" w:cs="Times New Roman"/>
          <w:i w:val="0"/>
          <w:iCs w:val="0"/>
          <w:color w:val="auto"/>
        </w:rPr>
        <w:t xml:space="preserve"> de la República, 2022</w:t>
      </w:r>
    </w:p>
    <w:p w14:paraId="0993FFEA"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tabla anterior refleja un incremento en las denuncias durante 2020, coincidiendo con los momentos más críticos de la pandemia, y una baja conversión en términos de procesos y sentencias, lo que pone en evidencia las limitaciones del sistema judicial.</w:t>
      </w:r>
    </w:p>
    <w:p w14:paraId="0DCD629E" w14:textId="77777777" w:rsidR="00807258" w:rsidRDefault="00D97A4B" w:rsidP="00D97A4B">
      <w:pPr>
        <w:pStyle w:val="Prrafodelista"/>
        <w:numPr>
          <w:ilvl w:val="0"/>
          <w:numId w:val="1"/>
        </w:numPr>
        <w:spacing w:after="0" w:line="360" w:lineRule="auto"/>
        <w:ind w:hanging="11"/>
        <w:jc w:val="both"/>
        <w:rPr>
          <w:rFonts w:ascii="Times New Roman" w:eastAsia="Aptos" w:hAnsi="Times New Roman" w:cs="Times New Roman"/>
        </w:rPr>
      </w:pPr>
      <w:r>
        <w:rPr>
          <w:rFonts w:ascii="Times New Roman" w:eastAsia="Aptos" w:hAnsi="Times New Roman" w:cs="Times New Roman"/>
        </w:rPr>
        <w:t>Fortalecimiento del Marco Jurídico: Es necesario revisar y actualizar el marco normativo para incluir disposiciones específicas que aborden la negligencia en salud pública en contextos de crisis sanitarias.</w:t>
      </w:r>
    </w:p>
    <w:p w14:paraId="1B4CFA21" w14:textId="77777777" w:rsidR="00807258" w:rsidRDefault="00D97A4B" w:rsidP="00D97A4B">
      <w:pPr>
        <w:pStyle w:val="Prrafodelista"/>
        <w:numPr>
          <w:ilvl w:val="0"/>
          <w:numId w:val="1"/>
        </w:numPr>
        <w:spacing w:after="0" w:line="360" w:lineRule="auto"/>
        <w:ind w:hanging="11"/>
        <w:jc w:val="both"/>
        <w:rPr>
          <w:rFonts w:ascii="Times New Roman" w:eastAsia="Aptos" w:hAnsi="Times New Roman" w:cs="Times New Roman"/>
        </w:rPr>
      </w:pPr>
      <w:r>
        <w:rPr>
          <w:rFonts w:ascii="Times New Roman" w:eastAsia="Aptos" w:hAnsi="Times New Roman" w:cs="Times New Roman"/>
        </w:rPr>
        <w:t>Capacitación y Supervisión: Implementar programas de formación para jueces y fiscales en temas relacionados con salud pública y gestión de emergencias.</w:t>
      </w:r>
    </w:p>
    <w:p w14:paraId="73247656" w14:textId="77777777" w:rsidR="00807258" w:rsidRDefault="00D97A4B" w:rsidP="00D97A4B">
      <w:pPr>
        <w:pStyle w:val="Prrafodelista"/>
        <w:numPr>
          <w:ilvl w:val="0"/>
          <w:numId w:val="1"/>
        </w:numPr>
        <w:spacing w:after="0" w:line="360" w:lineRule="auto"/>
        <w:ind w:hanging="11"/>
        <w:jc w:val="both"/>
        <w:rPr>
          <w:rFonts w:ascii="Times New Roman" w:eastAsia="Aptos" w:hAnsi="Times New Roman" w:cs="Times New Roman"/>
        </w:rPr>
      </w:pPr>
      <w:r>
        <w:rPr>
          <w:rFonts w:ascii="Times New Roman" w:eastAsia="Aptos" w:hAnsi="Times New Roman" w:cs="Times New Roman"/>
        </w:rPr>
        <w:t>Mecanismos de Transparencia: Garantizar la transparencia en la distribución de recursos médicos y la implementación de protocolos de emergencia.</w:t>
      </w:r>
    </w:p>
    <w:p w14:paraId="58DCC3D7" w14:textId="77777777" w:rsidR="00807258" w:rsidRDefault="00D97A4B" w:rsidP="00D97A4B">
      <w:pPr>
        <w:pStyle w:val="Prrafodelista"/>
        <w:numPr>
          <w:ilvl w:val="0"/>
          <w:numId w:val="1"/>
        </w:numPr>
        <w:spacing w:after="0" w:line="360" w:lineRule="auto"/>
        <w:ind w:hanging="11"/>
        <w:jc w:val="both"/>
        <w:rPr>
          <w:rFonts w:ascii="Times New Roman" w:eastAsia="Aptos" w:hAnsi="Times New Roman" w:cs="Times New Roman"/>
        </w:rPr>
      </w:pPr>
      <w:r>
        <w:rPr>
          <w:rFonts w:ascii="Times New Roman" w:eastAsia="Aptos" w:hAnsi="Times New Roman" w:cs="Times New Roman"/>
        </w:rPr>
        <w:t>Sistema de Monitoreo en Tiempo Real: Establecer un sistema de monitoreo que permita identificar carencias y omisiones de manera temprana, facilitando la toma de decisiones oportunas.</w:t>
      </w:r>
    </w:p>
    <w:p w14:paraId="28520006"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implementación de la responsabilidad penal en salud pública enfrenta una serie de desafíos que dificultan su efectividad como herramienta para sancionar la negligencia y prevenir futuras omisiones. Estas barreras legales, prácticas y éticas reflejan la complejidad inherente a los sistemas de salud, donde las decisiones tienen consecuencias profundas en la vida de las personas y, a menudo, se toman bajo circunstancias de incertidumbre. Este apartado analiza las principales limitaciones, destacando la dificultad de establecer pruebas, la falta de normatividad clara y las tensiones entre decisiones políticas y médicas.</w:t>
      </w:r>
    </w:p>
    <w:p w14:paraId="6CD7B5C0"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Uno de los mayores obstáculos en la judicialización de casos de negligencia en salud pública es la dificultad para establecer una relación directa entre las acciones u omisiones de los actores responsables y el daño ocasionado. En muchos casos, las emergencias sanitarias involucran múltiples factores que contribuyen al desenlace negativo, lo que complica identificar un único culpable. Por ejemplo, durante la pandemia de COVID-19, el colapso de los sistemas hospitalarios no solo fue resultado </w:t>
      </w:r>
      <w:r>
        <w:rPr>
          <w:rFonts w:ascii="Times New Roman" w:eastAsia="Aptos" w:hAnsi="Times New Roman" w:cs="Times New Roman"/>
        </w:rPr>
        <w:lastRenderedPageBreak/>
        <w:t>de decisiones administrativas deficientes, sino también de problemas estructurales preexistentes y la alta demanda de servicios.</w:t>
      </w:r>
    </w:p>
    <w:p w14:paraId="2A648335"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Además, la prueba de negligencia requiere evidencia detallada, como protocolos ignorados, registros médicos manipulados o informes técnicos que demuestren impericia. Sin embargo, la documentación en situaciones de crisis suele ser incompleta, lo que limita las posibilidades de construir casos judiciales sólidos. Según un informe de la </w:t>
      </w:r>
      <w:proofErr w:type="gramStart"/>
      <w:r>
        <w:rPr>
          <w:rFonts w:ascii="Times New Roman" w:eastAsia="Aptos" w:hAnsi="Times New Roman" w:cs="Times New Roman"/>
        </w:rPr>
        <w:t>Fiscalía General</w:t>
      </w:r>
      <w:proofErr w:type="gramEnd"/>
      <w:r>
        <w:rPr>
          <w:rFonts w:ascii="Times New Roman" w:eastAsia="Aptos" w:hAnsi="Times New Roman" w:cs="Times New Roman"/>
        </w:rPr>
        <w:t xml:space="preserve"> de la República, entre 2019 y 2022, menos del 20% de las denuncias por negligencia en salud pública lograron establecer pruebas suficientes para iniciar procesos formales.</w:t>
      </w:r>
    </w:p>
    <w:p w14:paraId="6D0A56DA"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Aunque el marco jurídico mexicano incluye disposiciones generales sobre negligencia médica y administrativa, estas no están diseñadas para abordar las complejidades de las emergencias sanitarias. El Código Penal Federal, por ejemplo, sanciona la negligencia médica individual (artículo 229) y las omisiones de funcionarios públicos (artículo 214), pero no considera situaciones en las que las decisiones deben tomarse bajo presión extrema o en escenarios de recursos limitados.</w:t>
      </w:r>
    </w:p>
    <w:p w14:paraId="40B2D7CA"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Esta falta de especificidad genera incertidumbre tanto para los operadores jurídicos como para los actores del sistema de salud, quienes pueden sentirse vulnerables a sanciones legales en contextos donde no existen lineamientos claros. En países como España, las normativas incluyen marcos especializados para emergencias, lo que contrasta con la limitada adaptación del marco legal mexicano a estos contextos.</w:t>
      </w:r>
    </w:p>
    <w:p w14:paraId="280D3E1F"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Las emergencias sanitarias exigen decisiones rápidas que, a menudo, combinan factores técnicos y políticos. Esta intersección puede generar tensiones que dificultan la identificación de responsabilidades. Por ejemplo, durante la pandemia, la distribución de vacunas estuvo influenciada por consideraciones políticas, como la priorización de ciertos estados o grupos poblacionales, lo que generó cuestionamientos sobre la equidad y la ética de estas decisiones.</w:t>
      </w:r>
    </w:p>
    <w:p w14:paraId="1F14E7A8"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Asimismo, los profesionales médicos enfrentan dilemas éticos cuando las políticas públicas contradicen las mejores prácticas clínicas. La falta de alineación entre la política y la práctica médica puede exacerbar la percepción de negligencia, incluso cuando los actores implicados están actuando con los recursos disponibles. Esta tensión refleja la necesidad de mecanismos que garanticen una mejor coordinación entre las autoridades políticas y los expertos en salud.</w:t>
      </w:r>
    </w:p>
    <w:p w14:paraId="0007DAF2"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La criminalización de la negligencia en salud pública también enfrenta resistencia debido a su potencial impacto en la confianza pública y la reputación de los sistemas de salud. La judicialización de casos emblemáticos, aunque necesaria, puede </w:t>
      </w:r>
      <w:r>
        <w:rPr>
          <w:rFonts w:ascii="Times New Roman" w:eastAsia="Aptos" w:hAnsi="Times New Roman" w:cs="Times New Roman"/>
        </w:rPr>
        <w:lastRenderedPageBreak/>
        <w:t>alimentar la desconfianza en las instituciones, especialmente si los procesos son percibidos como politizados o injustos. Por otro lado, los profesionales médicos pueden verse desmotivados a trabajar en contextos de alta presión si sienten que cualquier error podría llevar a sanciones penales.</w:t>
      </w:r>
    </w:p>
    <w:p w14:paraId="48673142"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Además, el acceso desigual a la justicia amplifica estas barreras, ya que las comunidades marginadas enfrentan mayores dificultades para presentar denuncias o recibir respuestas efectivas del sistema judicial. Este problema perpetúa las desigualdades en el acceso a la salud y refuerza la percepción de impunidad en casos de negligencia.</w:t>
      </w:r>
    </w:p>
    <w:p w14:paraId="39D9856C"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Según datos del Consejo Nacional de Salud y la </w:t>
      </w:r>
      <w:proofErr w:type="gramStart"/>
      <w:r>
        <w:rPr>
          <w:rFonts w:ascii="Times New Roman" w:eastAsia="Aptos" w:hAnsi="Times New Roman" w:cs="Times New Roman"/>
        </w:rPr>
        <w:t>Fiscalía General</w:t>
      </w:r>
      <w:proofErr w:type="gramEnd"/>
      <w:r>
        <w:rPr>
          <w:rFonts w:ascii="Times New Roman" w:eastAsia="Aptos" w:hAnsi="Times New Roman" w:cs="Times New Roman"/>
        </w:rPr>
        <w:t xml:space="preserve"> de la República, el sistema judicial mexicano enfrenta limitaciones significativas para procesar casos de negligencia en salud pública:</w:t>
      </w:r>
    </w:p>
    <w:p w14:paraId="1ED5FA73" w14:textId="77777777" w:rsidR="00D97A4B" w:rsidRDefault="00D97A4B" w:rsidP="00D97A4B">
      <w:pPr>
        <w:spacing w:after="0" w:line="360" w:lineRule="auto"/>
        <w:ind w:firstLine="709"/>
        <w:jc w:val="both"/>
        <w:rPr>
          <w:rFonts w:ascii="Times New Roman" w:eastAsia="Aptos" w:hAnsi="Times New Roman" w:cs="Times New Roman"/>
        </w:rPr>
      </w:pPr>
    </w:p>
    <w:p w14:paraId="68E05C8B" w14:textId="77777777" w:rsidR="00807258" w:rsidRDefault="00D97A4B" w:rsidP="00D97A4B">
      <w:pPr>
        <w:spacing w:after="0"/>
        <w:jc w:val="center"/>
        <w:rPr>
          <w:rFonts w:ascii="Times New Roman" w:hAnsi="Times New Roman" w:cs="Times New Roman"/>
        </w:rPr>
      </w:pPr>
      <w:r w:rsidRPr="00D97A4B">
        <w:rPr>
          <w:rFonts w:ascii="Times New Roman" w:eastAsia="Aptos" w:hAnsi="Times New Roman" w:cs="Times New Roman"/>
          <w:b/>
          <w:bCs/>
        </w:rPr>
        <w:t>Tabla 7.</w:t>
      </w:r>
      <w:r>
        <w:rPr>
          <w:rFonts w:ascii="Times New Roman" w:eastAsia="Aptos" w:hAnsi="Times New Roman" w:cs="Times New Roman"/>
        </w:rPr>
        <w:t xml:space="preserve"> Limitaciones en el proceso de casos por negligencia</w:t>
      </w:r>
    </w:p>
    <w:tbl>
      <w:tblPr>
        <w:tblStyle w:val="Tablaconcuadrcula"/>
        <w:tblW w:w="9142" w:type="dxa"/>
        <w:tblLayout w:type="fixed"/>
        <w:tblLook w:val="06A0" w:firstRow="1" w:lastRow="0" w:firstColumn="1" w:lastColumn="0" w:noHBand="1" w:noVBand="1"/>
      </w:tblPr>
      <w:tblGrid>
        <w:gridCol w:w="1129"/>
        <w:gridCol w:w="3102"/>
        <w:gridCol w:w="2365"/>
        <w:gridCol w:w="2546"/>
      </w:tblGrid>
      <w:tr w:rsidR="00807258" w:rsidRPr="00D97A4B" w14:paraId="1BC064CE" w14:textId="77777777" w:rsidTr="00D97A4B">
        <w:trPr>
          <w:trHeight w:val="300"/>
        </w:trPr>
        <w:tc>
          <w:tcPr>
            <w:tcW w:w="1128" w:type="dxa"/>
            <w:shd w:val="clear" w:color="auto" w:fill="auto"/>
          </w:tcPr>
          <w:p w14:paraId="024B384F"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Año</w:t>
            </w:r>
          </w:p>
        </w:tc>
        <w:tc>
          <w:tcPr>
            <w:tcW w:w="3102" w:type="dxa"/>
            <w:shd w:val="clear" w:color="auto" w:fill="auto"/>
          </w:tcPr>
          <w:p w14:paraId="1ABBF330"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Denuncias Presentadas</w:t>
            </w:r>
          </w:p>
        </w:tc>
        <w:tc>
          <w:tcPr>
            <w:tcW w:w="2365" w:type="dxa"/>
            <w:shd w:val="clear" w:color="auto" w:fill="auto"/>
          </w:tcPr>
          <w:p w14:paraId="376D2CA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Procesos Iniciados</w:t>
            </w:r>
          </w:p>
        </w:tc>
        <w:tc>
          <w:tcPr>
            <w:tcW w:w="2546" w:type="dxa"/>
            <w:shd w:val="clear" w:color="auto" w:fill="auto"/>
          </w:tcPr>
          <w:p w14:paraId="72575763"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Sentencias Emitidas</w:t>
            </w:r>
          </w:p>
        </w:tc>
      </w:tr>
      <w:tr w:rsidR="00807258" w:rsidRPr="00D97A4B" w14:paraId="1B32DCFE" w14:textId="77777777" w:rsidTr="00D97A4B">
        <w:trPr>
          <w:trHeight w:val="300"/>
        </w:trPr>
        <w:tc>
          <w:tcPr>
            <w:tcW w:w="1128" w:type="dxa"/>
            <w:shd w:val="clear" w:color="auto" w:fill="auto"/>
          </w:tcPr>
          <w:p w14:paraId="3EE805C8"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2019</w:t>
            </w:r>
          </w:p>
        </w:tc>
        <w:tc>
          <w:tcPr>
            <w:tcW w:w="3102" w:type="dxa"/>
            <w:shd w:val="clear" w:color="auto" w:fill="auto"/>
          </w:tcPr>
          <w:p w14:paraId="6632A66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2,000</w:t>
            </w:r>
          </w:p>
        </w:tc>
        <w:tc>
          <w:tcPr>
            <w:tcW w:w="2365" w:type="dxa"/>
            <w:shd w:val="clear" w:color="auto" w:fill="auto"/>
          </w:tcPr>
          <w:p w14:paraId="40272BC4"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300</w:t>
            </w:r>
          </w:p>
        </w:tc>
        <w:tc>
          <w:tcPr>
            <w:tcW w:w="2546" w:type="dxa"/>
            <w:shd w:val="clear" w:color="auto" w:fill="auto"/>
          </w:tcPr>
          <w:p w14:paraId="39C6D053"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50</w:t>
            </w:r>
          </w:p>
        </w:tc>
      </w:tr>
      <w:tr w:rsidR="00807258" w:rsidRPr="00D97A4B" w14:paraId="5C24C169" w14:textId="77777777" w:rsidTr="00D97A4B">
        <w:trPr>
          <w:trHeight w:val="300"/>
        </w:trPr>
        <w:tc>
          <w:tcPr>
            <w:tcW w:w="1128" w:type="dxa"/>
            <w:shd w:val="clear" w:color="auto" w:fill="auto"/>
          </w:tcPr>
          <w:p w14:paraId="0954B1C7"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2020</w:t>
            </w:r>
          </w:p>
        </w:tc>
        <w:tc>
          <w:tcPr>
            <w:tcW w:w="3102" w:type="dxa"/>
            <w:shd w:val="clear" w:color="auto" w:fill="auto"/>
          </w:tcPr>
          <w:p w14:paraId="1134C6EF"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3,200</w:t>
            </w:r>
          </w:p>
        </w:tc>
        <w:tc>
          <w:tcPr>
            <w:tcW w:w="2365" w:type="dxa"/>
            <w:shd w:val="clear" w:color="auto" w:fill="auto"/>
          </w:tcPr>
          <w:p w14:paraId="30C075AC"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480</w:t>
            </w:r>
          </w:p>
        </w:tc>
        <w:tc>
          <w:tcPr>
            <w:tcW w:w="2546" w:type="dxa"/>
            <w:shd w:val="clear" w:color="auto" w:fill="auto"/>
          </w:tcPr>
          <w:p w14:paraId="626F1FD3"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80</w:t>
            </w:r>
          </w:p>
        </w:tc>
      </w:tr>
      <w:tr w:rsidR="00807258" w:rsidRPr="00D97A4B" w14:paraId="6A40B642" w14:textId="77777777" w:rsidTr="00D97A4B">
        <w:trPr>
          <w:trHeight w:val="300"/>
        </w:trPr>
        <w:tc>
          <w:tcPr>
            <w:tcW w:w="1128" w:type="dxa"/>
            <w:shd w:val="clear" w:color="auto" w:fill="auto"/>
          </w:tcPr>
          <w:p w14:paraId="091CB83B"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2021</w:t>
            </w:r>
          </w:p>
        </w:tc>
        <w:tc>
          <w:tcPr>
            <w:tcW w:w="3102" w:type="dxa"/>
            <w:shd w:val="clear" w:color="auto" w:fill="auto"/>
          </w:tcPr>
          <w:p w14:paraId="2DD4762B"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2,800</w:t>
            </w:r>
          </w:p>
        </w:tc>
        <w:tc>
          <w:tcPr>
            <w:tcW w:w="2365" w:type="dxa"/>
            <w:shd w:val="clear" w:color="auto" w:fill="auto"/>
          </w:tcPr>
          <w:p w14:paraId="4AC61514"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420</w:t>
            </w:r>
          </w:p>
        </w:tc>
        <w:tc>
          <w:tcPr>
            <w:tcW w:w="2546" w:type="dxa"/>
            <w:shd w:val="clear" w:color="auto" w:fill="auto"/>
          </w:tcPr>
          <w:p w14:paraId="2C2388B8"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70</w:t>
            </w:r>
          </w:p>
        </w:tc>
      </w:tr>
      <w:tr w:rsidR="00807258" w:rsidRPr="00D97A4B" w14:paraId="03554301" w14:textId="77777777" w:rsidTr="00D97A4B">
        <w:trPr>
          <w:trHeight w:val="300"/>
        </w:trPr>
        <w:tc>
          <w:tcPr>
            <w:tcW w:w="1128" w:type="dxa"/>
            <w:shd w:val="clear" w:color="auto" w:fill="auto"/>
          </w:tcPr>
          <w:p w14:paraId="4F9D03C0"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2022</w:t>
            </w:r>
          </w:p>
        </w:tc>
        <w:tc>
          <w:tcPr>
            <w:tcW w:w="3102" w:type="dxa"/>
            <w:shd w:val="clear" w:color="auto" w:fill="auto"/>
          </w:tcPr>
          <w:p w14:paraId="55A5CDAA"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2,200</w:t>
            </w:r>
          </w:p>
        </w:tc>
        <w:tc>
          <w:tcPr>
            <w:tcW w:w="2365" w:type="dxa"/>
            <w:shd w:val="clear" w:color="auto" w:fill="auto"/>
          </w:tcPr>
          <w:p w14:paraId="54CFE8B2"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330</w:t>
            </w:r>
          </w:p>
        </w:tc>
        <w:tc>
          <w:tcPr>
            <w:tcW w:w="2546" w:type="dxa"/>
            <w:shd w:val="clear" w:color="auto" w:fill="auto"/>
          </w:tcPr>
          <w:p w14:paraId="471ECAC2" w14:textId="77777777" w:rsidR="00807258" w:rsidRPr="00D97A4B" w:rsidRDefault="00D97A4B">
            <w:pPr>
              <w:spacing w:after="0" w:line="240" w:lineRule="auto"/>
              <w:jc w:val="both"/>
              <w:rPr>
                <w:rFonts w:ascii="Times New Roman" w:hAnsi="Times New Roman" w:cs="Times New Roman"/>
              </w:rPr>
            </w:pPr>
            <w:r w:rsidRPr="00D97A4B">
              <w:rPr>
                <w:rFonts w:ascii="Times New Roman" w:eastAsia="Aptos" w:hAnsi="Times New Roman" w:cs="Times New Roman"/>
              </w:rPr>
              <w:t>60</w:t>
            </w:r>
          </w:p>
        </w:tc>
      </w:tr>
    </w:tbl>
    <w:p w14:paraId="78F83E9F" w14:textId="2CBFC799" w:rsidR="00807258" w:rsidRPr="00D97A4B" w:rsidRDefault="00D97A4B" w:rsidP="00D97A4B">
      <w:pPr>
        <w:pStyle w:val="Ttulo4"/>
        <w:spacing w:before="0" w:line="360" w:lineRule="auto"/>
        <w:jc w:val="center"/>
        <w:rPr>
          <w:rFonts w:ascii="Times New Roman" w:hAnsi="Times New Roman" w:cs="Times New Roman"/>
          <w:i w:val="0"/>
          <w:iCs w:val="0"/>
          <w:color w:val="auto"/>
        </w:rPr>
      </w:pPr>
      <w:r w:rsidRPr="00D97A4B">
        <w:rPr>
          <w:rFonts w:ascii="Times New Roman" w:hAnsi="Times New Roman" w:cs="Times New Roman"/>
          <w:i w:val="0"/>
          <w:iCs w:val="0"/>
          <w:color w:val="auto"/>
        </w:rPr>
        <w:t xml:space="preserve">Fuente: </w:t>
      </w:r>
      <w:proofErr w:type="gramStart"/>
      <w:r w:rsidRPr="00D97A4B">
        <w:rPr>
          <w:rFonts w:ascii="Times New Roman" w:hAnsi="Times New Roman" w:cs="Times New Roman"/>
          <w:i w:val="0"/>
          <w:iCs w:val="0"/>
          <w:color w:val="auto"/>
        </w:rPr>
        <w:t>Fiscalía General</w:t>
      </w:r>
      <w:proofErr w:type="gramEnd"/>
      <w:r w:rsidRPr="00D97A4B">
        <w:rPr>
          <w:rFonts w:ascii="Times New Roman" w:hAnsi="Times New Roman" w:cs="Times New Roman"/>
          <w:i w:val="0"/>
          <w:iCs w:val="0"/>
          <w:color w:val="auto"/>
        </w:rPr>
        <w:t xml:space="preserve"> de la República, 2022</w:t>
      </w:r>
    </w:p>
    <w:p w14:paraId="668761FB"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Estos datos reflejan una brecha considerable entre las denuncias presentadas y los casos que resultan en sentencias, lo que subraya la necesidad de fortalecer tanto el marco normativo como la capacidad judicial.</w:t>
      </w:r>
    </w:p>
    <w:p w14:paraId="72C6D3A4" w14:textId="77777777" w:rsidR="00807258" w:rsidRDefault="00807258" w:rsidP="00D97A4B">
      <w:pPr>
        <w:spacing w:after="0" w:line="360" w:lineRule="auto"/>
        <w:ind w:firstLine="709"/>
        <w:jc w:val="both"/>
        <w:rPr>
          <w:rFonts w:ascii="Times New Roman" w:hAnsi="Times New Roman" w:cs="Times New Roman"/>
        </w:rPr>
      </w:pPr>
    </w:p>
    <w:p w14:paraId="50B22546" w14:textId="77777777" w:rsidR="00807258" w:rsidRPr="00D97A4B" w:rsidRDefault="00D97A4B" w:rsidP="00D97A4B">
      <w:pPr>
        <w:pStyle w:val="Ttulo4"/>
        <w:spacing w:before="0" w:line="360" w:lineRule="auto"/>
        <w:jc w:val="center"/>
        <w:rPr>
          <w:rFonts w:ascii="Times New Roman" w:hAnsi="Times New Roman" w:cs="Times New Roman"/>
          <w:i w:val="0"/>
          <w:iCs w:val="0"/>
          <w:color w:val="auto"/>
        </w:rPr>
      </w:pPr>
      <w:r w:rsidRPr="00D97A4B">
        <w:rPr>
          <w:rFonts w:ascii="Times New Roman" w:eastAsia="Aptos" w:hAnsi="Times New Roman" w:cs="Times New Roman"/>
          <w:b/>
          <w:bCs/>
          <w:i w:val="0"/>
          <w:iCs w:val="0"/>
          <w:color w:val="auto"/>
        </w:rPr>
        <w:t>Propuestas para Superar las Limitaciones</w:t>
      </w:r>
    </w:p>
    <w:p w14:paraId="5D4CE171"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Reformas Legislativas: Crear marcos normativos específicos para emergencias sanitarias, que consideren las limitaciones prácticas y éticas de estos contextos.</w:t>
      </w:r>
    </w:p>
    <w:p w14:paraId="6971A548"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Fortalecimiento del Sistema Judicial: Capacitar a jueces y fiscales en temas de salud pública para mejorar su capacidad de procesar casos complejos.</w:t>
      </w:r>
    </w:p>
    <w:p w14:paraId="47DEB750"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Monitoreo y Transparencia: Implementar sistemas de monitoreo en tiempo real que permitan identificar omisiones antes de que generen daños graves, reduciendo la necesidad de judicialización.</w:t>
      </w:r>
    </w:p>
    <w:p w14:paraId="462B5114"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Coordinación Interinstitucional: Fomentar una mayor colaboración entre actores políticos y médicos, asegurando que las decisiones se basen en evidencia científica y principios éticos.</w:t>
      </w:r>
    </w:p>
    <w:p w14:paraId="23978D6D" w14:textId="77777777" w:rsidR="00D97A4B" w:rsidRDefault="00D97A4B" w:rsidP="00D97A4B">
      <w:pPr>
        <w:spacing w:after="0" w:line="360" w:lineRule="auto"/>
        <w:jc w:val="both"/>
        <w:rPr>
          <w:rFonts w:ascii="Times New Roman" w:eastAsia="Aptos" w:hAnsi="Times New Roman" w:cs="Times New Roman"/>
        </w:rPr>
      </w:pPr>
    </w:p>
    <w:p w14:paraId="4FEB37D4" w14:textId="77777777" w:rsidR="00D97A4B" w:rsidRDefault="00D97A4B" w:rsidP="00D97A4B">
      <w:pPr>
        <w:spacing w:after="0" w:line="360" w:lineRule="auto"/>
        <w:jc w:val="both"/>
        <w:rPr>
          <w:rFonts w:ascii="Times New Roman" w:eastAsia="Aptos" w:hAnsi="Times New Roman" w:cs="Times New Roman"/>
        </w:rPr>
      </w:pPr>
    </w:p>
    <w:p w14:paraId="6FCBFAE1" w14:textId="77777777" w:rsidR="00D97A4B" w:rsidRPr="00D97A4B" w:rsidRDefault="00D97A4B" w:rsidP="00D97A4B">
      <w:pPr>
        <w:pStyle w:val="Ttulo3"/>
        <w:spacing w:before="0" w:line="360" w:lineRule="auto"/>
        <w:jc w:val="center"/>
        <w:rPr>
          <w:rFonts w:ascii="Times New Roman" w:eastAsia="Aptos" w:hAnsi="Times New Roman" w:cs="Times New Roman"/>
          <w:b/>
          <w:bCs/>
          <w:color w:val="auto"/>
          <w:sz w:val="32"/>
          <w:szCs w:val="32"/>
        </w:rPr>
      </w:pPr>
      <w:r w:rsidRPr="00D97A4B">
        <w:rPr>
          <w:rFonts w:ascii="Times New Roman" w:eastAsia="Aptos" w:hAnsi="Times New Roman" w:cs="Times New Roman"/>
          <w:b/>
          <w:bCs/>
          <w:color w:val="auto"/>
          <w:sz w:val="32"/>
          <w:szCs w:val="32"/>
        </w:rPr>
        <w:lastRenderedPageBreak/>
        <w:t>Discusión</w:t>
      </w:r>
    </w:p>
    <w:p w14:paraId="7F648238"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La presente investigación ha permitido analizar la responsabilidad penal en la salud pública mexicana en el contexto de emergencias sanitarias, identificando los principales retos y limitaciones del marco normativo actual. Estos hallazgos se ven reforzados por estudios previos que demuestran la persistencia de problemas similares en otros países de América Latina, así como en jurisdicciones como España y Estados Unidos, donde los marcos normativos para atender negligencias relacionadas con la salud pública están mejor definidos (American </w:t>
      </w:r>
      <w:proofErr w:type="spellStart"/>
      <w:r>
        <w:rPr>
          <w:rFonts w:ascii="Times New Roman" w:eastAsia="Aptos" w:hAnsi="Times New Roman" w:cs="Times New Roman"/>
        </w:rPr>
        <w:t>Public</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Health</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Association</w:t>
      </w:r>
      <w:proofErr w:type="spellEnd"/>
      <w:r>
        <w:rPr>
          <w:rFonts w:ascii="Times New Roman" w:eastAsia="Aptos" w:hAnsi="Times New Roman" w:cs="Times New Roman"/>
        </w:rPr>
        <w:t>, 2021; Consejo General de Poder Judicial de España, 2022).</w:t>
      </w:r>
    </w:p>
    <w:p w14:paraId="4DE4A18B"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Uno de los resultados más relevantes es que, a pesar de la existencia de disposiciones generales en el Código Penal Federal, la aplicación efectiva de sanciones por negligencia en salud pública enfrenta importantes obstáculos. A diferencia de países que contemplan regulaciones detalladas sobre emergencias sanitarias, la legislación mexicana carece de mecanismos específicos para atender casos que involucran daños colectivos y estructuras de salud colapsadas. Este vacío normativo no solo merma el alcance disuasorio del derecho penal, sino que también dificulta la obtención de pruebas que relacionen de forma clara la conducta de las autoridades o profesionales de la salud con los perjuicios ocasionados (OMS, 2021).</w:t>
      </w:r>
    </w:p>
    <w:p w14:paraId="57162D6F"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Asimismo, la investigación ha subrayado que la negligencia en salud pública no solo es un problema legal, sino también estructural y operativo. Coincide con lo reportado por la OPS (2021) y otros estudios en América Latina, donde la carencia de protocolos de actuación, la falta de supervisión independiente y las prácticas políticas poco transparentes favorecen omisiones graves sin consecuencias jurídicas claras. Esta situación no se limita a México: países como Brasil, Argentina y Perú también han enfrentado dificultades para encuadrar penalmente las omisiones estructurales. Como señalan diversos análisis jurídicos, demostrar la causalidad inmediata entre una mala gestión de recursos y un daño concreto puede ser complejo, pues se producen en escenarios con múltiples factores de riesgo (doctrina chilena sobre “incremento del riesgo”).</w:t>
      </w:r>
    </w:p>
    <w:p w14:paraId="08D9D04C"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En este sentido, la experiencia latinoamericana durante la pandemia de COVID-19 ilustra la magnitud del problema. Informes de la Organización Mundial de la Salud (OMS, 2021) señalan que más del 30% de los sistemas de salud en la región sufrieron interrupciones de servicios esenciales por la falta de planificación y de recursos suficientes. Países como Brasil crearon Comisiones Parlamentarias de Investigación para examinar la gestión gubernamental de la crisis, mientras que Argentina y Perú </w:t>
      </w:r>
      <w:r>
        <w:rPr>
          <w:rFonts w:ascii="Times New Roman" w:eastAsia="Aptos" w:hAnsi="Times New Roman" w:cs="Times New Roman"/>
        </w:rPr>
        <w:lastRenderedPageBreak/>
        <w:t>llevaron a juicio a funcionarios de alto nivel por presuntas conductas negligentes y, en algunos casos, corruptas relacionadas con la distribución de insumos o la asignación de vacunas. Estas iniciativas combinan el uso del derecho penal con el control político y administrativo, buscando asignar responsabilidad donde existen indicios claros de negligencia grave.</w:t>
      </w:r>
    </w:p>
    <w:p w14:paraId="2718A656"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Aun así, la judicialización de estos hechos ha enfrentado obstáculos muy similares. Las fiscalías y tribunales tienen dificultades para distinguir entre errores inevitables —propios de una crisis sanitaria con información cambiante— y conductas negligentes que se derivan de la ignorancia deliberada, la ausencia de protocolos o la politización de las decisiones. Además, la falta de transparencia y la debilidad de ciertos sistemas judiciales refuerzan la desconfianza ciudadana y dificultan el procesamiento eficaz de los casos (American </w:t>
      </w:r>
      <w:proofErr w:type="spellStart"/>
      <w:r>
        <w:rPr>
          <w:rFonts w:ascii="Times New Roman" w:eastAsia="Aptos" w:hAnsi="Times New Roman" w:cs="Times New Roman"/>
        </w:rPr>
        <w:t>Public</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Health</w:t>
      </w:r>
      <w:proofErr w:type="spellEnd"/>
      <w:r>
        <w:rPr>
          <w:rFonts w:ascii="Times New Roman" w:eastAsia="Aptos" w:hAnsi="Times New Roman" w:cs="Times New Roman"/>
        </w:rPr>
        <w:t xml:space="preserve"> </w:t>
      </w:r>
      <w:proofErr w:type="spellStart"/>
      <w:r>
        <w:rPr>
          <w:rFonts w:ascii="Times New Roman" w:eastAsia="Aptos" w:hAnsi="Times New Roman" w:cs="Times New Roman"/>
        </w:rPr>
        <w:t>Association</w:t>
      </w:r>
      <w:proofErr w:type="spellEnd"/>
      <w:r>
        <w:rPr>
          <w:rFonts w:ascii="Times New Roman" w:eastAsia="Aptos" w:hAnsi="Times New Roman" w:cs="Times New Roman"/>
        </w:rPr>
        <w:t>, 2021).</w:t>
      </w:r>
    </w:p>
    <w:p w14:paraId="77B209F4"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Si bien en México el marco jurídico establece sanciones para la negligencia médica y la mala praxis de funcionarios públicos, los hallazgos de este estudio coinciden con la literatura en señalar que aún faltan herramientas legales orientadas específicamente a las emergencias sanitarias (CONEVAL, 2022). Tal como destacan los análisis comparativos, la mera inclusión de artículos penales no basta: se requieren normas claras que delimiten responsabilidades, capacitaciones constantes para jueces y fiscales en temas de salud pública y mecanismos de monitoreo que permitan identificar y corregir omisiones antes de que generen daños masivos.</w:t>
      </w:r>
    </w:p>
    <w:p w14:paraId="0434D83F"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El estudio también revela limitaciones para futuras investigaciones. Por un lado, la ausencia de datos precisos sobre el número de casos judicializados por negligencia en salud pública impide evaluar con certeza la incidencia de sanciones penales en la reducción de estas omisiones. Por otro, sería relevante profundizar en las percepciones de los profesionales sanitarios y de los funcionarios respecto de la criminalización de sus decisiones, puesto que, según la literatura, existe el riesgo de desincentivar la participación de especialistas ante el temor de eventuales consecuencias legales (Case &amp; </w:t>
      </w:r>
      <w:proofErr w:type="spellStart"/>
      <w:r>
        <w:rPr>
          <w:rFonts w:ascii="Times New Roman" w:eastAsia="Aptos" w:hAnsi="Times New Roman" w:cs="Times New Roman"/>
        </w:rPr>
        <w:t>Deaton</w:t>
      </w:r>
      <w:proofErr w:type="spellEnd"/>
      <w:r>
        <w:rPr>
          <w:rFonts w:ascii="Times New Roman" w:eastAsia="Aptos" w:hAnsi="Times New Roman" w:cs="Times New Roman"/>
        </w:rPr>
        <w:t>, 2020).</w:t>
      </w:r>
    </w:p>
    <w:p w14:paraId="7A588D13"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 xml:space="preserve">En la misma línea, las reflexiones académicas apuntan a la necesidad de adoptar una visión integral en la que el derecho penal funcione en coordinación con políticas públicas sólidas para afrontar las crisis sanitarias (OPS, 2021). Así, no solo se castigaría a quienes violen obligaciones fundamentales, sino que también se reforzaría la capacidad de respuesta del sistema de salud mediante reformas estructurales, mayor transparencia y la implementación de órganos de supervisión independientes. Un ejemplo de ello es el caso peruano, donde se persigue tanto la corrupción como la </w:t>
      </w:r>
      <w:r>
        <w:rPr>
          <w:rFonts w:ascii="Times New Roman" w:eastAsia="Aptos" w:hAnsi="Times New Roman" w:cs="Times New Roman"/>
        </w:rPr>
        <w:lastRenderedPageBreak/>
        <w:t>negligencia en la gestión de emergencias, reforzando la idea de que actuar sobre los factores estructurales reduce la probabilidad de que estas conductas se repitan.</w:t>
      </w:r>
    </w:p>
    <w:p w14:paraId="322907D7" w14:textId="77777777"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En conclusión, la experiencia mexicana refleja los desafíos que enfrenta el derecho penal para proteger el derecho a la salud en escenarios de alta vulnerabilidad. Sin un marco normativo claro que abarque la complejidad de las emergencias sanitarias, y sin una base institucional sólida que promueva la prevención y fiscalización, los esfuerzos punitivos pueden resultar insuficientes o incluso contraproducentes. Fortalecer la especialización de las leyes, formar a los operadores jurídicos en materia sanitaria y promover la transparencia en la gestión de recursos se vislumbran como pasos esenciales para asegurar una respuesta eficaz y justa ante futuras crisis. De esta manera, se contribuiría no solo a sancionar negligencias graves, sino también a prevenirlas y a salvaguardar de forma efectiva el derecho fundamental a la salud de la población.</w:t>
      </w:r>
    </w:p>
    <w:p w14:paraId="0917C422" w14:textId="77777777" w:rsidR="00D97A4B" w:rsidRDefault="00D97A4B" w:rsidP="00D97A4B">
      <w:pPr>
        <w:spacing w:after="0" w:line="360" w:lineRule="auto"/>
        <w:jc w:val="both"/>
        <w:rPr>
          <w:rFonts w:ascii="Times New Roman" w:eastAsia="Aptos" w:hAnsi="Times New Roman" w:cs="Times New Roman"/>
        </w:rPr>
      </w:pPr>
    </w:p>
    <w:p w14:paraId="06D23E04" w14:textId="77777777" w:rsidR="00807258" w:rsidRPr="00D97A4B" w:rsidRDefault="00D97A4B" w:rsidP="00D97A4B">
      <w:pPr>
        <w:pStyle w:val="Ttulo3"/>
        <w:spacing w:before="0" w:line="360" w:lineRule="auto"/>
        <w:jc w:val="center"/>
        <w:rPr>
          <w:rFonts w:ascii="Times New Roman" w:hAnsi="Times New Roman" w:cs="Times New Roman"/>
          <w:color w:val="auto"/>
          <w:sz w:val="32"/>
          <w:szCs w:val="32"/>
        </w:rPr>
      </w:pPr>
      <w:r w:rsidRPr="00D97A4B">
        <w:rPr>
          <w:rFonts w:ascii="Times New Roman" w:eastAsia="Aptos" w:hAnsi="Times New Roman" w:cs="Times New Roman"/>
          <w:b/>
          <w:bCs/>
          <w:color w:val="auto"/>
          <w:sz w:val="32"/>
          <w:szCs w:val="32"/>
        </w:rPr>
        <w:t>Conclusiones</w:t>
      </w:r>
    </w:p>
    <w:p w14:paraId="4AA1D973"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El análisis de la negligencia en salud pública y su relación con la responsabilidad penal en México permite evidenciar que las emergencias sanitarias no solo son pruebas de resistencia para los sistemas de salud, sino también evaluaciones de la eficacia de los marcos jurídicos que rigen su funcionamiento. A través de los casos representativos y las estadísticas revisadas, queda claro que la implementación efectiva de la responsabilidad penal enfrenta barreras significativas, como la dificultad de establecer pruebas directas, la falta de normatividad específica para crisis sanitarias y las tensiones éticas y políticas en la toma de decisiones bajo presión.</w:t>
      </w:r>
    </w:p>
    <w:p w14:paraId="3E1FDAE2"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Los hallazgos de este artículo subrayan la necesidad de adoptar un enfoque integral que combine sanciones penales con reformas estructurales y preventivas. Por un lado, el derecho penal sigue siendo una herramienta crucial para garantizar la rendición de cuentas y prevenir omisiones graves. Por otro, su efectividad depende de la existencia de mecanismos de supervisión, protocolos claros y una capacitación adecuada de los actores involucrados, desde profesionales médicos hasta tomadores de decisiones políticas.</w:t>
      </w:r>
    </w:p>
    <w:p w14:paraId="671CDC3A"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 xml:space="preserve">En el contexto mexicano, la experiencia vivida durante la pandemia de COVID-19 representa un llamado urgente para reformar las estructuras legales e institucionales que regulan la salud pública. Las carencias en infraestructura hospitalaria, la insuficiencia de insumos y la falta de coordinación entre niveles de gobierno no solo exacerbaron los impactos de la crisis, sino que también evidenciaron la necesidad de </w:t>
      </w:r>
      <w:r>
        <w:rPr>
          <w:rFonts w:ascii="Times New Roman" w:eastAsia="Aptos" w:hAnsi="Times New Roman" w:cs="Times New Roman"/>
        </w:rPr>
        <w:lastRenderedPageBreak/>
        <w:t>normativas específicas que regulen la gestión de emergencias sanitarias. La comparación con países de la región resalta prácticas y enfoques que podrían ser adaptados para fortalecer el marco normativo mexicano.</w:t>
      </w:r>
    </w:p>
    <w:p w14:paraId="59398BE3"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Además, el análisis destaca que las barreras legales actuales, como la dificultad de probar causalidades directas y la limitada capacidad del sistema judicial, deben ser abordadas a través de estrategias innovadoras que permitan una aplicación más efectiva de la ley. Estas estrategias incluyen el diseño de sistemas de monitoreo en tiempo real, la adopción de tecnologías emergentes para la gestión de recursos y la promoción de la transparencia en la distribución de insumos durante crisis.</w:t>
      </w:r>
    </w:p>
    <w:p w14:paraId="0FB8761C"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Finalmente, este artículo no solo busca exponer los problemas existentes, sino también establecer una base para futuras investigaciones que permitan abordar las limitaciones identificadas. Es fundamental explorar metodologías que evalúen el impacto de las reformas normativas en la prevención de negligencias y diseñar herramientas que midan la efectividad de las respuestas a emergencias sanitarias. Del mismo modo, las futuras líneas de investigación deben incluir un análisis comparativo de modelos internacionales que puedan ser adaptados al contexto mexicano, así como la implementación de observatorios ciudadanos que monitoreen el desempeño del sistema de salud en tiempo real.</w:t>
      </w:r>
    </w:p>
    <w:p w14:paraId="3297C034"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En síntesis, este estudio concluye que la responsabilidad penal puede ser un instrumento efectivo para garantizar la rendición de cuentas en el ámbito de la salud pública, siempre y cuando se integre en un marco más amplio de políticas y estrategias preventivas. Este enfoque integral no solo fortalecerá la capacidad del sistema de salud para responder a futuras crisis, sino que también fomentará una cultura de transparencia y equidad, protegiendo de manera efectiva los derechos fundamentales de la población.</w:t>
      </w:r>
    </w:p>
    <w:p w14:paraId="333C039A" w14:textId="77777777" w:rsidR="00807258" w:rsidRDefault="00807258" w:rsidP="00D97A4B">
      <w:pPr>
        <w:pStyle w:val="Ttulo3"/>
        <w:spacing w:before="0" w:line="360" w:lineRule="auto"/>
        <w:ind w:firstLine="709"/>
        <w:jc w:val="center"/>
        <w:rPr>
          <w:rFonts w:ascii="Times New Roman" w:eastAsia="Aptos" w:hAnsi="Times New Roman" w:cs="Times New Roman"/>
          <w:b/>
          <w:bCs/>
          <w:color w:val="auto"/>
          <w:sz w:val="28"/>
          <w:szCs w:val="28"/>
        </w:rPr>
      </w:pPr>
    </w:p>
    <w:p w14:paraId="2063047D" w14:textId="77777777" w:rsidR="00807258" w:rsidRDefault="00D97A4B" w:rsidP="00D97A4B">
      <w:pPr>
        <w:pStyle w:val="Ttulo3"/>
        <w:spacing w:before="0" w:line="360" w:lineRule="auto"/>
        <w:ind w:firstLine="709"/>
        <w:jc w:val="center"/>
        <w:rPr>
          <w:rFonts w:ascii="Times New Roman" w:hAnsi="Times New Roman" w:cs="Times New Roman"/>
          <w:color w:val="auto"/>
          <w:sz w:val="28"/>
          <w:szCs w:val="28"/>
        </w:rPr>
      </w:pPr>
      <w:r>
        <w:rPr>
          <w:rFonts w:ascii="Times New Roman" w:eastAsia="Aptos" w:hAnsi="Times New Roman" w:cs="Times New Roman"/>
          <w:b/>
          <w:bCs/>
          <w:color w:val="auto"/>
          <w:sz w:val="28"/>
          <w:szCs w:val="28"/>
        </w:rPr>
        <w:t>Futuras Líneas de Investigación</w:t>
      </w:r>
    </w:p>
    <w:p w14:paraId="11AFE536" w14:textId="77777777" w:rsidR="00807258"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La prevención de negligencias en salud pública requiere un enfoque integral que aborde tanto las deficiencias estructurales como las limitaciones legales del sistema de salud mexicano. En este contexto, las futuras líneas de investigación y desarrollo legislativo deben enfocarse en fortalecer las capacidades institucionales, promover la transparencia y establecer un marco jurídico que responda eficazmente a las complejidades de las emergencias sanitarias. Este apartado propone áreas clave de acción que pueden contribuir significativamente a reducir las negligencias en el futuro.</w:t>
      </w:r>
    </w:p>
    <w:p w14:paraId="2495B23A" w14:textId="77777777" w:rsidR="00C53067" w:rsidRDefault="00C53067" w:rsidP="00D97A4B">
      <w:pPr>
        <w:spacing w:after="0" w:line="360" w:lineRule="auto"/>
        <w:ind w:firstLine="709"/>
        <w:jc w:val="both"/>
        <w:rPr>
          <w:rFonts w:ascii="Times New Roman" w:hAnsi="Times New Roman" w:cs="Times New Roman"/>
        </w:rPr>
      </w:pPr>
    </w:p>
    <w:p w14:paraId="23F90C21"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lastRenderedPageBreak/>
        <w:t>El desarrollo de normativas específicas para emergencias sanitarias es una prioridad para garantizar que las acciones u omisiones que resulten en daño grave sean sancionadas de manera adecuada. Actualmente, el Código Penal Federal contempla disposiciones generales sobre negligencia médica y administrativa, pero carece de artículos específicos que aborden la complejidad de las crisis sanitarias.</w:t>
      </w:r>
    </w:p>
    <w:p w14:paraId="24531AB8" w14:textId="77777777" w:rsidR="00807258" w:rsidRDefault="00D97A4B" w:rsidP="00D97A4B">
      <w:pPr>
        <w:spacing w:after="0" w:line="360" w:lineRule="auto"/>
        <w:ind w:firstLine="709"/>
        <w:jc w:val="both"/>
        <w:rPr>
          <w:rFonts w:ascii="Times New Roman" w:hAnsi="Times New Roman" w:cs="Times New Roman"/>
        </w:rPr>
      </w:pPr>
      <w:r>
        <w:rPr>
          <w:rFonts w:ascii="Times New Roman" w:eastAsia="Aptos" w:hAnsi="Times New Roman" w:cs="Times New Roman"/>
        </w:rPr>
        <w:t>La capacitación de los actores clave en el sistema de salud es fundamental para prevenir negligencias y garantizar una respuesta adecuada ante emergencias. Las investigaciones futuras pueden explorar la implementación de programas de formación dirigidos a funcionarios públicos, administradores hospitalarios y profesionales de la salud.</w:t>
      </w:r>
    </w:p>
    <w:p w14:paraId="028113C1" w14:textId="1C81C0FA" w:rsidR="00D97A4B" w:rsidRDefault="00D97A4B" w:rsidP="00D97A4B">
      <w:pPr>
        <w:spacing w:after="0" w:line="360" w:lineRule="auto"/>
        <w:ind w:firstLine="709"/>
        <w:jc w:val="both"/>
        <w:rPr>
          <w:rFonts w:ascii="Times New Roman" w:eastAsia="Aptos" w:hAnsi="Times New Roman" w:cs="Times New Roman"/>
        </w:rPr>
      </w:pPr>
      <w:r>
        <w:rPr>
          <w:rFonts w:ascii="Times New Roman" w:eastAsia="Aptos" w:hAnsi="Times New Roman" w:cs="Times New Roman"/>
        </w:rPr>
        <w:t>El desarrollo de herramientas de evaluación es crucial para identificar de manera temprana las áreas donde pueden ocurrir negligencias. Estas herramientas deben ser diseñadas para monitorear la efectividad de las respuestas a emergencias y permitir la intervención oportuna en caso.</w:t>
      </w:r>
    </w:p>
    <w:p w14:paraId="15096863" w14:textId="77777777" w:rsidR="00D97A4B" w:rsidRDefault="00D97A4B" w:rsidP="00D97A4B">
      <w:pPr>
        <w:spacing w:after="0" w:line="360" w:lineRule="auto"/>
        <w:jc w:val="both"/>
        <w:rPr>
          <w:rFonts w:ascii="Times New Roman" w:eastAsia="Aptos" w:hAnsi="Times New Roman" w:cs="Times New Roman"/>
        </w:rPr>
      </w:pPr>
    </w:p>
    <w:p w14:paraId="057BCF43" w14:textId="7B4EB1D6" w:rsidR="00807258" w:rsidRPr="00D97A4B" w:rsidRDefault="00D97A4B" w:rsidP="00D97A4B">
      <w:pPr>
        <w:spacing w:after="0" w:line="360" w:lineRule="auto"/>
        <w:jc w:val="both"/>
        <w:rPr>
          <w:rFonts w:ascii="Calibri" w:eastAsia="Aptos" w:hAnsi="Calibri" w:cs="Calibri"/>
          <w:lang w:val="en-US"/>
        </w:rPr>
      </w:pPr>
      <w:proofErr w:type="spellStart"/>
      <w:r w:rsidRPr="00D97A4B">
        <w:rPr>
          <w:rFonts w:ascii="Calibri" w:hAnsi="Calibri" w:cs="Calibri"/>
          <w:b/>
          <w:bCs/>
          <w:sz w:val="28"/>
          <w:szCs w:val="28"/>
          <w:lang w:val="en-US"/>
        </w:rPr>
        <w:t>Referencias</w:t>
      </w:r>
      <w:proofErr w:type="spellEnd"/>
    </w:p>
    <w:p w14:paraId="79CAE533" w14:textId="1960E3DB" w:rsidR="00807258" w:rsidRPr="00C53067" w:rsidRDefault="00D97A4B" w:rsidP="00D97A4B">
      <w:pPr>
        <w:pStyle w:val="Textoindependiente"/>
        <w:spacing w:after="0" w:line="360" w:lineRule="auto"/>
        <w:ind w:left="709" w:hanging="709"/>
        <w:jc w:val="both"/>
        <w:rPr>
          <w:rFonts w:ascii="Times New Roman" w:eastAsia="Aptos" w:hAnsi="Times New Roman" w:cs="Times New Roman"/>
          <w:lang w:val="es-MX"/>
        </w:rPr>
      </w:pPr>
      <w:r w:rsidRPr="00D97A4B">
        <w:rPr>
          <w:rFonts w:ascii="Times New Roman" w:hAnsi="Times New Roman" w:cs="Times New Roman"/>
          <w:lang w:val="en-US"/>
        </w:rPr>
        <w:t xml:space="preserve">American Public Health Association. (2021). </w:t>
      </w:r>
      <w:r w:rsidRPr="00D97A4B">
        <w:rPr>
          <w:rStyle w:val="nfasis"/>
          <w:rFonts w:ascii="Times New Roman" w:hAnsi="Times New Roman" w:cs="Times New Roman"/>
          <w:lang w:val="en-US"/>
        </w:rPr>
        <w:t>Public health and negligence: Challenges in modern crises</w:t>
      </w:r>
      <w:r w:rsidRPr="00D97A4B">
        <w:rPr>
          <w:rStyle w:val="Hipervnculo"/>
          <w:rFonts w:ascii="Times New Roman" w:hAnsi="Times New Roman" w:cs="Times New Roman"/>
          <w:lang w:val="en-US"/>
        </w:rPr>
        <w:t xml:space="preserve">. </w:t>
      </w:r>
      <w:r w:rsidRPr="00C53067">
        <w:rPr>
          <w:rStyle w:val="Hipervnculo"/>
          <w:rFonts w:ascii="Times New Roman" w:hAnsi="Times New Roman" w:cs="Times New Roman"/>
          <w:lang w:val="es-MX"/>
        </w:rPr>
        <w:t xml:space="preserve">Recuperado de </w:t>
      </w:r>
      <w:hyperlink r:id="rId8" w:tgtFrame="_new">
        <w:r w:rsidRPr="00C53067">
          <w:rPr>
            <w:rStyle w:val="Hipervnculo"/>
            <w:rFonts w:ascii="Times New Roman" w:hAnsi="Times New Roman" w:cs="Times New Roman"/>
            <w:lang w:val="es-MX"/>
          </w:rPr>
          <w:t>https://www.apha.org</w:t>
        </w:r>
      </w:hyperlink>
    </w:p>
    <w:p w14:paraId="77C7C7A4"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C53067">
        <w:rPr>
          <w:rFonts w:ascii="Times New Roman" w:hAnsi="Times New Roman" w:cs="Times New Roman"/>
          <w:lang w:val="es-MX"/>
        </w:rPr>
        <w:t xml:space="preserve">Case, A., &amp; </w:t>
      </w:r>
      <w:proofErr w:type="spellStart"/>
      <w:r w:rsidRPr="00C53067">
        <w:rPr>
          <w:rFonts w:ascii="Times New Roman" w:hAnsi="Times New Roman" w:cs="Times New Roman"/>
          <w:lang w:val="es-MX"/>
        </w:rPr>
        <w:t>Deaton</w:t>
      </w:r>
      <w:proofErr w:type="spellEnd"/>
      <w:r w:rsidRPr="00C53067">
        <w:rPr>
          <w:rFonts w:ascii="Times New Roman" w:hAnsi="Times New Roman" w:cs="Times New Roman"/>
          <w:lang w:val="es-MX"/>
        </w:rPr>
        <w:t xml:space="preserve">, A. (2020). </w:t>
      </w:r>
      <w:r w:rsidRPr="00D97A4B">
        <w:rPr>
          <w:rStyle w:val="nfasis"/>
          <w:rFonts w:ascii="Times New Roman" w:hAnsi="Times New Roman" w:cs="Times New Roman"/>
          <w:lang w:val="en-US"/>
        </w:rPr>
        <w:t>Deaths of despair and the future of capitalism</w:t>
      </w:r>
      <w:r w:rsidRPr="00D97A4B">
        <w:rPr>
          <w:rFonts w:ascii="Times New Roman" w:hAnsi="Times New Roman" w:cs="Times New Roman"/>
          <w:lang w:val="en-US"/>
        </w:rPr>
        <w:t xml:space="preserve">. </w:t>
      </w:r>
      <w:r w:rsidRPr="00D97A4B">
        <w:rPr>
          <w:rFonts w:ascii="Times New Roman" w:hAnsi="Times New Roman" w:cs="Times New Roman"/>
        </w:rPr>
        <w:t xml:space="preserve">Princeton </w:t>
      </w:r>
      <w:proofErr w:type="spellStart"/>
      <w:r w:rsidRPr="00D97A4B">
        <w:rPr>
          <w:rFonts w:ascii="Times New Roman" w:hAnsi="Times New Roman" w:cs="Times New Roman"/>
        </w:rPr>
        <w:t>University</w:t>
      </w:r>
      <w:proofErr w:type="spellEnd"/>
      <w:r w:rsidRPr="00D97A4B">
        <w:rPr>
          <w:rFonts w:ascii="Times New Roman" w:hAnsi="Times New Roman" w:cs="Times New Roman"/>
        </w:rPr>
        <w:t xml:space="preserve"> </w:t>
      </w:r>
      <w:proofErr w:type="spellStart"/>
      <w:r w:rsidRPr="00D97A4B">
        <w:rPr>
          <w:rFonts w:ascii="Times New Roman" w:hAnsi="Times New Roman" w:cs="Times New Roman"/>
        </w:rPr>
        <w:t>Press</w:t>
      </w:r>
      <w:proofErr w:type="spellEnd"/>
      <w:r w:rsidRPr="00D97A4B">
        <w:rPr>
          <w:rFonts w:ascii="Times New Roman" w:hAnsi="Times New Roman" w:cs="Times New Roman"/>
        </w:rPr>
        <w:t>.</w:t>
      </w:r>
    </w:p>
    <w:p w14:paraId="4642D0FE"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CONEVAL. (2021). </w:t>
      </w:r>
      <w:r w:rsidRPr="00D97A4B">
        <w:rPr>
          <w:rStyle w:val="nfasis"/>
          <w:rFonts w:ascii="Times New Roman" w:hAnsi="Times New Roman" w:cs="Times New Roman"/>
        </w:rPr>
        <w:t>Evaluación de la política pública durante la pandemia de COVID-19</w:t>
      </w:r>
      <w:r w:rsidRPr="00D97A4B">
        <w:rPr>
          <w:rFonts w:ascii="Times New Roman" w:hAnsi="Times New Roman" w:cs="Times New Roman"/>
        </w:rPr>
        <w:t xml:space="preserve">. Recuperado de </w:t>
      </w:r>
      <w:hyperlink r:id="rId9" w:tgtFrame="_new">
        <w:r w:rsidRPr="00D97A4B">
          <w:rPr>
            <w:rStyle w:val="Hipervnculo"/>
            <w:rFonts w:ascii="Times New Roman" w:hAnsi="Times New Roman" w:cs="Times New Roman"/>
          </w:rPr>
          <w:t>https://www.coneval.org.mx</w:t>
        </w:r>
      </w:hyperlink>
    </w:p>
    <w:p w14:paraId="0C588834"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CONEVAL. (2022a). </w:t>
      </w:r>
      <w:r w:rsidRPr="00D97A4B">
        <w:rPr>
          <w:rStyle w:val="nfasis"/>
          <w:rFonts w:ascii="Times New Roman" w:hAnsi="Times New Roman" w:cs="Times New Roman"/>
        </w:rPr>
        <w:t>Análisis de la gestión hospitalaria durante la pandemia</w:t>
      </w:r>
      <w:r w:rsidRPr="00D97A4B">
        <w:rPr>
          <w:rFonts w:ascii="Times New Roman" w:hAnsi="Times New Roman" w:cs="Times New Roman"/>
        </w:rPr>
        <w:t xml:space="preserve">. Recuperado de </w:t>
      </w:r>
      <w:hyperlink r:id="rId10" w:tgtFrame="_new">
        <w:r w:rsidRPr="00D97A4B">
          <w:rPr>
            <w:rStyle w:val="Hipervnculo"/>
            <w:rFonts w:ascii="Times New Roman" w:hAnsi="Times New Roman" w:cs="Times New Roman"/>
          </w:rPr>
          <w:t>https://www.coneval.org.mx</w:t>
        </w:r>
      </w:hyperlink>
    </w:p>
    <w:p w14:paraId="3B6DE3E5"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CONEVAL. (2022b). </w:t>
      </w:r>
      <w:r w:rsidRPr="00D97A4B">
        <w:rPr>
          <w:rStyle w:val="nfasis"/>
          <w:rFonts w:ascii="Times New Roman" w:hAnsi="Times New Roman" w:cs="Times New Roman"/>
        </w:rPr>
        <w:t>Informe sobre carencias en hospitales públicos durante la pandemia</w:t>
      </w:r>
      <w:r w:rsidRPr="00D97A4B">
        <w:rPr>
          <w:rFonts w:ascii="Times New Roman" w:hAnsi="Times New Roman" w:cs="Times New Roman"/>
        </w:rPr>
        <w:t xml:space="preserve">. Recuperado de </w:t>
      </w:r>
      <w:hyperlink r:id="rId11" w:tgtFrame="_new">
        <w:r w:rsidRPr="00D97A4B">
          <w:rPr>
            <w:rStyle w:val="Hipervnculo"/>
            <w:rFonts w:ascii="Times New Roman" w:hAnsi="Times New Roman" w:cs="Times New Roman"/>
          </w:rPr>
          <w:t>https://www.coneval.org.mx</w:t>
        </w:r>
      </w:hyperlink>
    </w:p>
    <w:p w14:paraId="01CC9A18"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CONEVAL. (2022c). </w:t>
      </w:r>
      <w:r w:rsidRPr="00D97A4B">
        <w:rPr>
          <w:rStyle w:val="nfasis"/>
          <w:rFonts w:ascii="Times New Roman" w:hAnsi="Times New Roman" w:cs="Times New Roman"/>
        </w:rPr>
        <w:t>Informes sobre la situación hospitalaria durante la pandemia de COVID-19</w:t>
      </w:r>
      <w:r w:rsidRPr="00D97A4B">
        <w:rPr>
          <w:rFonts w:ascii="Times New Roman" w:hAnsi="Times New Roman" w:cs="Times New Roman"/>
        </w:rPr>
        <w:t xml:space="preserve">. Recuperado de </w:t>
      </w:r>
      <w:hyperlink r:id="rId12" w:tgtFrame="_new">
        <w:r w:rsidRPr="00D97A4B">
          <w:rPr>
            <w:rStyle w:val="Hipervnculo"/>
            <w:rFonts w:ascii="Times New Roman" w:hAnsi="Times New Roman" w:cs="Times New Roman"/>
          </w:rPr>
          <w:t>https://www.coneval.org.mx</w:t>
        </w:r>
      </w:hyperlink>
    </w:p>
    <w:p w14:paraId="21402C4A"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Código Penal Federal. (2022a). </w:t>
      </w:r>
      <w:r w:rsidRPr="00D97A4B">
        <w:rPr>
          <w:rStyle w:val="nfasis"/>
          <w:rFonts w:ascii="Times New Roman" w:hAnsi="Times New Roman" w:cs="Times New Roman"/>
        </w:rPr>
        <w:t>Artículo 229: Responsabilidad profesional médica</w:t>
      </w:r>
      <w:r w:rsidRPr="00D97A4B">
        <w:rPr>
          <w:rFonts w:ascii="Times New Roman" w:hAnsi="Times New Roman" w:cs="Times New Roman"/>
        </w:rPr>
        <w:t>. Diario Oficial de la Federación.</w:t>
      </w:r>
    </w:p>
    <w:p w14:paraId="35EFD4C0"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Código Penal Federal. (2022b). </w:t>
      </w:r>
      <w:r w:rsidRPr="00D97A4B">
        <w:rPr>
          <w:rStyle w:val="nfasis"/>
          <w:rFonts w:ascii="Times New Roman" w:hAnsi="Times New Roman" w:cs="Times New Roman"/>
        </w:rPr>
        <w:t>Artículos 214 y 229</w:t>
      </w:r>
      <w:r w:rsidRPr="00D97A4B">
        <w:rPr>
          <w:rFonts w:ascii="Times New Roman" w:hAnsi="Times New Roman" w:cs="Times New Roman"/>
        </w:rPr>
        <w:t xml:space="preserve">. Diario Oficial de la Federación. Recuperado de </w:t>
      </w:r>
      <w:hyperlink r:id="rId13" w:tgtFrame="_new">
        <w:r w:rsidRPr="00D97A4B">
          <w:rPr>
            <w:rStyle w:val="Hipervnculo"/>
            <w:rFonts w:ascii="Times New Roman" w:hAnsi="Times New Roman" w:cs="Times New Roman"/>
          </w:rPr>
          <w:t>https://www.diputados.gob.mx</w:t>
        </w:r>
      </w:hyperlink>
    </w:p>
    <w:p w14:paraId="4CC18744"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Código Penal Federal. (2022c). </w:t>
      </w:r>
      <w:r w:rsidRPr="00D97A4B">
        <w:rPr>
          <w:rStyle w:val="nfasis"/>
          <w:rFonts w:ascii="Times New Roman" w:hAnsi="Times New Roman" w:cs="Times New Roman"/>
        </w:rPr>
        <w:t>Artículos relevantes sobre negligencia médica y administrativa</w:t>
      </w:r>
      <w:r w:rsidRPr="00D97A4B">
        <w:rPr>
          <w:rFonts w:ascii="Times New Roman" w:hAnsi="Times New Roman" w:cs="Times New Roman"/>
        </w:rPr>
        <w:t>. Diario Oficial de la Federación.</w:t>
      </w:r>
    </w:p>
    <w:p w14:paraId="376F1A6A"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lastRenderedPageBreak/>
        <w:t xml:space="preserve">Consejo General de Poder Judicial de España. (2022a). </w:t>
      </w:r>
      <w:r w:rsidRPr="00D97A4B">
        <w:rPr>
          <w:rStyle w:val="nfasis"/>
          <w:rFonts w:ascii="Times New Roman" w:hAnsi="Times New Roman" w:cs="Times New Roman"/>
        </w:rPr>
        <w:t>Sentencias por negligencia sanitaria</w:t>
      </w:r>
      <w:r w:rsidRPr="00D97A4B">
        <w:rPr>
          <w:rFonts w:ascii="Times New Roman" w:hAnsi="Times New Roman" w:cs="Times New Roman"/>
        </w:rPr>
        <w:t xml:space="preserve">. Recuperado de </w:t>
      </w:r>
      <w:hyperlink r:id="rId14" w:tgtFrame="_new">
        <w:r w:rsidRPr="00D97A4B">
          <w:rPr>
            <w:rStyle w:val="Hipervnculo"/>
            <w:rFonts w:ascii="Times New Roman" w:hAnsi="Times New Roman" w:cs="Times New Roman"/>
          </w:rPr>
          <w:t>https://www.poderjudicial.es</w:t>
        </w:r>
      </w:hyperlink>
    </w:p>
    <w:p w14:paraId="3C551EC3"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Consejo General de Poder Judicial de España. (2022b). </w:t>
      </w:r>
      <w:r w:rsidRPr="00D97A4B">
        <w:rPr>
          <w:rStyle w:val="nfasis"/>
          <w:rFonts w:ascii="Times New Roman" w:hAnsi="Times New Roman" w:cs="Times New Roman"/>
        </w:rPr>
        <w:t>Sentencias relacionadas con negligencia sanitaria</w:t>
      </w:r>
      <w:r w:rsidRPr="00D97A4B">
        <w:rPr>
          <w:rFonts w:ascii="Times New Roman" w:hAnsi="Times New Roman" w:cs="Times New Roman"/>
        </w:rPr>
        <w:t xml:space="preserve">. Recuperado de </w:t>
      </w:r>
      <w:hyperlink r:id="rId15" w:tgtFrame="_new">
        <w:r w:rsidRPr="00D97A4B">
          <w:rPr>
            <w:rStyle w:val="Hipervnculo"/>
            <w:rFonts w:ascii="Times New Roman" w:hAnsi="Times New Roman" w:cs="Times New Roman"/>
          </w:rPr>
          <w:t>https://www.poderjudicial.es</w:t>
        </w:r>
      </w:hyperlink>
    </w:p>
    <w:p w14:paraId="2889F8E8"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Consejo Nacional de Salud. (2020). </w:t>
      </w:r>
      <w:r w:rsidRPr="00D97A4B">
        <w:rPr>
          <w:rStyle w:val="nfasis"/>
          <w:rFonts w:ascii="Times New Roman" w:hAnsi="Times New Roman" w:cs="Times New Roman"/>
        </w:rPr>
        <w:t>Reporte sobre la distribución de recursos médicos en México</w:t>
      </w:r>
      <w:r w:rsidRPr="00D97A4B">
        <w:rPr>
          <w:rFonts w:ascii="Times New Roman" w:hAnsi="Times New Roman" w:cs="Times New Roman"/>
        </w:rPr>
        <w:t xml:space="preserve">. Recuperado de </w:t>
      </w:r>
      <w:hyperlink r:id="rId16" w:tgtFrame="_new">
        <w:r w:rsidRPr="00D97A4B">
          <w:rPr>
            <w:rStyle w:val="Hipervnculo"/>
            <w:rFonts w:ascii="Times New Roman" w:hAnsi="Times New Roman" w:cs="Times New Roman"/>
          </w:rPr>
          <w:t>https://www.gob.mx</w:t>
        </w:r>
      </w:hyperlink>
    </w:p>
    <w:p w14:paraId="501E9C7F"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Consejo Nacional de Salud. (2021a). </w:t>
      </w:r>
      <w:r w:rsidRPr="00D97A4B">
        <w:rPr>
          <w:rStyle w:val="nfasis"/>
          <w:rFonts w:ascii="Times New Roman" w:hAnsi="Times New Roman" w:cs="Times New Roman"/>
        </w:rPr>
        <w:t>Reporte sobre denuncias relacionadas con negligencia médica y administrativa en México</w:t>
      </w:r>
      <w:r w:rsidRPr="00D97A4B">
        <w:rPr>
          <w:rFonts w:ascii="Times New Roman" w:hAnsi="Times New Roman" w:cs="Times New Roman"/>
        </w:rPr>
        <w:t xml:space="preserve">. Recuperado de </w:t>
      </w:r>
      <w:hyperlink r:id="rId17" w:tgtFrame="_new">
        <w:r w:rsidRPr="00D97A4B">
          <w:rPr>
            <w:rStyle w:val="Hipervnculo"/>
            <w:rFonts w:ascii="Times New Roman" w:hAnsi="Times New Roman" w:cs="Times New Roman"/>
          </w:rPr>
          <w:t>https://www.salud.gob.mx</w:t>
        </w:r>
      </w:hyperlink>
    </w:p>
    <w:p w14:paraId="4166812A"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Consejo Nacional de Salud. (2021b). </w:t>
      </w:r>
      <w:r w:rsidRPr="00D97A4B">
        <w:rPr>
          <w:rStyle w:val="nfasis"/>
          <w:rFonts w:ascii="Times New Roman" w:hAnsi="Times New Roman" w:cs="Times New Roman"/>
        </w:rPr>
        <w:t>Reporte sobre la gestión de emergencias sanitarias en México</w:t>
      </w:r>
      <w:r w:rsidRPr="00D97A4B">
        <w:rPr>
          <w:rFonts w:ascii="Times New Roman" w:hAnsi="Times New Roman" w:cs="Times New Roman"/>
        </w:rPr>
        <w:t xml:space="preserve">. Recuperado de </w:t>
      </w:r>
      <w:hyperlink r:id="rId18" w:tgtFrame="_new">
        <w:r w:rsidRPr="00D97A4B">
          <w:rPr>
            <w:rStyle w:val="Hipervnculo"/>
            <w:rFonts w:ascii="Times New Roman" w:hAnsi="Times New Roman" w:cs="Times New Roman"/>
          </w:rPr>
          <w:t>https://www.salud.gob.mx</w:t>
        </w:r>
      </w:hyperlink>
    </w:p>
    <w:p w14:paraId="1475F79C"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Consejo Nacional de Salud. (2021c). </w:t>
      </w:r>
      <w:r w:rsidRPr="00D97A4B">
        <w:rPr>
          <w:rStyle w:val="nfasis"/>
          <w:rFonts w:ascii="Times New Roman" w:hAnsi="Times New Roman" w:cs="Times New Roman"/>
        </w:rPr>
        <w:t>Reporte sobre denuncias e investigaciones por negligencia médica</w:t>
      </w:r>
      <w:r w:rsidRPr="00D97A4B">
        <w:rPr>
          <w:rFonts w:ascii="Times New Roman" w:hAnsi="Times New Roman" w:cs="Times New Roman"/>
        </w:rPr>
        <w:t xml:space="preserve">. Recuperado de </w:t>
      </w:r>
      <w:hyperlink r:id="rId19" w:tgtFrame="_new">
        <w:r w:rsidRPr="00D97A4B">
          <w:rPr>
            <w:rStyle w:val="Hipervnculo"/>
            <w:rFonts w:ascii="Times New Roman" w:hAnsi="Times New Roman" w:cs="Times New Roman"/>
          </w:rPr>
          <w:t>https://www.salud.gob.mx</w:t>
        </w:r>
      </w:hyperlink>
    </w:p>
    <w:p w14:paraId="0CA8DCDD"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Fiscalía General de la República (FGR). (2022). </w:t>
      </w:r>
      <w:r w:rsidRPr="00D97A4B">
        <w:rPr>
          <w:rStyle w:val="nfasis"/>
          <w:rFonts w:ascii="Times New Roman" w:hAnsi="Times New Roman" w:cs="Times New Roman"/>
        </w:rPr>
        <w:t>Casos judiciales por negligencia sanitaria en México</w:t>
      </w:r>
      <w:r w:rsidRPr="00D97A4B">
        <w:rPr>
          <w:rFonts w:ascii="Times New Roman" w:hAnsi="Times New Roman" w:cs="Times New Roman"/>
        </w:rPr>
        <w:t xml:space="preserve">. Recuperado de </w:t>
      </w:r>
      <w:hyperlink r:id="rId20" w:tgtFrame="_new">
        <w:r w:rsidRPr="00D97A4B">
          <w:rPr>
            <w:rStyle w:val="Hipervnculo"/>
            <w:rFonts w:ascii="Times New Roman" w:hAnsi="Times New Roman" w:cs="Times New Roman"/>
          </w:rPr>
          <w:t>https://www.fgr.gob.mx</w:t>
        </w:r>
      </w:hyperlink>
    </w:p>
    <w:p w14:paraId="452DBECF"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INEGI. (2020). </w:t>
      </w:r>
      <w:r w:rsidRPr="00D97A4B">
        <w:rPr>
          <w:rStyle w:val="nfasis"/>
          <w:rFonts w:ascii="Times New Roman" w:hAnsi="Times New Roman" w:cs="Times New Roman"/>
        </w:rPr>
        <w:t>Estadísticas sobre mortalidad durante la pandemia de COVID-19</w:t>
      </w:r>
      <w:r w:rsidRPr="00D97A4B">
        <w:rPr>
          <w:rFonts w:ascii="Times New Roman" w:hAnsi="Times New Roman" w:cs="Times New Roman"/>
        </w:rPr>
        <w:t xml:space="preserve">. Recuperado de </w:t>
      </w:r>
      <w:hyperlink r:id="rId21" w:tgtFrame="_new">
        <w:r w:rsidRPr="00D97A4B">
          <w:rPr>
            <w:rStyle w:val="Hipervnculo"/>
            <w:rFonts w:ascii="Times New Roman" w:hAnsi="Times New Roman" w:cs="Times New Roman"/>
          </w:rPr>
          <w:t>https://www.inegi.org.mx</w:t>
        </w:r>
      </w:hyperlink>
    </w:p>
    <w:p w14:paraId="06FDF1B4"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Observatorio de Políticas Públicas en Salud. (2020). </w:t>
      </w:r>
      <w:r w:rsidRPr="00D97A4B">
        <w:rPr>
          <w:rStyle w:val="nfasis"/>
          <w:rFonts w:ascii="Times New Roman" w:hAnsi="Times New Roman" w:cs="Times New Roman"/>
        </w:rPr>
        <w:t>Lecciones de la pandemia en México: Hacia una política sanitaria más equitativa</w:t>
      </w:r>
      <w:r w:rsidRPr="00D97A4B">
        <w:rPr>
          <w:rFonts w:ascii="Times New Roman" w:hAnsi="Times New Roman" w:cs="Times New Roman"/>
        </w:rPr>
        <w:t xml:space="preserve">. Recuperado de </w:t>
      </w:r>
      <w:hyperlink r:id="rId22" w:tgtFrame="_new">
        <w:r w:rsidRPr="00D97A4B">
          <w:rPr>
            <w:rStyle w:val="Hipervnculo"/>
            <w:rFonts w:ascii="Times New Roman" w:hAnsi="Times New Roman" w:cs="Times New Roman"/>
          </w:rPr>
          <w:t>https://www.observatoriodesalud.org</w:t>
        </w:r>
      </w:hyperlink>
    </w:p>
    <w:p w14:paraId="572E4C73"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Organización Mundial de la Salud (OMS). (2016). </w:t>
      </w:r>
      <w:r w:rsidRPr="00D97A4B">
        <w:rPr>
          <w:rStyle w:val="nfasis"/>
          <w:rFonts w:ascii="Times New Roman" w:hAnsi="Times New Roman" w:cs="Times New Roman"/>
        </w:rPr>
        <w:t>Marco para la acción en emergencias sanitarias</w:t>
      </w:r>
      <w:r w:rsidRPr="00D97A4B">
        <w:rPr>
          <w:rFonts w:ascii="Times New Roman" w:hAnsi="Times New Roman" w:cs="Times New Roman"/>
        </w:rPr>
        <w:t xml:space="preserve">. Recuperado de </w:t>
      </w:r>
      <w:hyperlink r:id="rId23" w:tgtFrame="_new">
        <w:r w:rsidRPr="00D97A4B">
          <w:rPr>
            <w:rStyle w:val="Hipervnculo"/>
            <w:rFonts w:ascii="Times New Roman" w:hAnsi="Times New Roman" w:cs="Times New Roman"/>
          </w:rPr>
          <w:t>https://www.who.int</w:t>
        </w:r>
      </w:hyperlink>
    </w:p>
    <w:p w14:paraId="2637AB40"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Organización Mundial de la Salud (OMS). (2021). </w:t>
      </w:r>
      <w:r w:rsidRPr="00D97A4B">
        <w:rPr>
          <w:rStyle w:val="nfasis"/>
          <w:rFonts w:ascii="Times New Roman" w:hAnsi="Times New Roman" w:cs="Times New Roman"/>
        </w:rPr>
        <w:t>Guía para la gestión de emergencias sanitarias</w:t>
      </w:r>
      <w:r w:rsidRPr="00D97A4B">
        <w:rPr>
          <w:rFonts w:ascii="Times New Roman" w:hAnsi="Times New Roman" w:cs="Times New Roman"/>
        </w:rPr>
        <w:t xml:space="preserve">. Recuperado de </w:t>
      </w:r>
      <w:hyperlink r:id="rId24" w:tgtFrame="_new">
        <w:r w:rsidRPr="00D97A4B">
          <w:rPr>
            <w:rStyle w:val="Hipervnculo"/>
            <w:rFonts w:ascii="Times New Roman" w:hAnsi="Times New Roman" w:cs="Times New Roman"/>
          </w:rPr>
          <w:t>https://www.who.int</w:t>
        </w:r>
      </w:hyperlink>
    </w:p>
    <w:p w14:paraId="40B17710"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Organización Panamericana de la Salud (OPS). (2021a). </w:t>
      </w:r>
      <w:r w:rsidRPr="00D97A4B">
        <w:rPr>
          <w:rStyle w:val="nfasis"/>
          <w:rFonts w:ascii="Times New Roman" w:hAnsi="Times New Roman" w:cs="Times New Roman"/>
        </w:rPr>
        <w:t>Impacto de la pandemia en la equidad de acceso a servicios de salud</w:t>
      </w:r>
      <w:r w:rsidRPr="00D97A4B">
        <w:rPr>
          <w:rFonts w:ascii="Times New Roman" w:hAnsi="Times New Roman" w:cs="Times New Roman"/>
        </w:rPr>
        <w:t xml:space="preserve">. Recuperado de </w:t>
      </w:r>
      <w:hyperlink r:id="rId25" w:tgtFrame="_new">
        <w:r w:rsidRPr="00D97A4B">
          <w:rPr>
            <w:rStyle w:val="Hipervnculo"/>
            <w:rFonts w:ascii="Times New Roman" w:hAnsi="Times New Roman" w:cs="Times New Roman"/>
          </w:rPr>
          <w:t>https://www.paho.org</w:t>
        </w:r>
      </w:hyperlink>
    </w:p>
    <w:p w14:paraId="73317F38"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Organización Panamericana de la Salud (OPS). (2021b). </w:t>
      </w:r>
      <w:r w:rsidRPr="00D97A4B">
        <w:rPr>
          <w:rStyle w:val="nfasis"/>
          <w:rFonts w:ascii="Times New Roman" w:hAnsi="Times New Roman" w:cs="Times New Roman"/>
        </w:rPr>
        <w:t>Impacto de la pandemia en los sistemas de salud en América Latina</w:t>
      </w:r>
      <w:r w:rsidRPr="00D97A4B">
        <w:rPr>
          <w:rFonts w:ascii="Times New Roman" w:hAnsi="Times New Roman" w:cs="Times New Roman"/>
        </w:rPr>
        <w:t xml:space="preserve">. Recuperado de </w:t>
      </w:r>
      <w:hyperlink r:id="rId26" w:tgtFrame="_new">
        <w:r w:rsidRPr="00D97A4B">
          <w:rPr>
            <w:rStyle w:val="Hipervnculo"/>
            <w:rFonts w:ascii="Times New Roman" w:hAnsi="Times New Roman" w:cs="Times New Roman"/>
          </w:rPr>
          <w:t>https://www.paho.org</w:t>
        </w:r>
      </w:hyperlink>
    </w:p>
    <w:p w14:paraId="4CEA8273" w14:textId="77777777" w:rsidR="00807258" w:rsidRPr="00D97A4B" w:rsidRDefault="00D97A4B" w:rsidP="00D97A4B">
      <w:pPr>
        <w:pStyle w:val="Textoindependiente"/>
        <w:spacing w:after="0" w:line="360" w:lineRule="auto"/>
        <w:ind w:left="709" w:hanging="709"/>
        <w:jc w:val="both"/>
        <w:rPr>
          <w:rFonts w:ascii="Times New Roman" w:hAnsi="Times New Roman" w:cs="Times New Roman"/>
        </w:rPr>
      </w:pPr>
      <w:r w:rsidRPr="00D97A4B">
        <w:rPr>
          <w:rFonts w:ascii="Times New Roman" w:hAnsi="Times New Roman" w:cs="Times New Roman"/>
        </w:rPr>
        <w:t xml:space="preserve">Organización Panamericana de la Salud (OPS). (2021c). </w:t>
      </w:r>
      <w:r w:rsidRPr="00D97A4B">
        <w:rPr>
          <w:rStyle w:val="nfasis"/>
          <w:rFonts w:ascii="Times New Roman" w:hAnsi="Times New Roman" w:cs="Times New Roman"/>
        </w:rPr>
        <w:t>Lecciones aprendidas de la respuesta a COVID-19 en América Latina</w:t>
      </w:r>
      <w:r w:rsidRPr="00D97A4B">
        <w:rPr>
          <w:rFonts w:ascii="Times New Roman" w:hAnsi="Times New Roman" w:cs="Times New Roman"/>
        </w:rPr>
        <w:t xml:space="preserve">. Recuperado de </w:t>
      </w:r>
      <w:hyperlink r:id="rId27" w:tgtFrame="_new">
        <w:r w:rsidRPr="00D97A4B">
          <w:rPr>
            <w:rStyle w:val="Hipervnculo"/>
            <w:rFonts w:ascii="Times New Roman" w:hAnsi="Times New Roman" w:cs="Times New Roman"/>
          </w:rPr>
          <w:t>https://www.paho.org</w:t>
        </w:r>
      </w:hyperlink>
    </w:p>
    <w:p w14:paraId="5B9B6066" w14:textId="77777777" w:rsidR="00807258" w:rsidRDefault="00807258">
      <w:pPr>
        <w:pStyle w:val="Textoindependiente"/>
        <w:ind w:left="567" w:hanging="567"/>
        <w:rPr>
          <w:rFonts w:ascii="Times New Roman" w:eastAsia="Aptos" w:hAnsi="Times New Roman" w:cs="Times New Roman"/>
        </w:rPr>
      </w:pPr>
    </w:p>
    <w:p w14:paraId="72CE1519" w14:textId="77777777" w:rsidR="00807258" w:rsidRDefault="00807258">
      <w:pPr>
        <w:spacing w:after="0"/>
        <w:ind w:left="567" w:hanging="567"/>
        <w:jc w:val="both"/>
        <w:rPr>
          <w:rFonts w:ascii="Times New Roman" w:eastAsia="Aptos" w:hAnsi="Times New Roman" w:cs="Times New Roman"/>
        </w:rPr>
      </w:pPr>
    </w:p>
    <w:p w14:paraId="670C5D6F" w14:textId="77777777" w:rsidR="00807258" w:rsidRDefault="00807258">
      <w:pPr>
        <w:spacing w:after="0"/>
        <w:ind w:left="567" w:hanging="567"/>
        <w:jc w:val="both"/>
        <w:rPr>
          <w:rFonts w:ascii="Times New Roman" w:eastAsia="Aptos" w:hAnsi="Times New Roman" w:cs="Times New Roman"/>
        </w:rPr>
      </w:pPr>
    </w:p>
    <w:sectPr w:rsidR="00807258" w:rsidSect="00D97A4B">
      <w:headerReference w:type="default" r:id="rId28"/>
      <w:footerReference w:type="default" r:id="rId29"/>
      <w:pgSz w:w="11906" w:h="16838"/>
      <w:pgMar w:top="1276" w:right="1701" w:bottom="851" w:left="1701"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79D83" w14:textId="77777777" w:rsidR="00145325" w:rsidRDefault="00D97A4B">
      <w:pPr>
        <w:spacing w:after="0" w:line="240" w:lineRule="auto"/>
      </w:pPr>
      <w:r>
        <w:separator/>
      </w:r>
    </w:p>
  </w:endnote>
  <w:endnote w:type="continuationSeparator" w:id="0">
    <w:p w14:paraId="4BEBAF78" w14:textId="77777777" w:rsidR="00145325" w:rsidRDefault="00D9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BEE55" w14:textId="14F3FD1B" w:rsidR="00807258" w:rsidRDefault="00D97A4B">
    <w:pPr>
      <w:pStyle w:val="Piedepgina"/>
    </w:pPr>
    <w:r>
      <w:t xml:space="preserve">             </w:t>
    </w:r>
    <w:r>
      <w:rPr>
        <w:noProof/>
      </w:rPr>
      <w:drawing>
        <wp:inline distT="0" distB="0" distL="0" distR="0" wp14:anchorId="0133CF27" wp14:editId="3B9EC8C2">
          <wp:extent cx="1600200" cy="419100"/>
          <wp:effectExtent l="0" t="0" r="0" b="0"/>
          <wp:docPr id="1368255898" name="Imagen 136825589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5898" name="Imagen 136825589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97A4B">
      <w:rPr>
        <w:rFonts w:ascii="Calibri" w:hAnsi="Calibri" w:cs="Calibri"/>
        <w:b/>
        <w:sz w:val="22"/>
        <w:szCs w:val="22"/>
      </w:rPr>
      <w:t xml:space="preserve">Vol. 16 </w:t>
    </w:r>
    <w:proofErr w:type="spellStart"/>
    <w:r w:rsidRPr="00D97A4B">
      <w:rPr>
        <w:rFonts w:ascii="Calibri" w:hAnsi="Calibri" w:cs="Calibri"/>
        <w:b/>
        <w:sz w:val="22"/>
        <w:szCs w:val="22"/>
      </w:rPr>
      <w:t>Num</w:t>
    </w:r>
    <w:proofErr w:type="spellEnd"/>
    <w:r w:rsidRPr="00D97A4B">
      <w:rPr>
        <w:rFonts w:ascii="Calibri" w:hAnsi="Calibri" w:cs="Calibri"/>
        <w:b/>
        <w:sz w:val="22"/>
        <w:szCs w:val="22"/>
      </w:rPr>
      <w:t xml:space="preserve">. 31 Julio - </w:t>
    </w:r>
    <w:proofErr w:type="gramStart"/>
    <w:r w:rsidRPr="00D97A4B">
      <w:rPr>
        <w:rFonts w:ascii="Calibri" w:hAnsi="Calibri" w:cs="Calibri"/>
        <w:b/>
        <w:sz w:val="22"/>
        <w:szCs w:val="22"/>
      </w:rPr>
      <w:t>Diciembre</w:t>
    </w:r>
    <w:proofErr w:type="gramEnd"/>
    <w:r w:rsidRPr="00D97A4B">
      <w:rPr>
        <w:rFonts w:ascii="Calibri" w:hAnsi="Calibri" w:cs="Calibri"/>
        <w:b/>
        <w:sz w:val="22"/>
        <w:szCs w:val="22"/>
      </w:rPr>
      <w:t xml:space="preserve"> 2025, e</w:t>
    </w:r>
    <w:r w:rsidR="00C53067">
      <w:rPr>
        <w:rFonts w:ascii="Calibri" w:hAnsi="Calibri" w:cs="Calibri"/>
        <w:b/>
        <w:sz w:val="22"/>
        <w:szCs w:val="22"/>
      </w:rPr>
      <w:t>975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672E" w14:textId="77777777" w:rsidR="00145325" w:rsidRDefault="00D97A4B">
      <w:pPr>
        <w:spacing w:after="0" w:line="240" w:lineRule="auto"/>
      </w:pPr>
      <w:r>
        <w:separator/>
      </w:r>
    </w:p>
  </w:footnote>
  <w:footnote w:type="continuationSeparator" w:id="0">
    <w:p w14:paraId="3DC1A736" w14:textId="77777777" w:rsidR="00145325" w:rsidRDefault="00D9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B00D" w14:textId="3D0B7A4C" w:rsidR="00807258" w:rsidRDefault="00D97A4B" w:rsidP="00D97A4B">
    <w:pPr>
      <w:pStyle w:val="Encabezado"/>
      <w:jc w:val="center"/>
    </w:pPr>
    <w:r>
      <w:rPr>
        <w:noProof/>
      </w:rPr>
      <w:drawing>
        <wp:inline distT="0" distB="0" distL="0" distR="0" wp14:anchorId="7C5F9511" wp14:editId="79E696BF">
          <wp:extent cx="5397500" cy="635000"/>
          <wp:effectExtent l="0" t="0" r="0" b="0"/>
          <wp:docPr id="1476352089" name="Imagen 147635208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52089" name="Imagen 1476352089"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0D6"/>
    <w:multiLevelType w:val="multilevel"/>
    <w:tmpl w:val="8466A7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7C60728"/>
    <w:multiLevelType w:val="multilevel"/>
    <w:tmpl w:val="89AE50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B182543"/>
    <w:multiLevelType w:val="multilevel"/>
    <w:tmpl w:val="5C6036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91210920">
    <w:abstractNumId w:val="2"/>
  </w:num>
  <w:num w:numId="2" w16cid:durableId="1690637077">
    <w:abstractNumId w:val="0"/>
  </w:num>
  <w:num w:numId="3" w16cid:durableId="73736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258"/>
    <w:rsid w:val="00145325"/>
    <w:rsid w:val="00807258"/>
    <w:rsid w:val="00C53067"/>
    <w:rsid w:val="00D97A4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6F6E24"/>
  <w15:docId w15:val="{1E20A283-1E74-4B34-BD89-7FFCAFD5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iPriority w:val="9"/>
    <w:unhideWhenUsed/>
    <w:qFormat/>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0F4761" w:themeColor="accent1" w:themeShade="BF"/>
      <w:sz w:val="32"/>
      <w:szCs w:val="32"/>
    </w:rPr>
  </w:style>
  <w:style w:type="character" w:styleId="Hipervnculo">
    <w:name w:val="Hyperlink"/>
    <w:basedOn w:val="Fuentedeprrafopredeter"/>
    <w:uiPriority w:val="99"/>
    <w:unhideWhenUsed/>
    <w:rPr>
      <w:color w:val="467886" w:themeColor="hyperlink"/>
      <w:u w:val="single"/>
    </w:r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0A2F40" w:themeColor="accent1" w:themeShade="7F"/>
      <w:sz w:val="24"/>
      <w:szCs w:val="24"/>
    </w:rPr>
  </w:style>
  <w:style w:type="character" w:customStyle="1" w:styleId="Ttulo4Car">
    <w:name w:val="Título 4 Car"/>
    <w:basedOn w:val="Fuentedeprrafopredeter"/>
    <w:link w:val="Ttulo4"/>
    <w:uiPriority w:val="9"/>
    <w:qFormat/>
    <w:rPr>
      <w:rFonts w:asciiTheme="majorHAnsi" w:eastAsiaTheme="majorEastAsia" w:hAnsiTheme="majorHAnsi" w:cstheme="majorBidi"/>
      <w:i/>
      <w:iCs/>
      <w:color w:val="0F4761" w:themeColor="accent1" w:themeShade="BF"/>
    </w:rPr>
  </w:style>
  <w:style w:type="character" w:customStyle="1" w:styleId="EncabezadoCar">
    <w:name w:val="Encabezado Car"/>
    <w:basedOn w:val="Fuentedeprrafopredeter"/>
    <w:link w:val="Encabezado"/>
    <w:uiPriority w:val="99"/>
    <w:qFormat/>
    <w:rsid w:val="00C14193"/>
  </w:style>
  <w:style w:type="character" w:customStyle="1" w:styleId="PiedepginaCar">
    <w:name w:val="Pie de página Car"/>
    <w:basedOn w:val="Fuentedeprrafopredeter"/>
    <w:link w:val="Piedepgina"/>
    <w:uiPriority w:val="99"/>
    <w:qFormat/>
    <w:rsid w:val="00C14193"/>
  </w:style>
  <w:style w:type="character" w:styleId="nfasis">
    <w:name w:val="Emphasis"/>
    <w:qFormat/>
    <w:rPr>
      <w:i/>
      <w:iCs/>
    </w:rPr>
  </w:style>
  <w:style w:type="character" w:styleId="Textoennegrita">
    <w:name w:val="Strong"/>
    <w:qFormat/>
    <w:rPr>
      <w:b/>
      <w:bCs/>
    </w:rPr>
  </w:style>
  <w:style w:type="character" w:customStyle="1" w:styleId="SubttuloCar">
    <w:name w:val="Subtítulo Car"/>
    <w:basedOn w:val="Fuentedeprrafopredeter"/>
    <w:link w:val="Subttulo"/>
    <w:qFormat/>
    <w:rsid w:val="00A3245C"/>
    <w:rPr>
      <w:rFonts w:ascii="Liberation Sans" w:eastAsia="Noto Sans CJK SC" w:hAnsi="Liberation Sans" w:cs="FreeSans"/>
      <w:sz w:val="36"/>
      <w:szCs w:val="36"/>
    </w:rPr>
  </w:style>
  <w:style w:type="paragraph" w:styleId="Ttulo">
    <w:name w:val="Title"/>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Normal"/>
    <w:pPr>
      <w:spacing w:after="140"/>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ndiceuser">
    <w:name w:val="Índice (user)"/>
    <w:basedOn w:val="Normal"/>
    <w:qFormat/>
    <w:pPr>
      <w:suppressLineNumbers/>
    </w:pPr>
    <w:rPr>
      <w:rFonts w:cs="FreeSans"/>
    </w:rPr>
  </w:style>
  <w:style w:type="paragraph" w:styleId="Prrafodelista">
    <w:name w:val="List Paragraph"/>
    <w:basedOn w:val="Normal"/>
    <w:uiPriority w:val="34"/>
    <w:qFormat/>
    <w:pPr>
      <w:ind w:left="720"/>
      <w:contextualSpacing/>
    </w:p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C14193"/>
    <w:pPr>
      <w:tabs>
        <w:tab w:val="center" w:pos="4419"/>
        <w:tab w:val="right" w:pos="8838"/>
      </w:tabs>
      <w:spacing w:after="0" w:line="240" w:lineRule="auto"/>
    </w:pPr>
  </w:style>
  <w:style w:type="paragraph" w:styleId="Piedepgina">
    <w:name w:val="footer"/>
    <w:basedOn w:val="Normal"/>
    <w:link w:val="PiedepginaCar"/>
    <w:uiPriority w:val="99"/>
    <w:unhideWhenUsed/>
    <w:rsid w:val="00C14193"/>
    <w:pPr>
      <w:tabs>
        <w:tab w:val="center" w:pos="4419"/>
        <w:tab w:val="right" w:pos="8838"/>
      </w:tabs>
      <w:spacing w:after="0" w:line="240" w:lineRule="auto"/>
    </w:p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Subttulo">
    <w:name w:val="Subtitle"/>
    <w:basedOn w:val="Ttulo"/>
    <w:next w:val="Textoindependiente"/>
    <w:link w:val="SubttuloCar"/>
    <w:qFormat/>
    <w:rsid w:val="00A3245C"/>
    <w:pPr>
      <w:spacing w:before="60"/>
      <w:jc w:val="center"/>
    </w:pPr>
    <w:rPr>
      <w:sz w:val="36"/>
      <w:szCs w:val="36"/>
    </w:rPr>
  </w:style>
  <w:style w:type="numbering" w:customStyle="1" w:styleId="Ningunalista">
    <w:name w:val="Ninguna lista"/>
    <w:uiPriority w:val="99"/>
    <w:semiHidden/>
    <w:unhideWhenUsed/>
    <w:qFormat/>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D9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pha.org/" TargetMode="External"/><Relationship Id="rId13" Type="http://schemas.openxmlformats.org/officeDocument/2006/relationships/hyperlink" Target="https://www.diputados.gob.mx/" TargetMode="External"/><Relationship Id="rId18" Type="http://schemas.openxmlformats.org/officeDocument/2006/relationships/hyperlink" Target="https://www.salud.gob.mx/" TargetMode="External"/><Relationship Id="rId26" Type="http://schemas.openxmlformats.org/officeDocument/2006/relationships/hyperlink" Target="https://www.paho.org/" TargetMode="External"/><Relationship Id="rId3" Type="http://schemas.openxmlformats.org/officeDocument/2006/relationships/styles" Target="styles.xml"/><Relationship Id="rId21" Type="http://schemas.openxmlformats.org/officeDocument/2006/relationships/hyperlink" Target="https://www.inegi.org.mx/" TargetMode="External"/><Relationship Id="rId7" Type="http://schemas.openxmlformats.org/officeDocument/2006/relationships/endnotes" Target="endnotes.xml"/><Relationship Id="rId12" Type="http://schemas.openxmlformats.org/officeDocument/2006/relationships/hyperlink" Target="https://www.coneval.org.mx/" TargetMode="External"/><Relationship Id="rId17" Type="http://schemas.openxmlformats.org/officeDocument/2006/relationships/hyperlink" Target="https://www.salud.gob.mx/" TargetMode="External"/><Relationship Id="rId25" Type="http://schemas.openxmlformats.org/officeDocument/2006/relationships/hyperlink" Target="https://www.paho.org/" TargetMode="External"/><Relationship Id="rId2" Type="http://schemas.openxmlformats.org/officeDocument/2006/relationships/numbering" Target="numbering.xml"/><Relationship Id="rId16" Type="http://schemas.openxmlformats.org/officeDocument/2006/relationships/hyperlink" Target="https://www.gob.mx/" TargetMode="External"/><Relationship Id="rId20" Type="http://schemas.openxmlformats.org/officeDocument/2006/relationships/hyperlink" Target="https://www.fgr.gob.m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eval.org.mx/" TargetMode="External"/><Relationship Id="rId24" Type="http://schemas.openxmlformats.org/officeDocument/2006/relationships/hyperlink" Target="https://www.who.int/" TargetMode="External"/><Relationship Id="rId5" Type="http://schemas.openxmlformats.org/officeDocument/2006/relationships/webSettings" Target="webSettings.xml"/><Relationship Id="rId15" Type="http://schemas.openxmlformats.org/officeDocument/2006/relationships/hyperlink" Target="https://www.poderjudicial.es/" TargetMode="External"/><Relationship Id="rId23" Type="http://schemas.openxmlformats.org/officeDocument/2006/relationships/hyperlink" Target="https://www.who.int/" TargetMode="External"/><Relationship Id="rId28" Type="http://schemas.openxmlformats.org/officeDocument/2006/relationships/header" Target="header1.xml"/><Relationship Id="rId10" Type="http://schemas.openxmlformats.org/officeDocument/2006/relationships/hyperlink" Target="https://www.coneval.org.mx/" TargetMode="External"/><Relationship Id="rId19" Type="http://schemas.openxmlformats.org/officeDocument/2006/relationships/hyperlink" Target="https://www.salud.gob.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eval.org.mx/" TargetMode="External"/><Relationship Id="rId14" Type="http://schemas.openxmlformats.org/officeDocument/2006/relationships/hyperlink" Target="https://www.poderjudicial.es/" TargetMode="External"/><Relationship Id="rId22" Type="http://schemas.openxmlformats.org/officeDocument/2006/relationships/hyperlink" Target="https://www.observatoriodesalud.org/" TargetMode="External"/><Relationship Id="rId27" Type="http://schemas.openxmlformats.org/officeDocument/2006/relationships/hyperlink" Target="https://www.paho.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1502-2CCD-4FEC-9D85-D15B192A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24</Pages>
  <Words>9133</Words>
  <Characters>50233</Characters>
  <Application>Microsoft Office Word</Application>
  <DocSecurity>0</DocSecurity>
  <Lines>418</Lines>
  <Paragraphs>118</Paragraphs>
  <ScaleCrop>false</ScaleCrop>
  <Company/>
  <LinksUpToDate>false</LinksUpToDate>
  <CharactersWithSpaces>59248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AdHoc</dc:creator>
  <dc:description/>
  <cp:lastModifiedBy>Norma Alicia Santilan Castillo</cp:lastModifiedBy>
  <cp:revision>30</cp:revision>
  <dcterms:created xsi:type="dcterms:W3CDTF">2024-12-04T02:53:00Z</dcterms:created>
  <dcterms:modified xsi:type="dcterms:W3CDTF">2025-10-06T01:42:00Z</dcterms:modified>
  <dc:language>es-MX</dc:language>
</cp:coreProperties>
</file>