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626A8F" w14:textId="16033B29" w:rsidR="009E7438" w:rsidRPr="00EB43FB" w:rsidRDefault="00EB43FB" w:rsidP="009E7438">
      <w:pPr>
        <w:spacing w:before="240" w:line="360" w:lineRule="auto"/>
        <w:jc w:val="right"/>
        <w:rPr>
          <w:rFonts w:ascii="Times New Roman" w:hAnsi="Times New Roman"/>
          <w:b/>
          <w:bCs/>
          <w:i/>
          <w:iCs/>
          <w:color w:val="000000" w:themeColor="text1"/>
          <w:sz w:val="24"/>
          <w:szCs w:val="24"/>
        </w:rPr>
      </w:pPr>
      <w:r w:rsidRPr="00EB43FB">
        <w:rPr>
          <w:rFonts w:ascii="Times New Roman" w:hAnsi="Times New Roman"/>
          <w:b/>
          <w:bCs/>
          <w:i/>
          <w:iCs/>
          <w:color w:val="000000" w:themeColor="text1"/>
          <w:sz w:val="24"/>
          <w:szCs w:val="24"/>
        </w:rPr>
        <w:t>https://doi.org/10.23913/ride.v16i32.2822</w:t>
      </w:r>
    </w:p>
    <w:p w14:paraId="78C43B25" w14:textId="6D233246" w:rsidR="009E7438" w:rsidRDefault="00AF1576" w:rsidP="009E7438">
      <w:pPr>
        <w:spacing w:before="240" w:line="360" w:lineRule="auto"/>
        <w:jc w:val="right"/>
        <w:rPr>
          <w:rFonts w:ascii="Times New Roman" w:eastAsia="Times New Roman" w:hAnsi="Times New Roman" w:cs="Times New Roman"/>
          <w:b/>
          <w:bCs/>
          <w:sz w:val="28"/>
          <w:szCs w:val="28"/>
        </w:rPr>
      </w:pPr>
      <w:r w:rsidRPr="00AF1576">
        <w:rPr>
          <w:rFonts w:ascii="Times New Roman" w:hAnsi="Times New Roman"/>
          <w:b/>
          <w:bCs/>
          <w:i/>
          <w:iCs/>
          <w:color w:val="000000" w:themeColor="text1"/>
          <w:sz w:val="24"/>
          <w:szCs w:val="24"/>
        </w:rPr>
        <w:t>Scientific articles</w:t>
      </w:r>
    </w:p>
    <w:p w14:paraId="5345E709" w14:textId="3A9ECA50" w:rsidR="00517AD4" w:rsidRPr="009E7438" w:rsidRDefault="00B77CEC" w:rsidP="00B77CEC">
      <w:pPr>
        <w:spacing w:line="240" w:lineRule="auto"/>
        <w:jc w:val="right"/>
        <w:rPr>
          <w:rFonts w:eastAsia="Times New Roman" w:cstheme="minorHAnsi"/>
          <w:b/>
          <w:bCs/>
          <w:sz w:val="32"/>
          <w:szCs w:val="32"/>
        </w:rPr>
      </w:pPr>
      <w:r w:rsidRPr="009E7438">
        <w:rPr>
          <w:rFonts w:eastAsia="Times New Roman" w:cstheme="minorHAnsi"/>
          <w:b/>
          <w:bCs/>
          <w:sz w:val="32"/>
          <w:szCs w:val="32"/>
        </w:rPr>
        <w:t>Evaluación de huracanes en el sur de Guerrero (2013-2025) mediante la escala Saffir-Simpson: impactos y vulnerabilidad al cambio climático</w:t>
      </w:r>
    </w:p>
    <w:p w14:paraId="0F5392B7" w14:textId="77777777" w:rsidR="00B77CEC" w:rsidRPr="009E7438" w:rsidRDefault="00B77CEC" w:rsidP="00B77CEC">
      <w:pPr>
        <w:jc w:val="right"/>
        <w:rPr>
          <w:rFonts w:eastAsia="Times New Roman" w:cstheme="minorHAnsi"/>
          <w:b/>
          <w:bCs/>
          <w:i/>
          <w:iCs/>
          <w:sz w:val="28"/>
          <w:szCs w:val="28"/>
          <w:lang w:val="en-US"/>
        </w:rPr>
      </w:pPr>
      <w:r w:rsidRPr="009E7438">
        <w:rPr>
          <w:rFonts w:eastAsia="Times New Roman" w:cstheme="minorHAnsi"/>
          <w:b/>
          <w:bCs/>
          <w:i/>
          <w:iCs/>
          <w:sz w:val="28"/>
          <w:szCs w:val="28"/>
          <w:lang w:val="en-US"/>
        </w:rPr>
        <w:t>Hurricane assessment in southern Guerrero (2013-2025) using the Saffir-Simpson scale: impacts and vulnerability to climate change</w:t>
      </w:r>
    </w:p>
    <w:p w14:paraId="3110A832" w14:textId="761828B4" w:rsidR="00517AD4" w:rsidRPr="009E7438" w:rsidRDefault="00B77CEC" w:rsidP="009E7438">
      <w:pPr>
        <w:spacing w:after="0" w:line="240" w:lineRule="auto"/>
        <w:jc w:val="right"/>
        <w:rPr>
          <w:rFonts w:eastAsia="Calibri" w:cstheme="minorHAnsi"/>
          <w:b/>
          <w:bCs/>
          <w:i/>
          <w:iCs/>
          <w:color w:val="221E1F"/>
          <w:sz w:val="28"/>
          <w:szCs w:val="28"/>
          <w:lang w:val="pt-BR"/>
        </w:rPr>
      </w:pPr>
      <w:r w:rsidRPr="009E7438">
        <w:rPr>
          <w:rFonts w:eastAsia="Times New Roman" w:cstheme="minorHAnsi"/>
          <w:b/>
          <w:bCs/>
          <w:i/>
          <w:iCs/>
          <w:sz w:val="28"/>
          <w:szCs w:val="28"/>
          <w:lang w:val="pt-BR"/>
        </w:rPr>
        <w:t>Avaliação de furacões no sul de Guerrero (2013-2025) usando a escala Saffir-Simpson: impactos e vulnerabilidade às mudanças climáticas</w:t>
      </w:r>
    </w:p>
    <w:p w14:paraId="4BA052AD" w14:textId="77777777" w:rsidR="00B77CEC" w:rsidRPr="009E7438" w:rsidRDefault="00B77CEC" w:rsidP="009E7438">
      <w:pPr>
        <w:spacing w:after="0" w:line="276" w:lineRule="auto"/>
        <w:jc w:val="right"/>
        <w:rPr>
          <w:rFonts w:ascii="Calibri" w:eastAsia="Calibri" w:hAnsi="Calibri" w:cs="Calibri"/>
          <w:b/>
          <w:bCs/>
          <w:color w:val="221E1F"/>
          <w:sz w:val="24"/>
          <w:szCs w:val="24"/>
          <w:lang w:val="pt-BR"/>
        </w:rPr>
      </w:pPr>
    </w:p>
    <w:p w14:paraId="5910D176" w14:textId="303796BA" w:rsidR="00F130BD" w:rsidRPr="009E7438" w:rsidRDefault="00F130BD" w:rsidP="009E7438">
      <w:pPr>
        <w:spacing w:after="0" w:line="276" w:lineRule="auto"/>
        <w:jc w:val="right"/>
        <w:rPr>
          <w:rFonts w:cstheme="minorHAnsi"/>
          <w:b/>
          <w:bCs/>
          <w:sz w:val="24"/>
          <w:szCs w:val="24"/>
        </w:rPr>
      </w:pPr>
      <w:r w:rsidRPr="009E7438">
        <w:rPr>
          <w:rFonts w:cstheme="minorHAnsi"/>
          <w:b/>
          <w:bCs/>
          <w:sz w:val="24"/>
          <w:szCs w:val="24"/>
          <w:lang w:val="pt-PT"/>
        </w:rPr>
        <w:t xml:space="preserve">Francisco </w:t>
      </w:r>
      <w:r w:rsidRPr="009E7438">
        <w:rPr>
          <w:rFonts w:cstheme="minorHAnsi"/>
          <w:b/>
          <w:bCs/>
          <w:sz w:val="24"/>
          <w:szCs w:val="24"/>
        </w:rPr>
        <w:t xml:space="preserve">Hernández Herrera </w:t>
      </w:r>
    </w:p>
    <w:p w14:paraId="4F4FB8ED" w14:textId="77777777" w:rsidR="00F130BD" w:rsidRPr="00F130BD" w:rsidRDefault="00F130BD" w:rsidP="009E7438">
      <w:pPr>
        <w:spacing w:after="0" w:line="276" w:lineRule="auto"/>
        <w:jc w:val="right"/>
        <w:rPr>
          <w:rFonts w:ascii="Times New Roman" w:hAnsi="Times New Roman" w:cs="Times New Roman"/>
          <w:sz w:val="24"/>
          <w:szCs w:val="24"/>
        </w:rPr>
      </w:pPr>
      <w:r w:rsidRPr="00F130BD">
        <w:rPr>
          <w:rFonts w:ascii="Times New Roman" w:hAnsi="Times New Roman" w:cs="Times New Roman"/>
          <w:sz w:val="24"/>
          <w:szCs w:val="24"/>
        </w:rPr>
        <w:t>Autonomous University of Guerrero, México</w:t>
      </w:r>
    </w:p>
    <w:p w14:paraId="6C2E8F07" w14:textId="3D136A4F" w:rsidR="005C26C8" w:rsidRPr="009E7438" w:rsidRDefault="00F130BD" w:rsidP="009E7438">
      <w:pPr>
        <w:spacing w:after="0" w:line="276" w:lineRule="auto"/>
        <w:jc w:val="right"/>
        <w:rPr>
          <w:rFonts w:cstheme="minorHAnsi"/>
          <w:color w:val="FF0000"/>
        </w:rPr>
      </w:pPr>
      <w:r w:rsidRPr="009E7438">
        <w:rPr>
          <w:rFonts w:cstheme="minorHAnsi"/>
          <w:color w:val="FF0000"/>
          <w:sz w:val="24"/>
          <w:szCs w:val="24"/>
        </w:rPr>
        <w:t>chopanhdezhe</w:t>
      </w:r>
      <w:r w:rsidR="003E4C37" w:rsidRPr="009E7438">
        <w:rPr>
          <w:rFonts w:cstheme="minorHAnsi"/>
          <w:color w:val="FF0000"/>
          <w:sz w:val="24"/>
          <w:szCs w:val="24"/>
        </w:rPr>
        <w:t>@</w:t>
      </w:r>
      <w:r w:rsidRPr="009E7438">
        <w:rPr>
          <w:rFonts w:cstheme="minorHAnsi"/>
          <w:color w:val="FF0000"/>
          <w:sz w:val="24"/>
          <w:szCs w:val="24"/>
        </w:rPr>
        <w:t>gmail</w:t>
      </w:r>
      <w:r w:rsidR="003E4C37" w:rsidRPr="009E7438">
        <w:rPr>
          <w:rFonts w:cstheme="minorHAnsi"/>
          <w:color w:val="FF0000"/>
          <w:sz w:val="24"/>
          <w:szCs w:val="24"/>
        </w:rPr>
        <w:t>.com</w:t>
      </w:r>
    </w:p>
    <w:p w14:paraId="5F252C51" w14:textId="34B89F0C" w:rsidR="003E4C37" w:rsidRDefault="005C26C8" w:rsidP="009E7438">
      <w:pPr>
        <w:spacing w:after="0" w:line="276" w:lineRule="auto"/>
        <w:jc w:val="right"/>
        <w:rPr>
          <w:rFonts w:ascii="Times New Roman" w:hAnsi="Times New Roman" w:cs="Times New Roman"/>
          <w:sz w:val="24"/>
          <w:szCs w:val="24"/>
        </w:rPr>
      </w:pPr>
      <w:r w:rsidRPr="005C26C8">
        <w:rPr>
          <w:rFonts w:ascii="Times New Roman" w:hAnsi="Times New Roman" w:cs="Times New Roman"/>
          <w:sz w:val="24"/>
          <w:szCs w:val="24"/>
        </w:rPr>
        <w:t>https://orcid.org/0009-0009-3712-6997</w:t>
      </w:r>
      <w:r w:rsidR="003E4C37" w:rsidRPr="003E4C37">
        <w:rPr>
          <w:rFonts w:ascii="Times New Roman" w:hAnsi="Times New Roman" w:cs="Times New Roman"/>
          <w:sz w:val="24"/>
          <w:szCs w:val="24"/>
        </w:rPr>
        <w:t xml:space="preserve"> </w:t>
      </w:r>
    </w:p>
    <w:p w14:paraId="46402DDC" w14:textId="77777777" w:rsidR="009E7438" w:rsidRDefault="009E7438" w:rsidP="009E7438">
      <w:pPr>
        <w:spacing w:after="0" w:line="276" w:lineRule="auto"/>
        <w:jc w:val="right"/>
        <w:rPr>
          <w:rFonts w:cstheme="minorHAnsi"/>
          <w:b/>
          <w:bCs/>
          <w:sz w:val="24"/>
          <w:szCs w:val="24"/>
          <w:lang w:val="pt-PT"/>
        </w:rPr>
      </w:pPr>
    </w:p>
    <w:p w14:paraId="1C56C341" w14:textId="2D0F7D21" w:rsidR="00F130BD" w:rsidRPr="009E7438" w:rsidRDefault="00F130BD" w:rsidP="009E7438">
      <w:pPr>
        <w:spacing w:after="0" w:line="276" w:lineRule="auto"/>
        <w:jc w:val="right"/>
        <w:rPr>
          <w:rFonts w:cstheme="minorHAnsi"/>
          <w:b/>
          <w:bCs/>
          <w:sz w:val="24"/>
          <w:szCs w:val="24"/>
          <w:lang w:val="pt-PT"/>
        </w:rPr>
      </w:pPr>
      <w:r w:rsidRPr="009E7438">
        <w:rPr>
          <w:rFonts w:cstheme="minorHAnsi"/>
          <w:b/>
          <w:bCs/>
          <w:sz w:val="24"/>
          <w:szCs w:val="24"/>
          <w:lang w:val="pt-PT"/>
        </w:rPr>
        <w:t xml:space="preserve">Enrique Moreno Martìnez   </w:t>
      </w:r>
    </w:p>
    <w:p w14:paraId="478D4B9C" w14:textId="27FA7B0F" w:rsidR="00F130BD" w:rsidRPr="005C26C8" w:rsidRDefault="00F130BD" w:rsidP="009E7438">
      <w:pPr>
        <w:spacing w:after="0" w:line="276" w:lineRule="auto"/>
        <w:jc w:val="right"/>
        <w:rPr>
          <w:rFonts w:ascii="Times New Roman" w:hAnsi="Times New Roman" w:cs="Times New Roman"/>
          <w:sz w:val="24"/>
          <w:szCs w:val="24"/>
        </w:rPr>
      </w:pPr>
      <w:r w:rsidRPr="005C26C8">
        <w:rPr>
          <w:rFonts w:ascii="Times New Roman" w:hAnsi="Times New Roman" w:cs="Times New Roman"/>
          <w:sz w:val="24"/>
          <w:szCs w:val="24"/>
        </w:rPr>
        <w:t>Autonomous University of Guerrero, México</w:t>
      </w:r>
    </w:p>
    <w:p w14:paraId="2813D81E" w14:textId="5378D9F0" w:rsidR="00F130BD" w:rsidRPr="009E7438" w:rsidRDefault="00F130BD" w:rsidP="009E7438">
      <w:pPr>
        <w:spacing w:after="0" w:line="276" w:lineRule="auto"/>
        <w:jc w:val="right"/>
        <w:rPr>
          <w:rFonts w:cstheme="minorHAnsi"/>
          <w:color w:val="FF0000"/>
          <w:sz w:val="24"/>
          <w:szCs w:val="24"/>
        </w:rPr>
      </w:pPr>
      <w:bookmarkStart w:id="0" w:name="_Hlk209900554"/>
      <w:r w:rsidRPr="009E7438">
        <w:rPr>
          <w:rFonts w:cstheme="minorHAnsi"/>
          <w:color w:val="FF0000"/>
          <w:sz w:val="24"/>
          <w:szCs w:val="24"/>
        </w:rPr>
        <w:t>01762@uagro.mx</w:t>
      </w:r>
      <w:bookmarkEnd w:id="0"/>
    </w:p>
    <w:p w14:paraId="6E688673" w14:textId="6C45CCCA" w:rsidR="005C26C8" w:rsidRPr="005C26C8" w:rsidRDefault="005C26C8" w:rsidP="009E7438">
      <w:pPr>
        <w:spacing w:after="0" w:line="276" w:lineRule="auto"/>
        <w:jc w:val="right"/>
        <w:rPr>
          <w:rFonts w:ascii="Times New Roman" w:hAnsi="Times New Roman" w:cs="Times New Roman"/>
          <w:sz w:val="24"/>
          <w:szCs w:val="24"/>
          <w:lang w:val="pt-PT"/>
        </w:rPr>
      </w:pPr>
      <w:r w:rsidRPr="005C26C8">
        <w:rPr>
          <w:rFonts w:ascii="Times New Roman" w:hAnsi="Times New Roman" w:cs="Times New Roman"/>
          <w:sz w:val="24"/>
          <w:szCs w:val="24"/>
          <w:lang w:val="pt-PT"/>
        </w:rPr>
        <w:t>https://orcid.org/0009-0008-4986-8907</w:t>
      </w:r>
    </w:p>
    <w:p w14:paraId="63D6137E" w14:textId="77777777" w:rsidR="009E7438" w:rsidRDefault="009E7438" w:rsidP="009E7438">
      <w:pPr>
        <w:spacing w:after="0" w:line="276" w:lineRule="auto"/>
        <w:jc w:val="right"/>
        <w:rPr>
          <w:rFonts w:ascii="Times New Roman" w:hAnsi="Times New Roman" w:cs="Times New Roman"/>
          <w:b/>
          <w:bCs/>
          <w:sz w:val="24"/>
          <w:szCs w:val="24"/>
          <w:lang w:val="pt-PT"/>
        </w:rPr>
      </w:pPr>
    </w:p>
    <w:p w14:paraId="7D80DEE6" w14:textId="272C26B7" w:rsidR="00F130BD" w:rsidRPr="009E7438" w:rsidRDefault="00F130BD" w:rsidP="009E7438">
      <w:pPr>
        <w:spacing w:after="0" w:line="276" w:lineRule="auto"/>
        <w:jc w:val="right"/>
        <w:rPr>
          <w:rFonts w:cstheme="minorHAnsi"/>
          <w:b/>
          <w:bCs/>
          <w:sz w:val="24"/>
          <w:szCs w:val="24"/>
          <w:lang w:val="pt-PT"/>
        </w:rPr>
      </w:pPr>
      <w:r w:rsidRPr="009E7438">
        <w:rPr>
          <w:rFonts w:cstheme="minorHAnsi"/>
          <w:b/>
          <w:bCs/>
          <w:sz w:val="24"/>
          <w:szCs w:val="24"/>
          <w:lang w:val="pt-PT"/>
        </w:rPr>
        <w:t xml:space="preserve">Enrique Moreno Mendoza </w:t>
      </w:r>
    </w:p>
    <w:p w14:paraId="410F1ABC" w14:textId="77777777" w:rsidR="00F130BD" w:rsidRPr="00F130BD" w:rsidRDefault="00F130BD" w:rsidP="009E7438">
      <w:pPr>
        <w:spacing w:after="0" w:line="276" w:lineRule="auto"/>
        <w:jc w:val="right"/>
        <w:rPr>
          <w:rFonts w:ascii="Times New Roman" w:hAnsi="Times New Roman" w:cs="Times New Roman"/>
          <w:sz w:val="24"/>
          <w:szCs w:val="24"/>
        </w:rPr>
      </w:pPr>
      <w:r w:rsidRPr="00F130BD">
        <w:rPr>
          <w:rFonts w:ascii="Times New Roman" w:hAnsi="Times New Roman" w:cs="Times New Roman"/>
          <w:sz w:val="24"/>
          <w:szCs w:val="24"/>
        </w:rPr>
        <w:t>Autonomous University of Guerrero, México</w:t>
      </w:r>
    </w:p>
    <w:p w14:paraId="5F83C29B" w14:textId="77777777" w:rsidR="00F130BD" w:rsidRPr="009E7438" w:rsidRDefault="00F130BD" w:rsidP="009E7438">
      <w:pPr>
        <w:spacing w:after="0" w:line="276" w:lineRule="auto"/>
        <w:jc w:val="right"/>
        <w:rPr>
          <w:rFonts w:cstheme="minorHAnsi"/>
          <w:color w:val="FF0000"/>
          <w:sz w:val="24"/>
          <w:szCs w:val="24"/>
        </w:rPr>
      </w:pPr>
      <w:r w:rsidRPr="009E7438">
        <w:rPr>
          <w:rFonts w:cstheme="minorHAnsi"/>
          <w:color w:val="FF0000"/>
          <w:sz w:val="24"/>
          <w:szCs w:val="24"/>
        </w:rPr>
        <w:t>08226185@uagro.mx</w:t>
      </w:r>
    </w:p>
    <w:p w14:paraId="7DF031F8" w14:textId="226A1873" w:rsidR="00F130BD" w:rsidRPr="00F130BD" w:rsidRDefault="00F130BD" w:rsidP="009E7438">
      <w:pPr>
        <w:spacing w:after="0" w:line="276" w:lineRule="auto"/>
        <w:jc w:val="right"/>
        <w:rPr>
          <w:rFonts w:ascii="Times New Roman" w:hAnsi="Times New Roman" w:cs="Times New Roman"/>
          <w:sz w:val="24"/>
          <w:szCs w:val="24"/>
          <w:lang w:val="pt-PT"/>
        </w:rPr>
      </w:pPr>
      <w:r w:rsidRPr="00F130BD">
        <w:rPr>
          <w:rFonts w:ascii="Times New Roman" w:hAnsi="Times New Roman" w:cs="Times New Roman"/>
          <w:sz w:val="24"/>
          <w:szCs w:val="24"/>
          <w:lang w:val="pt-PT"/>
        </w:rPr>
        <w:t>https://orcid.org/0009-0001-7137-6764</w:t>
      </w:r>
    </w:p>
    <w:p w14:paraId="4C127E75" w14:textId="77777777" w:rsidR="009E7438" w:rsidRDefault="009E7438" w:rsidP="009E7438">
      <w:pPr>
        <w:spacing w:after="0" w:line="276" w:lineRule="auto"/>
        <w:jc w:val="right"/>
        <w:rPr>
          <w:rFonts w:ascii="Times New Roman" w:hAnsi="Times New Roman" w:cs="Times New Roman"/>
          <w:b/>
          <w:bCs/>
          <w:sz w:val="24"/>
          <w:szCs w:val="24"/>
        </w:rPr>
      </w:pPr>
    </w:p>
    <w:p w14:paraId="556D1175" w14:textId="26B6C0E3" w:rsidR="00F130BD" w:rsidRPr="009E7438" w:rsidRDefault="00F130BD" w:rsidP="009E7438">
      <w:pPr>
        <w:spacing w:after="0" w:line="276" w:lineRule="auto"/>
        <w:jc w:val="right"/>
        <w:rPr>
          <w:rFonts w:cstheme="minorHAnsi"/>
          <w:b/>
          <w:bCs/>
          <w:sz w:val="24"/>
          <w:szCs w:val="24"/>
          <w:lang w:val="pt-PT"/>
        </w:rPr>
      </w:pPr>
      <w:r w:rsidRPr="009E7438">
        <w:rPr>
          <w:rFonts w:cstheme="minorHAnsi"/>
          <w:b/>
          <w:bCs/>
          <w:sz w:val="24"/>
          <w:szCs w:val="24"/>
          <w:lang w:val="pt-PT"/>
        </w:rPr>
        <w:t xml:space="preserve">Marco Polo Calderón Arellanes  </w:t>
      </w:r>
    </w:p>
    <w:p w14:paraId="6D7D524D" w14:textId="2E164679" w:rsidR="00F130BD" w:rsidRPr="00301B17" w:rsidRDefault="00F130BD" w:rsidP="009E7438">
      <w:pPr>
        <w:spacing w:after="0" w:line="276" w:lineRule="auto"/>
        <w:jc w:val="right"/>
        <w:rPr>
          <w:rFonts w:ascii="Times New Roman" w:hAnsi="Times New Roman" w:cs="Times New Roman"/>
          <w:sz w:val="24"/>
          <w:szCs w:val="24"/>
        </w:rPr>
      </w:pPr>
      <w:r w:rsidRPr="00F130BD">
        <w:rPr>
          <w:rFonts w:ascii="Times New Roman" w:hAnsi="Times New Roman" w:cs="Times New Roman"/>
          <w:sz w:val="24"/>
          <w:szCs w:val="24"/>
        </w:rPr>
        <w:t xml:space="preserve">Autonomous University of Guerrero, </w:t>
      </w:r>
      <w:r w:rsidRPr="00301B17">
        <w:rPr>
          <w:rFonts w:ascii="Times New Roman" w:hAnsi="Times New Roman" w:cs="Times New Roman"/>
          <w:sz w:val="24"/>
          <w:szCs w:val="24"/>
        </w:rPr>
        <w:t>México</w:t>
      </w:r>
    </w:p>
    <w:p w14:paraId="65C8F798" w14:textId="69CF7DA0" w:rsidR="00F130BD" w:rsidRPr="009E7438" w:rsidRDefault="00F130BD" w:rsidP="009E7438">
      <w:pPr>
        <w:spacing w:after="0" w:line="276" w:lineRule="auto"/>
        <w:jc w:val="right"/>
        <w:rPr>
          <w:rFonts w:cstheme="minorHAnsi"/>
          <w:color w:val="FF0000"/>
          <w:sz w:val="24"/>
          <w:szCs w:val="24"/>
        </w:rPr>
      </w:pPr>
      <w:r w:rsidRPr="009E7438">
        <w:rPr>
          <w:rFonts w:cstheme="minorHAnsi"/>
          <w:color w:val="FF0000"/>
          <w:sz w:val="24"/>
          <w:szCs w:val="24"/>
        </w:rPr>
        <w:t>15756@uagro.mx</w:t>
      </w:r>
    </w:p>
    <w:p w14:paraId="421908A2" w14:textId="552C2E6C" w:rsidR="00F130BD" w:rsidRPr="00F130BD" w:rsidRDefault="00F130BD" w:rsidP="009E7438">
      <w:pPr>
        <w:spacing w:after="0" w:line="276" w:lineRule="auto"/>
        <w:jc w:val="right"/>
        <w:rPr>
          <w:rFonts w:ascii="Times New Roman" w:hAnsi="Times New Roman" w:cs="Times New Roman"/>
          <w:sz w:val="24"/>
          <w:szCs w:val="24"/>
        </w:rPr>
      </w:pPr>
      <w:r w:rsidRPr="00F130BD">
        <w:rPr>
          <w:rFonts w:ascii="Times New Roman" w:hAnsi="Times New Roman" w:cs="Times New Roman"/>
          <w:sz w:val="24"/>
          <w:szCs w:val="24"/>
        </w:rPr>
        <w:t>https://orcid.org/0000-0002-7329-5925</w:t>
      </w:r>
    </w:p>
    <w:p w14:paraId="5E9EA295" w14:textId="77777777" w:rsidR="009E7438" w:rsidRDefault="009E7438" w:rsidP="009E7438">
      <w:pPr>
        <w:spacing w:after="0" w:line="276" w:lineRule="auto"/>
        <w:jc w:val="right"/>
        <w:rPr>
          <w:rFonts w:ascii="Times New Roman" w:eastAsia="Times New Roman" w:hAnsi="Times New Roman" w:cs="Times New Roman"/>
          <w:b/>
          <w:sz w:val="24"/>
          <w:szCs w:val="24"/>
          <w:lang w:val="pt-PT"/>
        </w:rPr>
      </w:pPr>
    </w:p>
    <w:p w14:paraId="0D6E0067" w14:textId="7C8A3EF8" w:rsidR="00F130BD" w:rsidRPr="009E7438" w:rsidRDefault="00F130BD" w:rsidP="009E7438">
      <w:pPr>
        <w:spacing w:after="0" w:line="276" w:lineRule="auto"/>
        <w:jc w:val="right"/>
        <w:rPr>
          <w:rFonts w:cstheme="minorHAnsi"/>
          <w:b/>
          <w:bCs/>
          <w:sz w:val="24"/>
          <w:szCs w:val="24"/>
          <w:lang w:val="pt-PT"/>
        </w:rPr>
      </w:pPr>
      <w:r w:rsidRPr="009E7438">
        <w:rPr>
          <w:rFonts w:cstheme="minorHAnsi"/>
          <w:b/>
          <w:bCs/>
          <w:sz w:val="24"/>
          <w:szCs w:val="24"/>
          <w:lang w:val="pt-PT"/>
        </w:rPr>
        <w:t>Inti Leopoldo Calderon Arellanes*</w:t>
      </w:r>
    </w:p>
    <w:p w14:paraId="5012218B" w14:textId="77777777" w:rsidR="00F130BD" w:rsidRPr="00F130BD" w:rsidRDefault="00F130BD" w:rsidP="009E7438">
      <w:pPr>
        <w:spacing w:after="0" w:line="276" w:lineRule="auto"/>
        <w:jc w:val="right"/>
        <w:rPr>
          <w:rFonts w:ascii="Times New Roman" w:hAnsi="Times New Roman" w:cs="Times New Roman"/>
          <w:sz w:val="24"/>
          <w:szCs w:val="24"/>
        </w:rPr>
      </w:pPr>
      <w:r w:rsidRPr="00F130BD">
        <w:rPr>
          <w:rFonts w:ascii="Times New Roman" w:hAnsi="Times New Roman" w:cs="Times New Roman"/>
          <w:sz w:val="24"/>
          <w:szCs w:val="24"/>
        </w:rPr>
        <w:t>Autonomous University of Guerrero, México</w:t>
      </w:r>
    </w:p>
    <w:p w14:paraId="0BE80183" w14:textId="6677AD12" w:rsidR="00F130BD" w:rsidRPr="009E7438" w:rsidRDefault="00D51820" w:rsidP="009E7438">
      <w:pPr>
        <w:spacing w:after="0" w:line="276" w:lineRule="auto"/>
        <w:jc w:val="right"/>
        <w:rPr>
          <w:rFonts w:cstheme="minorHAnsi"/>
          <w:color w:val="FF0000"/>
          <w:sz w:val="24"/>
          <w:szCs w:val="24"/>
        </w:rPr>
      </w:pPr>
      <w:hyperlink r:id="rId8" w:history="1">
        <w:r w:rsidRPr="009E7438">
          <w:rPr>
            <w:rFonts w:cstheme="minorHAnsi"/>
            <w:color w:val="FF0000"/>
            <w:sz w:val="24"/>
            <w:szCs w:val="24"/>
          </w:rPr>
          <w:t>inticalderon777@gmail.com</w:t>
        </w:r>
      </w:hyperlink>
    </w:p>
    <w:p w14:paraId="78F3628D" w14:textId="56005923" w:rsidR="009E7438" w:rsidRPr="00AF2865" w:rsidRDefault="00AF2865" w:rsidP="009E7438">
      <w:pPr>
        <w:spacing w:after="0" w:line="276" w:lineRule="auto"/>
        <w:jc w:val="right"/>
        <w:rPr>
          <w:rFonts w:ascii="Times New Roman" w:eastAsia="Times New Roman" w:hAnsi="Times New Roman" w:cs="Times New Roman"/>
          <w:bCs/>
          <w:sz w:val="24"/>
          <w:szCs w:val="24"/>
          <w:lang w:val="pt-PT"/>
        </w:rPr>
      </w:pPr>
      <w:bookmarkStart w:id="1" w:name="_Hlk221507545"/>
      <w:r w:rsidRPr="00AF2865">
        <w:rPr>
          <w:rFonts w:ascii="Times New Roman" w:eastAsia="Times New Roman" w:hAnsi="Times New Roman" w:cs="Times New Roman"/>
          <w:bCs/>
          <w:sz w:val="24"/>
          <w:szCs w:val="24"/>
          <w:lang w:val="pt-PT"/>
        </w:rPr>
        <w:t>https://orcid.org/0009-0007-8805-1644</w:t>
      </w:r>
      <w:bookmarkEnd w:id="1"/>
    </w:p>
    <w:p w14:paraId="3C101A1C" w14:textId="77777777" w:rsidR="009E7438" w:rsidRDefault="009E7438" w:rsidP="009E7438">
      <w:pPr>
        <w:spacing w:after="0" w:line="276" w:lineRule="auto"/>
        <w:jc w:val="right"/>
        <w:rPr>
          <w:rFonts w:ascii="Times New Roman" w:eastAsia="Times New Roman" w:hAnsi="Times New Roman" w:cs="Times New Roman"/>
          <w:b/>
          <w:sz w:val="24"/>
          <w:szCs w:val="24"/>
          <w:lang w:val="pt-PT"/>
        </w:rPr>
      </w:pPr>
    </w:p>
    <w:p w14:paraId="538EBDA7" w14:textId="77777777" w:rsidR="004E0EB9" w:rsidRDefault="004E0EB9" w:rsidP="009E7438">
      <w:pPr>
        <w:spacing w:after="0" w:line="276" w:lineRule="auto"/>
        <w:jc w:val="right"/>
        <w:rPr>
          <w:rFonts w:ascii="Times New Roman" w:eastAsia="Times New Roman" w:hAnsi="Times New Roman" w:cs="Times New Roman"/>
          <w:b/>
          <w:sz w:val="24"/>
          <w:szCs w:val="24"/>
          <w:lang w:val="pt-PT"/>
        </w:rPr>
      </w:pPr>
    </w:p>
    <w:p w14:paraId="182561BC" w14:textId="77777777" w:rsidR="004E0EB9" w:rsidRDefault="004E0EB9" w:rsidP="009E7438">
      <w:pPr>
        <w:spacing w:after="0" w:line="276" w:lineRule="auto"/>
        <w:jc w:val="right"/>
        <w:rPr>
          <w:rFonts w:ascii="Times New Roman" w:eastAsia="Times New Roman" w:hAnsi="Times New Roman" w:cs="Times New Roman"/>
          <w:b/>
          <w:sz w:val="24"/>
          <w:szCs w:val="24"/>
          <w:lang w:val="pt-PT"/>
        </w:rPr>
      </w:pPr>
    </w:p>
    <w:p w14:paraId="2D13E0C2" w14:textId="06D01CF4" w:rsidR="003E4C37" w:rsidRPr="009E7438" w:rsidRDefault="003E4C37" w:rsidP="009E7438">
      <w:pPr>
        <w:spacing w:after="0" w:line="276" w:lineRule="auto"/>
        <w:jc w:val="right"/>
        <w:rPr>
          <w:rFonts w:cstheme="minorHAnsi"/>
          <w:b/>
          <w:bCs/>
          <w:sz w:val="24"/>
          <w:szCs w:val="24"/>
          <w:lang w:val="pt-PT"/>
        </w:rPr>
      </w:pPr>
      <w:r w:rsidRPr="009E7438">
        <w:rPr>
          <w:rFonts w:cstheme="minorHAnsi"/>
          <w:b/>
          <w:bCs/>
          <w:sz w:val="24"/>
          <w:szCs w:val="24"/>
          <w:lang w:val="pt-PT"/>
        </w:rPr>
        <w:lastRenderedPageBreak/>
        <w:t>Sirilo Suastegui Cruz*</w:t>
      </w:r>
    </w:p>
    <w:p w14:paraId="40764B11" w14:textId="77777777" w:rsidR="00F130BD" w:rsidRPr="00AF2865" w:rsidRDefault="00F130BD" w:rsidP="009E7438">
      <w:pPr>
        <w:spacing w:after="0" w:line="276" w:lineRule="auto"/>
        <w:jc w:val="right"/>
        <w:rPr>
          <w:rFonts w:ascii="Times New Roman" w:hAnsi="Times New Roman" w:cs="Times New Roman"/>
          <w:sz w:val="24"/>
          <w:szCs w:val="24"/>
        </w:rPr>
      </w:pPr>
      <w:r w:rsidRPr="00AF2865">
        <w:rPr>
          <w:rFonts w:ascii="Times New Roman" w:hAnsi="Times New Roman" w:cs="Times New Roman"/>
          <w:sz w:val="24"/>
          <w:szCs w:val="24"/>
        </w:rPr>
        <w:t>Autonomous University of Guerrero, México</w:t>
      </w:r>
    </w:p>
    <w:p w14:paraId="5ED30516" w14:textId="4B2D3039" w:rsidR="003E4C37" w:rsidRPr="00AF2865" w:rsidRDefault="00F130BD" w:rsidP="009E7438">
      <w:pPr>
        <w:spacing w:after="0" w:line="276" w:lineRule="auto"/>
        <w:jc w:val="right"/>
        <w:rPr>
          <w:rFonts w:cstheme="minorHAnsi"/>
          <w:color w:val="FF0000"/>
          <w:sz w:val="24"/>
          <w:szCs w:val="24"/>
        </w:rPr>
      </w:pPr>
      <w:hyperlink r:id="rId9" w:history="1">
        <w:r w:rsidRPr="00AF2865">
          <w:rPr>
            <w:rFonts w:cstheme="minorHAnsi"/>
            <w:color w:val="FF0000"/>
            <w:sz w:val="24"/>
            <w:szCs w:val="24"/>
          </w:rPr>
          <w:t>sirilo_sc@uagro.mx</w:t>
        </w:r>
      </w:hyperlink>
      <w:r w:rsidR="003E4C37" w:rsidRPr="00AF2865">
        <w:rPr>
          <w:rFonts w:cstheme="minorHAnsi"/>
          <w:color w:val="FF0000"/>
          <w:sz w:val="24"/>
          <w:szCs w:val="24"/>
        </w:rPr>
        <w:t xml:space="preserve"> </w:t>
      </w:r>
    </w:p>
    <w:p w14:paraId="6076FD6C" w14:textId="77777777" w:rsidR="003E4C37" w:rsidRPr="003E4C37" w:rsidRDefault="003E4C37" w:rsidP="009E7438">
      <w:pPr>
        <w:spacing w:after="0" w:line="276" w:lineRule="auto"/>
        <w:jc w:val="right"/>
        <w:rPr>
          <w:rFonts w:ascii="Times New Roman" w:eastAsia="Times New Roman" w:hAnsi="Times New Roman" w:cs="Times New Roman"/>
          <w:bCs/>
          <w:sz w:val="24"/>
          <w:szCs w:val="24"/>
          <w:lang w:val="pt-PT"/>
        </w:rPr>
      </w:pPr>
      <w:r w:rsidRPr="003E4C37">
        <w:rPr>
          <w:rFonts w:ascii="Times New Roman" w:eastAsia="Times New Roman" w:hAnsi="Times New Roman" w:cs="Times New Roman"/>
          <w:bCs/>
          <w:sz w:val="24"/>
          <w:szCs w:val="24"/>
          <w:lang w:val="pt-PT"/>
        </w:rPr>
        <w:t>https://orcid.org/0000-0001-6795-6312</w:t>
      </w:r>
    </w:p>
    <w:p w14:paraId="13BB46F2" w14:textId="77777777" w:rsidR="009E7438" w:rsidRDefault="009E7438" w:rsidP="003E4C37">
      <w:pPr>
        <w:spacing w:after="0" w:line="240" w:lineRule="auto"/>
        <w:jc w:val="right"/>
        <w:rPr>
          <w:rFonts w:ascii="Times New Roman" w:eastAsia="Times New Roman" w:hAnsi="Times New Roman" w:cs="Times New Roman"/>
          <w:bCs/>
          <w:sz w:val="24"/>
          <w:szCs w:val="24"/>
          <w:lang w:val="pt-PT"/>
        </w:rPr>
      </w:pPr>
    </w:p>
    <w:p w14:paraId="23F047A7" w14:textId="580A06FF" w:rsidR="003E4C37" w:rsidRPr="003E4C37" w:rsidRDefault="003E4C37" w:rsidP="003E4C37">
      <w:pPr>
        <w:spacing w:after="0" w:line="240" w:lineRule="auto"/>
        <w:jc w:val="right"/>
        <w:rPr>
          <w:rFonts w:ascii="Times New Roman" w:eastAsia="Times New Roman" w:hAnsi="Times New Roman" w:cs="Times New Roman"/>
          <w:bCs/>
          <w:sz w:val="28"/>
          <w:szCs w:val="28"/>
          <w:lang w:val="pt-PT"/>
        </w:rPr>
      </w:pPr>
      <w:r w:rsidRPr="003E4C37">
        <w:rPr>
          <w:rFonts w:ascii="Times New Roman" w:eastAsia="Times New Roman" w:hAnsi="Times New Roman" w:cs="Times New Roman"/>
          <w:bCs/>
          <w:sz w:val="24"/>
          <w:szCs w:val="24"/>
          <w:lang w:val="pt-PT"/>
        </w:rPr>
        <w:t>*</w:t>
      </w:r>
      <w:r w:rsidR="00F130BD" w:rsidRPr="00AF2865">
        <w:t xml:space="preserve"> </w:t>
      </w:r>
      <w:r w:rsidR="00F130BD" w:rsidRPr="00F130BD">
        <w:rPr>
          <w:rFonts w:ascii="Times New Roman" w:eastAsia="Times New Roman" w:hAnsi="Times New Roman" w:cs="Times New Roman"/>
          <w:bCs/>
          <w:sz w:val="24"/>
          <w:szCs w:val="24"/>
          <w:lang w:val="pt-PT"/>
        </w:rPr>
        <w:t>Corresponding authors</w:t>
      </w:r>
    </w:p>
    <w:p w14:paraId="003D5C9E" w14:textId="77777777" w:rsidR="00DD4F9B" w:rsidRPr="00491027" w:rsidRDefault="00DD4F9B" w:rsidP="006E188D">
      <w:pPr>
        <w:spacing w:after="0" w:line="240" w:lineRule="auto"/>
        <w:jc w:val="right"/>
        <w:rPr>
          <w:rFonts w:ascii="Times New Roman" w:eastAsia="Times New Roman" w:hAnsi="Times New Roman" w:cs="Times New Roman"/>
          <w:b/>
          <w:sz w:val="28"/>
          <w:szCs w:val="28"/>
          <w:lang w:val="pt-PT"/>
        </w:rPr>
      </w:pPr>
    </w:p>
    <w:p w14:paraId="2C205E25" w14:textId="77777777" w:rsidR="00F0226E" w:rsidRPr="00AF2865" w:rsidRDefault="00F0226E" w:rsidP="009E7438">
      <w:pPr>
        <w:autoSpaceDE w:val="0"/>
        <w:autoSpaceDN w:val="0"/>
        <w:adjustRightInd w:val="0"/>
        <w:spacing w:after="0" w:line="360" w:lineRule="auto"/>
        <w:jc w:val="both"/>
        <w:rPr>
          <w:rFonts w:cstheme="minorHAnsi"/>
          <w:b/>
          <w:bCs/>
          <w:color w:val="221E1F"/>
          <w:sz w:val="28"/>
          <w:szCs w:val="28"/>
          <w:lang w:eastAsia="es-CL"/>
        </w:rPr>
      </w:pPr>
      <w:r w:rsidRPr="00AF2865">
        <w:rPr>
          <w:rFonts w:cstheme="minorHAnsi"/>
          <w:b/>
          <w:bCs/>
          <w:color w:val="221E1F"/>
          <w:sz w:val="28"/>
          <w:szCs w:val="28"/>
          <w:lang w:eastAsia="es-CL"/>
        </w:rPr>
        <w:t>Resumen</w:t>
      </w:r>
    </w:p>
    <w:p w14:paraId="1CD7D7AB" w14:textId="5EA5DC79" w:rsidR="007E5A9E" w:rsidRPr="00BB228A" w:rsidRDefault="007E5A9E" w:rsidP="009E7438">
      <w:pPr>
        <w:spacing w:after="0" w:line="360" w:lineRule="auto"/>
        <w:jc w:val="both"/>
        <w:rPr>
          <w:rFonts w:ascii="Times New Roman" w:eastAsia="Times New Roman" w:hAnsi="Times New Roman" w:cs="Times New Roman"/>
          <w:sz w:val="24"/>
          <w:szCs w:val="24"/>
        </w:rPr>
      </w:pPr>
      <w:r w:rsidRPr="00BB228A">
        <w:rPr>
          <w:rFonts w:ascii="Times New Roman" w:eastAsia="Times New Roman" w:hAnsi="Times New Roman" w:cs="Times New Roman"/>
          <w:sz w:val="24"/>
          <w:szCs w:val="24"/>
        </w:rPr>
        <w:t xml:space="preserve">Este estudio analizó los huracanes que impactaron al estado de Guerrero, al sur de México  entre 2013 y 2025 mediante la aplicación de la escala Saffir-Simpson, con el propósito de evaluar sus niveles de intensidad, daños asociados y vulnerabilidad regional al cambio climático. La investigación se basó en datos oficiales de CONAGUA, SMN, SEDESOL, SEDATU y CONAFOR, así como literatura científica especializada. Se creó un registro comparativo de los fenómenos Ingrid y Manuel (2013), Max (2017), Otis (2023), John (2024) y </w:t>
      </w:r>
      <w:r>
        <w:rPr>
          <w:rFonts w:ascii="Times New Roman" w:eastAsia="Times New Roman" w:hAnsi="Times New Roman" w:cs="Times New Roman"/>
          <w:sz w:val="24"/>
          <w:szCs w:val="24"/>
        </w:rPr>
        <w:t>Erick</w:t>
      </w:r>
      <w:r w:rsidRPr="00BB228A">
        <w:rPr>
          <w:rFonts w:ascii="Times New Roman" w:eastAsia="Times New Roman" w:hAnsi="Times New Roman" w:cs="Times New Roman"/>
          <w:sz w:val="24"/>
          <w:szCs w:val="24"/>
        </w:rPr>
        <w:t xml:space="preserve"> (2025), incorporando variables como velocidad del viento, categoría de impacto, impactos estructurales, sociales y ambientales. Los resultados muestran que incluso huracanes de categoría 1 causaron graves pérdidas humanas y materiales, como fue el caso de </w:t>
      </w:r>
      <w:r w:rsidR="00A12EAE">
        <w:rPr>
          <w:rFonts w:ascii="Times New Roman" w:eastAsia="Times New Roman" w:hAnsi="Times New Roman" w:cs="Times New Roman"/>
          <w:sz w:val="24"/>
          <w:szCs w:val="24"/>
        </w:rPr>
        <w:t xml:space="preserve">Ingrid y </w:t>
      </w:r>
      <w:r w:rsidRPr="00BB228A">
        <w:rPr>
          <w:rFonts w:ascii="Times New Roman" w:eastAsia="Times New Roman" w:hAnsi="Times New Roman" w:cs="Times New Roman"/>
          <w:sz w:val="24"/>
          <w:szCs w:val="24"/>
        </w:rPr>
        <w:t>Manuel en La Pintada, mientras que Otis, clasificado como categoría 5, devastó la infraestructura de Acapulco y colapsó los servicios básicos. Se concluye que, si bien la escala Saffir-Simpson es una herramienta útil para clasificar huracanes, resulta insuficiente en contextos de alta vulnerabilidad social y geográfica. Por lo tanto, se propone complementarla con indicadores de precipitación, saturación del suelo y condiciones socioeconómicas, para fortalecer la gestión integral de riesgos y las estrategias de adaptación al cambio climático en Guerrero.</w:t>
      </w:r>
    </w:p>
    <w:p w14:paraId="1EAE22D7" w14:textId="17CFAB50" w:rsidR="007E5A9E" w:rsidRPr="00BB228A" w:rsidRDefault="00F0226E" w:rsidP="009E7438">
      <w:pPr>
        <w:spacing w:after="0" w:line="360" w:lineRule="auto"/>
        <w:jc w:val="both"/>
        <w:rPr>
          <w:rFonts w:ascii="Times New Roman" w:eastAsia="Times New Roman" w:hAnsi="Times New Roman" w:cs="Times New Roman"/>
          <w:color w:val="202124"/>
          <w:sz w:val="24"/>
          <w:szCs w:val="24"/>
        </w:rPr>
      </w:pPr>
      <w:r w:rsidRPr="009E7438">
        <w:rPr>
          <w:rFonts w:cstheme="minorHAnsi"/>
          <w:b/>
          <w:bCs/>
          <w:color w:val="221E1F"/>
          <w:sz w:val="28"/>
          <w:szCs w:val="28"/>
          <w:lang w:eastAsia="es-CL"/>
        </w:rPr>
        <w:t>Palabras clave:</w:t>
      </w:r>
      <w:r w:rsidRPr="00F0226E">
        <w:rPr>
          <w:rFonts w:ascii="Times New Roman" w:hAnsi="Times New Roman" w:cs="Times New Roman"/>
          <w:b/>
          <w:bCs/>
          <w:color w:val="221E1F"/>
          <w:sz w:val="24"/>
          <w:lang w:val="es-CO" w:eastAsia="es-CL"/>
        </w:rPr>
        <w:t xml:space="preserve"> </w:t>
      </w:r>
      <w:r w:rsidR="007E5A9E" w:rsidRPr="007E5A9E">
        <w:rPr>
          <w:rFonts w:ascii="Times New Roman" w:eastAsia="Times New Roman" w:hAnsi="Times New Roman" w:cs="Times New Roman"/>
          <w:color w:val="202124"/>
          <w:sz w:val="24"/>
          <w:szCs w:val="24"/>
        </w:rPr>
        <w:t>cambio climático, huracanes, escala Saffir-Simpson, vulnerabilidad social, adaptación</w:t>
      </w:r>
      <w:r w:rsidR="009E7438">
        <w:rPr>
          <w:rFonts w:ascii="Times New Roman" w:eastAsia="Times New Roman" w:hAnsi="Times New Roman" w:cs="Times New Roman"/>
          <w:color w:val="202124"/>
          <w:sz w:val="24"/>
          <w:szCs w:val="24"/>
        </w:rPr>
        <w:t>.</w:t>
      </w:r>
    </w:p>
    <w:p w14:paraId="2BAD4FA5" w14:textId="197B5C96" w:rsidR="006425CE" w:rsidRDefault="006425CE" w:rsidP="009E7438">
      <w:pPr>
        <w:spacing w:after="0" w:line="360" w:lineRule="auto"/>
        <w:jc w:val="both"/>
        <w:rPr>
          <w:rFonts w:cstheme="minorHAnsi"/>
          <w:b/>
          <w:sz w:val="24"/>
        </w:rPr>
      </w:pPr>
    </w:p>
    <w:p w14:paraId="76D5EB8E" w14:textId="77777777" w:rsidR="004E0EB9" w:rsidRDefault="004E0EB9" w:rsidP="009E7438">
      <w:pPr>
        <w:spacing w:after="0" w:line="360" w:lineRule="auto"/>
        <w:jc w:val="both"/>
        <w:rPr>
          <w:rFonts w:cstheme="minorHAnsi"/>
          <w:b/>
          <w:sz w:val="24"/>
        </w:rPr>
      </w:pPr>
    </w:p>
    <w:p w14:paraId="1EBFE394" w14:textId="77777777" w:rsidR="004E0EB9" w:rsidRDefault="004E0EB9" w:rsidP="009E7438">
      <w:pPr>
        <w:spacing w:after="0" w:line="360" w:lineRule="auto"/>
        <w:jc w:val="both"/>
        <w:rPr>
          <w:rFonts w:cstheme="minorHAnsi"/>
          <w:b/>
          <w:sz w:val="24"/>
        </w:rPr>
      </w:pPr>
    </w:p>
    <w:p w14:paraId="557879DE" w14:textId="77777777" w:rsidR="004E0EB9" w:rsidRDefault="004E0EB9" w:rsidP="009E7438">
      <w:pPr>
        <w:spacing w:after="0" w:line="360" w:lineRule="auto"/>
        <w:jc w:val="both"/>
        <w:rPr>
          <w:rFonts w:cstheme="minorHAnsi"/>
          <w:b/>
          <w:sz w:val="24"/>
        </w:rPr>
      </w:pPr>
    </w:p>
    <w:p w14:paraId="2A5CB043" w14:textId="77777777" w:rsidR="004E0EB9" w:rsidRDefault="004E0EB9" w:rsidP="009E7438">
      <w:pPr>
        <w:spacing w:after="0" w:line="360" w:lineRule="auto"/>
        <w:jc w:val="both"/>
        <w:rPr>
          <w:rFonts w:cstheme="minorHAnsi"/>
          <w:b/>
          <w:sz w:val="24"/>
        </w:rPr>
      </w:pPr>
    </w:p>
    <w:p w14:paraId="54890D35" w14:textId="77777777" w:rsidR="004E0EB9" w:rsidRDefault="004E0EB9" w:rsidP="009E7438">
      <w:pPr>
        <w:spacing w:after="0" w:line="360" w:lineRule="auto"/>
        <w:jc w:val="both"/>
        <w:rPr>
          <w:rFonts w:cstheme="minorHAnsi"/>
          <w:b/>
          <w:sz w:val="24"/>
        </w:rPr>
      </w:pPr>
    </w:p>
    <w:p w14:paraId="4A2230D0" w14:textId="77777777" w:rsidR="004E0EB9" w:rsidRPr="009E7438" w:rsidRDefault="004E0EB9" w:rsidP="009E7438">
      <w:pPr>
        <w:spacing w:after="0" w:line="360" w:lineRule="auto"/>
        <w:jc w:val="both"/>
        <w:rPr>
          <w:rFonts w:cstheme="minorHAnsi"/>
          <w:b/>
          <w:sz w:val="24"/>
        </w:rPr>
      </w:pPr>
    </w:p>
    <w:p w14:paraId="1C452A38" w14:textId="4D4358AA" w:rsidR="00C946B7" w:rsidRPr="009E7438" w:rsidRDefault="00C946B7" w:rsidP="009E7438">
      <w:pPr>
        <w:spacing w:after="0" w:line="360" w:lineRule="auto"/>
        <w:jc w:val="both"/>
        <w:rPr>
          <w:rFonts w:cstheme="minorHAnsi"/>
          <w:b/>
          <w:bCs/>
          <w:color w:val="221E1F"/>
          <w:sz w:val="28"/>
          <w:szCs w:val="28"/>
          <w:lang w:val="en-US" w:eastAsia="es-CL"/>
        </w:rPr>
      </w:pPr>
      <w:r w:rsidRPr="009E7438">
        <w:rPr>
          <w:rFonts w:cstheme="minorHAnsi"/>
          <w:b/>
          <w:bCs/>
          <w:color w:val="221E1F"/>
          <w:sz w:val="28"/>
          <w:szCs w:val="28"/>
          <w:lang w:val="en-US" w:eastAsia="es-CL"/>
        </w:rPr>
        <w:lastRenderedPageBreak/>
        <w:t>Abstract</w:t>
      </w:r>
    </w:p>
    <w:p w14:paraId="7C9BECDD" w14:textId="008EFD61" w:rsidR="007E5A9E" w:rsidRPr="007E5A9E" w:rsidRDefault="007E5A9E" w:rsidP="009E74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202124"/>
          <w:sz w:val="24"/>
          <w:szCs w:val="24"/>
          <w:lang w:val="en-US"/>
        </w:rPr>
      </w:pPr>
      <w:r w:rsidRPr="007E5A9E">
        <w:rPr>
          <w:rFonts w:ascii="Times New Roman" w:eastAsia="Times New Roman" w:hAnsi="Times New Roman" w:cs="Times New Roman"/>
          <w:color w:val="202124"/>
          <w:sz w:val="24"/>
          <w:szCs w:val="24"/>
          <w:lang w:val="en-US"/>
        </w:rPr>
        <w:t xml:space="preserve">This study analyzes the hurricanes that impacted the southern Mexican state of Guerrero between 2013 and 2025 using the Saffir-Simpson scale to evaluate intensity levels, damages, and regional vulnerability. The research draws on official data from CONAGUA, SMN, SEDESOL, SEDATU, and CONAFOR, alongside specialized literature. We constructed a comparative record of hurricanes Ingrid and Manuel (2013), Max (2017), Otis (2023), John (2024), and Erick (2025), assessing wind speed and structural, social, and environmental impacts. The results demonstrate that even Category 1 hurricanes caused severe losses -as seen with </w:t>
      </w:r>
      <w:r w:rsidR="00A12EAE">
        <w:rPr>
          <w:rFonts w:ascii="Times New Roman" w:eastAsia="Times New Roman" w:hAnsi="Times New Roman" w:cs="Times New Roman"/>
          <w:color w:val="202124"/>
          <w:sz w:val="24"/>
          <w:szCs w:val="24"/>
          <w:lang w:val="en-US"/>
        </w:rPr>
        <w:t xml:space="preserve">Ingrid and </w:t>
      </w:r>
      <w:r w:rsidRPr="007E5A9E">
        <w:rPr>
          <w:rFonts w:ascii="Times New Roman" w:eastAsia="Times New Roman" w:hAnsi="Times New Roman" w:cs="Times New Roman"/>
          <w:color w:val="202124"/>
          <w:sz w:val="24"/>
          <w:szCs w:val="24"/>
          <w:lang w:val="en-US"/>
        </w:rPr>
        <w:t>Manuel in La Pintada- while Category 5 Otis devastated Acapulco’s infrastructure. We conclude that while the Saffir-Simpson scale remains useful, it is insufficient for contexts of high social vulnerability. Therefore, we propose complementing it with precipitation and socioeconomic indicators to strengthen risk management strategies in Guerrero.</w:t>
      </w:r>
    </w:p>
    <w:p w14:paraId="022E8364" w14:textId="40CEC323" w:rsidR="002F1937" w:rsidRDefault="00C946B7" w:rsidP="009E74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cstheme="minorHAnsi"/>
          <w:b/>
          <w:sz w:val="28"/>
          <w:szCs w:val="24"/>
          <w:lang w:val="en-US"/>
        </w:rPr>
      </w:pPr>
      <w:r w:rsidRPr="009E7438">
        <w:rPr>
          <w:rFonts w:cstheme="minorHAnsi"/>
          <w:b/>
          <w:bCs/>
          <w:color w:val="221E1F"/>
          <w:sz w:val="28"/>
          <w:szCs w:val="28"/>
          <w:lang w:val="en-US" w:eastAsia="es-CL"/>
        </w:rPr>
        <w:t>Keywords:</w:t>
      </w:r>
      <w:r w:rsidRPr="00677AA7">
        <w:rPr>
          <w:rFonts w:ascii="Times New Roman" w:eastAsia="Times New Roman" w:hAnsi="Times New Roman" w:cs="Times New Roman"/>
          <w:color w:val="202124"/>
          <w:sz w:val="24"/>
          <w:szCs w:val="24"/>
          <w:lang w:val="en"/>
        </w:rPr>
        <w:t xml:space="preserve"> </w:t>
      </w:r>
      <w:r w:rsidR="007E5A9E" w:rsidRPr="007E5A9E">
        <w:rPr>
          <w:rFonts w:ascii="Times New Roman" w:eastAsia="Times New Roman" w:hAnsi="Times New Roman" w:cs="Times New Roman"/>
          <w:sz w:val="24"/>
          <w:szCs w:val="24"/>
          <w:lang w:val="en-US"/>
        </w:rPr>
        <w:t>climate change, hurricanes, Saffir-Simpson scale, social vulnerability, adaptation</w:t>
      </w:r>
      <w:r w:rsidR="009E7438">
        <w:rPr>
          <w:rFonts w:ascii="Times New Roman" w:eastAsia="Times New Roman" w:hAnsi="Times New Roman" w:cs="Times New Roman"/>
          <w:sz w:val="24"/>
          <w:szCs w:val="24"/>
          <w:lang w:val="en-US"/>
        </w:rPr>
        <w:t>.</w:t>
      </w:r>
    </w:p>
    <w:p w14:paraId="112669A7" w14:textId="77777777" w:rsidR="00D66713" w:rsidRPr="009E7438" w:rsidRDefault="00D66713" w:rsidP="009E74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cstheme="minorHAnsi"/>
          <w:b/>
          <w:sz w:val="24"/>
          <w:lang w:val="en-US"/>
        </w:rPr>
      </w:pPr>
    </w:p>
    <w:p w14:paraId="390F8125" w14:textId="1D554996" w:rsidR="00166A09" w:rsidRPr="000705A7" w:rsidRDefault="00166A09" w:rsidP="009E7438">
      <w:pPr>
        <w:spacing w:after="0" w:line="360" w:lineRule="auto"/>
        <w:jc w:val="both"/>
        <w:rPr>
          <w:rFonts w:cstheme="minorHAnsi"/>
          <w:b/>
          <w:bCs/>
          <w:color w:val="221E1F"/>
          <w:sz w:val="28"/>
          <w:szCs w:val="28"/>
          <w:lang w:eastAsia="es-CL"/>
        </w:rPr>
      </w:pPr>
      <w:r w:rsidRPr="000705A7">
        <w:rPr>
          <w:rFonts w:cstheme="minorHAnsi"/>
          <w:b/>
          <w:bCs/>
          <w:color w:val="221E1F"/>
          <w:sz w:val="28"/>
          <w:szCs w:val="28"/>
          <w:lang w:eastAsia="es-CL"/>
        </w:rPr>
        <w:t>Resumo</w:t>
      </w:r>
    </w:p>
    <w:p w14:paraId="284F9321" w14:textId="4D6E81E5" w:rsidR="007E5A9E" w:rsidRPr="00BB228A" w:rsidRDefault="007E5A9E" w:rsidP="009E74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202124"/>
          <w:sz w:val="24"/>
          <w:szCs w:val="24"/>
          <w:lang w:val="pt-BR"/>
        </w:rPr>
      </w:pPr>
      <w:r w:rsidRPr="00BB228A">
        <w:rPr>
          <w:rFonts w:ascii="Times New Roman" w:eastAsia="Times New Roman" w:hAnsi="Times New Roman" w:cs="Times New Roman"/>
          <w:color w:val="202124"/>
          <w:sz w:val="24"/>
          <w:szCs w:val="24"/>
          <w:lang w:val="pt-BR"/>
        </w:rPr>
        <w:t xml:space="preserve">Este estudo analisou os furacões que impactaram o estado de Guerrero, no sul do país, entre 2013 e 2025, aplicando a escala Saffir-Simpson, com o objetivo de avaliar seus níveis de intensidade, danos associados e vulnerabilidade regional às mudanças climáticas. A pesquisa foi baseada em dados oficiais da CONAGUA, SMN, SEDESOL, SEDATU e CONAFOR, bem como na literatura científica especializada. Foi criado um registro comparativo dos fenômenos Ingrid e Manuel (2013), Max (2017), Otis (2023), John (2024) e </w:t>
      </w:r>
      <w:r>
        <w:rPr>
          <w:rFonts w:ascii="Times New Roman" w:eastAsia="Times New Roman" w:hAnsi="Times New Roman" w:cs="Times New Roman"/>
          <w:color w:val="202124"/>
          <w:sz w:val="24"/>
          <w:szCs w:val="24"/>
          <w:lang w:val="pt-BR"/>
        </w:rPr>
        <w:t>Erick</w:t>
      </w:r>
      <w:r w:rsidRPr="00BB228A">
        <w:rPr>
          <w:rFonts w:ascii="Times New Roman" w:eastAsia="Times New Roman" w:hAnsi="Times New Roman" w:cs="Times New Roman"/>
          <w:color w:val="202124"/>
          <w:sz w:val="24"/>
          <w:szCs w:val="24"/>
          <w:lang w:val="pt-BR"/>
        </w:rPr>
        <w:t xml:space="preserve"> (2025), incorporando variáveis ​​como velocidade do vento, categoria de impacto, impactos estruturais, sociais e ambientais. Os resultados mostram que mesmo os furacões de categoria 1 causaram graves perdas humanas e materiais, como foi o caso de </w:t>
      </w:r>
      <w:r w:rsidR="00A12EAE">
        <w:rPr>
          <w:rFonts w:ascii="Times New Roman" w:eastAsia="Times New Roman" w:hAnsi="Times New Roman" w:cs="Times New Roman"/>
          <w:color w:val="202124"/>
          <w:sz w:val="24"/>
          <w:szCs w:val="24"/>
          <w:lang w:val="pt-BR"/>
        </w:rPr>
        <w:t xml:space="preserve">Ingrid </w:t>
      </w:r>
      <w:r w:rsidR="00A359C3">
        <w:rPr>
          <w:rFonts w:ascii="Times New Roman" w:eastAsia="Times New Roman" w:hAnsi="Times New Roman" w:cs="Times New Roman"/>
          <w:color w:val="202124"/>
          <w:sz w:val="24"/>
          <w:szCs w:val="24"/>
          <w:lang w:val="pt-BR"/>
        </w:rPr>
        <w:t xml:space="preserve">e </w:t>
      </w:r>
      <w:r w:rsidRPr="00BB228A">
        <w:rPr>
          <w:rFonts w:ascii="Times New Roman" w:eastAsia="Times New Roman" w:hAnsi="Times New Roman" w:cs="Times New Roman"/>
          <w:color w:val="202124"/>
          <w:sz w:val="24"/>
          <w:szCs w:val="24"/>
          <w:lang w:val="pt-BR"/>
        </w:rPr>
        <w:t>Manuel em La Pintada, enquanto Otis, classificado como categoria 5, devastou a infraestrutura de Acapulco e colapsou os serviços básicos. Conclui-se que, embora a escala Saffir-Simpson seja uma ferramenta útil para a classificação de furacões, ela é insuficiente em contextos de alta vulnerabilidade social e geográfica. Portanto, propõe-se complementá-la com indicadores de precipitação, saturação do solo e condições socioeconômicas, a fim de fortalecer a gestão integral de riscos e as estratégias de adaptação às mudanças climáticas em Guerrero.</w:t>
      </w:r>
    </w:p>
    <w:p w14:paraId="54E26334" w14:textId="67B6A439" w:rsidR="007E5A9E" w:rsidRDefault="00166A09" w:rsidP="009E74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202124"/>
          <w:sz w:val="24"/>
          <w:szCs w:val="24"/>
          <w:lang w:val="pt-BR"/>
        </w:rPr>
      </w:pPr>
      <w:r w:rsidRPr="009E7438">
        <w:rPr>
          <w:rFonts w:cstheme="minorHAnsi"/>
          <w:b/>
          <w:bCs/>
          <w:color w:val="221E1F"/>
          <w:sz w:val="28"/>
          <w:szCs w:val="28"/>
          <w:lang w:eastAsia="es-CL"/>
        </w:rPr>
        <w:lastRenderedPageBreak/>
        <w:t>Palavras-chave:</w:t>
      </w:r>
      <w:r w:rsidR="00D66713">
        <w:rPr>
          <w:rFonts w:ascii="Courier New" w:eastAsia="Times New Roman" w:hAnsi="Courier New" w:cs="Courier New"/>
          <w:color w:val="202124"/>
          <w:sz w:val="42"/>
          <w:szCs w:val="42"/>
        </w:rPr>
        <w:t xml:space="preserve"> </w:t>
      </w:r>
      <w:r w:rsidR="007E5A9E" w:rsidRPr="00BB228A">
        <w:rPr>
          <w:rFonts w:ascii="Times New Roman" w:eastAsia="Times New Roman" w:hAnsi="Times New Roman" w:cs="Times New Roman"/>
          <w:color w:val="202124"/>
          <w:sz w:val="24"/>
          <w:szCs w:val="24"/>
          <w:lang w:val="pt-BR"/>
        </w:rPr>
        <w:t>mudanças climáticas, furacões, escala Saffir-Simpson, vulnerabilidade social, adaptação</w:t>
      </w:r>
      <w:r w:rsidR="009E7438">
        <w:rPr>
          <w:rFonts w:ascii="Times New Roman" w:eastAsia="Times New Roman" w:hAnsi="Times New Roman" w:cs="Times New Roman"/>
          <w:color w:val="202124"/>
          <w:sz w:val="24"/>
          <w:szCs w:val="24"/>
          <w:lang w:val="pt-BR"/>
        </w:rPr>
        <w:t>.</w:t>
      </w:r>
    </w:p>
    <w:p w14:paraId="56129728" w14:textId="556B93BB" w:rsidR="009E7438" w:rsidRPr="009E7438" w:rsidRDefault="009E7438" w:rsidP="009E7438">
      <w:pPr>
        <w:shd w:val="clear" w:color="auto" w:fill="FFFFFF"/>
        <w:tabs>
          <w:tab w:val="left" w:pos="8647"/>
        </w:tabs>
        <w:spacing w:after="0" w:line="240" w:lineRule="auto"/>
        <w:rPr>
          <w:rFonts w:ascii="Times New Roman" w:eastAsiaTheme="minorEastAsia" w:hAnsi="Times New Roman" w:cs="Consolas"/>
          <w:color w:val="000000"/>
          <w:sz w:val="24"/>
          <w:szCs w:val="20"/>
          <w:lang w:val="es-ES" w:eastAsia="es-ES"/>
        </w:rPr>
      </w:pPr>
      <w:r w:rsidRPr="009E7438">
        <w:rPr>
          <w:rFonts w:ascii="Times New Roman" w:eastAsiaTheme="minorEastAsia" w:hAnsi="Times New Roman" w:cs="Consolas"/>
          <w:b/>
          <w:color w:val="000000"/>
          <w:sz w:val="24"/>
          <w:szCs w:val="20"/>
          <w:lang w:val="es-ES" w:eastAsia="es-ES"/>
        </w:rPr>
        <w:t xml:space="preserve">Fecha Recepción: </w:t>
      </w:r>
      <w:r>
        <w:rPr>
          <w:rFonts w:ascii="Times New Roman" w:eastAsiaTheme="minorEastAsia" w:hAnsi="Times New Roman" w:cs="Consolas"/>
          <w:color w:val="000000"/>
          <w:sz w:val="24"/>
          <w:szCs w:val="20"/>
          <w:lang w:val="es-ES" w:eastAsia="es-ES"/>
        </w:rPr>
        <w:t>Octubre</w:t>
      </w:r>
      <w:r w:rsidRPr="009E7438">
        <w:rPr>
          <w:rFonts w:ascii="Times New Roman" w:eastAsiaTheme="minorEastAsia" w:hAnsi="Times New Roman" w:cs="Consolas"/>
          <w:color w:val="000000"/>
          <w:sz w:val="24"/>
          <w:szCs w:val="20"/>
          <w:lang w:val="es-ES" w:eastAsia="es-ES"/>
        </w:rPr>
        <w:t xml:space="preserve"> 2025                     </w:t>
      </w:r>
      <w:r>
        <w:rPr>
          <w:rFonts w:ascii="Times New Roman" w:eastAsiaTheme="minorEastAsia" w:hAnsi="Times New Roman" w:cs="Consolas"/>
          <w:color w:val="000000"/>
          <w:sz w:val="24"/>
          <w:szCs w:val="20"/>
          <w:lang w:val="es-ES" w:eastAsia="es-ES"/>
        </w:rPr>
        <w:t xml:space="preserve">      </w:t>
      </w:r>
      <w:r w:rsidRPr="009E7438">
        <w:rPr>
          <w:rFonts w:ascii="Times New Roman" w:eastAsiaTheme="minorEastAsia" w:hAnsi="Times New Roman" w:cs="Consolas"/>
          <w:color w:val="000000"/>
          <w:sz w:val="24"/>
          <w:szCs w:val="20"/>
          <w:lang w:val="es-ES" w:eastAsia="es-ES"/>
        </w:rPr>
        <w:t xml:space="preserve">                </w:t>
      </w:r>
      <w:r w:rsidRPr="009E7438">
        <w:rPr>
          <w:rFonts w:ascii="Times New Roman" w:eastAsiaTheme="minorEastAsia" w:hAnsi="Times New Roman" w:cs="Consolas"/>
          <w:b/>
          <w:color w:val="000000"/>
          <w:sz w:val="24"/>
          <w:szCs w:val="20"/>
          <w:lang w:val="es-ES" w:eastAsia="es-ES"/>
        </w:rPr>
        <w:t xml:space="preserve">Fecha Aceptación: </w:t>
      </w:r>
      <w:r w:rsidRPr="009E7438">
        <w:rPr>
          <w:rFonts w:ascii="Times New Roman" w:eastAsiaTheme="minorEastAsia" w:hAnsi="Times New Roman" w:cs="Consolas"/>
          <w:color w:val="000000"/>
          <w:sz w:val="24"/>
          <w:szCs w:val="20"/>
          <w:lang w:val="es-ES" w:eastAsia="es-ES"/>
        </w:rPr>
        <w:t>Enero 2026</w:t>
      </w:r>
    </w:p>
    <w:p w14:paraId="223DB89E" w14:textId="77777777" w:rsidR="009E7438" w:rsidRPr="009E7438" w:rsidRDefault="00000000" w:rsidP="009E7438">
      <w:pPr>
        <w:spacing w:after="0" w:line="360" w:lineRule="auto"/>
        <w:jc w:val="both"/>
        <w:rPr>
          <w:rFonts w:eastAsia="Times New Roman" w:cs="Times New Roman"/>
          <w:b/>
          <w:bCs/>
          <w:kern w:val="2"/>
        </w:rPr>
      </w:pPr>
      <w:r>
        <w:rPr>
          <w:rFonts w:eastAsia="Times New Roman" w:cs="Times New Roman"/>
          <w:noProof/>
          <w:kern w:val="2"/>
        </w:rPr>
        <w:pict w14:anchorId="2E71929F">
          <v:rect id="_x0000_i1025" style="width:441.9pt;height:.05pt" o:hralign="center" o:hrstd="t" o:hr="t" fillcolor="#a0a0a0" stroked="f"/>
        </w:pict>
      </w:r>
    </w:p>
    <w:p w14:paraId="6F36C0FC" w14:textId="27C5D4AE" w:rsidR="005A6668" w:rsidRPr="009E2B2A" w:rsidRDefault="004D596B" w:rsidP="009E2B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hAnsi="Times New Roman" w:cs="Times New Roman"/>
          <w:b/>
          <w:bCs/>
          <w:color w:val="221E1F"/>
          <w:sz w:val="32"/>
          <w:szCs w:val="32"/>
          <w:lang w:val="en-US" w:eastAsia="es-CL"/>
        </w:rPr>
      </w:pPr>
      <w:r w:rsidRPr="009E2B2A">
        <w:rPr>
          <w:rFonts w:ascii="Times New Roman" w:hAnsi="Times New Roman" w:cs="Times New Roman"/>
          <w:b/>
          <w:bCs/>
          <w:color w:val="221E1F"/>
          <w:sz w:val="32"/>
          <w:szCs w:val="32"/>
          <w:lang w:val="en-US" w:eastAsia="es-CL"/>
        </w:rPr>
        <w:t>Introduc</w:t>
      </w:r>
      <w:r w:rsidR="000705A7">
        <w:rPr>
          <w:rFonts w:ascii="Times New Roman" w:hAnsi="Times New Roman" w:cs="Times New Roman"/>
          <w:b/>
          <w:bCs/>
          <w:color w:val="221E1F"/>
          <w:sz w:val="32"/>
          <w:szCs w:val="32"/>
          <w:lang w:val="en-US" w:eastAsia="es-CL"/>
        </w:rPr>
        <w:t>tion</w:t>
      </w:r>
    </w:p>
    <w:p w14:paraId="0E87EF0D" w14:textId="7AA0F3FF" w:rsidR="009E2B2A" w:rsidRPr="007E5A9E" w:rsidRDefault="007E5A9E" w:rsidP="009E7438">
      <w:pPr>
        <w:spacing w:after="0" w:line="360" w:lineRule="auto"/>
        <w:ind w:firstLine="720"/>
        <w:jc w:val="both"/>
        <w:rPr>
          <w:rFonts w:ascii="Times New Roman" w:eastAsia="Times New Roman" w:hAnsi="Times New Roman" w:cs="Times New Roman"/>
          <w:sz w:val="24"/>
          <w:szCs w:val="24"/>
          <w:lang w:val="en-US"/>
        </w:rPr>
      </w:pPr>
      <w:r w:rsidRPr="007E5A9E">
        <w:rPr>
          <w:rFonts w:ascii="Times New Roman" w:eastAsia="Times New Roman" w:hAnsi="Times New Roman" w:cs="Times New Roman"/>
          <w:sz w:val="24"/>
          <w:szCs w:val="24"/>
          <w:lang w:val="en-US"/>
        </w:rPr>
        <w:t>Climate change represents one of the most complex and challenging phenomena of this century; its consequences include an increase in both the frequency and severity of extreme hydrometeorological events</w:t>
      </w:r>
      <w:r>
        <w:rPr>
          <w:rFonts w:ascii="Times New Roman" w:eastAsia="Times New Roman" w:hAnsi="Times New Roman" w:cs="Times New Roman"/>
          <w:sz w:val="24"/>
          <w:szCs w:val="24"/>
          <w:lang w:val="en-US"/>
        </w:rPr>
        <w:t xml:space="preserve"> </w:t>
      </w:r>
      <w:r w:rsidR="006915CC">
        <w:rPr>
          <w:rFonts w:ascii="Times New Roman" w:hAnsi="Times New Roman" w:cs="Times New Roman"/>
          <w:color w:val="000000"/>
          <w:sz w:val="24"/>
          <w:lang w:val="en-US" w:eastAsia="es-MX"/>
        </w:rPr>
        <w:fldChar w:fldCharType="begin"/>
      </w:r>
      <w:r w:rsidR="00591996">
        <w:rPr>
          <w:rFonts w:ascii="Times New Roman" w:hAnsi="Times New Roman" w:cs="Times New Roman"/>
          <w:color w:val="000000"/>
          <w:sz w:val="24"/>
          <w:lang w:val="en-US" w:eastAsia="es-MX"/>
        </w:rPr>
        <w:instrText xml:space="preserve"> ADDIN ZOTERO_ITEM CSL_CITATION {"citationID":"hQT8NejT","properties":{"formattedCitation":"(IPCC, 2023)","plainCitation":"(IPCC, 2023)","dontUpdate":true,"noteIndex":0},"citationItems":[{"id":384,"uris":["http://zotero.org/users/local/G75QjYIy/items/YRUZG75K"],"itemData":{"id":384,"type":"book","abstract":"The Working Group I contribution to the Sixth Assessment Report of the Intergovernmental Panel on Climate Change (IPCC) provides a comprehensive assessment of the physical science basis of climate change. It considers in situ and remote observations; paleoclimate information; understanding of climate drivers and physical, chemical, and biological processes and feedbacks; global and regional climate modelling; advances in methods of analyses; and insights from climate services. It assesses the current state of the climate; human influence on climate in all regions; future climate change including sea level rise; global warming effects including extremes; climate information for risk assessment and regional adaptation; limiting climate change by reaching net zero carbon dioxide emissions and reducing other greenhouse gas emissions; and benefits for air quality. The report serves policymakers, decision makers, stakeholders, and all interested parties with the latest policy-relevant information on climate change. Available as Open Access on Cambridge Core.","edition":"1","ISBN":"978-1-009-15789-6","license":"https://www.cambridge.org/core/terms","note":"DOI: 10.1017/9781009157896","publisher":"Cambridge University Press","source":"DOI.org (Crossref)","title":"Climate Change 2021 – The Physical Science Basis: Working Group I Contribution to the Sixth Assessment Report of the Intergovernmental Panel on Climate Change","title-short":"Climate Change 2021 – The Physical Science Basis","URL":"https://www.cambridge.org/core/product/identifier/9781009157896/type/book","author":[{"family":"IPCC","given":""}],"accessed":{"date-parts":[["2025",9,20]]},"issued":{"date-parts":[["2023",7,6]]}}}],"schema":"https://github.com/citation-style-language/schema/raw/master/csl-citation.json"} </w:instrText>
      </w:r>
      <w:r w:rsidR="006915CC">
        <w:rPr>
          <w:rFonts w:ascii="Times New Roman" w:hAnsi="Times New Roman" w:cs="Times New Roman"/>
          <w:color w:val="000000"/>
          <w:sz w:val="24"/>
          <w:lang w:val="en-US" w:eastAsia="es-MX"/>
        </w:rPr>
        <w:fldChar w:fldCharType="separate"/>
      </w:r>
      <w:r w:rsidR="006915CC" w:rsidRPr="006915CC">
        <w:rPr>
          <w:rFonts w:ascii="Times New Roman" w:hAnsi="Times New Roman" w:cs="Times New Roman"/>
          <w:sz w:val="24"/>
          <w:lang w:val="en-US"/>
        </w:rPr>
        <w:t>(</w:t>
      </w:r>
      <w:r w:rsidR="002F1937" w:rsidRPr="002F1937">
        <w:rPr>
          <w:rFonts w:ascii="Times New Roman" w:hAnsi="Times New Roman" w:cs="Times New Roman"/>
          <w:sz w:val="24"/>
          <w:lang w:val="en-US"/>
        </w:rPr>
        <w:t>Intergovernmental Panel on Climate Change</w:t>
      </w:r>
      <w:r w:rsidR="002F1937">
        <w:rPr>
          <w:rFonts w:ascii="Times New Roman" w:hAnsi="Times New Roman" w:cs="Times New Roman"/>
          <w:sz w:val="24"/>
          <w:lang w:val="en-US"/>
        </w:rPr>
        <w:t xml:space="preserve"> </w:t>
      </w:r>
      <w:r w:rsidR="002F1937" w:rsidRPr="002F1937">
        <w:rPr>
          <w:rFonts w:ascii="Times New Roman" w:hAnsi="Times New Roman" w:cs="Times New Roman"/>
          <w:sz w:val="24"/>
          <w:lang w:val="en-US"/>
        </w:rPr>
        <w:t>[</w:t>
      </w:r>
      <w:r w:rsidR="006915CC" w:rsidRPr="006915CC">
        <w:rPr>
          <w:rFonts w:ascii="Times New Roman" w:hAnsi="Times New Roman" w:cs="Times New Roman"/>
          <w:sz w:val="24"/>
          <w:lang w:val="en-US"/>
        </w:rPr>
        <w:t>IPCC</w:t>
      </w:r>
      <w:r w:rsidR="002F1937">
        <w:rPr>
          <w:rFonts w:ascii="Times New Roman" w:hAnsi="Times New Roman" w:cs="Times New Roman"/>
          <w:sz w:val="24"/>
          <w:lang w:val="en-US"/>
        </w:rPr>
        <w:t>]</w:t>
      </w:r>
      <w:r w:rsidR="006915CC" w:rsidRPr="006915CC">
        <w:rPr>
          <w:rFonts w:ascii="Times New Roman" w:hAnsi="Times New Roman" w:cs="Times New Roman"/>
          <w:sz w:val="24"/>
          <w:lang w:val="en-US"/>
        </w:rPr>
        <w:t>, 2023)</w:t>
      </w:r>
      <w:r w:rsidR="006915CC">
        <w:rPr>
          <w:rFonts w:ascii="Times New Roman" w:hAnsi="Times New Roman" w:cs="Times New Roman"/>
          <w:color w:val="000000"/>
          <w:sz w:val="24"/>
          <w:lang w:val="en-US" w:eastAsia="es-MX"/>
        </w:rPr>
        <w:fldChar w:fldCharType="end"/>
      </w:r>
      <w:r w:rsidR="009E2B2A" w:rsidRPr="009E2B2A">
        <w:rPr>
          <w:rFonts w:ascii="Times New Roman" w:hAnsi="Times New Roman" w:cs="Times New Roman"/>
          <w:color w:val="000000"/>
          <w:sz w:val="24"/>
          <w:lang w:val="en-US" w:eastAsia="es-MX"/>
        </w:rPr>
        <w:t xml:space="preserve">. </w:t>
      </w:r>
      <w:r w:rsidRPr="007E5A9E">
        <w:rPr>
          <w:rFonts w:ascii="Times New Roman" w:eastAsia="Times New Roman" w:hAnsi="Times New Roman" w:cs="Times New Roman"/>
          <w:sz w:val="24"/>
          <w:szCs w:val="24"/>
          <w:lang w:val="en-US"/>
        </w:rPr>
        <w:t>Among these hazards, hurricanes stand out as significant threats to coastal communities, particularly rural populations facing high levels of vulnerability</w:t>
      </w:r>
      <w:r>
        <w:rPr>
          <w:rFonts w:ascii="Times New Roman" w:hAnsi="Times New Roman" w:cs="Times New Roman"/>
          <w:color w:val="000000"/>
          <w:sz w:val="24"/>
          <w:lang w:val="en-US" w:eastAsia="es-MX"/>
        </w:rPr>
        <w:t xml:space="preserve"> </w:t>
      </w:r>
      <w:r w:rsidR="006915CC">
        <w:rPr>
          <w:rFonts w:ascii="Times New Roman" w:hAnsi="Times New Roman" w:cs="Times New Roman"/>
          <w:color w:val="000000"/>
          <w:sz w:val="24"/>
          <w:lang w:val="en-US" w:eastAsia="es-MX"/>
        </w:rPr>
        <w:fldChar w:fldCharType="begin"/>
      </w:r>
      <w:r w:rsidR="006915CC">
        <w:rPr>
          <w:rFonts w:ascii="Times New Roman" w:hAnsi="Times New Roman" w:cs="Times New Roman"/>
          <w:color w:val="000000"/>
          <w:sz w:val="24"/>
          <w:lang w:val="en-US" w:eastAsia="es-MX"/>
        </w:rPr>
        <w:instrText xml:space="preserve"> ADDIN ZOTERO_ITEM CSL_CITATION {"citationID":"kQnxS0uv","properties":{"formattedCitation":"(Bathi &amp; Das, 2016; Marshall et\\uc0\\u160{}al., 2020; Shaharier Alam &amp; Hu, 2025; Yang et\\uc0\\u160{}al., 2024)","plainCitation":"(Bathi &amp; Das, 2016; Marshall et al., 2020; Shaharier Alam &amp; Hu, 2025; Yang et al., 2024)","noteIndex":0},"citationItems":[{"id":386,"uris":["http://zotero.org/users/local/G75QjYIy/items/CKM4YMFH"],"itemData":{"id":386,"type":"article-journal","abstract":"Disasters in the form of coastal storms and hurricanes can be very destructive. Preparing for anticipated effects of such disasters can help reduce the public health and economic burden. Identifying vulnerable population groups can help prioritize resources for the most needed communities. This paper presents a quantitative framework for vulnerability measurement that incorporates both socioeconomic and flood inundation vulnerability. The approach is demonstrated for three coastal communities in Mississippi with census tracts being the study unit. The vulnerability results are illustrated as thematic maps for easy usage by planners and emergency responders to assist in prioritizing their actions to vulnerable populations during storm surge and flood disasters.","container-title":"International Journal of Environmental Research and Public Health","DOI":"10.3390/ijerph13020239","ISSN":"1660-4601","issue":"2","journalAbbreviation":"IJERPH","language":"en","license":"https://creativecommons.org/licenses/by/4.0/","page":"239","source":"DOI.org (Crossref)","title":"Vulnerability of Coastal Communities from Storm Surge and Flood Disasters","volume":"13","author":[{"family":"Bathi","given":"Jejal"},{"family":"Das","given":"Himangshu"}],"issued":{"date-parts":[["2016",2,19]]}}},{"id":388,"uris":["http://zotero.org/users/local/G75QjYIy/items/ZLZ3PK4X"],"itemData":{"id":388,"type":"chapter","container-title":"Global Health Security","event-place":"Cham","ISBN":"978-3-030-23490-4","language":"en","note":"collection-title: Advanced Sciences and Technologies for Security Applications\nDOI: 10.1007/978-3-030-23491-1_7","page":"143-161","publisher":"Springer International Publishing","publisher-place":"Cham","source":"DOI.org (Crossref)","title":"Natural and Manmade Disasters: Vulnerable Populations","title-short":"Natural and Manmade Disasters","URL":"https://link.springer.com/10.1007/978-3-030-23491-1_7","editor":[{"family":"Masys","given":"Anthony J."},{"family":"Izurieta","given":"Ricardo"},{"family":"Reina Ortiz","given":"Miguel"}],"author":[{"family":"Marshall","given":"Jennifer"},{"family":"Wiltshire","given":"Jacqueline"},{"family":"Delva","given":"Jennifer"},{"family":"Bello","given":"Temitope"},{"family":"Masys","given":"Anthony J."}],"accessed":{"date-parts":[["2025",9,20]]},"issued":{"date-parts":[["2020"]]}}},{"id":390,"uris":["http://zotero.org/users/local/G75QjYIy/items/DTWUWMYS"],"itemData":{"id":390,"type":"article-journal","container-title":"Transportation Research Part D: Transport and Environment","DOI":"10.1016/j.trd.2025.104648","ISSN":"13619209","journalAbbreviation":"Transportation Research Part D: Transport and Environment","language":"en","page":"104648","source":"DOI.org (Crossref)","title":"Mobility disruption and recovery in southwest Florida’s elderly-dense communities during Hurricane Ian","volume":"141","author":[{"family":"Shaharier Alam","given":"Md."},{"family":"Hu","given":"Yujie"}],"issued":{"date-parts":[["2025",4]]}}},{"id":51,"uris":["http://zotero.org/users/local/G75QjYIy/items/Y3BIJMSZ"],"itemData":{"id":51,"type":"article-journal","abstract":"Agriculture’s global environmental impacts are widely expected to continue expanding, driven by population and economic growth and dietary changes. This Review highlights climate change as an additional amplifier of agriculture’s environmental impacts, by reducing agricultural productivity, reducing the efficacy of agrochemicals, increasing soil erosion, accelerating the growth and expanding the range of crop diseases and pests, and increasing land clearing. We identify multiple pathways through which climate change intensifies agricultural greenhouse gas emissions, creating a potentially powerful climate change–reinforcing feedback loop. The challenges raised by climate change underscore the urgent need to transition to sustainable, climate-resilient agricultural systems. This requires investments that both accelerate adoption of proven solutions that provide multiple benefits, and that discover and scale new beneficial processes and food products.\n          , \n            Editor’s summary\n            \n              Intensive agriculture creates multiple environmental challenges, including runoff of excess nutrients, use of chemical pesticides, biodiversity loss, and greenhouse gas emissions. Curbing these negative effects of agriculture while feeding a growing global population is already a massive challenge and one that will likely be exacerbated by climate change. Yang\n              et al\n              . reviewed the research on interactions between climate change and agriculture’s environmental impacts and found that most of this work suggests even greater challenges to come. —Bianca Lopez\n            \n          , \n            \n              BACKGROUND\n              Modern agriculture has large global environmental impacts, from greenhouse gas (GHG) emissions to water and air pollution to biodiversity loss. It is widely expected that agriculture’s environmental impacts will escalate because a growing and richer global population will likely demand more agricultural products, including foods, feeds, fibers, and biofuels. Climate change, though less studied in this regard, is a second potential amplifier of agricultural environmental impacts. As climate change intensifies, it not only poses great risks to agricultural productivity, but its deviation from the relatively stable state under which modern agriculture evolved and has long operated also has profound implications for how agriculture interacts with the environment, and vice versa. In this Review, we present a synthesis of how climate change could amplify the environmental impacts of agriculture, from increases in GHG emissions, water use and scarcity, soil erosion, nitrogen and phosphorus pollution, pest outbreaks and pesticide use and pollution, and biodiversity loss. We discuss solutions to the challenges raised by how climate change could affect agricultural sustainability.\n            \n            \n              ADVANCES\n              \n                Two major findings emerge from our synthesis. First, climate change will likely exacerbate the already large environmental impacts of agricultural production. It would do so by (i) directly and negatively affecting agricultural productivity; (ii) reducing the efficacy of agrochemicals and increasing their loss to the environment; and (iii) increasing crop pests and soil erosion. Yield reductions and loss of fertile soils would lead to increased land clearing and subsequent species extinctions and GHG emissions, and/or to agrochemical intensification to retain or increase yields. Greater agrochemical inputs mean greater chemical pollution of the environment and greater GHG emissions. Decreased agrochemical efficacy could also lead to compensatory increases in agrochemical use. These climatic impacts can be independent of, hence additive to or multiplicative of, one another, making climate change a potentially important amplifier of agriculture’s environmental footprints. Second, agriculture already accounts for almost a quarter of global GHG emissions, and agriculture’s response to climate change could create a powerful positive GHG feedback loop through multiple pathways. Climate change could intensify agricultural GHG emissions directly—for example, through increasing CH\n                4\n                emissions from rice paddies, N\n                2\n                O emissions from soil, and CO\n                2\n                emissions from land clearing and soil tillage. It could also induce more GHG emissions indirectly—for example, if more agrochemicals are needed to compensate for their reduced efficacy; if drier conditions require more energy- and carbon-intensive irrigation; or if greater losses of nutrients from agricultural fields stimulate more biogenic GHG emissions in aquatic systems. These climate-agriculture feedback effects warrant increased attention.\n              \n            \n            \n              OUTLOOK\n              Agricultural reliability and sustainability are of key long-term importance for human and planetary health. The challenges raised by climate change require accelerated adoption of practices and technologies that improve agriculture’s environmental sustainability and climate resilience, especially those that can simultaneously deliver multiple benefits, such as diversification and integrated soil fertility management. However, socioeconomic barriers impede adoption of sustainable practices and technologies. Improved context-specific understanding of these barriers is urgently needed, as are innovative policies to overcome them. Greater investments in the discovery, adaptation, and cost reduction of emerging agricultural technologies could help make agriculture more reliable, sustainable, and climate resilient, as could the adoption of novel foods and healthier diets that would require far less land, water, and chemicals per capita than at present. Our synthesis also identifies many unanswered questions. Although the direction of climate impacts is often clear, the relevant magnitudes are not. Quantitative assessments from local to global scales will be needed, especially for the climate-agriculture feedback loop. Other feedback loops, such as the climate-agriculture-biodiversity loop, are also complicated and require mechanistic and quantitative analyses.\n              \n                \n                  The major environmental impacts of agricultural systems and potentially exacerbating effects of climate change (dark red circle in the center).\n                  \n                \n                \n                IMAGES: Vectorstock.com","container-title":"Science","DOI":"10.1126/science.adn3747","ISSN":"0036-8075, 1095-9203","issue":"6713","journalAbbreviation":"Science","language":"en","page":"eadn3747","source":"DOI.org (Crossref)","title":"Climate change exacerbates the environmental impacts of agriculture","volume":"385","author":[{"family":"Yang","given":"Yi"},{"family":"Tilman","given":"David"},{"family":"Jin","given":"Zhenong"},{"family":"Smith","given":"Pete"},{"family":"Barrett","given":"Christopher B."},{"family":"Zhu","given":"Yong-Guan"},{"family":"Burney","given":"Jennifer"},{"family":"D’Odorico","given":"Paolo"},{"family":"Fantke","given":"Peter"},{"family":"Fargione","given":"Joe"},{"family":"Finlay","given":"Jacques C."},{"family":"Rulli","given":"Maria Cristina"},{"family":"Sloat","given":"Lindsey"},{"family":"Jan Van Groenigen","given":"Kees"},{"family":"West","given":"Paul C."},{"family":"Ziska","given":"Lewis"},{"family":"Michalak","given":"Anna M."},{"literal":"the Clim-Ag Team"},{"family":"Lobell","given":"David B."},{"family":"Clark","given":"Michael"},{"family":"Colquhoun","given":"Jed"},{"family":"Garg","given":"Teevrat"},{"family":"Garrett","given":"Karen A."},{"family":"Geels","given":"Camilla"},{"family":"Hernandez","given":"Rebecca R."},{"family":"Herrero","given":"Mario"},{"family":"Hutchison","given":"William D."},{"family":"Jain","given":"Meha"},{"family":"Jungers","given":"Jacob M."},{"family":"Liu","given":"Beibei"},{"family":"Mueller","given":"Nathaniel D."},{"family":"Ortiz-Bobea","given":"Ariel"},{"family":"Schewe","given":"Jacob"},{"family":"Song","given":"Jie"},{"family":"Verheyen","given":"Julie"},{"family":"Vitousek","given":"Peter"},{"family":"Wada","given":"Yoshihide"},{"family":"Xia","given":"Longlong"},{"family":"Zhang","given":"Xin"},{"family":"Zhuang","given":"Minghao"}],"issued":{"date-parts":[["2024",9,6]]}}}],"schema":"https://github.com/citation-style-language/schema/raw/master/csl-citation.json"} </w:instrText>
      </w:r>
      <w:r w:rsidR="006915CC">
        <w:rPr>
          <w:rFonts w:ascii="Times New Roman" w:hAnsi="Times New Roman" w:cs="Times New Roman"/>
          <w:color w:val="000000"/>
          <w:sz w:val="24"/>
          <w:lang w:val="en-US" w:eastAsia="es-MX"/>
        </w:rPr>
        <w:fldChar w:fldCharType="separate"/>
      </w:r>
      <w:r w:rsidR="006915CC" w:rsidRPr="006915CC">
        <w:rPr>
          <w:rFonts w:ascii="Times New Roman" w:hAnsi="Times New Roman" w:cs="Times New Roman"/>
          <w:sz w:val="24"/>
          <w:lang w:val="en-US"/>
        </w:rPr>
        <w:t xml:space="preserve">(Bathi &amp; Das, 2016; Marshall </w:t>
      </w:r>
      <w:r w:rsidR="006915CC" w:rsidRPr="00390A71">
        <w:rPr>
          <w:rFonts w:ascii="Times New Roman" w:hAnsi="Times New Roman" w:cs="Times New Roman"/>
          <w:sz w:val="24"/>
          <w:lang w:val="en-US"/>
        </w:rPr>
        <w:t>et al.,</w:t>
      </w:r>
      <w:r w:rsidR="006915CC" w:rsidRPr="006915CC">
        <w:rPr>
          <w:rFonts w:ascii="Times New Roman" w:hAnsi="Times New Roman" w:cs="Times New Roman"/>
          <w:sz w:val="24"/>
          <w:lang w:val="en-US"/>
        </w:rPr>
        <w:t xml:space="preserve"> 2020; Shaharier Alam &amp; Hu, 2025; Yang </w:t>
      </w:r>
      <w:r w:rsidR="006915CC" w:rsidRPr="00390A71">
        <w:rPr>
          <w:rFonts w:ascii="Times New Roman" w:hAnsi="Times New Roman" w:cs="Times New Roman"/>
          <w:sz w:val="24"/>
          <w:lang w:val="en-US"/>
        </w:rPr>
        <w:t>et al.,</w:t>
      </w:r>
      <w:r w:rsidR="006915CC" w:rsidRPr="006915CC">
        <w:rPr>
          <w:rFonts w:ascii="Times New Roman" w:hAnsi="Times New Roman" w:cs="Times New Roman"/>
          <w:sz w:val="24"/>
          <w:lang w:val="en-US"/>
        </w:rPr>
        <w:t xml:space="preserve"> 2024)</w:t>
      </w:r>
      <w:r w:rsidR="006915CC">
        <w:rPr>
          <w:rFonts w:ascii="Times New Roman" w:hAnsi="Times New Roman" w:cs="Times New Roman"/>
          <w:color w:val="000000"/>
          <w:sz w:val="24"/>
          <w:lang w:val="en-US" w:eastAsia="es-MX"/>
        </w:rPr>
        <w:fldChar w:fldCharType="end"/>
      </w:r>
      <w:r w:rsidR="009E2B2A" w:rsidRPr="009E2B2A">
        <w:rPr>
          <w:rFonts w:ascii="Times New Roman" w:hAnsi="Times New Roman" w:cs="Times New Roman"/>
          <w:color w:val="000000"/>
          <w:sz w:val="24"/>
          <w:lang w:val="en-US" w:eastAsia="es-MX"/>
        </w:rPr>
        <w:t xml:space="preserve">. </w:t>
      </w:r>
      <w:r w:rsidRPr="007E5A9E">
        <w:rPr>
          <w:rFonts w:ascii="Times New Roman" w:eastAsia="Times New Roman" w:hAnsi="Times New Roman" w:cs="Times New Roman"/>
          <w:sz w:val="24"/>
          <w:szCs w:val="24"/>
          <w:lang w:val="en-US"/>
        </w:rPr>
        <w:t>The combination of strong winds, torrential rainfall, rough seas, and storm surges causes material destruction, loss of human life, and significant environmental degradation</w:t>
      </w:r>
      <w:r w:rsidR="009E2B2A">
        <w:rPr>
          <w:rFonts w:ascii="Times New Roman" w:hAnsi="Times New Roman" w:cs="Times New Roman"/>
          <w:color w:val="000000"/>
          <w:sz w:val="24"/>
          <w:lang w:val="en-US" w:eastAsia="es-MX"/>
        </w:rPr>
        <w:t xml:space="preserve"> </w:t>
      </w:r>
      <w:r w:rsidR="006915CC">
        <w:rPr>
          <w:rFonts w:ascii="Times New Roman" w:hAnsi="Times New Roman" w:cs="Times New Roman"/>
          <w:color w:val="000000"/>
          <w:sz w:val="24"/>
          <w:lang w:val="en-US" w:eastAsia="es-MX"/>
        </w:rPr>
        <w:fldChar w:fldCharType="begin"/>
      </w:r>
      <w:r w:rsidR="006915CC">
        <w:rPr>
          <w:rFonts w:ascii="Times New Roman" w:hAnsi="Times New Roman" w:cs="Times New Roman"/>
          <w:color w:val="000000"/>
          <w:sz w:val="24"/>
          <w:lang w:val="en-US" w:eastAsia="es-MX"/>
        </w:rPr>
        <w:instrText xml:space="preserve"> ADDIN ZOTERO_ITEM CSL_CITATION {"citationID":"j2h9jzRN","properties":{"formattedCitation":"(Lim &amp; Foo, 2022; Mez\\uc0\\u337{}si, 2022)","plainCitation":"(Lim &amp; Foo, 2022; Mezősi, 2022)","noteIndex":0},"citationItems":[{"id":392,"uris":["http://zotero.org/users/local/G75QjYIy/items/VGV965QL"],"itemData":{"id":392,"type":"chapter","container-title":"A System Engineering Approach to Disaster Resilience","event-place":"Singapore","ISBN":"978-981-16-7396-2","language":"en","note":"collection-title: Lecture Notes in Civil Engineering\nDOI: 10.1007/978-981-16-7397-9_17","page":"229-246","publisher":"Springer Nature Singapore","publisher-place":"Singapore","source":"DOI.org (Crossref)","title":"A State-of-the-Art Review on the Unique Characteristics, Key Driving Causes and Mitigation Measures of the World Catastrophic Flood Disasters","URL":"https://link.springer.com/10.1007/978-981-16-7397-9_17","volume":"205","editor":[{"family":"Ghosh","given":"Chandan"},{"family":"Kolathayar","given":"Sreevalsa"}],"author":[{"family":"Lim","given":"K. Y."},{"family":"Foo","given":"K. Y."}],"accessed":{"date-parts":[["2025",9,20]]},"issued":{"date-parts":[["2022"]]}}},{"id":391,"uris":["http://zotero.org/users/local/G75QjYIy/items/66S44J2S"],"itemData":{"id":391,"type":"chapter","container-title":"Natural Hazards and the Mitigation of their Impact","event-place":"Cham","ISBN":"978-3-031-07225-3","language":"en","note":"DOI: 10.1007/978-3-031-07226-0_3","page":"97-136","publisher":"Springer International Publishing","publisher-place":"Cham","source":"DOI.org (Crossref)","title":"Meteorological Hazards","URL":"https://link.springer.com/10.1007/978-3-031-07226-0_3","container-author":[{"family":"Mezősi","given":"Gábor"}],"author":[{"family":"Mezősi","given":"Gábor"}],"accessed":{"date-parts":[["2025",9,20]]},"issued":{"date-parts":[["2022"]]}}}],"schema":"https://github.com/citation-style-language/schema/raw/master/csl-citation.json"} </w:instrText>
      </w:r>
      <w:r w:rsidR="006915CC">
        <w:rPr>
          <w:rFonts w:ascii="Times New Roman" w:hAnsi="Times New Roman" w:cs="Times New Roman"/>
          <w:color w:val="000000"/>
          <w:sz w:val="24"/>
          <w:lang w:val="en-US" w:eastAsia="es-MX"/>
        </w:rPr>
        <w:fldChar w:fldCharType="separate"/>
      </w:r>
      <w:r w:rsidR="006915CC" w:rsidRPr="006915CC">
        <w:rPr>
          <w:rFonts w:ascii="Times New Roman" w:hAnsi="Times New Roman" w:cs="Times New Roman"/>
          <w:sz w:val="24"/>
          <w:lang w:val="en-US"/>
        </w:rPr>
        <w:t>(Lim &amp; Foo, 2022; Mezősi, 2022)</w:t>
      </w:r>
      <w:r w:rsidR="006915CC">
        <w:rPr>
          <w:rFonts w:ascii="Times New Roman" w:hAnsi="Times New Roman" w:cs="Times New Roman"/>
          <w:color w:val="000000"/>
          <w:sz w:val="24"/>
          <w:lang w:val="en-US" w:eastAsia="es-MX"/>
        </w:rPr>
        <w:fldChar w:fldCharType="end"/>
      </w:r>
      <w:r w:rsidR="009E2B2A" w:rsidRPr="009E2B2A">
        <w:rPr>
          <w:rFonts w:ascii="Times New Roman" w:hAnsi="Times New Roman" w:cs="Times New Roman"/>
          <w:color w:val="000000"/>
          <w:sz w:val="24"/>
          <w:lang w:val="en-US" w:eastAsia="es-MX"/>
        </w:rPr>
        <w:t xml:space="preserve">. </w:t>
      </w:r>
      <w:r w:rsidRPr="007E5A9E">
        <w:rPr>
          <w:rFonts w:ascii="Times New Roman" w:eastAsia="Times New Roman" w:hAnsi="Times New Roman" w:cs="Times New Roman"/>
          <w:sz w:val="24"/>
          <w:szCs w:val="24"/>
          <w:lang w:val="en-US"/>
        </w:rPr>
        <w:t>Several studies indicate that ocean warming and atmospheric variability associated with climate change have heightened the destructive potential of hurricanes globall</w:t>
      </w:r>
      <w:r>
        <w:rPr>
          <w:rFonts w:ascii="Times New Roman" w:eastAsia="Times New Roman" w:hAnsi="Times New Roman" w:cs="Times New Roman"/>
          <w:sz w:val="24"/>
          <w:szCs w:val="24"/>
          <w:lang w:val="en-US"/>
        </w:rPr>
        <w:t xml:space="preserve">y </w:t>
      </w:r>
      <w:r w:rsidR="006915CC">
        <w:rPr>
          <w:rFonts w:ascii="Times New Roman" w:hAnsi="Times New Roman" w:cs="Times New Roman"/>
          <w:color w:val="000000"/>
          <w:sz w:val="24"/>
          <w:lang w:val="en-US" w:eastAsia="es-MX"/>
        </w:rPr>
        <w:fldChar w:fldCharType="begin"/>
      </w:r>
      <w:r w:rsidR="006915CC">
        <w:rPr>
          <w:rFonts w:ascii="Times New Roman" w:hAnsi="Times New Roman" w:cs="Times New Roman"/>
          <w:color w:val="000000"/>
          <w:sz w:val="24"/>
          <w:lang w:val="en-US" w:eastAsia="es-MX"/>
        </w:rPr>
        <w:instrText xml:space="preserve"> ADDIN ZOTERO_ITEM CSL_CITATION {"citationID":"8f3RCNRd","properties":{"formattedCitation":"(Behera, 2024; Robinson, 2021; Swain, 2022)","plainCitation":"(Behera, 2024; Robinson, 2021; Swain, 2022)","noteIndex":0},"citationItems":[{"id":395,"uris":["http://zotero.org/users/local/G75QjYIy/items/B458GYKW"],"itemData":{"id":395,"type":"article-journal","container-title":"Frontiers in Science","DOI":"10.3389/fsci.2024.1433766","ISSN":"2813-6330","journalAbbreviation":"Front. Sci.","page":"1433766","source":"DOI.org (Crossref)","title":"Understanding the impact of climate change on extreme events","volume":"2","author":[{"family":"Behera","given":"Swadhin Kumar"}],"issued":{"date-parts":[["2024",10,1]]}}},{"id":393,"uris":["http://zotero.org/users/local/G75QjYIy/items/XPINSY5V"],"itemData":{"id":393,"type":"article-journal","container-title":"Journal of the Air &amp; Waste Management Association","DOI":"10.1080/10962247.2021.1942319","ISSN":"1096-2247, 2162-2906","issue":"10","journalAbbreviation":"Journal of the Air &amp; Waste Management Association","language":"en","page":"1186-1209","source":"DOI.org (Crossref)","title":"Climate change and extreme weather: A review focusing on the continental United States","title-short":"Climate change and extreme weather","volume":"71","author":[{"family":"Robinson","given":"Walter A."}],"issued":{"date-parts":[["2021",10,3]]}}},{"id":394,"uris":["http://zotero.org/users/local/G75QjYIy/items/F8BCK6QR"],"itemData":{"id":394,"type":"chapter","container-title":"Geospatial Technologies for Land and Water Resources Management","event-place":"Cham","ISBN":"978-3-030-90478-4","language":"en","note":"collection-title: Water Science and Technology Library\nDOI: 10.1007/978-3-030-90479-1_30","page":"587-621","publisher":"Springer International Publishing","publisher-place":"Cham","source":"DOI.org (Crossref)","title":"Tropical Cyclones and Coastal Vulnerability: Assessment and Mitigation","title-short":"Tropical Cyclones and Coastal Vulnerability","URL":"https://link.springer.com/10.1007/978-3-030-90479-1_30","volume":"103","editor":[{"family":"Pandey","given":"Ashish"},{"family":"Chowdary","given":"V. M."},{"family":"Behera","given":"Mukunda Dev"},{"family":"Singh","given":"V. P."}],"author":[{"family":"Swain","given":"Debadatta"}],"accessed":{"date-parts":[["2025",9,20]]},"issued":{"date-parts":[["2022"]]}}}],"schema":"https://github.com/citation-style-language/schema/raw/master/csl-citation.json"} </w:instrText>
      </w:r>
      <w:r w:rsidR="006915CC">
        <w:rPr>
          <w:rFonts w:ascii="Times New Roman" w:hAnsi="Times New Roman" w:cs="Times New Roman"/>
          <w:color w:val="000000"/>
          <w:sz w:val="24"/>
          <w:lang w:val="en-US" w:eastAsia="es-MX"/>
        </w:rPr>
        <w:fldChar w:fldCharType="separate"/>
      </w:r>
      <w:r w:rsidR="006915CC" w:rsidRPr="00DB43B9">
        <w:rPr>
          <w:rFonts w:ascii="Times New Roman" w:hAnsi="Times New Roman" w:cs="Times New Roman"/>
          <w:sz w:val="24"/>
          <w:lang w:val="en-US"/>
        </w:rPr>
        <w:t>(Behera, 2024; Robinson, 2021; Swain, 2022)</w:t>
      </w:r>
      <w:r w:rsidR="006915CC">
        <w:rPr>
          <w:rFonts w:ascii="Times New Roman" w:hAnsi="Times New Roman" w:cs="Times New Roman"/>
          <w:color w:val="000000"/>
          <w:sz w:val="24"/>
          <w:lang w:val="en-US" w:eastAsia="es-MX"/>
        </w:rPr>
        <w:fldChar w:fldCharType="end"/>
      </w:r>
      <w:r w:rsidR="009E2B2A" w:rsidRPr="009E2B2A">
        <w:rPr>
          <w:rFonts w:ascii="Times New Roman" w:hAnsi="Times New Roman" w:cs="Times New Roman"/>
          <w:color w:val="000000"/>
          <w:sz w:val="24"/>
          <w:lang w:val="en-US" w:eastAsia="es-MX"/>
        </w:rPr>
        <w:t>.</w:t>
      </w:r>
    </w:p>
    <w:p w14:paraId="0FEA8172" w14:textId="60B4B802" w:rsidR="009E2B2A" w:rsidRDefault="007E5A9E" w:rsidP="009E7438">
      <w:pPr>
        <w:spacing w:after="0" w:line="360" w:lineRule="auto"/>
        <w:ind w:firstLine="720"/>
        <w:jc w:val="both"/>
        <w:rPr>
          <w:rFonts w:ascii="Times New Roman" w:hAnsi="Times New Roman" w:cs="Times New Roman"/>
          <w:color w:val="000000"/>
          <w:sz w:val="24"/>
          <w:lang w:val="en-US" w:eastAsia="es-MX"/>
        </w:rPr>
      </w:pPr>
      <w:r w:rsidRPr="007E5A9E">
        <w:rPr>
          <w:rFonts w:ascii="Times New Roman" w:eastAsia="Times New Roman" w:hAnsi="Times New Roman" w:cs="Times New Roman"/>
          <w:sz w:val="24"/>
          <w:szCs w:val="24"/>
          <w:lang w:val="en-US"/>
        </w:rPr>
        <w:t>Due to its geographic location and climatic conditions, Mexico is situated in a region highly exposed to tropical cyclones originating from both the Pacific and Atlantic oceans</w:t>
      </w:r>
      <w:r>
        <w:rPr>
          <w:rFonts w:ascii="Times New Roman" w:hAnsi="Times New Roman" w:cs="Times New Roman"/>
          <w:color w:val="000000"/>
          <w:sz w:val="24"/>
          <w:lang w:val="en-US" w:eastAsia="es-MX"/>
        </w:rPr>
        <w:t xml:space="preserve"> </w:t>
      </w:r>
      <w:r w:rsidR="006915CC">
        <w:rPr>
          <w:rFonts w:ascii="Times New Roman" w:hAnsi="Times New Roman" w:cs="Times New Roman"/>
          <w:color w:val="000000"/>
          <w:sz w:val="24"/>
          <w:lang w:val="en-US" w:eastAsia="es-MX"/>
        </w:rPr>
        <w:fldChar w:fldCharType="begin"/>
      </w:r>
      <w:r w:rsidR="006915CC">
        <w:rPr>
          <w:rFonts w:ascii="Times New Roman" w:hAnsi="Times New Roman" w:cs="Times New Roman"/>
          <w:color w:val="000000"/>
          <w:sz w:val="24"/>
          <w:lang w:val="en-US" w:eastAsia="es-MX"/>
        </w:rPr>
        <w:instrText xml:space="preserve"> ADDIN ZOTERO_ITEM CSL_CITATION {"citationID":"3kSoZJrS","properties":{"formattedCitation":"(Castillo-Loeza et\\uc0\\u160{}al., 2025; Mart\\uc0\\u237{}nez et\\uc0\\u160{}al., 2025)","plainCitation":"(Castillo-Loeza et al., 2025; Martínez et al., 2025)","noteIndex":0},"citationItems":[{"id":397,"uris":["http://zotero.org/users/local/G75QjYIy/items/2BNQTXCU"],"itemData":{"id":397,"type":"article-journal","abstract":"Abstract\n            Tropical cyclones (TCs) are associated with significant and destructive natural disasters, making the assessment and analysis of the resulting damage essential for effective disaster risk management. The main objectives of this research are to estimate the annual probability of Tropical Cyclones (TCs), analyse four socioeconomic damage variables (fatalities, affected population, damaged houses, and economic losses) related to TCs in Mexico from 1970 to 2023, and construct a composite socioeconomic damage index. Time series analyses were conducted to evaluate the four socioeconomic damage variables extracted from the damage databases. CENAPRED database was selected for a temporal-spatial analysis of cumulative data at the state level, covering the period from 1980 to 2023. A bootstrap PCA analysis was performed to assess the stability of the weights assigned to each variable in the index. At least one hurricane is expected to have socio-economic effects on the national territory each year. Discrepancies in the information from the three databases reveal differences in the reported data and time periods. According to the composite index, states like Guerrero, Veracruz, Oaxaca, and Nuevo León exhibit the highest levels of accumulated damage. However, it’s important to note that in Nuevo León, much of this damage is attributed to indirect impacts, such as extreme precipitation. The discussion emphasizes that cyclone intensity by itself, is not the reason for the damage magnitude, as factors like precipitation levels, and regional vulnerability are crucial drivers.","container-title":"Economics of Disasters and Climate Change","DOI":"10.1007/s41885-025-00179-3","ISSN":"2511-1280, 2511-1299","journalAbbreviation":"EconDisCliCha","language":"en","source":"DOI.org (Crossref)","title":"Tropical Cyclones in Mexico: A Comparative Analysis and a Composite Socioeconomic Damage Index","title-short":"Tropical Cyclones in Mexico","URL":"https://link.springer.com/10.1007/s41885-025-00179-3","author":[{"family":"Castillo-Loeza","given":"Diana Estefania"},{"family":"Romero","given":"David"},{"family":"Quesada-Román","given":"Adolfo"}],"accessed":{"date-parts":[["2025",9,20]]},"issued":{"date-parts":[["2025",7,31]]}}},{"id":398,"uris":["http://zotero.org/users/local/G75QjYIy/items/YLMIILJD"],"itemData":{"id":398,"type":"article-journal","abstract":"The extensive shoreline of Mexico is heterogeneous and diverse, but it is increasingly exposed to degradation and loss. This is the first study performed at a national level and with a multidisciplinary approach, that aims to assess the impact of climate change and human-related pressures affecting Mexican coasts. From 1863 to 2022, 386 tropical cyclones have landed on Mexican coasts, six of them of category 5 (most on the Atlantic). Sea level rise projections showed that the Atlantic coast is the most vulnerable, whereas intense coastal erosion ( &gt; 25m/year) is more widespread on the northern Pacific coast. Human impacts include coastal urbanization, ecosystem degradation and coastal armouring. Six million people live on Mexican coasts, mostly in the Caribbean. Mangroves and coastal dunes each cover nearly 800,000 ha. The mangroves are relatively well preserved, but almost half the area of the coastal dunes is d</w:instrText>
      </w:r>
      <w:r w:rsidR="006915CC" w:rsidRPr="00DB43B9">
        <w:rPr>
          <w:rFonts w:ascii="Times New Roman" w:hAnsi="Times New Roman" w:cs="Times New Roman"/>
          <w:color w:val="000000"/>
          <w:sz w:val="24"/>
          <w:lang w:val="en-US" w:eastAsia="es-MX"/>
        </w:rPr>
        <w:instrText xml:space="preserve">egraded. Coastal armouring is widespread along the coasts, but most of these structures (55%) are found on the Yucatan peninsula. Activities required to improve the condition of Mexican coasts and make them a sustainable place to live would include: adaptation of human settlements to the conditions of the dynamic coasts; appropriate coastal protection measures that do not induce downdrift erosion; dealing with coastal risks by restoring and preserving coastal ecosystems.","container-title":"PLOS ONE","DOI":"10.1371/journal.pone.0320087","ISSN":"1932-6203","issue":"4","journalAbbreviation":"PLoS ONE","language":"en","page":"e0320087","source":"DOI.org (Crossref)","title":"The challenges of climate change and human impacts faced by Mexican coasts: A comprehensive evaluation","title-short":"The challenges of climate change and human impacts faced by Mexican coasts","volume":"20","author":[{"family":"Martínez","given":"María Luisa"},{"family":"Silva","given":"Rodolfo"},{"family":"Chávez","given":"Valeria"},{"family":"López-Portillo","given":"Jorge"},{"family":"Salgado","given":"Karla"},{"family":"Marín-Coria","given":"Etzaguery"},{"family":"Pérez-Maqueo","given":"Octavio"},{"family":"Maximiliano-Cordova","given":"Carmelo"},{"family":"Landgrave","given":"Rosario"},{"family":"De La Cruz","given":"Víctor"}],"editor":[{"family":"Li","given":"Delei"}],"issued":{"date-parts":[["2025",4,17]]}}}],"schema":"https://github.com/citation-style-language/schema/raw/master/csl-citation.json"} </w:instrText>
      </w:r>
      <w:r w:rsidR="006915CC">
        <w:rPr>
          <w:rFonts w:ascii="Times New Roman" w:hAnsi="Times New Roman" w:cs="Times New Roman"/>
          <w:color w:val="000000"/>
          <w:sz w:val="24"/>
          <w:lang w:val="en-US" w:eastAsia="es-MX"/>
        </w:rPr>
        <w:fldChar w:fldCharType="separate"/>
      </w:r>
      <w:r w:rsidR="006915CC" w:rsidRPr="00DB43B9">
        <w:rPr>
          <w:rFonts w:ascii="Times New Roman" w:hAnsi="Times New Roman" w:cs="Times New Roman"/>
          <w:sz w:val="24"/>
          <w:lang w:val="en-US"/>
        </w:rPr>
        <w:t xml:space="preserve">(Castillo-Loeza </w:t>
      </w:r>
      <w:r w:rsidR="006915CC" w:rsidRPr="00390A71">
        <w:rPr>
          <w:rFonts w:ascii="Times New Roman" w:hAnsi="Times New Roman" w:cs="Times New Roman"/>
          <w:sz w:val="24"/>
          <w:lang w:val="en-US"/>
        </w:rPr>
        <w:t>et al.,</w:t>
      </w:r>
      <w:r w:rsidR="006915CC" w:rsidRPr="00DB43B9">
        <w:rPr>
          <w:rFonts w:ascii="Times New Roman" w:hAnsi="Times New Roman" w:cs="Times New Roman"/>
          <w:sz w:val="24"/>
          <w:lang w:val="en-US"/>
        </w:rPr>
        <w:t xml:space="preserve"> 2025; Martínez </w:t>
      </w:r>
      <w:r w:rsidR="006915CC" w:rsidRPr="00390A71">
        <w:rPr>
          <w:rFonts w:ascii="Times New Roman" w:hAnsi="Times New Roman" w:cs="Times New Roman"/>
          <w:sz w:val="24"/>
          <w:lang w:val="en-US"/>
        </w:rPr>
        <w:t>et al.,</w:t>
      </w:r>
      <w:r w:rsidR="006915CC" w:rsidRPr="00DB43B9">
        <w:rPr>
          <w:rFonts w:ascii="Times New Roman" w:hAnsi="Times New Roman" w:cs="Times New Roman"/>
          <w:sz w:val="24"/>
          <w:lang w:val="en-US"/>
        </w:rPr>
        <w:t xml:space="preserve"> 2025)</w:t>
      </w:r>
      <w:r w:rsidR="006915CC">
        <w:rPr>
          <w:rFonts w:ascii="Times New Roman" w:hAnsi="Times New Roman" w:cs="Times New Roman"/>
          <w:color w:val="000000"/>
          <w:sz w:val="24"/>
          <w:lang w:val="en-US" w:eastAsia="es-MX"/>
        </w:rPr>
        <w:fldChar w:fldCharType="end"/>
      </w:r>
      <w:r w:rsidR="009E2B2A" w:rsidRPr="00DB43B9">
        <w:rPr>
          <w:rFonts w:ascii="Times New Roman" w:hAnsi="Times New Roman" w:cs="Times New Roman"/>
          <w:color w:val="000000"/>
          <w:sz w:val="24"/>
          <w:lang w:val="en-US" w:eastAsia="es-MX"/>
        </w:rPr>
        <w:t xml:space="preserve">. </w:t>
      </w:r>
      <w:r w:rsidRPr="007E5A9E">
        <w:rPr>
          <w:rFonts w:ascii="Times New Roman" w:eastAsia="Times New Roman" w:hAnsi="Times New Roman" w:cs="Times New Roman"/>
          <w:sz w:val="24"/>
          <w:szCs w:val="24"/>
          <w:lang w:val="en-US"/>
        </w:rPr>
        <w:t>In particular, the state of Guerrero exhibits notable vulnerability due to its extensive coastline, the complex topography of the Sierra Madre del Sur, and the presence of rural communities with limited infrastructure to cope with disaster risks</w:t>
      </w:r>
      <w:r>
        <w:rPr>
          <w:rFonts w:ascii="Times New Roman" w:eastAsia="Times New Roman" w:hAnsi="Times New Roman" w:cs="Times New Roman"/>
          <w:sz w:val="24"/>
          <w:szCs w:val="24"/>
          <w:lang w:val="en-US"/>
        </w:rPr>
        <w:t xml:space="preserve"> </w:t>
      </w:r>
      <w:r w:rsidR="006915CC">
        <w:rPr>
          <w:rFonts w:ascii="Times New Roman" w:hAnsi="Times New Roman" w:cs="Times New Roman"/>
          <w:color w:val="000000"/>
          <w:sz w:val="24"/>
          <w:lang w:val="en-US" w:eastAsia="es-MX"/>
        </w:rPr>
        <w:fldChar w:fldCharType="begin"/>
      </w:r>
      <w:r w:rsidR="00591996">
        <w:rPr>
          <w:rFonts w:ascii="Times New Roman" w:hAnsi="Times New Roman" w:cs="Times New Roman"/>
          <w:color w:val="000000"/>
          <w:sz w:val="24"/>
          <w:lang w:val="en-US" w:eastAsia="es-MX"/>
        </w:rPr>
        <w:instrText xml:space="preserve"> ADDIN ZOTERO_ITEM CSL_CITATION {"citationID":"WonySWSK","properties":{"formattedCitation":"(CENAPRED, 2019)","plainCitation":"(CENAPRED, 2019)","dontUpdate":true,"noteIndex":0},"citationItems":[{"id":400,"uris":["http://zotero.org/users/local/G75QjYIy/items/AE5LXEKU"],"itemData":{"id":400,"type":"webpage","abstract":"Intelligent search from Bing makes it easier to quickly find what you’re looking for and rewards you.","container-title":"Bing","language":"en","title":"Catálogo de inundaciones 2019. Mexico: Centro Nacional de Prevención de Desastres.","title-short":"CENAPRED. Catálogo de inundaciones 2019. Mexico","URL":"https://www.bing.com/search?q=CENAPRED. Catálogo de inundaciones 2019. Mexico%3A Centro Nacional de Prevención de Desastres.&amp;form=SWAUA2","author":[{"family":"CENAPRED","given":""}],"accessed":{"date-parts":[["2025",9,20]]},"issued":{"date-parts":[["2019"]]}}}],"schema":"https://github.com/citation-style-language/schema/raw/master/csl-citation.json"} </w:instrText>
      </w:r>
      <w:r w:rsidR="006915CC">
        <w:rPr>
          <w:rFonts w:ascii="Times New Roman" w:hAnsi="Times New Roman" w:cs="Times New Roman"/>
          <w:color w:val="000000"/>
          <w:sz w:val="24"/>
          <w:lang w:val="en-US" w:eastAsia="es-MX"/>
        </w:rPr>
        <w:fldChar w:fldCharType="separate"/>
      </w:r>
      <w:r w:rsidR="006915CC" w:rsidRPr="006915CC">
        <w:rPr>
          <w:rFonts w:ascii="Times New Roman" w:hAnsi="Times New Roman" w:cs="Times New Roman"/>
          <w:sz w:val="24"/>
          <w:lang w:val="en-US"/>
        </w:rPr>
        <w:t>(</w:t>
      </w:r>
      <w:r w:rsidR="00390A71" w:rsidRPr="00390A71">
        <w:rPr>
          <w:rFonts w:ascii="Times New Roman" w:hAnsi="Times New Roman" w:cs="Times New Roman"/>
          <w:sz w:val="24"/>
          <w:lang w:val="en-US"/>
        </w:rPr>
        <w:t xml:space="preserve">National Center for Disaster Prevention </w:t>
      </w:r>
      <w:r w:rsidR="00390A71" w:rsidRPr="002F1937">
        <w:rPr>
          <w:rFonts w:ascii="Times New Roman" w:hAnsi="Times New Roman" w:cs="Times New Roman"/>
          <w:sz w:val="24"/>
          <w:lang w:val="en-US"/>
        </w:rPr>
        <w:t>[</w:t>
      </w:r>
      <w:r w:rsidR="006915CC" w:rsidRPr="006915CC">
        <w:rPr>
          <w:rFonts w:ascii="Times New Roman" w:hAnsi="Times New Roman" w:cs="Times New Roman"/>
          <w:sz w:val="24"/>
          <w:lang w:val="en-US"/>
        </w:rPr>
        <w:t>CENAPRED</w:t>
      </w:r>
      <w:r w:rsidR="00390A71">
        <w:rPr>
          <w:rFonts w:ascii="Times New Roman" w:hAnsi="Times New Roman" w:cs="Times New Roman"/>
          <w:sz w:val="24"/>
          <w:lang w:val="en-US"/>
        </w:rPr>
        <w:t>]</w:t>
      </w:r>
      <w:r w:rsidR="006915CC" w:rsidRPr="006915CC">
        <w:rPr>
          <w:rFonts w:ascii="Times New Roman" w:hAnsi="Times New Roman" w:cs="Times New Roman"/>
          <w:sz w:val="24"/>
          <w:lang w:val="en-US"/>
        </w:rPr>
        <w:t>, 2019)</w:t>
      </w:r>
      <w:r w:rsidR="006915CC">
        <w:rPr>
          <w:rFonts w:ascii="Times New Roman" w:hAnsi="Times New Roman" w:cs="Times New Roman"/>
          <w:color w:val="000000"/>
          <w:sz w:val="24"/>
          <w:lang w:val="en-US" w:eastAsia="es-MX"/>
        </w:rPr>
        <w:fldChar w:fldCharType="end"/>
      </w:r>
      <w:r w:rsidR="009E2B2A" w:rsidRPr="009E2B2A">
        <w:rPr>
          <w:rFonts w:ascii="Times New Roman" w:hAnsi="Times New Roman" w:cs="Times New Roman"/>
          <w:color w:val="000000"/>
          <w:sz w:val="24"/>
          <w:lang w:val="en-US" w:eastAsia="es-MX"/>
        </w:rPr>
        <w:t xml:space="preserve">. </w:t>
      </w:r>
      <w:r w:rsidRPr="007E5A9E">
        <w:rPr>
          <w:rFonts w:ascii="Times New Roman" w:eastAsia="Times New Roman" w:hAnsi="Times New Roman" w:cs="Times New Roman"/>
          <w:sz w:val="24"/>
          <w:szCs w:val="24"/>
          <w:lang w:val="en-US"/>
        </w:rPr>
        <w:t>In recent years, southern Guerrero has experienced the impact of hurricanes of varying intensities, most notably Ingrid and Manuel (2013)</w:t>
      </w:r>
      <w:r>
        <w:rPr>
          <w:rFonts w:ascii="Times New Roman" w:eastAsia="Times New Roman" w:hAnsi="Times New Roman" w:cs="Times New Roman"/>
          <w:sz w:val="24"/>
          <w:szCs w:val="24"/>
          <w:lang w:val="en-US"/>
        </w:rPr>
        <w:t xml:space="preserve"> </w:t>
      </w:r>
      <w:r w:rsidR="00B17EDE">
        <w:rPr>
          <w:rFonts w:ascii="Times New Roman" w:hAnsi="Times New Roman" w:cs="Times New Roman"/>
          <w:color w:val="000000"/>
          <w:sz w:val="24"/>
          <w:lang w:val="en-US" w:eastAsia="es-MX"/>
        </w:rPr>
        <w:fldChar w:fldCharType="begin"/>
      </w:r>
      <w:r w:rsidR="00B17EDE">
        <w:rPr>
          <w:rFonts w:ascii="Times New Roman" w:hAnsi="Times New Roman" w:cs="Times New Roman"/>
          <w:color w:val="000000"/>
          <w:sz w:val="24"/>
          <w:lang w:val="en-US" w:eastAsia="es-MX"/>
        </w:rPr>
        <w:instrText xml:space="preserve"> ADDIN ZOTERO_ITEM CSL_CITATION {"citationID":"vefYkSGT","properties":{"formattedCitation":"(Toscana Aparicio &amp; Villase\\uc0\\u241{}or Franco, 2018)","plainCitation":"(Toscana Aparicio &amp; Villaseñor Franco, 2018)","noteIndex":0},"citationItems":[{"id":402,"uris":["http://zotero.org/users/local/G75QjYIy/items/RDAI2GYJ"],"itemData":{"id":402,"type":"article-journal","container-title":"Sociedad y ambiente","issue":"16","note":"publisher: El Colegio de la Frontera Sur","page":"59–89","source":"Google Scholar","title":"Las tormentas Ingrid y Manuel en La Montaña de Guerrero, 2013. La atención de la emergencia","author":[{"family":"Toscana Aparicio","given":"Alejandra"},{"family":"Villaseñor Franco","given":"Alma"}],"issued":{"date-parts":[["2018"]]}}}],"schema":"https://github.com/citation-style-language/schema/raw/master/csl-citation.json"} </w:instrText>
      </w:r>
      <w:r w:rsidR="00B17EDE">
        <w:rPr>
          <w:rFonts w:ascii="Times New Roman" w:hAnsi="Times New Roman" w:cs="Times New Roman"/>
          <w:color w:val="000000"/>
          <w:sz w:val="24"/>
          <w:lang w:val="en-US" w:eastAsia="es-MX"/>
        </w:rPr>
        <w:fldChar w:fldCharType="separate"/>
      </w:r>
      <w:r w:rsidR="00B17EDE" w:rsidRPr="00B17EDE">
        <w:rPr>
          <w:rFonts w:ascii="Times New Roman" w:hAnsi="Times New Roman" w:cs="Times New Roman"/>
          <w:sz w:val="24"/>
          <w:lang w:val="en-US"/>
        </w:rPr>
        <w:t>(Toscana Aparicio &amp; Villaseñor Franco, 2018)</w:t>
      </w:r>
      <w:r w:rsidR="00B17EDE">
        <w:rPr>
          <w:rFonts w:ascii="Times New Roman" w:hAnsi="Times New Roman" w:cs="Times New Roman"/>
          <w:color w:val="000000"/>
          <w:sz w:val="24"/>
          <w:lang w:val="en-US" w:eastAsia="es-MX"/>
        </w:rPr>
        <w:fldChar w:fldCharType="end"/>
      </w:r>
      <w:r w:rsidR="009E2B2A" w:rsidRPr="009E2B2A">
        <w:rPr>
          <w:rFonts w:ascii="Times New Roman" w:hAnsi="Times New Roman" w:cs="Times New Roman"/>
          <w:color w:val="000000"/>
          <w:sz w:val="24"/>
          <w:lang w:val="en-US" w:eastAsia="es-MX"/>
        </w:rPr>
        <w:t>, Max in 2017</w:t>
      </w:r>
      <w:r w:rsidR="00B17EDE">
        <w:rPr>
          <w:rFonts w:ascii="Times New Roman" w:hAnsi="Times New Roman" w:cs="Times New Roman"/>
          <w:color w:val="000000"/>
          <w:sz w:val="24"/>
          <w:lang w:val="en-US" w:eastAsia="es-MX"/>
        </w:rPr>
        <w:t xml:space="preserve"> </w:t>
      </w:r>
      <w:r w:rsidR="00B17EDE">
        <w:rPr>
          <w:rFonts w:ascii="Times New Roman" w:hAnsi="Times New Roman" w:cs="Times New Roman"/>
          <w:color w:val="000000"/>
          <w:sz w:val="24"/>
          <w:lang w:val="en-US" w:eastAsia="es-MX"/>
        </w:rPr>
        <w:fldChar w:fldCharType="begin"/>
      </w:r>
      <w:r w:rsidR="00B17EDE">
        <w:rPr>
          <w:rFonts w:ascii="Times New Roman" w:hAnsi="Times New Roman" w:cs="Times New Roman"/>
          <w:color w:val="000000"/>
          <w:sz w:val="24"/>
          <w:lang w:val="en-US" w:eastAsia="es-MX"/>
        </w:rPr>
        <w:instrText xml:space="preserve"> ADDIN ZOTERO_ITEM CSL_CITATION {"citationID":"4gXgNC2b","properties":{"formattedCitation":"(Bedolla Solano et\\uc0\\u160{}al., 2021; Pitchaimani et\\uc0\\u160{}al., 2025)","plainCitation":"(Bedolla Solano et al., 2021; Pitchaimani et al., 2025)","noteIndex":0},"citationItems":[{"id":403,"uris":["http://zotero.org/users/local/G75QjYIy/items/VNUWFJ5D"],"itemData":{"id":403,"type":"article-journal","abstract":"El huracán Max ocurrió en septiembre de 2017. En una comunidad de Costa Chica, Guerrero, causó efectos negativos en lo ambiental, económico y social. El objetivo de este trabajo fue analizar el impacto social de dichas afectaciones para identificar medidas de prevención o mitigación ante eventos futuros considerando la adaptación de la cultura del riesgo y la Educación Ambiental para la Sustentabilidad (EAS). Se aplicó una entrevista no estructurada a ciudadanos afectados que contempló variables relacionadas con el ambiente, la economía, la sociedad, la percepción del riesgo y la EAS. Los resultados de este análisis evidenciaron daños en el ambiente: caída de árboles, desbordamiento e inundaciones; en cuanto a lo económico, la población perdió bienes materiales, animales y afectaciones en sus casas; en cuanto a lo social, las personas sufrieron daños físicos y emocionales; hubo afectaciones en los servicios de agua y de electricidad, y, por ende, falta de alimentos. También quedó al descubierto la desvinculación que existe entre sociedad y autoridad gubernamental en situaciones de emergencia. Experiencias como estas vuelven necesario fomentar en la población la cultura de riesgo ante eventos naturales y promover la EAS con miras a desarrollar habilidades y actitudes de cuidado y preservación del medio ambiente.","container-title":"RIDE Revista Iberoamericana para la Investigación y el Desarrollo Educativo","DOI":"10.23913/ride.v11i22.877","ISSN":"2007-7467","issue":"22","journalAbbreviati</w:instrText>
      </w:r>
      <w:r w:rsidR="00B17EDE" w:rsidRPr="00B17EDE">
        <w:rPr>
          <w:rFonts w:ascii="Times New Roman" w:hAnsi="Times New Roman" w:cs="Times New Roman"/>
          <w:color w:val="000000"/>
          <w:sz w:val="24"/>
          <w:lang w:val="en-US" w:eastAsia="es-MX"/>
        </w:rPr>
        <w:instrText>on":"RIDE","license":"https://creativecommons.org/licenses/by/4.0","source":"DOI.org (Crossref)","title":"Análisis prospectivo-educativo del impacto del huracán Max en una comunidad de Guerrero","URL":"https://www.ride.org.mx/index.php/RIDE/article/view/877","volume":"11","author":[{"family":"Bedolla Solano","given":"Ramón"},{"family":"Miranda Esteban","given":</w:instrText>
      </w:r>
      <w:r w:rsidR="00B17EDE" w:rsidRPr="00B17EDE">
        <w:rPr>
          <w:rFonts w:ascii="Times New Roman" w:hAnsi="Times New Roman" w:cs="Times New Roman"/>
          <w:color w:val="000000"/>
          <w:sz w:val="24"/>
          <w:lang w:eastAsia="es-MX"/>
        </w:rPr>
        <w:instrText xml:space="preserve">"Adriana"},{"family":"Bedolla Solano","given":"Juan José"},{"family":"Sánchez Adame","given":"Oscar"}],"accessed":{"date-parts":[["2025",9,20]]},"issued":{"date-parts":[["2021",2,24]]}}},{"id":405,"uris":["http://zotero.org/users/local/G75QjYIy/items/3T6HKHDB"],"itemData":{"id":405,"type":"article-journal","container-title":"Environmental Monitoring and Assessment","DOI":"10.1007/s10661-025-14274-1","ISSN":"1573-2959","issue":"8","journalAbbreviation":"Environ Monit Assess","language":"en","page":"903","source":"DOI.org (Crossref)","title":"Eco-environmental impact of hurricane John (September 24, 2024) along the coastal municipalities of Acapulco, Guerrero, Mexico","volume":"197","author":[{"family":"Pitchaimani","given":"Godwyn Paulson"},{"family":"Santhanakrishnan","given":"Sudharsan"},{"family":"Rodríguez","given":"Samuel Pérez"},{"family":"Ibarra","given":"Marco Antonio Moreno"},{"family":"Torres","given":"Mario Alberto González"},{"family":"Ponniah","given":"Jonathan Muthuswamy"}],"issued":{"date-parts":[["2025",7,11]]}}}],"schema":"https://github.com/citation-style-language/schema/raw/master/csl-citation.json"} </w:instrText>
      </w:r>
      <w:r w:rsidR="00B17EDE">
        <w:rPr>
          <w:rFonts w:ascii="Times New Roman" w:hAnsi="Times New Roman" w:cs="Times New Roman"/>
          <w:color w:val="000000"/>
          <w:sz w:val="24"/>
          <w:lang w:val="en-US" w:eastAsia="es-MX"/>
        </w:rPr>
        <w:fldChar w:fldCharType="separate"/>
      </w:r>
      <w:r w:rsidR="00B17EDE" w:rsidRPr="00B17EDE">
        <w:rPr>
          <w:rFonts w:ascii="Times New Roman" w:hAnsi="Times New Roman" w:cs="Times New Roman"/>
          <w:sz w:val="24"/>
        </w:rPr>
        <w:t xml:space="preserve">(Bedolla Solano </w:t>
      </w:r>
      <w:r w:rsidR="00B17EDE" w:rsidRPr="00390A71">
        <w:rPr>
          <w:rFonts w:ascii="Times New Roman" w:hAnsi="Times New Roman" w:cs="Times New Roman"/>
          <w:sz w:val="24"/>
        </w:rPr>
        <w:t>et al.,</w:t>
      </w:r>
      <w:r w:rsidR="00B17EDE" w:rsidRPr="00B17EDE">
        <w:rPr>
          <w:rFonts w:ascii="Times New Roman" w:hAnsi="Times New Roman" w:cs="Times New Roman"/>
          <w:sz w:val="24"/>
        </w:rPr>
        <w:t xml:space="preserve"> 2021; Pitchaimani et al., 2025)</w:t>
      </w:r>
      <w:r w:rsidR="00B17EDE">
        <w:rPr>
          <w:rFonts w:ascii="Times New Roman" w:hAnsi="Times New Roman" w:cs="Times New Roman"/>
          <w:color w:val="000000"/>
          <w:sz w:val="24"/>
          <w:lang w:val="en-US" w:eastAsia="es-MX"/>
        </w:rPr>
        <w:fldChar w:fldCharType="end"/>
      </w:r>
      <w:r w:rsidR="009E2B2A" w:rsidRPr="00B17EDE">
        <w:rPr>
          <w:rFonts w:ascii="Times New Roman" w:hAnsi="Times New Roman" w:cs="Times New Roman"/>
          <w:color w:val="000000"/>
          <w:sz w:val="24"/>
          <w:lang w:eastAsia="es-MX"/>
        </w:rPr>
        <w:t>, Otis in 2023</w:t>
      </w:r>
      <w:r w:rsidR="00B17EDE" w:rsidRPr="00B17EDE">
        <w:rPr>
          <w:rFonts w:ascii="Times New Roman" w:hAnsi="Times New Roman" w:cs="Times New Roman"/>
          <w:color w:val="000000"/>
          <w:sz w:val="24"/>
          <w:lang w:eastAsia="es-MX"/>
        </w:rPr>
        <w:t xml:space="preserve"> </w:t>
      </w:r>
      <w:r w:rsidR="00B17EDE">
        <w:rPr>
          <w:rFonts w:ascii="Times New Roman" w:hAnsi="Times New Roman" w:cs="Times New Roman"/>
          <w:color w:val="000000"/>
          <w:sz w:val="24"/>
          <w:lang w:val="en-US" w:eastAsia="es-MX"/>
        </w:rPr>
        <w:fldChar w:fldCharType="begin"/>
      </w:r>
      <w:r w:rsidR="00B17EDE" w:rsidRPr="00B17EDE">
        <w:rPr>
          <w:rFonts w:ascii="Times New Roman" w:hAnsi="Times New Roman" w:cs="Times New Roman"/>
          <w:color w:val="000000"/>
          <w:sz w:val="24"/>
          <w:lang w:eastAsia="es-MX"/>
        </w:rPr>
        <w:instrText xml:space="preserve"> ADDIN ZOTERO_ITEM CSL_CITATION {"citationID":"SBhQI8Ho","properties":{"formattedCitation":"(Bastien-Olvera et\\uc0\\u160{}al., 2024; Moreno Mendoza et\\uc0\\u160{}al., 2024)","plainCitation":"(Bastien-Olvera et al., 2024; Moreno Mendoza et al., 2024)","noteIndex":0},"citationItems":[{"id":408,"uris":["http://zotero.org/users/local/G75QjYIy/items/686GFAE2"],"itemData":{"id":408,"type":"article-journal","container-title":"Science of The Total Environment","DOI":"10.1016/j.scitotenv.2024.177822","ISSN":"00489697","journalAbbreviation":"Science of The Total Environment","language":"en","page":"177822","source":"DOI.org (Crossref)","title":"Mangrove preservation could have significantly reduced damages from Hurricane Otis on the coast of Guerrero, Mexico","volume":"957","author":[{"family":"Bastien-Olvera","given":"B.A."},{"family":"Rivera","given":"A."},{"family":"Gray","given":"E."},{"family":"Mitchell","given":"S."},{"family":"Favoretto","given":"F."},{"family":"Ezcurra","given":"E."},{"family":"Aburto-Oropeza","given":"O."}],"issued":{"date-parts":[["2024",12]]}}},{"id":49,"uris":["http://zotero.org/users/local/G75QjYIy/items/AP3MFSN5"],"itemData":{"id":49,"type":"article-journal","abstract":"Este artículo tiene como objetivo analizar la percepción socioambiental que tienen los productores de maíz sobre el paso del huracán Otis en el estado de Guerrero,</w:instrText>
      </w:r>
      <w:r w:rsidR="00B17EDE">
        <w:rPr>
          <w:rFonts w:ascii="Times New Roman" w:hAnsi="Times New Roman" w:cs="Times New Roman"/>
          <w:color w:val="000000"/>
          <w:sz w:val="24"/>
          <w:lang w:val="en-US" w:eastAsia="es-MX"/>
        </w:rPr>
        <w:instrText xml:space="preserve"> México, así como los problemas ambientales, sociales, económicos y políticos que se presentan. Esta investigación utilizó métodos mixtos. Se realizó una encuesta y entrevistas a 30 agricultores productores de maíz. Las variables para ambos instrumentos fueron los factores sociales, ambientales, económicos y culturales de las personas. La encuesta constaba de 9 preguntas, 6 de opción múltiple y tres abiertas. En el caso de la entrevista, sólo hubo tres preguntas abiertas en las que los agricultores expresaron sus sentimientos sobre el impacto de Otis en la producción, su economía y su forma de vida. En el estado se han presentado huracanes de baja intensidad desde 1921, que fueron los primeros eventos que ocurrieron. En 1988 ocurrió el huracán Gilberto, que tuvo una precipitación de 320 mm durante 24 horas. A pesar de esta intensidad de lluvias, la infraestructura de</w:instrText>
      </w:r>
      <w:r w:rsidR="00B17EDE" w:rsidRPr="00B17EDE">
        <w:rPr>
          <w:rFonts w:ascii="Times New Roman" w:hAnsi="Times New Roman" w:cs="Times New Roman"/>
          <w:color w:val="000000"/>
          <w:sz w:val="24"/>
          <w:lang w:eastAsia="es-MX"/>
        </w:rPr>
        <w:instrText xml:space="preserve"> baja intensidad permitió una filtración al subsuelo y alivio de los canales al mar, en el caso del huracán Paulina en 1997 la temporada de lluvias fue de dos horas y causó desastre en todos los ámbitos sociales, en el año 2013 con Íngrid y Manuel, Max 2017 hasta llegar al huracán Otis 2023. El huracán Otis provocó problemas ambientales (caída de árboles de todo tipo, generación de residuos orgánicos), económicos (pérdidas en producción agrícola, materiales, altos precios de productos de la canasta básica), sociales (problemas de salud por acumulación de basura y psicológicos) y políticos (falta de apoyo con programas para incentivar la economía de los productores de maíz).","container-title":"RIDE Revista Iberoamericana para la Investigación y el Desarrollo Educativo","DOI":"10.23913/ride.v15i29.2037","ISSN":"2007-7467","issue":"29","journalAbbreviation":"RIDE","license":"https://creativecommons.org/licenses/by/4.0","source":"DOI.org (Crossref)","title":"Percepción socioambiental de los productores de maíz, debido al paso del huracán Otis en el estado de Guerrero, México","URL":"http://www.ride.org.mx/index.php/RIDE/article/view/2037","volume":"15","author":[{"family":"Moreno Mendoza","given":"Enrique"},{"family":"Calderón Arellanes","given":"Ma</w:instrText>
      </w:r>
      <w:r w:rsidR="00B17EDE" w:rsidRPr="00B17EDE">
        <w:rPr>
          <w:rFonts w:ascii="Times New Roman" w:hAnsi="Times New Roman" w:cs="Times New Roman"/>
          <w:color w:val="000000"/>
          <w:sz w:val="24"/>
          <w:lang w:val="en-US" w:eastAsia="es-MX"/>
        </w:rPr>
        <w:instrText xml:space="preserve">rco Polo"},{"family":"Suastegui Cruz","given":"Sirilo"}],"accessed":{"date-parts":[["2025",3,16]]},"issued":{"date-parts":[["2024",8,14]]}}}],"schema":"https://github.com/citation-style-language/schema/raw/master/csl-citation.json"} </w:instrText>
      </w:r>
      <w:r w:rsidR="00B17EDE">
        <w:rPr>
          <w:rFonts w:ascii="Times New Roman" w:hAnsi="Times New Roman" w:cs="Times New Roman"/>
          <w:color w:val="000000"/>
          <w:sz w:val="24"/>
          <w:lang w:val="en-US" w:eastAsia="es-MX"/>
        </w:rPr>
        <w:fldChar w:fldCharType="separate"/>
      </w:r>
      <w:r w:rsidR="00B17EDE" w:rsidRPr="00B17EDE">
        <w:rPr>
          <w:rFonts w:ascii="Times New Roman" w:hAnsi="Times New Roman" w:cs="Times New Roman"/>
          <w:sz w:val="24"/>
          <w:lang w:val="en-US"/>
        </w:rPr>
        <w:t xml:space="preserve">(Bastien-Olvera </w:t>
      </w:r>
      <w:r w:rsidR="00B17EDE" w:rsidRPr="00390A71">
        <w:rPr>
          <w:rFonts w:ascii="Times New Roman" w:hAnsi="Times New Roman" w:cs="Times New Roman"/>
          <w:sz w:val="24"/>
          <w:lang w:val="en-US"/>
        </w:rPr>
        <w:t xml:space="preserve">et al., </w:t>
      </w:r>
      <w:r w:rsidR="00B17EDE" w:rsidRPr="00B17EDE">
        <w:rPr>
          <w:rFonts w:ascii="Times New Roman" w:hAnsi="Times New Roman" w:cs="Times New Roman"/>
          <w:sz w:val="24"/>
          <w:lang w:val="en-US"/>
        </w:rPr>
        <w:t xml:space="preserve">2024; Moreno Mendoza </w:t>
      </w:r>
      <w:r w:rsidR="00B17EDE" w:rsidRPr="00390A71">
        <w:rPr>
          <w:rFonts w:ascii="Times New Roman" w:hAnsi="Times New Roman" w:cs="Times New Roman"/>
          <w:sz w:val="24"/>
          <w:lang w:val="en-US"/>
        </w:rPr>
        <w:t>et al.,</w:t>
      </w:r>
      <w:r w:rsidR="00B17EDE" w:rsidRPr="00DB43B9">
        <w:rPr>
          <w:rFonts w:ascii="Times New Roman" w:hAnsi="Times New Roman" w:cs="Times New Roman"/>
          <w:i/>
          <w:iCs/>
          <w:sz w:val="24"/>
          <w:lang w:val="en-US"/>
        </w:rPr>
        <w:t xml:space="preserve"> </w:t>
      </w:r>
      <w:r w:rsidR="00B17EDE" w:rsidRPr="00B17EDE">
        <w:rPr>
          <w:rFonts w:ascii="Times New Roman" w:hAnsi="Times New Roman" w:cs="Times New Roman"/>
          <w:sz w:val="24"/>
          <w:lang w:val="en-US"/>
        </w:rPr>
        <w:t>2024)</w:t>
      </w:r>
      <w:r w:rsidR="00B17EDE">
        <w:rPr>
          <w:rFonts w:ascii="Times New Roman" w:hAnsi="Times New Roman" w:cs="Times New Roman"/>
          <w:color w:val="000000"/>
          <w:sz w:val="24"/>
          <w:lang w:val="en-US" w:eastAsia="es-MX"/>
        </w:rPr>
        <w:fldChar w:fldCharType="end"/>
      </w:r>
      <w:r w:rsidR="009E2B2A" w:rsidRPr="00B17EDE">
        <w:rPr>
          <w:rFonts w:ascii="Times New Roman" w:hAnsi="Times New Roman" w:cs="Times New Roman"/>
          <w:color w:val="000000"/>
          <w:sz w:val="24"/>
          <w:lang w:val="en-US" w:eastAsia="es-MX"/>
        </w:rPr>
        <w:t>, John in 2024</w:t>
      </w:r>
      <w:r w:rsidR="00B17EDE" w:rsidRPr="00B17EDE">
        <w:rPr>
          <w:rFonts w:ascii="Times New Roman" w:hAnsi="Times New Roman" w:cs="Times New Roman"/>
          <w:color w:val="000000"/>
          <w:sz w:val="24"/>
          <w:lang w:val="en-US" w:eastAsia="es-MX"/>
        </w:rPr>
        <w:t xml:space="preserve"> </w:t>
      </w:r>
      <w:r w:rsidR="00B17EDE">
        <w:rPr>
          <w:rFonts w:ascii="Times New Roman" w:hAnsi="Times New Roman" w:cs="Times New Roman"/>
          <w:color w:val="000000"/>
          <w:sz w:val="24"/>
          <w:lang w:val="en-US" w:eastAsia="es-MX"/>
        </w:rPr>
        <w:fldChar w:fldCharType="begin"/>
      </w:r>
      <w:r w:rsidR="00B17EDE" w:rsidRPr="00B17EDE">
        <w:rPr>
          <w:rFonts w:ascii="Times New Roman" w:hAnsi="Times New Roman" w:cs="Times New Roman"/>
          <w:color w:val="000000"/>
          <w:sz w:val="24"/>
          <w:lang w:val="en-US" w:eastAsia="es-MX"/>
        </w:rPr>
        <w:instrText xml:space="preserve"> ADDIN ZOTERO_ITEM CSL_CITATION {"citationID":"As0C3MM1","properties":{"formattedCitation":"(Pitchaimani et\\uc0\\u160{}al., 2025)","plainCitation":"(Pitchaimani et al., 2025)","noteIndex":0},"citationItems":[{"id":405,"uris":["http://zotero.org/users/local/G75QjYIy/items/3T6HKHDB"],"itemData":{"id":405,"type":"article-journal","container-title":"Environmental Monitoring and Assessment","DOI":"10.1007/s10661-025-14274-1","ISSN":"1573-2959","issue":"8","journalAbbreviation":"Environ Monit Assess","language":"en","page":"903","source":"DOI.org (Crossref)","title":"Eco-environmental impact of hurricane John (September 24, 2024) along the coastal municipalities of Acapulco, Guerrero, Mexico","volume":"197","author":[{"family":"Pitchaimani","given":"Godwyn Paulson"},{"family":"Santhanakrishnan","given":"Sudharsan"},{"family":"Rodríguez","given":"Samuel Pérez"},{"family":"Ibarra","given":"Marco Antonio Moreno"},{"family":"Torres","given":"Mario Alberto González"},{"family":"Ponniah","given":"Jonathan Muthuswamy"}],"issued":{"date-parts":[["2025",7,11]]}}}],"schema":"https://github.com/citation-style-language/schema/raw/master/csl-citation.json"} </w:instrText>
      </w:r>
      <w:r w:rsidR="00B17EDE">
        <w:rPr>
          <w:rFonts w:ascii="Times New Roman" w:hAnsi="Times New Roman" w:cs="Times New Roman"/>
          <w:color w:val="000000"/>
          <w:sz w:val="24"/>
          <w:lang w:val="en-US" w:eastAsia="es-MX"/>
        </w:rPr>
        <w:fldChar w:fldCharType="separate"/>
      </w:r>
      <w:r w:rsidR="00B17EDE" w:rsidRPr="00B17EDE">
        <w:rPr>
          <w:rFonts w:ascii="Times New Roman" w:hAnsi="Times New Roman" w:cs="Times New Roman"/>
          <w:sz w:val="24"/>
          <w:lang w:val="en-US"/>
        </w:rPr>
        <w:t xml:space="preserve">(Pitchaimani </w:t>
      </w:r>
      <w:r w:rsidR="00B17EDE" w:rsidRPr="00DB43B9">
        <w:rPr>
          <w:rFonts w:ascii="Times New Roman" w:hAnsi="Times New Roman" w:cs="Times New Roman"/>
          <w:i/>
          <w:iCs/>
          <w:sz w:val="24"/>
          <w:lang w:val="en-US"/>
        </w:rPr>
        <w:t>et al.,</w:t>
      </w:r>
      <w:r w:rsidR="00B17EDE" w:rsidRPr="00B17EDE">
        <w:rPr>
          <w:rFonts w:ascii="Times New Roman" w:hAnsi="Times New Roman" w:cs="Times New Roman"/>
          <w:sz w:val="24"/>
          <w:lang w:val="en-US"/>
        </w:rPr>
        <w:t xml:space="preserve"> 2025)</w:t>
      </w:r>
      <w:r w:rsidR="00B17EDE">
        <w:rPr>
          <w:rFonts w:ascii="Times New Roman" w:hAnsi="Times New Roman" w:cs="Times New Roman"/>
          <w:color w:val="000000"/>
          <w:sz w:val="24"/>
          <w:lang w:val="en-US" w:eastAsia="es-MX"/>
        </w:rPr>
        <w:fldChar w:fldCharType="end"/>
      </w:r>
      <w:r w:rsidR="009E2B2A" w:rsidRPr="00B17EDE">
        <w:rPr>
          <w:rFonts w:ascii="Times New Roman" w:hAnsi="Times New Roman" w:cs="Times New Roman"/>
          <w:color w:val="000000"/>
          <w:sz w:val="24"/>
          <w:lang w:val="en-US" w:eastAsia="es-MX"/>
        </w:rPr>
        <w:t xml:space="preserve"> and Erick in 2025</w:t>
      </w:r>
      <w:r w:rsidR="00B17EDE" w:rsidRPr="00B17EDE">
        <w:rPr>
          <w:rFonts w:ascii="Times New Roman" w:hAnsi="Times New Roman" w:cs="Times New Roman"/>
          <w:color w:val="000000"/>
          <w:sz w:val="24"/>
          <w:lang w:val="en-US" w:eastAsia="es-MX"/>
        </w:rPr>
        <w:t xml:space="preserve"> </w:t>
      </w:r>
      <w:r w:rsidR="00B17EDE">
        <w:rPr>
          <w:rFonts w:ascii="Times New Roman" w:hAnsi="Times New Roman" w:cs="Times New Roman"/>
          <w:color w:val="000000"/>
          <w:sz w:val="24"/>
          <w:lang w:val="en-US" w:eastAsia="es-MX"/>
        </w:rPr>
        <w:fldChar w:fldCharType="begin"/>
      </w:r>
      <w:r w:rsidR="00B17EDE" w:rsidRPr="00B17EDE">
        <w:rPr>
          <w:rFonts w:ascii="Times New Roman" w:hAnsi="Times New Roman" w:cs="Times New Roman"/>
          <w:color w:val="000000"/>
          <w:sz w:val="24"/>
          <w:lang w:val="en-US" w:eastAsia="es-MX"/>
        </w:rPr>
        <w:instrText xml:space="preserve"> ADDIN ZOTERO_ITEM CSL_CITATION {"citationID":"CptmZ57D","properties":{"formattedCitation":"(Alvarez Montalvan et\\uc0\\u160{}al., 2025)","plainCitation":"(Alvarez Montalvan et al., 2025)","noteIndex":0},"citationItems":[{"id":410,"uris":["http://zotero.org/users/local/G75QjYIy/items/9MG2TXZ3"],"itemData":{"id":410,"type":"article-journal","abstract":"This article aims to analyze the economic impacts that have occu\nrred in the Mexican state of Guerrero as a result of natural disasters between 2020 and 2025. During this period, Guerrero experienced major catastrophes, including Hurricane Otis (2023), which devastated Acapulco; Hurricane John (2024), which hit already vulnerable areas; and Hurricane Erick (2025), whose effects tested the emergency response systems implemented after the previous events. Additionally, the 2021 earthquake (magnitude 7.1) is considered, as it severely affected rural communities. Through a qualitative methodology based on documentary review and analysis of official, scientific, and governmental sources, this study identifies key impacts in sectors such as tourism, fishing, construction, and services. The analysis adopts a disaster economics perspective and considers structural factors such as poverty, economic informality, and lack of urban planning to explain Guerrero’s persistent vulnerability. Finally, public policy strategies are proposed to enhance the region's economic resilience in the face of future extreme climat</w:instrText>
      </w:r>
      <w:r w:rsidR="00B17EDE">
        <w:rPr>
          <w:rFonts w:ascii="Times New Roman" w:hAnsi="Times New Roman" w:cs="Times New Roman"/>
          <w:color w:val="000000"/>
          <w:sz w:val="24"/>
          <w:lang w:val="en-US" w:eastAsia="es-MX"/>
        </w:rPr>
        <w:instrText>e events.\n          , \n            El presente artículo tiene como objetivo analizar las afectaciones económicas que han tenido lugar en el estado mexicano de Guerrero a raíz de fenómenos naturales ocurridos entre los años 2020 y 2025. Durante este periodo, Guerrero ha sido escenario de desastres de gran magnitud, como el huracán Otis en octubre de 2023, que devastó Acapulco; el huracán John en 2024, que impactó zonas ya vulnerables; y el huracán Erick en 2025, cuyas consecuencias pusieron a prueba la resiliencia de los sistemas de protección civil implementados tras los eventos previos. Asimismo, se considera el terremoto de magnitud 7.1 ocurrido en se</w:instrText>
      </w:r>
      <w:r w:rsidR="00B17EDE" w:rsidRPr="00DB43B9">
        <w:rPr>
          <w:rFonts w:ascii="Times New Roman" w:hAnsi="Times New Roman" w:cs="Times New Roman"/>
          <w:color w:val="000000"/>
          <w:sz w:val="24"/>
          <w:lang w:val="en-US" w:eastAsia="es-MX"/>
        </w:rPr>
        <w:instrText>ptiembre de 2021, que afe</w:instrText>
      </w:r>
      <w:r w:rsidR="00B17EDE" w:rsidRPr="00B17EDE">
        <w:rPr>
          <w:rFonts w:ascii="Times New Roman" w:hAnsi="Times New Roman" w:cs="Times New Roman"/>
          <w:color w:val="000000"/>
          <w:sz w:val="24"/>
          <w:lang w:val="en-US" w:eastAsia="es-MX"/>
        </w:rPr>
        <w:instrText xml:space="preserve">ctó principalmente a comunidades rurales.A través de una metodología cualitativa basada en revisión documental y análisis de fuentes oficiales, científicas y gubernamentales, se identifican los principales impactos en sectores como el turismo, la pesca, la construcción y los servicios. El estudio parte de un enfoque de economía de desastres y considera variables estructurales como la pobreza, la informalidad económica y la falta de planeación urbana, para explicar la persistente vulnerabilidad de Guerrero. Finalmente, se proponen estrategias de política pública para fortalecer la resiliencia económica de la región frente a futuros fenómenos climáticos extremos.","container-title":"Ibero Ciencias - Revista Científica y Académica - ISSN 3072-7197","DOI":"10.63371/ic.v4.n3.a127","ISSN":"3072-7197","issue":"3","journalAbbreviation":"iberociencias","license":"https://creativecommons.org/licenses/by-nc-sa/4.0","page":"356-376","source":"DOI.org (Crossref)","title":"Crisis Climática y Vulnerabilidad Económica: Afectaciones por Fenómenos Naturales en el Estado de Guerrero (2020–2025)","title-short":"Crisis Climática y Vulnerabilidad Económica","volume":"4","author":[{"family":"Alvarez Montalvan","given":"Olivia Elizabeth"},{"family":"Memije Alarcón","given":"Norma Yadira"},{"family":"Ventura Ramos","given":"Perla Elizabeth"}],"issued":{"date-parts":[["2025",7,28]]}}}],"schema":"https://github.com/citation-style-language/schema/raw/master/csl-citation.json"} </w:instrText>
      </w:r>
      <w:r w:rsidR="00B17EDE">
        <w:rPr>
          <w:rFonts w:ascii="Times New Roman" w:hAnsi="Times New Roman" w:cs="Times New Roman"/>
          <w:color w:val="000000"/>
          <w:sz w:val="24"/>
          <w:lang w:val="en-US" w:eastAsia="es-MX"/>
        </w:rPr>
        <w:fldChar w:fldCharType="separate"/>
      </w:r>
      <w:r w:rsidR="00B17EDE" w:rsidRPr="00B17EDE">
        <w:rPr>
          <w:rFonts w:ascii="Times New Roman" w:hAnsi="Times New Roman" w:cs="Times New Roman"/>
          <w:sz w:val="24"/>
          <w:lang w:val="en-US"/>
        </w:rPr>
        <w:t xml:space="preserve">(Alvarez Montalvan </w:t>
      </w:r>
      <w:r w:rsidR="00B17EDE" w:rsidRPr="00390A71">
        <w:rPr>
          <w:rFonts w:ascii="Times New Roman" w:hAnsi="Times New Roman" w:cs="Times New Roman"/>
          <w:sz w:val="24"/>
          <w:lang w:val="en-US"/>
        </w:rPr>
        <w:t>et al.,</w:t>
      </w:r>
      <w:r w:rsidR="00B17EDE" w:rsidRPr="00B17EDE">
        <w:rPr>
          <w:rFonts w:ascii="Times New Roman" w:hAnsi="Times New Roman" w:cs="Times New Roman"/>
          <w:sz w:val="24"/>
          <w:lang w:val="en-US"/>
        </w:rPr>
        <w:t xml:space="preserve"> 2025)</w:t>
      </w:r>
      <w:r w:rsidR="00B17EDE">
        <w:rPr>
          <w:rFonts w:ascii="Times New Roman" w:hAnsi="Times New Roman" w:cs="Times New Roman"/>
          <w:color w:val="000000"/>
          <w:sz w:val="24"/>
          <w:lang w:val="en-US" w:eastAsia="es-MX"/>
        </w:rPr>
        <w:fldChar w:fldCharType="end"/>
      </w:r>
      <w:r w:rsidR="00B17EDE">
        <w:rPr>
          <w:rFonts w:ascii="Times New Roman" w:hAnsi="Times New Roman" w:cs="Times New Roman"/>
          <w:color w:val="000000"/>
          <w:sz w:val="24"/>
          <w:lang w:val="en-US" w:eastAsia="es-MX"/>
        </w:rPr>
        <w:t>.</w:t>
      </w:r>
      <w:r w:rsidR="009E2B2A" w:rsidRPr="00B17EDE">
        <w:rPr>
          <w:rFonts w:ascii="Times New Roman" w:hAnsi="Times New Roman" w:cs="Times New Roman"/>
          <w:color w:val="000000"/>
          <w:sz w:val="24"/>
          <w:lang w:val="en-US" w:eastAsia="es-MX"/>
        </w:rPr>
        <w:t xml:space="preserve"> </w:t>
      </w:r>
      <w:r w:rsidRPr="007E5A9E">
        <w:rPr>
          <w:rFonts w:ascii="Times New Roman" w:eastAsia="Times New Roman" w:hAnsi="Times New Roman" w:cs="Times New Roman"/>
          <w:sz w:val="24"/>
          <w:szCs w:val="24"/>
          <w:lang w:val="en-US"/>
        </w:rPr>
        <w:t>The repercussions of these events have highlighted critical shortcomings in prevention, mitigation, and community resilience systems</w:t>
      </w:r>
      <w:r>
        <w:rPr>
          <w:rFonts w:ascii="Times New Roman" w:hAnsi="Times New Roman" w:cs="Times New Roman"/>
          <w:color w:val="000000"/>
          <w:sz w:val="24"/>
          <w:lang w:val="en-US" w:eastAsia="es-MX"/>
        </w:rPr>
        <w:t xml:space="preserve"> </w:t>
      </w:r>
      <w:r w:rsidR="00B17EDE">
        <w:rPr>
          <w:rFonts w:ascii="Times New Roman" w:hAnsi="Times New Roman" w:cs="Times New Roman"/>
          <w:color w:val="000000"/>
          <w:sz w:val="24"/>
          <w:lang w:val="en-US" w:eastAsia="es-MX"/>
        </w:rPr>
        <w:fldChar w:fldCharType="begin"/>
      </w:r>
      <w:r w:rsidR="00B17EDE">
        <w:rPr>
          <w:rFonts w:ascii="Times New Roman" w:hAnsi="Times New Roman" w:cs="Times New Roman"/>
          <w:color w:val="000000"/>
          <w:sz w:val="24"/>
          <w:lang w:val="en-US" w:eastAsia="es-MX"/>
        </w:rPr>
        <w:instrText xml:space="preserve"> ADDIN ZOTERO_ITEM CSL_CITATION {"citationID":"51J87JtX","properties":{"formattedCitation":"(Bonfanti et\\uc0\\u160{}al., 2023; Klasa et\\uc0\\u160{}al., 2025)","plainCitation":"(Bonfanti et al., 2023; Klasa et al., 2025)","noteIndex":0},"citationItems":[{"id":413,"uris":["http://zotero.org/users/local/G75QjYIy/items/TDRQ66S2"],"itemData":{"id":413,"type":"article-journal","abstract":"In recent years, there has been a growing interest in the concept of trust within the domain of natural disaster management. Trust can be defined as a state of vulnerability where one party relies on another party with the expectation that the latter will carry out entrusted responsibilities without exploiting this inherent vulnerability. This comprehensive literature review is dedicated to the examination of research concerning community and institutional trust in the field of disaster risk reduction (DRR). Particular emphasis is placed on elucidating the influence of trust throughout the distinct phases of natural disaster management, namely prevention, preparedness, response, and recovery. The critical examination of the pertinent body of the literature demonstrates that trust plays a central role across the different phases of DRR, being positively associated with effective community responses and resilience. Hence, it becomes imperative to actively foster the development of trust at both institutional and community levels within the realm of DRR. This endeavor is essential for adequately preparing communities to confront natural disasters, crafting effective protocols to enhance community responsiveness and mitigate adverse consequences, and advancing strategies for successful reconstruction and recovery.","container-title":"International Journal of Environmental Research and Public Health","DOI":"10.3390/ijerph21010029","ISSN":"1660-4601","issue":"1","journalAbbreviation":"IJERPH","language":"en","license":"https://creativecommons.org/licenses/by/4.0/","page":"29","source":"DOI.org (Crossref)","title":"The Role of Trust in Disaster Risk Reduction: A Critical Review","title-short":"The Role of Trust in Disaster Risk Reduction","volume":"21","author":[{"family":"Bonfanti","given":"Rubinia Celeste"},{"family":"Oberti","given":"Benedetta"},{"family":"Ravazzoli","given":"Elisa"},{"family":"Rinaldi","given":"Anna"},{"family":"Ruggieri","given":"Stefano"},{"family":"Schimmenti","given":"Adriano"}],"issued":{"date-parts":[["2023",12,24]]}}},{"id":411,"uris":["http://zotero.org/users/local/G75QjYIy/items/QKI477LB"],"itemData":{"id":411,"type":"article-journal","abstract":"Compound threats—two or more relatively rare and high-consequence events that co-occur in time and space, amplifying their effects—present difficult-to-predict events that can impose potentially grave consequences. While there has been increasing attention placed on modeling the probabilities and outcomes of compounding threats, there are no proposed governance models for compound threats, limiting the ability of policymakers and decisionmakers to manage such crises in the future. We visualize resilience for compound threats to understand how critical functioning and system utility to contain hazards, to absorb losses, and to recover from stressors shifts over time. Using North Carolina as a case study, we conduct a compound threats assessment fo</w:instrText>
      </w:r>
      <w:r w:rsidR="00B17EDE" w:rsidRPr="00DB43B9">
        <w:rPr>
          <w:rFonts w:ascii="Times New Roman" w:hAnsi="Times New Roman" w:cs="Times New Roman"/>
          <w:color w:val="000000"/>
          <w:sz w:val="24"/>
          <w:lang w:val="en-US" w:eastAsia="es-MX"/>
        </w:rPr>
        <w:instrText xml:space="preserve">r disaster risk to showcase its effectiveness in more accurately predicting disaster risk areas, as well highlight the limitations of existing risk models used by policymakers. We propose a resilience-augmented conceptual framework to rethink risk governance for compound threats that allows for speed (specifically flexibility and adaptability) in situations of high uncertainty while working within the rigid, slow-moving boundaries of government and bureaucracy. Finally, we discuss strategies for key actors to apply a resilience-augmented governance approach to compound threats into operational decision-making during crisis situations.","container-title":"Environments","DOI":"10.3390/environments12020064","ISSN":"2076-3298","issue":"2","journalAbbreviation":"Environments","language":"en","license":"https://creativecommons.org/licenses/by/4.0/","page":"64","source":"DOI.org (Crossref)","title":"A Resilience-Augmented Approach to Compound Threats and Risk Governance: A Systems Perspective on Navigating Complex Crises","title-short":"A Resilience-Augmented Approach to Compound Threats and Risk Governance","volume":"12","author":[{"family":"Klasa","given":"Katarzyna"},{"family":"Trump","given":"Benjamin D."},{"family":"Dulin","given":"Sam"},{"family":"Smith","given":"Madison"},{"family":"Jarman","given":"Holly"},{"family":"Linkov","given":"Igor"}],"issued":{"date-parts":[["2025",2,12]]}}}],"schema":"https://github.com/citation-style-language/schema/raw/master/csl-citation.json"} </w:instrText>
      </w:r>
      <w:r w:rsidR="00B17EDE">
        <w:rPr>
          <w:rFonts w:ascii="Times New Roman" w:hAnsi="Times New Roman" w:cs="Times New Roman"/>
          <w:color w:val="000000"/>
          <w:sz w:val="24"/>
          <w:lang w:val="en-US" w:eastAsia="es-MX"/>
        </w:rPr>
        <w:fldChar w:fldCharType="separate"/>
      </w:r>
      <w:r w:rsidR="00B17EDE" w:rsidRPr="00DB43B9">
        <w:rPr>
          <w:rFonts w:ascii="Times New Roman" w:hAnsi="Times New Roman" w:cs="Times New Roman"/>
          <w:sz w:val="24"/>
          <w:lang w:val="en-US"/>
        </w:rPr>
        <w:t>(Bonfanti</w:t>
      </w:r>
      <w:r w:rsidR="00B17EDE" w:rsidRPr="00390A71">
        <w:rPr>
          <w:rFonts w:ascii="Times New Roman" w:hAnsi="Times New Roman" w:cs="Times New Roman"/>
          <w:sz w:val="24"/>
          <w:lang w:val="en-US"/>
        </w:rPr>
        <w:t xml:space="preserve"> et al.,</w:t>
      </w:r>
      <w:r w:rsidR="00B17EDE" w:rsidRPr="00DB43B9">
        <w:rPr>
          <w:rFonts w:ascii="Times New Roman" w:hAnsi="Times New Roman" w:cs="Times New Roman"/>
          <w:sz w:val="24"/>
          <w:lang w:val="en-US"/>
        </w:rPr>
        <w:t xml:space="preserve"> 2023; Klasa </w:t>
      </w:r>
      <w:r w:rsidR="00B17EDE" w:rsidRPr="00390A71">
        <w:rPr>
          <w:rFonts w:ascii="Times New Roman" w:hAnsi="Times New Roman" w:cs="Times New Roman"/>
          <w:sz w:val="24"/>
          <w:lang w:val="en-US"/>
        </w:rPr>
        <w:t>et al.,</w:t>
      </w:r>
      <w:r w:rsidR="00B17EDE" w:rsidRPr="00DB43B9">
        <w:rPr>
          <w:rFonts w:ascii="Times New Roman" w:hAnsi="Times New Roman" w:cs="Times New Roman"/>
          <w:sz w:val="24"/>
          <w:lang w:val="en-US"/>
        </w:rPr>
        <w:t xml:space="preserve"> 2025)</w:t>
      </w:r>
      <w:r w:rsidR="00B17EDE">
        <w:rPr>
          <w:rFonts w:ascii="Times New Roman" w:hAnsi="Times New Roman" w:cs="Times New Roman"/>
          <w:color w:val="000000"/>
          <w:sz w:val="24"/>
          <w:lang w:val="en-US" w:eastAsia="es-MX"/>
        </w:rPr>
        <w:fldChar w:fldCharType="end"/>
      </w:r>
      <w:r w:rsidR="009E2B2A" w:rsidRPr="00DB43B9">
        <w:rPr>
          <w:rFonts w:ascii="Times New Roman" w:hAnsi="Times New Roman" w:cs="Times New Roman"/>
          <w:color w:val="000000"/>
          <w:sz w:val="24"/>
          <w:lang w:val="en-US" w:eastAsia="es-MX"/>
        </w:rPr>
        <w:t xml:space="preserve">. </w:t>
      </w:r>
      <w:r w:rsidRPr="007E5A9E">
        <w:rPr>
          <w:rFonts w:ascii="Times New Roman" w:eastAsia="Times New Roman" w:hAnsi="Times New Roman" w:cs="Times New Roman"/>
          <w:sz w:val="24"/>
          <w:szCs w:val="24"/>
          <w:lang w:val="en-US"/>
        </w:rPr>
        <w:t>Beyond damage to housing, roads, and productive infrastructure, these hurricanes have generated severe social and economic impacts, undermining the safety and well-being of thousands of people</w:t>
      </w:r>
      <w:r>
        <w:rPr>
          <w:rFonts w:ascii="Times New Roman" w:hAnsi="Times New Roman" w:cs="Times New Roman"/>
          <w:color w:val="000000"/>
          <w:sz w:val="24"/>
          <w:lang w:val="en-US" w:eastAsia="es-MX"/>
        </w:rPr>
        <w:t xml:space="preserve"> </w:t>
      </w:r>
      <w:r w:rsidR="00B17EDE">
        <w:rPr>
          <w:rFonts w:ascii="Times New Roman" w:hAnsi="Times New Roman" w:cs="Times New Roman"/>
          <w:color w:val="000000"/>
          <w:sz w:val="24"/>
          <w:lang w:val="en-US" w:eastAsia="es-MX"/>
        </w:rPr>
        <w:fldChar w:fldCharType="begin"/>
      </w:r>
      <w:r w:rsidR="00B17EDE">
        <w:rPr>
          <w:rFonts w:ascii="Times New Roman" w:hAnsi="Times New Roman" w:cs="Times New Roman"/>
          <w:color w:val="000000"/>
          <w:sz w:val="24"/>
          <w:lang w:val="en-US" w:eastAsia="es-MX"/>
        </w:rPr>
        <w:instrText xml:space="preserve"> ADDIN ZOTERO_ITEM CSL_CITATION {"citationID":"y4mNn2A6","properties":{"formattedCitation":"(Koliyabandara et\\uc0\\u160{}al., 2024; Man\\uc0\\u269{}i\\uc0\\u263{}, 2025)","plainCitation":"(Koliyabandara et al., 2024; Mančić, 2025)","noteIndex":0},"citationItems":[{"id":304,"uris":["http://zotero.org/users/local/G75QjYIy/items/6FT9K57C"],"itemData":{"id":304,"type":"chapter","container-title":"Technical Landfills and Waste Management","event-place":"Cham","ISBN":"978-3-031-52632-9","language":"en","note":"collection-title: Springer Water\nDOI: 10.1007/978-3-031-52633-6_7","page":"171-204","publisher":"Springer Nature Switzerland","publisher-place":"Cham","source":"DOI.org (Crossref)","title":"The Environmental Pressure by Open Dumpsites and Way Forward","URL":"https://link.springer.com/10.1007/978-3-031-52633-6_7","editor":[{"family":"Anouzla","given":"Abdelkader"},{"family":"Souabi","given":"Salah"}],"author":[{"family":"Koliyabandara","given":"Pabasari A."},{"family":"Preethika","given":"D. D. P."},{"family":"Cooray","given":"Asitha T."},{"family":"Liyanage","given":"Sudantha S."},{"family":"Siriwardana","given":"Chamika"},{"family":"Vithanage","given":"Meththika"}],"accessed":{"date-parts":[["2025",8,8]]},"issued":{"date-parts":[["2024"]]}}},{"id":415,"uris":["http://zotero.org/users/local/G75QjYIy/items/IDRDQRPU"],"itemData":{"id":415,"type":"article-journal","container-title":"International Journal of Contemporary Security Studies","DOI":"10.18485/fb_ijcss.2025.1.1.14","ISSN":"3042-3988","issue":"1","journalAbbreviation":"International Journal of Contemporary Security Studies","license":"https://creativecommons.org/licenses/by/4.0/","page":"191-203","source":"DOI.org (Crossref)","title":"Climate Change as a Security Challenge, Risk and Threat of the 21st Century and Its Consequences on Critical Infrastructure","volume":"1","author":[{"family":"Mančić","given":"Tamara"}],"issued":{"date-parts":[["2025"]]}}}],"schema":"https://github.com/citation-style-language/schema/raw/master/csl-citation.json"} </w:instrText>
      </w:r>
      <w:r w:rsidR="00B17EDE">
        <w:rPr>
          <w:rFonts w:ascii="Times New Roman" w:hAnsi="Times New Roman" w:cs="Times New Roman"/>
          <w:color w:val="000000"/>
          <w:sz w:val="24"/>
          <w:lang w:val="en-US" w:eastAsia="es-MX"/>
        </w:rPr>
        <w:fldChar w:fldCharType="separate"/>
      </w:r>
      <w:r w:rsidR="00B17EDE" w:rsidRPr="00DB43B9">
        <w:rPr>
          <w:rFonts w:ascii="Times New Roman" w:hAnsi="Times New Roman" w:cs="Times New Roman"/>
          <w:sz w:val="24"/>
          <w:lang w:val="en-US"/>
        </w:rPr>
        <w:t>(Koliyabandara</w:t>
      </w:r>
      <w:r w:rsidR="00B17EDE" w:rsidRPr="00DB43B9">
        <w:rPr>
          <w:rFonts w:ascii="Times New Roman" w:hAnsi="Times New Roman" w:cs="Times New Roman"/>
          <w:i/>
          <w:iCs/>
          <w:sz w:val="24"/>
          <w:lang w:val="en-US"/>
        </w:rPr>
        <w:t xml:space="preserve"> </w:t>
      </w:r>
      <w:r w:rsidR="00B17EDE" w:rsidRPr="00390A71">
        <w:rPr>
          <w:rFonts w:ascii="Times New Roman" w:hAnsi="Times New Roman" w:cs="Times New Roman"/>
          <w:sz w:val="24"/>
          <w:lang w:val="en-US"/>
        </w:rPr>
        <w:t xml:space="preserve">et al., </w:t>
      </w:r>
      <w:r w:rsidR="00B17EDE" w:rsidRPr="00DB43B9">
        <w:rPr>
          <w:rFonts w:ascii="Times New Roman" w:hAnsi="Times New Roman" w:cs="Times New Roman"/>
          <w:sz w:val="24"/>
          <w:lang w:val="en-US"/>
        </w:rPr>
        <w:t>2024; Mančić, 2025)</w:t>
      </w:r>
      <w:r w:rsidR="00B17EDE">
        <w:rPr>
          <w:rFonts w:ascii="Times New Roman" w:hAnsi="Times New Roman" w:cs="Times New Roman"/>
          <w:color w:val="000000"/>
          <w:sz w:val="24"/>
          <w:lang w:val="en-US" w:eastAsia="es-MX"/>
        </w:rPr>
        <w:fldChar w:fldCharType="end"/>
      </w:r>
      <w:r w:rsidR="009E2B2A" w:rsidRPr="009E2B2A">
        <w:rPr>
          <w:rFonts w:ascii="Times New Roman" w:hAnsi="Times New Roman" w:cs="Times New Roman"/>
          <w:color w:val="000000"/>
          <w:sz w:val="24"/>
          <w:lang w:val="en-US" w:eastAsia="es-MX"/>
        </w:rPr>
        <w:t>.</w:t>
      </w:r>
    </w:p>
    <w:p w14:paraId="1888A302" w14:textId="0BB4A97C" w:rsidR="00891BEB" w:rsidRPr="007E5A9E" w:rsidRDefault="00891BEB" w:rsidP="009E7438">
      <w:pPr>
        <w:spacing w:after="0" w:line="360" w:lineRule="auto"/>
        <w:ind w:firstLine="720"/>
        <w:jc w:val="both"/>
        <w:rPr>
          <w:rFonts w:ascii="Times New Roman" w:eastAsia="Times New Roman" w:hAnsi="Times New Roman" w:cs="Times New Roman"/>
          <w:sz w:val="24"/>
          <w:szCs w:val="24"/>
          <w:lang w:val="en-US"/>
        </w:rPr>
      </w:pPr>
      <w:r w:rsidRPr="00891BEB">
        <w:rPr>
          <w:rFonts w:ascii="Times New Roman" w:eastAsia="Times New Roman" w:hAnsi="Times New Roman" w:cs="Times New Roman"/>
          <w:sz w:val="24"/>
          <w:szCs w:val="24"/>
          <w:lang w:val="en-US"/>
        </w:rPr>
        <w:lastRenderedPageBreak/>
        <w:t>Furthermore, the orographic effect of the Sierra Madre del Sur acts as a natural barrier that traps moisture from Pacific cyclones, intensifying precipitation rates in coastal and mountain communities. This geographical interplay creates a 'risk multiplier' effect, where even low-intensity tropical depressions can generate catastrophic flash floods and landslides.</w:t>
      </w:r>
    </w:p>
    <w:p w14:paraId="5B21EBB8" w14:textId="77777777" w:rsidR="00891BEB" w:rsidRPr="00891BEB" w:rsidRDefault="00891BEB" w:rsidP="009E7438">
      <w:pPr>
        <w:spacing w:after="0" w:line="360" w:lineRule="auto"/>
        <w:ind w:firstLine="720"/>
        <w:jc w:val="both"/>
        <w:rPr>
          <w:rFonts w:ascii="Times New Roman" w:eastAsia="Times New Roman" w:hAnsi="Times New Roman" w:cs="Times New Roman"/>
          <w:sz w:val="24"/>
          <w:szCs w:val="24"/>
          <w:lang w:val="en-US"/>
        </w:rPr>
      </w:pPr>
      <w:r w:rsidRPr="00891BEB">
        <w:rPr>
          <w:rFonts w:ascii="Times New Roman" w:eastAsia="Times New Roman" w:hAnsi="Times New Roman" w:cs="Times New Roman"/>
          <w:sz w:val="24"/>
          <w:szCs w:val="24"/>
          <w:lang w:val="en-US"/>
        </w:rPr>
        <w:t>To characterize and evaluate these events, it is necessary to employ methodological tools that allow for the objective classification of hurricane magnitude and associated damage</w:t>
      </w:r>
      <w:r>
        <w:rPr>
          <w:rFonts w:ascii="Times New Roman" w:hAnsi="Times New Roman" w:cs="Times New Roman"/>
          <w:color w:val="000000"/>
          <w:sz w:val="24"/>
          <w:lang w:val="en-US" w:eastAsia="es-MX"/>
        </w:rPr>
        <w:t xml:space="preserve"> </w:t>
      </w:r>
      <w:r w:rsidR="00B17EDE">
        <w:rPr>
          <w:rFonts w:ascii="Times New Roman" w:hAnsi="Times New Roman" w:cs="Times New Roman"/>
          <w:color w:val="000000"/>
          <w:sz w:val="24"/>
          <w:lang w:val="en-US" w:eastAsia="es-MX"/>
        </w:rPr>
        <w:fldChar w:fldCharType="begin"/>
      </w:r>
      <w:r w:rsidR="00B17EDE">
        <w:rPr>
          <w:rFonts w:ascii="Times New Roman" w:hAnsi="Times New Roman" w:cs="Times New Roman"/>
          <w:color w:val="000000"/>
          <w:sz w:val="24"/>
          <w:lang w:val="en-US" w:eastAsia="es-MX"/>
        </w:rPr>
        <w:instrText xml:space="preserve"> ADDIN ZOTERO_ITEM CSL_CITATION {"citationID":"N2EwfeCN","properties":{"formattedCitation":"(Camacho Sanabria et\\uc0\\u160{}al., 2019; Okolo et\\uc0\\u160{}al., 2025)","plainCitation":"(Camacho Sanabria et al., 2019; Okolo et al., 2025)","noteIndex":0},"citationItems":[{"id":420,"uris":["http://zotero.org/users/local/G75QjYIy/items/ZY9SCSGV"],"itemData":{"id":420,"type":"article-journal","abstract":"El Caribe Mexicano es una de las áreas geográficas amenazadas por los efectos del cambio climático, sobre todo por huracanes e inundaciones que cada vez son más frecuentes e intensas. Ante esto, resulta importante conocer las condiciones de resiliencia de la población que habita en las ciudades costeras de Quintana Roo, principalmente en Chetumal, Tulum y Playa del Carmen, ciudades con altas tasas de crecimiento poblacional a nivel estatal, las cuales se encuentran incluso por encima del promedio anual nacional. El presente estudio propone una metodología aplicada para recopilar información sobre los componentes de la resiliencia ante huracanes e inundaciones de las ciudades referidas. El desarrollo de la propuesta se llevó a cabo mediante dos fases: la primera consistió en la revisión exhaustiva de bibliografía sobre resiliencia urbana a nivel internacional, nacional y local para la construcción de un modelo conceptual. La segunda se enfocó a la aplicación de 972 encuestas: 450 se realizaron en Chetumal, 344 en Playa del Carmen y 178 en Tulum.Con esta metodología los costos del trabajo de campo se redujeron, el tiempo de aplicación de las encuestas se optimizó y la compilación de información fue exitosa.","container-title":"Revista de Estudios Latinoamericanos sobre Reducción del Riesgo de Desastres REDER","DOI":"10.55467/reder.v3i2.30","ISSN":"0719-8477","issue":"2","journalAbbreviation":"REDER","license":"https://creativecommons.org/licenses/by-nc/4.0","page":"28","source":"DOI.org (Crossref)","title":"Propuesta Metodológica para medir la Resiliencia Urbana ante Huracanes e Inundaciones en el Caribe Mexicano","volume":"3","author":[{"family":"Camacho Sanabria","given":"José Manuel"},{"family":"Chávez Alvarado","given":"Rosalía"},{"family":"Velázquez Torres","given":"David"}],"issued":{"date-parts":[["2019",8,13]]}}},{"id":416,"uris":["http://zotero.org/users/local/G75QjYIy/items/M674S3ZY"],"itemData":{"id":416,"type":"article-journal","abstract":"In 2021, Winter Storm Uri severely affected several Texan agricultural sectors, including dairy production. To understand how dairy producers experienced this extreme weather event, this qualitative phenomenological case study explored perceptions of preparedness, coping strategies, and information needs and preferences for dealing with extreme weather events among dairy producers in Texas, conducting individual semi-structured interviews. The findings indicated that farmers felt unprepared to deal with extreme weather events and suffered significant economic losses due to this lack of preparedness. In response to winter storm Uri, dairy farmers modified traditional operations and management practices to mitigate negative impacts on farm labor, infrastructure, and herds. Our results, along with the existing literature on communication for extreme weather event management, highlighted that dairy farmers do not receive adequate information to effecti</w:instrText>
      </w:r>
      <w:r w:rsidR="00B17EDE" w:rsidRPr="00DB43B9">
        <w:rPr>
          <w:rFonts w:ascii="Times New Roman" w:hAnsi="Times New Roman" w:cs="Times New Roman"/>
          <w:color w:val="000000"/>
          <w:sz w:val="24"/>
          <w:lang w:val="en-US" w:eastAsia="es-MX"/>
        </w:rPr>
        <w:instrText xml:space="preserve">vely prevent and cope with similar occurrences in the future. Consequently, this study recommends exploring effective strategies to help agricultural producers develop plans to manage the effects of extreme weather events. Additionally, it integrates place-based, pluralistic, and demand-driven approaches to identify the best communication practices, enhance timely information dissemination on extreme weather, and strengthen the technical capacities of public and private entities, including Cooperative Extension Systems, as trusted resources for agricultural producers.","container-title":"Climate","DOI":"10.3390/cli13020029","ISSN":"2225-1154","issue":"2","journalAbbreviation":"Climate","language":"en","license":"https://creativecommons.org/licenses/by/4.0/","page":"29","source":"DOI.org (Crossref)","title":"Preparedness, Response, and Communication Preferences of Dairy Farmers During Extreme Weather Events: A Phenomenological Case Study","title-short":"Preparedness, Response, and Communication Preferences of Dairy Farmers During Extreme Weather Events","volume":"13","author":[{"family":"Okolo","given":"Emmanuel C."},{"family":"Landaverde","given":"Rafael"},{"family":"Doerfert","given":"David"},{"family":"Piñeiro","given":"Juan Manuel"},{"family":"Hudson","given":"Darren"},{"family":"Elbert","given":"Chanda"},{"family":"Opat","given":"Kelsi"}],"issued":{"date-parts":[["2025",1,31]]}}}],"schema":"https://github.com/citation-style-language/schema/raw/master/csl-citation.json"} </w:instrText>
      </w:r>
      <w:r w:rsidR="00B17EDE">
        <w:rPr>
          <w:rFonts w:ascii="Times New Roman" w:hAnsi="Times New Roman" w:cs="Times New Roman"/>
          <w:color w:val="000000"/>
          <w:sz w:val="24"/>
          <w:lang w:val="en-US" w:eastAsia="es-MX"/>
        </w:rPr>
        <w:fldChar w:fldCharType="separate"/>
      </w:r>
      <w:r w:rsidR="00B17EDE" w:rsidRPr="00DB43B9">
        <w:rPr>
          <w:rFonts w:ascii="Times New Roman" w:hAnsi="Times New Roman" w:cs="Times New Roman"/>
          <w:sz w:val="24"/>
          <w:lang w:val="en-US"/>
        </w:rPr>
        <w:t xml:space="preserve">(Camacho Sanabria </w:t>
      </w:r>
      <w:r w:rsidR="00B17EDE" w:rsidRPr="00390A71">
        <w:rPr>
          <w:rFonts w:ascii="Times New Roman" w:hAnsi="Times New Roman" w:cs="Times New Roman"/>
          <w:sz w:val="24"/>
          <w:lang w:val="en-US"/>
        </w:rPr>
        <w:t xml:space="preserve">et al., </w:t>
      </w:r>
      <w:r w:rsidR="00B17EDE" w:rsidRPr="00DB43B9">
        <w:rPr>
          <w:rFonts w:ascii="Times New Roman" w:hAnsi="Times New Roman" w:cs="Times New Roman"/>
          <w:sz w:val="24"/>
          <w:lang w:val="en-US"/>
        </w:rPr>
        <w:t>2019; Okolo</w:t>
      </w:r>
      <w:r w:rsidR="00B17EDE" w:rsidRPr="00DB43B9">
        <w:rPr>
          <w:rFonts w:ascii="Times New Roman" w:hAnsi="Times New Roman" w:cs="Times New Roman"/>
          <w:i/>
          <w:iCs/>
          <w:sz w:val="24"/>
          <w:lang w:val="en-US"/>
        </w:rPr>
        <w:t xml:space="preserve"> </w:t>
      </w:r>
      <w:r w:rsidR="00B17EDE" w:rsidRPr="00390A71">
        <w:rPr>
          <w:rFonts w:ascii="Times New Roman" w:hAnsi="Times New Roman" w:cs="Times New Roman"/>
          <w:sz w:val="24"/>
          <w:lang w:val="en-US"/>
        </w:rPr>
        <w:t>et al.,</w:t>
      </w:r>
      <w:r w:rsidR="00B17EDE" w:rsidRPr="00DB43B9">
        <w:rPr>
          <w:rFonts w:ascii="Times New Roman" w:hAnsi="Times New Roman" w:cs="Times New Roman"/>
          <w:sz w:val="24"/>
          <w:lang w:val="en-US"/>
        </w:rPr>
        <w:t xml:space="preserve"> 2025)</w:t>
      </w:r>
      <w:r w:rsidR="00B17EDE">
        <w:rPr>
          <w:rFonts w:ascii="Times New Roman" w:hAnsi="Times New Roman" w:cs="Times New Roman"/>
          <w:color w:val="000000"/>
          <w:sz w:val="24"/>
          <w:lang w:val="en-US" w:eastAsia="es-MX"/>
        </w:rPr>
        <w:fldChar w:fldCharType="end"/>
      </w:r>
      <w:r w:rsidR="009E2B2A" w:rsidRPr="00DB43B9">
        <w:rPr>
          <w:rFonts w:ascii="Times New Roman" w:hAnsi="Times New Roman" w:cs="Times New Roman"/>
          <w:color w:val="000000"/>
          <w:sz w:val="24"/>
          <w:lang w:val="en-US" w:eastAsia="es-MX"/>
        </w:rPr>
        <w:t xml:space="preserve">. </w:t>
      </w:r>
      <w:r w:rsidRPr="00891BEB">
        <w:rPr>
          <w:rFonts w:ascii="Times New Roman" w:eastAsia="Times New Roman" w:hAnsi="Times New Roman" w:cs="Times New Roman"/>
          <w:sz w:val="24"/>
          <w:szCs w:val="24"/>
          <w:lang w:val="en-US"/>
        </w:rPr>
        <w:t>In this context, the Saffir-Simpson Hurricane Wind Scale (SSHWS) serves as the international standard, categorizing hurricanes into five levels based on sustained wind speed and destructive potential</w:t>
      </w:r>
      <w:r w:rsidR="009E2B2A">
        <w:rPr>
          <w:rFonts w:ascii="Times New Roman" w:hAnsi="Times New Roman" w:cs="Times New Roman"/>
          <w:color w:val="000000"/>
          <w:sz w:val="24"/>
          <w:lang w:val="en-US" w:eastAsia="es-MX"/>
        </w:rPr>
        <w:t xml:space="preserve"> </w:t>
      </w:r>
      <w:r w:rsidR="00B17EDE">
        <w:rPr>
          <w:rFonts w:ascii="Times New Roman" w:hAnsi="Times New Roman" w:cs="Times New Roman"/>
          <w:color w:val="000000"/>
          <w:sz w:val="24"/>
          <w:lang w:val="en-US" w:eastAsia="es-MX"/>
        </w:rPr>
        <w:fldChar w:fldCharType="begin"/>
      </w:r>
      <w:r w:rsidR="00B17EDE">
        <w:rPr>
          <w:rFonts w:ascii="Times New Roman" w:hAnsi="Times New Roman" w:cs="Times New Roman"/>
          <w:color w:val="000000"/>
          <w:sz w:val="24"/>
          <w:lang w:val="en-US" w:eastAsia="es-MX"/>
        </w:rPr>
        <w:instrText xml:space="preserve"> ADDIN ZOTERO_ITEM CSL_CITATION {"citationID":"rEaq5n3X","properties":{"formattedCitation":"(Simpson &amp; Riehl, 1981)","plainCitation":"(Simpson &amp; Riehl, 1981)","noteIndex":0},"citationItems":[{"id":419,"uris":["http://zotero.org/users/local/G75QjYIy/items/7IMQF86C"],"itemData":{"id":419,"type":"article-journal","container-title":"(No Title)","source":"Google Scholar","title":"The hurricane and its impact","URL":"https://cir.nii.ac.jp/crid/1130000794772982144","author":[{"family":"Simpson","given":"Robert H."},{"family":"Riehl","given":"Herbert"}],"accessed":{"date-parts":[["2025",9,20]]},"issued":{"date-parts":[["1981"]]}}}],"schema":"https://github.com/citation-style-language/schema/raw/master/csl-citation.json"} </w:instrText>
      </w:r>
      <w:r w:rsidR="00B17EDE">
        <w:rPr>
          <w:rFonts w:ascii="Times New Roman" w:hAnsi="Times New Roman" w:cs="Times New Roman"/>
          <w:color w:val="000000"/>
          <w:sz w:val="24"/>
          <w:lang w:val="en-US" w:eastAsia="es-MX"/>
        </w:rPr>
        <w:fldChar w:fldCharType="separate"/>
      </w:r>
      <w:r w:rsidR="00B17EDE" w:rsidRPr="00B17EDE">
        <w:rPr>
          <w:rFonts w:ascii="Times New Roman" w:hAnsi="Times New Roman" w:cs="Times New Roman"/>
          <w:sz w:val="24"/>
          <w:lang w:val="en-US"/>
        </w:rPr>
        <w:t>(Simpson &amp; Riehl, 1981)</w:t>
      </w:r>
      <w:r w:rsidR="00B17EDE">
        <w:rPr>
          <w:rFonts w:ascii="Times New Roman" w:hAnsi="Times New Roman" w:cs="Times New Roman"/>
          <w:color w:val="000000"/>
          <w:sz w:val="24"/>
          <w:lang w:val="en-US" w:eastAsia="es-MX"/>
        </w:rPr>
        <w:fldChar w:fldCharType="end"/>
      </w:r>
      <w:r w:rsidR="009E2B2A" w:rsidRPr="009E2B2A">
        <w:rPr>
          <w:rFonts w:ascii="Times New Roman" w:hAnsi="Times New Roman" w:cs="Times New Roman"/>
          <w:color w:val="000000"/>
          <w:sz w:val="24"/>
          <w:lang w:val="en-US" w:eastAsia="es-MX"/>
        </w:rPr>
        <w:t xml:space="preserve">. </w:t>
      </w:r>
      <w:r w:rsidRPr="00891BEB">
        <w:rPr>
          <w:rFonts w:ascii="Times New Roman" w:eastAsia="Times New Roman" w:hAnsi="Times New Roman" w:cs="Times New Roman"/>
          <w:sz w:val="24"/>
          <w:szCs w:val="24"/>
          <w:lang w:val="en-US"/>
        </w:rPr>
        <w:t>Its application is essential for conducting comparative analyses of regional events, as well as for risk estimation and the planning of preventive actions. For Guerrero, implementing this methodology facilitates the compilation of available data on hurricanes that have impacted the southern region, providing a key resource for comprehensive risk management and climate change adaptation.</w:t>
      </w:r>
    </w:p>
    <w:p w14:paraId="17C8B1BB" w14:textId="665D1988" w:rsidR="001E3884" w:rsidRDefault="00891BEB" w:rsidP="009E7438">
      <w:pPr>
        <w:autoSpaceDE w:val="0"/>
        <w:autoSpaceDN w:val="0"/>
        <w:adjustRightInd w:val="0"/>
        <w:spacing w:after="0" w:line="360" w:lineRule="auto"/>
        <w:ind w:firstLine="708"/>
        <w:jc w:val="both"/>
        <w:rPr>
          <w:rFonts w:ascii="Times New Roman" w:eastAsia="Times New Roman" w:hAnsi="Times New Roman" w:cs="Times New Roman"/>
          <w:sz w:val="24"/>
          <w:szCs w:val="24"/>
          <w:lang w:val="en-US"/>
        </w:rPr>
      </w:pPr>
      <w:r w:rsidRPr="00891BEB">
        <w:rPr>
          <w:rFonts w:ascii="Times New Roman" w:eastAsia="Times New Roman" w:hAnsi="Times New Roman" w:cs="Times New Roman"/>
          <w:sz w:val="24"/>
          <w:szCs w:val="24"/>
          <w:lang w:val="en-US"/>
        </w:rPr>
        <w:t>Therefore, this study aims to analyze the hurricanes that have affected southern Guerrero using the Saffir-Simpson scale. The specific objectives are to examine observed levels of intensity and damage, identify patterns of regional vulnerability, and provide technical data to strengthen decision-making in risk management and climate change adaptation policies.</w:t>
      </w:r>
    </w:p>
    <w:p w14:paraId="03725149" w14:textId="77777777" w:rsidR="009E7438" w:rsidRPr="00891BEB" w:rsidRDefault="009E7438" w:rsidP="009E7438">
      <w:pPr>
        <w:autoSpaceDE w:val="0"/>
        <w:autoSpaceDN w:val="0"/>
        <w:adjustRightInd w:val="0"/>
        <w:spacing w:after="0" w:line="360" w:lineRule="auto"/>
        <w:ind w:firstLine="708"/>
        <w:jc w:val="both"/>
        <w:rPr>
          <w:rFonts w:ascii="Times New Roman" w:hAnsi="Times New Roman" w:cs="Times New Roman"/>
          <w:b/>
          <w:bCs/>
          <w:color w:val="221E1F"/>
          <w:sz w:val="24"/>
          <w:lang w:val="en-US" w:eastAsia="es-CL"/>
        </w:rPr>
      </w:pPr>
    </w:p>
    <w:p w14:paraId="68B75CEE" w14:textId="7EF2E583" w:rsidR="004D596B" w:rsidRPr="009E7438" w:rsidRDefault="000705A7" w:rsidP="009E7438">
      <w:pPr>
        <w:autoSpaceDE w:val="0"/>
        <w:autoSpaceDN w:val="0"/>
        <w:adjustRightInd w:val="0"/>
        <w:spacing w:after="0" w:line="360" w:lineRule="auto"/>
        <w:jc w:val="center"/>
        <w:rPr>
          <w:rFonts w:ascii="Times New Roman" w:hAnsi="Times New Roman" w:cs="Times New Roman"/>
          <w:b/>
          <w:bCs/>
          <w:color w:val="221E1F"/>
          <w:sz w:val="32"/>
          <w:szCs w:val="32"/>
          <w:lang w:val="en-US" w:eastAsia="es-CL"/>
        </w:rPr>
      </w:pPr>
      <w:r w:rsidRPr="000705A7">
        <w:rPr>
          <w:rFonts w:ascii="Times New Roman" w:hAnsi="Times New Roman" w:cs="Times New Roman"/>
          <w:b/>
          <w:bCs/>
          <w:color w:val="221E1F"/>
          <w:sz w:val="32"/>
          <w:szCs w:val="32"/>
          <w:lang w:val="en-US" w:eastAsia="es-CL"/>
        </w:rPr>
        <w:t>Materials and methods</w:t>
      </w:r>
    </w:p>
    <w:p w14:paraId="51C8E4D9" w14:textId="77777777" w:rsidR="00891BEB" w:rsidRPr="00891BEB" w:rsidRDefault="00891BEB" w:rsidP="009E7438">
      <w:pPr>
        <w:spacing w:after="0" w:line="360" w:lineRule="auto"/>
        <w:ind w:firstLine="720"/>
        <w:jc w:val="both"/>
        <w:rPr>
          <w:rFonts w:ascii="Times New Roman" w:eastAsia="Times New Roman" w:hAnsi="Times New Roman" w:cs="Times New Roman"/>
          <w:sz w:val="24"/>
          <w:szCs w:val="24"/>
          <w:lang w:val="en-US"/>
        </w:rPr>
      </w:pPr>
      <w:r w:rsidRPr="00891BEB">
        <w:rPr>
          <w:rFonts w:ascii="Times New Roman" w:eastAsia="Times New Roman" w:hAnsi="Times New Roman" w:cs="Times New Roman"/>
          <w:sz w:val="24"/>
          <w:szCs w:val="24"/>
          <w:lang w:val="en-US"/>
        </w:rPr>
        <w:t>Rural communities in the state of Guerrero contend with significant limitations in telephone, television, and internet coverage, which exacerbates their vulnerability to the recurrent environmental hazards in the region. This lack of communication infrastructure diminishes their capacity for preparedness and response to hydrometeorological events such as hurricanes.</w:t>
      </w:r>
    </w:p>
    <w:p w14:paraId="3213A143" w14:textId="77777777" w:rsidR="00891BEB" w:rsidRPr="00891BEB" w:rsidRDefault="00891BEB" w:rsidP="009E7438">
      <w:pPr>
        <w:spacing w:after="0" w:line="360" w:lineRule="auto"/>
        <w:ind w:firstLine="720"/>
        <w:jc w:val="both"/>
        <w:rPr>
          <w:rFonts w:ascii="Times New Roman" w:eastAsia="Times New Roman" w:hAnsi="Times New Roman" w:cs="Times New Roman"/>
          <w:sz w:val="24"/>
          <w:szCs w:val="24"/>
          <w:lang w:val="en-US"/>
        </w:rPr>
      </w:pPr>
      <w:r w:rsidRPr="00891BEB">
        <w:rPr>
          <w:rFonts w:ascii="Times New Roman" w:eastAsia="Times New Roman" w:hAnsi="Times New Roman" w:cs="Times New Roman"/>
          <w:sz w:val="24"/>
          <w:szCs w:val="24"/>
          <w:lang w:val="en-US"/>
        </w:rPr>
        <w:t>Over the past decade, several hurricanes have directly and indirectly impacted Guerrero, disproportionately affecting marginalized communities with high levels of exposure. In this context, it is essential to provide these populations with practical, standardized tools to evaluate the effects of such phenomena both pre- and post-disaster.</w:t>
      </w:r>
    </w:p>
    <w:p w14:paraId="5497F250" w14:textId="77777777" w:rsidR="004E0EB9" w:rsidRDefault="004E0EB9" w:rsidP="009E7438">
      <w:pPr>
        <w:spacing w:after="0" w:line="360" w:lineRule="auto"/>
        <w:ind w:firstLine="720"/>
        <w:jc w:val="both"/>
        <w:rPr>
          <w:rFonts w:ascii="Times New Roman" w:hAnsi="Times New Roman" w:cs="Times New Roman"/>
          <w:color w:val="000000"/>
          <w:sz w:val="24"/>
          <w:lang w:val="en-US" w:eastAsia="es-MX"/>
        </w:rPr>
      </w:pPr>
    </w:p>
    <w:p w14:paraId="18378BE1" w14:textId="78905849" w:rsidR="00891BEB" w:rsidRPr="00891BEB" w:rsidRDefault="009E2B2A" w:rsidP="009E7438">
      <w:pPr>
        <w:spacing w:after="0" w:line="360" w:lineRule="auto"/>
        <w:ind w:firstLine="720"/>
        <w:jc w:val="both"/>
        <w:rPr>
          <w:rFonts w:ascii="Times New Roman" w:eastAsia="Times New Roman" w:hAnsi="Times New Roman" w:cs="Times New Roman"/>
          <w:sz w:val="24"/>
          <w:szCs w:val="24"/>
          <w:lang w:val="en-US"/>
        </w:rPr>
      </w:pPr>
      <w:r w:rsidRPr="009E2B2A">
        <w:rPr>
          <w:rFonts w:ascii="Times New Roman" w:hAnsi="Times New Roman" w:cs="Times New Roman"/>
          <w:color w:val="000000"/>
          <w:sz w:val="24"/>
          <w:lang w:val="en-US" w:eastAsia="es-MX"/>
        </w:rPr>
        <w:lastRenderedPageBreak/>
        <w:t>The Saffir-Simpson Hurricane Scale (SSHS)</w:t>
      </w:r>
      <w:r w:rsidR="00B17EDE">
        <w:rPr>
          <w:rFonts w:ascii="Times New Roman" w:hAnsi="Times New Roman" w:cs="Times New Roman"/>
          <w:color w:val="000000"/>
          <w:sz w:val="24"/>
          <w:lang w:val="en-US" w:eastAsia="es-MX"/>
        </w:rPr>
        <w:t xml:space="preserve"> </w:t>
      </w:r>
      <w:r w:rsidR="00B17EDE">
        <w:rPr>
          <w:rFonts w:ascii="Times New Roman" w:hAnsi="Times New Roman" w:cs="Times New Roman"/>
          <w:color w:val="000000"/>
          <w:sz w:val="24"/>
          <w:lang w:val="en-US" w:eastAsia="es-MX"/>
        </w:rPr>
        <w:fldChar w:fldCharType="begin"/>
      </w:r>
      <w:r w:rsidR="00B17EDE">
        <w:rPr>
          <w:rFonts w:ascii="Times New Roman" w:hAnsi="Times New Roman" w:cs="Times New Roman"/>
          <w:color w:val="000000"/>
          <w:sz w:val="24"/>
          <w:lang w:val="en-US" w:eastAsia="es-MX"/>
        </w:rPr>
        <w:instrText xml:space="preserve"> ADDIN ZOTERO_ITEM CSL_CITATION {"citationID":"HwfgHbmw","properties":{"formattedCitation":"(Simpson &amp; Riehl, 1981)","plainCitation":"(Simpson &amp; Riehl, 1981)","noteIndex":0},"citationItems":[{"id":419,"uris":["http://zotero.org/users/local/G75QjYIy/items/7IMQF86C"],"itemData":{"id":419,"type":"article-journal","container-title":"(No Title)","source":"Google Scholar","title":"The hurricane and its impact","URL":"https://cir.nii.ac.jp/crid/1130000794772982144","author":[{"family":"Simpson","given":"Robert H."},{"family":"Riehl","given":"Herbert"}],"accessed":{"date-parts":[["2025",9,20]]},"issued":{"date-parts":[["1981"]]}}}],"schema":"https://github.com/citation-style-language/schema/raw/master/csl-citation.json"} </w:instrText>
      </w:r>
      <w:r w:rsidR="00B17EDE">
        <w:rPr>
          <w:rFonts w:ascii="Times New Roman" w:hAnsi="Times New Roman" w:cs="Times New Roman"/>
          <w:color w:val="000000"/>
          <w:sz w:val="24"/>
          <w:lang w:val="en-US" w:eastAsia="es-MX"/>
        </w:rPr>
        <w:fldChar w:fldCharType="separate"/>
      </w:r>
      <w:r w:rsidR="00B17EDE" w:rsidRPr="00B17EDE">
        <w:rPr>
          <w:rFonts w:ascii="Times New Roman" w:hAnsi="Times New Roman" w:cs="Times New Roman"/>
          <w:sz w:val="24"/>
          <w:lang w:val="en-US"/>
        </w:rPr>
        <w:t>(Simpson &amp; Riehl, 1981)</w:t>
      </w:r>
      <w:r w:rsidR="00B17EDE">
        <w:rPr>
          <w:rFonts w:ascii="Times New Roman" w:hAnsi="Times New Roman" w:cs="Times New Roman"/>
          <w:color w:val="000000"/>
          <w:sz w:val="24"/>
          <w:lang w:val="en-US" w:eastAsia="es-MX"/>
        </w:rPr>
        <w:fldChar w:fldCharType="end"/>
      </w:r>
      <w:r w:rsidRPr="009E2B2A">
        <w:rPr>
          <w:rFonts w:ascii="Times New Roman" w:hAnsi="Times New Roman" w:cs="Times New Roman"/>
          <w:color w:val="000000"/>
          <w:sz w:val="24"/>
          <w:lang w:val="en-US" w:eastAsia="es-MX"/>
        </w:rPr>
        <w:t xml:space="preserve"> </w:t>
      </w:r>
      <w:r w:rsidR="00891BEB" w:rsidRPr="00891BEB">
        <w:rPr>
          <w:rFonts w:ascii="Times New Roman" w:eastAsia="Times New Roman" w:hAnsi="Times New Roman" w:cs="Times New Roman"/>
          <w:sz w:val="24"/>
          <w:szCs w:val="24"/>
          <w:lang w:val="en-US"/>
        </w:rPr>
        <w:t>as the reference methodology due to its international acceptance and utility in classifying tropical cyclone intensity. The classification is based on sustained wind speed (km/h), allowing for the anticipation of structural damage levels, as well as associated environmental and social impacts. Although primarily applied in the United States, its methodological framework is valid for regional studies in Mexico.</w:t>
      </w:r>
    </w:p>
    <w:p w14:paraId="13D5A5EB" w14:textId="77777777" w:rsidR="00891BEB" w:rsidRPr="00891BEB" w:rsidRDefault="00891BEB" w:rsidP="009E7438">
      <w:pPr>
        <w:spacing w:after="0" w:line="360" w:lineRule="auto"/>
        <w:ind w:firstLine="720"/>
        <w:jc w:val="both"/>
        <w:rPr>
          <w:rFonts w:ascii="Times New Roman" w:eastAsia="Times New Roman" w:hAnsi="Times New Roman" w:cs="Times New Roman"/>
          <w:sz w:val="24"/>
          <w:szCs w:val="24"/>
          <w:lang w:val="en-US"/>
        </w:rPr>
      </w:pPr>
      <w:r w:rsidRPr="00891BEB">
        <w:rPr>
          <w:rFonts w:ascii="Times New Roman" w:eastAsia="Times New Roman" w:hAnsi="Times New Roman" w:cs="Times New Roman"/>
          <w:sz w:val="24"/>
          <w:szCs w:val="24"/>
          <w:lang w:val="en-US"/>
        </w:rPr>
        <w:t>This study analyzes the impact of Hurricanes Ingrid and Manuel (2013), Max (2017), Otis (2023), John (2024), and Erick (2025), focusing on their environmental, social, and economic repercussions in Guerrero. We consulted data from official sources, including the National Water Commission (CONAGUA), the Ministry of Social Development (SEDESOL), the Ministry of Agrarian, Territorial and Urban Development (SEDATU), the National Forestry Commission (CONAFOR), and the National Meteorological Service (SMN), alongside specialized scientific literature.</w:t>
      </w:r>
    </w:p>
    <w:p w14:paraId="4A993836" w14:textId="7668869D" w:rsidR="009E2B2A" w:rsidRPr="00891BEB" w:rsidRDefault="00891BEB" w:rsidP="009E7438">
      <w:pPr>
        <w:spacing w:after="0" w:line="360" w:lineRule="auto"/>
        <w:ind w:firstLine="720"/>
        <w:jc w:val="both"/>
        <w:rPr>
          <w:rFonts w:ascii="Times New Roman" w:eastAsia="Times New Roman" w:hAnsi="Times New Roman" w:cs="Times New Roman"/>
          <w:sz w:val="24"/>
          <w:szCs w:val="24"/>
          <w:lang w:val="en-US"/>
        </w:rPr>
      </w:pPr>
      <w:r w:rsidRPr="00891BEB">
        <w:rPr>
          <w:rFonts w:ascii="Times New Roman" w:eastAsia="Times New Roman" w:hAnsi="Times New Roman" w:cs="Times New Roman"/>
          <w:sz w:val="24"/>
          <w:szCs w:val="24"/>
          <w:lang w:val="en-US"/>
        </w:rPr>
        <w:t>The procedure involved compiling reported maximum wind speeds for each event and generating a comparative matrix containing the following variables: hurricane name, date of impact, geographic location at landfall, wind intensity, and SSHS category. We also incorporated qualitative data regarding precipitation and structural damage to illustrate the specific effects of each phenomenon. This methodological approach facilitates a clear, consistent communication of hurricane intensity while highlighting the need to transition toward comprehensive indicators that complement the scale’s one-dimensional perspective, particularly in highly vulnerable regions such as Guerrero’s Costa Chica.</w:t>
      </w:r>
    </w:p>
    <w:p w14:paraId="08C580EB" w14:textId="77777777" w:rsidR="009E2B2A" w:rsidRDefault="009E2B2A" w:rsidP="009E7438">
      <w:pPr>
        <w:autoSpaceDE w:val="0"/>
        <w:autoSpaceDN w:val="0"/>
        <w:adjustRightInd w:val="0"/>
        <w:spacing w:after="0" w:line="360" w:lineRule="auto"/>
        <w:jc w:val="center"/>
        <w:rPr>
          <w:rFonts w:ascii="Times New Roman" w:hAnsi="Times New Roman" w:cs="Times New Roman"/>
          <w:color w:val="000000"/>
          <w:sz w:val="24"/>
          <w:lang w:val="en-US" w:eastAsia="es-MX"/>
        </w:rPr>
      </w:pPr>
    </w:p>
    <w:p w14:paraId="2442C629" w14:textId="4E05FB0A" w:rsidR="004D596B" w:rsidRPr="009E7438" w:rsidRDefault="004D596B" w:rsidP="009E7438">
      <w:pPr>
        <w:autoSpaceDE w:val="0"/>
        <w:autoSpaceDN w:val="0"/>
        <w:adjustRightInd w:val="0"/>
        <w:spacing w:after="0" w:line="360" w:lineRule="auto"/>
        <w:jc w:val="center"/>
        <w:rPr>
          <w:rFonts w:ascii="Times New Roman" w:hAnsi="Times New Roman" w:cs="Times New Roman"/>
          <w:b/>
          <w:bCs/>
          <w:color w:val="221E1F"/>
          <w:sz w:val="32"/>
          <w:szCs w:val="32"/>
          <w:lang w:val="en-US" w:eastAsia="es-CL"/>
        </w:rPr>
      </w:pPr>
      <w:r w:rsidRPr="009E7438">
        <w:rPr>
          <w:rFonts w:ascii="Times New Roman" w:hAnsi="Times New Roman" w:cs="Times New Roman"/>
          <w:b/>
          <w:bCs/>
          <w:color w:val="221E1F"/>
          <w:sz w:val="32"/>
          <w:szCs w:val="32"/>
          <w:lang w:val="en-US" w:eastAsia="es-CL"/>
        </w:rPr>
        <w:t>Results</w:t>
      </w:r>
    </w:p>
    <w:p w14:paraId="1C8BE710" w14:textId="77777777" w:rsidR="00706E60" w:rsidRPr="00706E60" w:rsidRDefault="00706E60" w:rsidP="009E7438">
      <w:pPr>
        <w:spacing w:after="0" w:line="360" w:lineRule="auto"/>
        <w:ind w:firstLine="708"/>
        <w:jc w:val="both"/>
        <w:rPr>
          <w:rFonts w:ascii="Times New Roman" w:eastAsia="Times New Roman" w:hAnsi="Times New Roman" w:cs="Times New Roman"/>
          <w:sz w:val="24"/>
          <w:szCs w:val="24"/>
          <w:lang w:val="en-US"/>
        </w:rPr>
      </w:pPr>
      <w:r w:rsidRPr="00706E60">
        <w:rPr>
          <w:rFonts w:ascii="Times New Roman" w:eastAsia="Times New Roman" w:hAnsi="Times New Roman" w:cs="Times New Roman"/>
          <w:sz w:val="24"/>
          <w:szCs w:val="24"/>
          <w:lang w:val="en-US"/>
        </w:rPr>
        <w:t>To organize the findings effectively, we classified the results into two groups based on the Saffir-Simpson scale: Category 1 hurricanes and Category 2-5 hurricanes. This distinction facilitates a differentiated analysis of low- versus high-intensity impacts in the state of Guerrero.</w:t>
      </w:r>
    </w:p>
    <w:p w14:paraId="3E2C0BEE" w14:textId="77777777" w:rsidR="00706E60" w:rsidRPr="00706E60" w:rsidRDefault="00706E60" w:rsidP="009E7438">
      <w:pPr>
        <w:spacing w:after="0" w:line="360" w:lineRule="auto"/>
        <w:ind w:firstLine="708"/>
        <w:jc w:val="both"/>
        <w:rPr>
          <w:rFonts w:ascii="Times New Roman" w:eastAsia="Times New Roman" w:hAnsi="Times New Roman" w:cs="Times New Roman"/>
          <w:sz w:val="24"/>
          <w:szCs w:val="24"/>
          <w:lang w:val="en-US"/>
        </w:rPr>
      </w:pPr>
      <w:r w:rsidRPr="00706E60">
        <w:rPr>
          <w:rFonts w:ascii="Times New Roman" w:eastAsia="Times New Roman" w:hAnsi="Times New Roman" w:cs="Times New Roman"/>
          <w:sz w:val="24"/>
          <w:szCs w:val="24"/>
          <w:lang w:val="en-US"/>
        </w:rPr>
        <w:t>Table 1 compares the Category 1 hurricanes that affected the state between 2013 and 2025: Ingrid and Manuel (2013), Max (2017), and Erick (2025). Despite their lower classification, these events caused significant damage in rural and coastal communities, primarily driven by extreme rainfall and the structural vulnerability of housing.</w:t>
      </w:r>
    </w:p>
    <w:p w14:paraId="05E20846" w14:textId="77777777" w:rsidR="009E7438" w:rsidRDefault="009E7438" w:rsidP="00706E60">
      <w:pPr>
        <w:spacing w:line="360" w:lineRule="auto"/>
        <w:ind w:firstLine="708"/>
        <w:jc w:val="both"/>
        <w:rPr>
          <w:rFonts w:ascii="Times New Roman" w:eastAsia="Times New Roman" w:hAnsi="Times New Roman" w:cs="Times New Roman"/>
          <w:b/>
          <w:bCs/>
          <w:sz w:val="24"/>
          <w:szCs w:val="24"/>
          <w:lang w:val="en-US"/>
        </w:rPr>
      </w:pPr>
    </w:p>
    <w:p w14:paraId="60EE6357" w14:textId="49BA29CA" w:rsidR="00706E60" w:rsidRPr="00706E60" w:rsidRDefault="00706E60" w:rsidP="009E7438">
      <w:pPr>
        <w:spacing w:after="0" w:line="360" w:lineRule="auto"/>
        <w:ind w:firstLine="708"/>
        <w:jc w:val="both"/>
        <w:rPr>
          <w:rFonts w:ascii="Times New Roman" w:eastAsia="Times New Roman" w:hAnsi="Times New Roman" w:cs="Times New Roman"/>
          <w:sz w:val="24"/>
          <w:szCs w:val="24"/>
          <w:lang w:val="en-US"/>
        </w:rPr>
      </w:pPr>
      <w:r w:rsidRPr="00706E60">
        <w:rPr>
          <w:rFonts w:ascii="Times New Roman" w:eastAsia="Times New Roman" w:hAnsi="Times New Roman" w:cs="Times New Roman"/>
          <w:b/>
          <w:bCs/>
          <w:sz w:val="24"/>
          <w:szCs w:val="24"/>
          <w:lang w:val="en-US"/>
        </w:rPr>
        <w:lastRenderedPageBreak/>
        <w:t xml:space="preserve">Table 1. </w:t>
      </w:r>
      <w:r w:rsidRPr="00706E60">
        <w:rPr>
          <w:rFonts w:ascii="Times New Roman" w:eastAsia="Times New Roman" w:hAnsi="Times New Roman" w:cs="Times New Roman"/>
          <w:sz w:val="24"/>
          <w:szCs w:val="24"/>
          <w:lang w:val="en-US"/>
        </w:rPr>
        <w:t>Saffir-Simpson Hurricane Wind Scale (SSHWS) classification.</w:t>
      </w:r>
    </w:p>
    <w:tbl>
      <w:tblPr>
        <w:tblW w:w="89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9"/>
        <w:gridCol w:w="1134"/>
        <w:gridCol w:w="3079"/>
        <w:gridCol w:w="3566"/>
      </w:tblGrid>
      <w:tr w:rsidR="00706E60" w:rsidRPr="009E7438" w14:paraId="09904FA9" w14:textId="77777777" w:rsidTr="009E7438">
        <w:trPr>
          <w:trHeight w:val="1075"/>
        </w:trPr>
        <w:tc>
          <w:tcPr>
            <w:tcW w:w="1199" w:type="dxa"/>
            <w:vAlign w:val="center"/>
          </w:tcPr>
          <w:p w14:paraId="54057912" w14:textId="77777777" w:rsidR="00706E60" w:rsidRPr="009E7438" w:rsidRDefault="00706E60" w:rsidP="00310164">
            <w:pPr>
              <w:jc w:val="center"/>
              <w:rPr>
                <w:rFonts w:ascii="Times New Roman" w:eastAsia="Times New Roman" w:hAnsi="Times New Roman" w:cs="Times New Roman"/>
                <w:sz w:val="24"/>
                <w:szCs w:val="24"/>
              </w:rPr>
            </w:pPr>
            <w:r w:rsidRPr="009E7438">
              <w:rPr>
                <w:rFonts w:ascii="Times New Roman" w:eastAsia="Times New Roman" w:hAnsi="Times New Roman" w:cs="Times New Roman"/>
                <w:sz w:val="24"/>
                <w:szCs w:val="24"/>
              </w:rPr>
              <w:t>Category</w:t>
            </w:r>
          </w:p>
        </w:tc>
        <w:tc>
          <w:tcPr>
            <w:tcW w:w="1134" w:type="dxa"/>
            <w:vAlign w:val="center"/>
          </w:tcPr>
          <w:p w14:paraId="7102893E" w14:textId="77777777" w:rsidR="00706E60" w:rsidRPr="009E7438" w:rsidRDefault="00706E60" w:rsidP="00310164">
            <w:pPr>
              <w:jc w:val="center"/>
              <w:rPr>
                <w:rFonts w:ascii="Times New Roman" w:eastAsia="Times New Roman" w:hAnsi="Times New Roman" w:cs="Times New Roman"/>
                <w:sz w:val="24"/>
                <w:szCs w:val="24"/>
              </w:rPr>
            </w:pPr>
            <w:r w:rsidRPr="009E7438">
              <w:rPr>
                <w:rFonts w:ascii="Times New Roman" w:eastAsia="Times New Roman" w:hAnsi="Times New Roman" w:cs="Times New Roman"/>
                <w:sz w:val="24"/>
                <w:szCs w:val="24"/>
              </w:rPr>
              <w:t>Wind speed (km/h)</w:t>
            </w:r>
          </w:p>
        </w:tc>
        <w:tc>
          <w:tcPr>
            <w:tcW w:w="3079" w:type="dxa"/>
            <w:vAlign w:val="center"/>
          </w:tcPr>
          <w:p w14:paraId="09580A56" w14:textId="77777777" w:rsidR="00706E60" w:rsidRPr="009E7438" w:rsidRDefault="00706E60" w:rsidP="00310164">
            <w:pPr>
              <w:jc w:val="center"/>
              <w:rPr>
                <w:rFonts w:ascii="Times New Roman" w:eastAsia="Times New Roman" w:hAnsi="Times New Roman" w:cs="Times New Roman"/>
                <w:sz w:val="24"/>
                <w:szCs w:val="24"/>
              </w:rPr>
            </w:pPr>
            <w:r w:rsidRPr="009E7438">
              <w:rPr>
                <w:rFonts w:ascii="Times New Roman" w:hAnsi="Times New Roman" w:cs="Times New Roman"/>
              </w:rPr>
              <w:t>Impact on structures</w:t>
            </w:r>
          </w:p>
        </w:tc>
        <w:tc>
          <w:tcPr>
            <w:tcW w:w="3566" w:type="dxa"/>
            <w:vAlign w:val="center"/>
          </w:tcPr>
          <w:p w14:paraId="11912DA2" w14:textId="77777777" w:rsidR="00706E60" w:rsidRPr="009E7438" w:rsidRDefault="00706E60" w:rsidP="00310164">
            <w:pPr>
              <w:jc w:val="center"/>
              <w:rPr>
                <w:rFonts w:ascii="Times New Roman" w:eastAsia="Times New Roman" w:hAnsi="Times New Roman" w:cs="Times New Roman"/>
                <w:sz w:val="24"/>
                <w:szCs w:val="24"/>
              </w:rPr>
            </w:pPr>
            <w:r w:rsidRPr="009E7438">
              <w:rPr>
                <w:rFonts w:ascii="Times New Roman" w:hAnsi="Times New Roman" w:cs="Times New Roman"/>
              </w:rPr>
              <w:t>Environmental and social impact</w:t>
            </w:r>
          </w:p>
        </w:tc>
      </w:tr>
      <w:tr w:rsidR="00706E60" w:rsidRPr="00EB43FB" w14:paraId="52D72A93" w14:textId="77777777" w:rsidTr="009E7438">
        <w:trPr>
          <w:trHeight w:val="1427"/>
        </w:trPr>
        <w:tc>
          <w:tcPr>
            <w:tcW w:w="1199" w:type="dxa"/>
            <w:vAlign w:val="center"/>
          </w:tcPr>
          <w:p w14:paraId="004CB587" w14:textId="77777777" w:rsidR="00706E60" w:rsidRPr="009E7438" w:rsidRDefault="00706E60" w:rsidP="00310164">
            <w:pPr>
              <w:jc w:val="center"/>
              <w:rPr>
                <w:rFonts w:ascii="Times New Roman" w:eastAsia="Times New Roman" w:hAnsi="Times New Roman" w:cs="Times New Roman"/>
                <w:sz w:val="24"/>
                <w:szCs w:val="24"/>
              </w:rPr>
            </w:pPr>
            <w:r w:rsidRPr="009E7438">
              <w:rPr>
                <w:rFonts w:ascii="Times New Roman" w:eastAsia="Times New Roman" w:hAnsi="Times New Roman" w:cs="Times New Roman"/>
                <w:sz w:val="24"/>
                <w:szCs w:val="24"/>
              </w:rPr>
              <w:t>1</w:t>
            </w:r>
          </w:p>
        </w:tc>
        <w:tc>
          <w:tcPr>
            <w:tcW w:w="1134" w:type="dxa"/>
            <w:vAlign w:val="center"/>
          </w:tcPr>
          <w:p w14:paraId="19DCB930" w14:textId="77777777" w:rsidR="00706E60" w:rsidRPr="009E7438" w:rsidRDefault="00706E60" w:rsidP="00310164">
            <w:pPr>
              <w:jc w:val="center"/>
              <w:rPr>
                <w:rFonts w:ascii="Times New Roman" w:eastAsia="Times New Roman" w:hAnsi="Times New Roman" w:cs="Times New Roman"/>
                <w:sz w:val="24"/>
                <w:szCs w:val="24"/>
              </w:rPr>
            </w:pPr>
            <w:r w:rsidRPr="009E7438">
              <w:rPr>
                <w:rFonts w:ascii="Times New Roman" w:eastAsia="Times New Roman" w:hAnsi="Times New Roman" w:cs="Times New Roman"/>
                <w:sz w:val="24"/>
                <w:szCs w:val="24"/>
              </w:rPr>
              <w:t>119-153</w:t>
            </w:r>
          </w:p>
        </w:tc>
        <w:tc>
          <w:tcPr>
            <w:tcW w:w="3079" w:type="dxa"/>
            <w:vAlign w:val="center"/>
          </w:tcPr>
          <w:p w14:paraId="43B9224F" w14:textId="77777777" w:rsidR="00706E60" w:rsidRPr="009E7438" w:rsidRDefault="00706E60" w:rsidP="00310164">
            <w:pPr>
              <w:rPr>
                <w:rFonts w:ascii="Times New Roman" w:eastAsia="Times New Roman" w:hAnsi="Times New Roman" w:cs="Times New Roman"/>
                <w:sz w:val="24"/>
                <w:szCs w:val="24"/>
                <w:lang w:val="en-US"/>
              </w:rPr>
            </w:pPr>
            <w:r w:rsidRPr="009E7438">
              <w:rPr>
                <w:rFonts w:ascii="Times New Roman" w:hAnsi="Times New Roman" w:cs="Times New Roman"/>
                <w:lang w:val="en-US"/>
              </w:rPr>
              <w:t>Minor damage to roofs, gutters, and siding. Windows and doors at risk in poorly constructed buildings.</w:t>
            </w:r>
          </w:p>
        </w:tc>
        <w:tc>
          <w:tcPr>
            <w:tcW w:w="3566" w:type="dxa"/>
            <w:vAlign w:val="center"/>
          </w:tcPr>
          <w:p w14:paraId="3065F790" w14:textId="77777777" w:rsidR="00706E60" w:rsidRPr="009E7438" w:rsidRDefault="00706E60" w:rsidP="00706E60">
            <w:pPr>
              <w:jc w:val="both"/>
              <w:rPr>
                <w:rFonts w:ascii="Times New Roman" w:eastAsia="Times New Roman" w:hAnsi="Times New Roman" w:cs="Times New Roman"/>
                <w:sz w:val="24"/>
                <w:szCs w:val="24"/>
                <w:lang w:val="en-US"/>
              </w:rPr>
            </w:pPr>
            <w:r w:rsidRPr="009E7438">
              <w:rPr>
                <w:rFonts w:ascii="Times New Roman" w:hAnsi="Times New Roman" w:cs="Times New Roman"/>
                <w:lang w:val="en-US"/>
              </w:rPr>
              <w:t>Partial downed trees and large branches. Damage to power lines; short-term power outages.</w:t>
            </w:r>
          </w:p>
        </w:tc>
      </w:tr>
      <w:tr w:rsidR="00706E60" w:rsidRPr="009E7438" w14:paraId="4FDEA955" w14:textId="77777777" w:rsidTr="009E7438">
        <w:trPr>
          <w:trHeight w:val="1435"/>
        </w:trPr>
        <w:tc>
          <w:tcPr>
            <w:tcW w:w="1199" w:type="dxa"/>
            <w:vAlign w:val="center"/>
          </w:tcPr>
          <w:p w14:paraId="23892C62" w14:textId="77777777" w:rsidR="00706E60" w:rsidRPr="009E7438" w:rsidRDefault="00706E60" w:rsidP="00310164">
            <w:pPr>
              <w:jc w:val="center"/>
              <w:rPr>
                <w:rFonts w:ascii="Times New Roman" w:eastAsia="Times New Roman" w:hAnsi="Times New Roman" w:cs="Times New Roman"/>
                <w:sz w:val="24"/>
                <w:szCs w:val="24"/>
              </w:rPr>
            </w:pPr>
            <w:r w:rsidRPr="009E7438">
              <w:rPr>
                <w:rFonts w:ascii="Times New Roman" w:eastAsia="Times New Roman" w:hAnsi="Times New Roman" w:cs="Times New Roman"/>
                <w:sz w:val="24"/>
                <w:szCs w:val="24"/>
              </w:rPr>
              <w:t>2</w:t>
            </w:r>
          </w:p>
        </w:tc>
        <w:tc>
          <w:tcPr>
            <w:tcW w:w="1134" w:type="dxa"/>
            <w:vAlign w:val="center"/>
          </w:tcPr>
          <w:p w14:paraId="6078836A" w14:textId="77777777" w:rsidR="00706E60" w:rsidRPr="009E7438" w:rsidRDefault="00706E60" w:rsidP="00310164">
            <w:pPr>
              <w:jc w:val="center"/>
              <w:rPr>
                <w:rFonts w:ascii="Times New Roman" w:eastAsia="Times New Roman" w:hAnsi="Times New Roman" w:cs="Times New Roman"/>
                <w:sz w:val="24"/>
                <w:szCs w:val="24"/>
              </w:rPr>
            </w:pPr>
            <w:r w:rsidRPr="009E7438">
              <w:rPr>
                <w:rFonts w:ascii="Times New Roman" w:eastAsia="Times New Roman" w:hAnsi="Times New Roman" w:cs="Times New Roman"/>
                <w:sz w:val="24"/>
                <w:szCs w:val="24"/>
              </w:rPr>
              <w:t>154-177</w:t>
            </w:r>
          </w:p>
        </w:tc>
        <w:tc>
          <w:tcPr>
            <w:tcW w:w="3079" w:type="dxa"/>
            <w:vAlign w:val="center"/>
          </w:tcPr>
          <w:p w14:paraId="0A567538" w14:textId="77777777" w:rsidR="00706E60" w:rsidRPr="009E7438" w:rsidRDefault="00706E60" w:rsidP="00310164">
            <w:pPr>
              <w:rPr>
                <w:rFonts w:ascii="Times New Roman" w:eastAsia="Times New Roman" w:hAnsi="Times New Roman" w:cs="Times New Roman"/>
                <w:sz w:val="24"/>
                <w:szCs w:val="24"/>
                <w:lang w:val="en-US"/>
              </w:rPr>
            </w:pPr>
            <w:r w:rsidRPr="009E7438">
              <w:rPr>
                <w:rFonts w:ascii="Times New Roman" w:hAnsi="Times New Roman" w:cs="Times New Roman"/>
                <w:lang w:val="en-US"/>
              </w:rPr>
              <w:t>Considerable damage to homes, especially roofs and windows. Mobile and fragile homes are at severe risk.</w:t>
            </w:r>
          </w:p>
        </w:tc>
        <w:tc>
          <w:tcPr>
            <w:tcW w:w="3566" w:type="dxa"/>
            <w:vAlign w:val="center"/>
          </w:tcPr>
          <w:p w14:paraId="31DB948D" w14:textId="77777777" w:rsidR="00706E60" w:rsidRPr="009E7438" w:rsidRDefault="00706E60" w:rsidP="00706E60">
            <w:pPr>
              <w:jc w:val="both"/>
              <w:rPr>
                <w:rFonts w:ascii="Times New Roman" w:eastAsia="Times New Roman" w:hAnsi="Times New Roman" w:cs="Times New Roman"/>
                <w:sz w:val="24"/>
                <w:szCs w:val="24"/>
              </w:rPr>
            </w:pPr>
            <w:r w:rsidRPr="009E7438">
              <w:rPr>
                <w:rFonts w:ascii="Times New Roman" w:hAnsi="Times New Roman" w:cs="Times New Roman"/>
                <w:lang w:val="en-US"/>
              </w:rPr>
              <w:t xml:space="preserve">Trees and vegetation widely affected. Widespread power outages lasting days to weeks. </w:t>
            </w:r>
            <w:r w:rsidRPr="009E7438">
              <w:rPr>
                <w:rFonts w:ascii="Times New Roman" w:hAnsi="Times New Roman" w:cs="Times New Roman"/>
              </w:rPr>
              <w:t>Damage to coastal roads.</w:t>
            </w:r>
          </w:p>
        </w:tc>
      </w:tr>
      <w:tr w:rsidR="00706E60" w:rsidRPr="00EB43FB" w14:paraId="662BD7CB" w14:textId="77777777" w:rsidTr="009E7438">
        <w:trPr>
          <w:trHeight w:val="1317"/>
        </w:trPr>
        <w:tc>
          <w:tcPr>
            <w:tcW w:w="1199" w:type="dxa"/>
            <w:vAlign w:val="center"/>
          </w:tcPr>
          <w:p w14:paraId="2C12FFFE" w14:textId="77777777" w:rsidR="00706E60" w:rsidRPr="009E7438" w:rsidRDefault="00706E60" w:rsidP="00310164">
            <w:pPr>
              <w:jc w:val="center"/>
              <w:rPr>
                <w:rFonts w:ascii="Times New Roman" w:eastAsia="Times New Roman" w:hAnsi="Times New Roman" w:cs="Times New Roman"/>
                <w:sz w:val="24"/>
                <w:szCs w:val="24"/>
              </w:rPr>
            </w:pPr>
            <w:r w:rsidRPr="009E7438">
              <w:rPr>
                <w:rFonts w:ascii="Times New Roman" w:eastAsia="Times New Roman" w:hAnsi="Times New Roman" w:cs="Times New Roman"/>
                <w:sz w:val="24"/>
                <w:szCs w:val="24"/>
              </w:rPr>
              <w:t xml:space="preserve">3 </w:t>
            </w:r>
            <w:r w:rsidRPr="009E7438">
              <w:rPr>
                <w:rFonts w:ascii="Times New Roman" w:eastAsia="Times New Roman" w:hAnsi="Times New Roman" w:cs="Times New Roman"/>
                <w:i/>
                <w:iCs/>
                <w:sz w:val="24"/>
                <w:szCs w:val="24"/>
              </w:rPr>
              <w:t>(Major)</w:t>
            </w:r>
          </w:p>
        </w:tc>
        <w:tc>
          <w:tcPr>
            <w:tcW w:w="1134" w:type="dxa"/>
            <w:vAlign w:val="center"/>
          </w:tcPr>
          <w:p w14:paraId="6FF36C24" w14:textId="77777777" w:rsidR="00706E60" w:rsidRPr="009E7438" w:rsidRDefault="00706E60" w:rsidP="00310164">
            <w:pPr>
              <w:jc w:val="center"/>
              <w:rPr>
                <w:rFonts w:ascii="Times New Roman" w:eastAsia="Times New Roman" w:hAnsi="Times New Roman" w:cs="Times New Roman"/>
                <w:sz w:val="24"/>
                <w:szCs w:val="24"/>
              </w:rPr>
            </w:pPr>
            <w:r w:rsidRPr="009E7438">
              <w:rPr>
                <w:rFonts w:ascii="Times New Roman" w:eastAsia="Times New Roman" w:hAnsi="Times New Roman" w:cs="Times New Roman"/>
                <w:sz w:val="24"/>
                <w:szCs w:val="24"/>
              </w:rPr>
              <w:t>178-208</w:t>
            </w:r>
          </w:p>
        </w:tc>
        <w:tc>
          <w:tcPr>
            <w:tcW w:w="3079" w:type="dxa"/>
            <w:vAlign w:val="center"/>
          </w:tcPr>
          <w:p w14:paraId="68889C1C" w14:textId="77777777" w:rsidR="00706E60" w:rsidRPr="009E7438" w:rsidRDefault="00706E60" w:rsidP="00310164">
            <w:pPr>
              <w:rPr>
                <w:rFonts w:ascii="Times New Roman" w:hAnsi="Times New Roman" w:cs="Times New Roman"/>
                <w:lang w:val="en-US"/>
              </w:rPr>
            </w:pPr>
            <w:r w:rsidRPr="009E7438">
              <w:rPr>
                <w:rFonts w:ascii="Times New Roman" w:hAnsi="Times New Roman" w:cs="Times New Roman"/>
                <w:lang w:val="en-US"/>
              </w:rPr>
              <w:t>Devastating damage to unreinforced buildings.</w:t>
            </w:r>
          </w:p>
          <w:p w14:paraId="5BD9C1E6" w14:textId="77777777" w:rsidR="00706E60" w:rsidRPr="009E7438" w:rsidRDefault="00706E60" w:rsidP="00310164">
            <w:pPr>
              <w:rPr>
                <w:rFonts w:ascii="Times New Roman" w:eastAsia="Times New Roman" w:hAnsi="Times New Roman" w:cs="Times New Roman"/>
                <w:sz w:val="24"/>
                <w:szCs w:val="24"/>
              </w:rPr>
            </w:pPr>
            <w:r w:rsidRPr="009E7438">
              <w:rPr>
                <w:rFonts w:ascii="Times New Roman" w:hAnsi="Times New Roman" w:cs="Times New Roman"/>
              </w:rPr>
              <w:t>Structural roofs severely damaged.</w:t>
            </w:r>
          </w:p>
        </w:tc>
        <w:tc>
          <w:tcPr>
            <w:tcW w:w="3566" w:type="dxa"/>
            <w:vAlign w:val="center"/>
          </w:tcPr>
          <w:p w14:paraId="4BF08BB1" w14:textId="77777777" w:rsidR="00706E60" w:rsidRPr="009E7438" w:rsidRDefault="00706E60" w:rsidP="00706E60">
            <w:pPr>
              <w:jc w:val="both"/>
              <w:rPr>
                <w:rFonts w:ascii="Times New Roman" w:eastAsia="Times New Roman" w:hAnsi="Times New Roman" w:cs="Times New Roman"/>
                <w:sz w:val="24"/>
                <w:szCs w:val="24"/>
                <w:lang w:val="en-US"/>
              </w:rPr>
            </w:pPr>
            <w:r w:rsidRPr="009E7438">
              <w:rPr>
                <w:rFonts w:ascii="Times New Roman" w:hAnsi="Times New Roman" w:cs="Times New Roman"/>
                <w:lang w:val="en-US"/>
              </w:rPr>
              <w:t>Numerous trees downed; communities isolated due to debris; prolonged loss of water and electricity (weeks).</w:t>
            </w:r>
          </w:p>
        </w:tc>
      </w:tr>
      <w:tr w:rsidR="00706E60" w:rsidRPr="00EB43FB" w14:paraId="43301C51" w14:textId="77777777" w:rsidTr="009E7438">
        <w:trPr>
          <w:trHeight w:val="1317"/>
        </w:trPr>
        <w:tc>
          <w:tcPr>
            <w:tcW w:w="1199" w:type="dxa"/>
            <w:vAlign w:val="center"/>
          </w:tcPr>
          <w:p w14:paraId="3B02866D" w14:textId="77777777" w:rsidR="00706E60" w:rsidRPr="009E7438" w:rsidRDefault="00706E60" w:rsidP="00310164">
            <w:pPr>
              <w:jc w:val="center"/>
              <w:rPr>
                <w:rFonts w:ascii="Times New Roman" w:eastAsia="Times New Roman" w:hAnsi="Times New Roman" w:cs="Times New Roman"/>
                <w:sz w:val="24"/>
                <w:szCs w:val="24"/>
              </w:rPr>
            </w:pPr>
            <w:r w:rsidRPr="009E7438">
              <w:rPr>
                <w:rFonts w:ascii="Times New Roman" w:eastAsia="Times New Roman" w:hAnsi="Times New Roman" w:cs="Times New Roman"/>
                <w:sz w:val="24"/>
                <w:szCs w:val="24"/>
              </w:rPr>
              <w:t xml:space="preserve">4 </w:t>
            </w:r>
            <w:r w:rsidRPr="009E7438">
              <w:rPr>
                <w:rFonts w:ascii="Times New Roman" w:eastAsia="Times New Roman" w:hAnsi="Times New Roman" w:cs="Times New Roman"/>
                <w:i/>
                <w:iCs/>
                <w:sz w:val="24"/>
                <w:szCs w:val="24"/>
              </w:rPr>
              <w:t>(Major)</w:t>
            </w:r>
          </w:p>
        </w:tc>
        <w:tc>
          <w:tcPr>
            <w:tcW w:w="1134" w:type="dxa"/>
            <w:vAlign w:val="center"/>
          </w:tcPr>
          <w:p w14:paraId="6AEBCADA" w14:textId="77777777" w:rsidR="00706E60" w:rsidRPr="009E7438" w:rsidRDefault="00706E60" w:rsidP="00310164">
            <w:pPr>
              <w:jc w:val="center"/>
              <w:rPr>
                <w:rFonts w:ascii="Times New Roman" w:eastAsia="Times New Roman" w:hAnsi="Times New Roman" w:cs="Times New Roman"/>
                <w:sz w:val="24"/>
                <w:szCs w:val="24"/>
              </w:rPr>
            </w:pPr>
            <w:r w:rsidRPr="009E7438">
              <w:rPr>
                <w:rFonts w:ascii="Times New Roman" w:eastAsia="Times New Roman" w:hAnsi="Times New Roman" w:cs="Times New Roman"/>
                <w:sz w:val="24"/>
                <w:szCs w:val="24"/>
              </w:rPr>
              <w:t>209-251</w:t>
            </w:r>
          </w:p>
        </w:tc>
        <w:tc>
          <w:tcPr>
            <w:tcW w:w="3079" w:type="dxa"/>
            <w:vAlign w:val="center"/>
          </w:tcPr>
          <w:p w14:paraId="72D2036E" w14:textId="77777777" w:rsidR="00706E60" w:rsidRPr="009E7438" w:rsidRDefault="00706E60" w:rsidP="00310164">
            <w:pPr>
              <w:rPr>
                <w:rFonts w:ascii="Times New Roman" w:eastAsia="Times New Roman" w:hAnsi="Times New Roman" w:cs="Times New Roman"/>
                <w:sz w:val="24"/>
                <w:szCs w:val="24"/>
              </w:rPr>
            </w:pPr>
            <w:r w:rsidRPr="009E7438">
              <w:rPr>
                <w:rFonts w:ascii="Times New Roman" w:hAnsi="Times New Roman" w:cs="Times New Roman"/>
                <w:lang w:val="en-US"/>
              </w:rPr>
              <w:t xml:space="preserve">Catastrophic damage: extensive loss of roof and wall structures in homes. </w:t>
            </w:r>
            <w:r w:rsidRPr="009E7438">
              <w:rPr>
                <w:rFonts w:ascii="Times New Roman" w:hAnsi="Times New Roman" w:cs="Times New Roman"/>
              </w:rPr>
              <w:t>Severe damage to large buildings.</w:t>
            </w:r>
          </w:p>
        </w:tc>
        <w:tc>
          <w:tcPr>
            <w:tcW w:w="3566" w:type="dxa"/>
            <w:vAlign w:val="center"/>
          </w:tcPr>
          <w:p w14:paraId="7DDA8513" w14:textId="77777777" w:rsidR="00706E60" w:rsidRPr="009E7438" w:rsidRDefault="00706E60" w:rsidP="00706E60">
            <w:pPr>
              <w:jc w:val="both"/>
              <w:rPr>
                <w:rFonts w:ascii="Times New Roman" w:eastAsia="Times New Roman" w:hAnsi="Times New Roman" w:cs="Times New Roman"/>
                <w:sz w:val="24"/>
                <w:szCs w:val="24"/>
                <w:lang w:val="en-US"/>
              </w:rPr>
            </w:pPr>
            <w:r w:rsidRPr="009E7438">
              <w:rPr>
                <w:rFonts w:ascii="Times New Roman" w:hAnsi="Times New Roman" w:cs="Times New Roman"/>
                <w:lang w:val="en-US"/>
              </w:rPr>
              <w:t>Most trees snapped or uprooted; power poles downed. Residential areas isolated; power outages lasting weeks to months.</w:t>
            </w:r>
          </w:p>
        </w:tc>
      </w:tr>
      <w:tr w:rsidR="00706E60" w:rsidRPr="009E7438" w14:paraId="66598495" w14:textId="77777777" w:rsidTr="009E7438">
        <w:trPr>
          <w:trHeight w:val="1309"/>
        </w:trPr>
        <w:tc>
          <w:tcPr>
            <w:tcW w:w="1199" w:type="dxa"/>
            <w:vAlign w:val="center"/>
          </w:tcPr>
          <w:p w14:paraId="27BB375A" w14:textId="77777777" w:rsidR="00706E60" w:rsidRPr="009E7438" w:rsidRDefault="00706E60" w:rsidP="00310164">
            <w:pPr>
              <w:jc w:val="center"/>
              <w:rPr>
                <w:rFonts w:ascii="Times New Roman" w:eastAsia="Times New Roman" w:hAnsi="Times New Roman" w:cs="Times New Roman"/>
                <w:sz w:val="24"/>
                <w:szCs w:val="24"/>
              </w:rPr>
            </w:pPr>
            <w:r w:rsidRPr="009E7438">
              <w:rPr>
                <w:rFonts w:ascii="Times New Roman" w:eastAsia="Times New Roman" w:hAnsi="Times New Roman" w:cs="Times New Roman"/>
                <w:sz w:val="24"/>
                <w:szCs w:val="24"/>
              </w:rPr>
              <w:t xml:space="preserve">5 </w:t>
            </w:r>
            <w:r w:rsidRPr="009E7438">
              <w:rPr>
                <w:rFonts w:ascii="Times New Roman" w:eastAsia="Times New Roman" w:hAnsi="Times New Roman" w:cs="Times New Roman"/>
                <w:i/>
                <w:iCs/>
                <w:sz w:val="24"/>
                <w:szCs w:val="24"/>
              </w:rPr>
              <w:t>(Major)</w:t>
            </w:r>
          </w:p>
        </w:tc>
        <w:tc>
          <w:tcPr>
            <w:tcW w:w="1134" w:type="dxa"/>
            <w:vAlign w:val="center"/>
          </w:tcPr>
          <w:p w14:paraId="54474F10" w14:textId="77777777" w:rsidR="00706E60" w:rsidRPr="009E7438" w:rsidRDefault="00706E60" w:rsidP="00310164">
            <w:pPr>
              <w:jc w:val="center"/>
              <w:rPr>
                <w:rFonts w:ascii="Times New Roman" w:eastAsia="Times New Roman" w:hAnsi="Times New Roman" w:cs="Times New Roman"/>
                <w:sz w:val="24"/>
                <w:szCs w:val="24"/>
              </w:rPr>
            </w:pPr>
            <w:r w:rsidRPr="009E7438">
              <w:rPr>
                <w:rFonts w:ascii="Times New Roman" w:eastAsia="Gungsuh" w:hAnsi="Times New Roman" w:cs="Times New Roman"/>
                <w:sz w:val="24"/>
                <w:szCs w:val="24"/>
              </w:rPr>
              <w:t>≥252</w:t>
            </w:r>
          </w:p>
        </w:tc>
        <w:tc>
          <w:tcPr>
            <w:tcW w:w="3079" w:type="dxa"/>
            <w:vAlign w:val="center"/>
          </w:tcPr>
          <w:p w14:paraId="4EB0EAB5" w14:textId="77777777" w:rsidR="00706E60" w:rsidRPr="009E7438" w:rsidRDefault="00706E60" w:rsidP="00310164">
            <w:pPr>
              <w:rPr>
                <w:rFonts w:ascii="Times New Roman" w:eastAsia="Times New Roman" w:hAnsi="Times New Roman" w:cs="Times New Roman"/>
                <w:sz w:val="24"/>
                <w:szCs w:val="24"/>
                <w:lang w:val="en-US"/>
              </w:rPr>
            </w:pPr>
            <w:r w:rsidRPr="009E7438">
              <w:rPr>
                <w:rFonts w:ascii="Times New Roman" w:hAnsi="Times New Roman" w:cs="Times New Roman"/>
                <w:lang w:val="en-US"/>
              </w:rPr>
              <w:t>Total destruction of most structures, even reinforced ones. Massive damage to critical infrastructure.</w:t>
            </w:r>
          </w:p>
        </w:tc>
        <w:tc>
          <w:tcPr>
            <w:tcW w:w="3566" w:type="dxa"/>
            <w:vAlign w:val="center"/>
          </w:tcPr>
          <w:p w14:paraId="7429100C" w14:textId="77777777" w:rsidR="00706E60" w:rsidRPr="009E7438" w:rsidRDefault="00706E60" w:rsidP="00706E60">
            <w:pPr>
              <w:jc w:val="both"/>
              <w:rPr>
                <w:rFonts w:ascii="Times New Roman" w:eastAsia="Times New Roman" w:hAnsi="Times New Roman" w:cs="Times New Roman"/>
                <w:sz w:val="24"/>
                <w:szCs w:val="24"/>
              </w:rPr>
            </w:pPr>
            <w:r w:rsidRPr="009E7438">
              <w:rPr>
                <w:rFonts w:ascii="Times New Roman" w:hAnsi="Times New Roman" w:cs="Times New Roman"/>
                <w:lang w:val="en-US"/>
              </w:rPr>
              <w:t xml:space="preserve">Devastated environment: complete collapse of vegetation and basic services. </w:t>
            </w:r>
            <w:r w:rsidRPr="009E7438">
              <w:rPr>
                <w:rFonts w:ascii="Times New Roman" w:hAnsi="Times New Roman" w:cs="Times New Roman"/>
              </w:rPr>
              <w:t>Coastal and urban areas uninhabitable for months.</w:t>
            </w:r>
          </w:p>
        </w:tc>
      </w:tr>
    </w:tbl>
    <w:p w14:paraId="76E93613" w14:textId="77777777" w:rsidR="00706E60" w:rsidRPr="00706E60" w:rsidRDefault="00706E60" w:rsidP="009E7438">
      <w:pPr>
        <w:spacing w:after="0" w:line="360" w:lineRule="auto"/>
        <w:ind w:firstLine="708"/>
        <w:jc w:val="center"/>
        <w:rPr>
          <w:rFonts w:ascii="Times New Roman" w:eastAsia="Times New Roman" w:hAnsi="Times New Roman" w:cs="Times New Roman"/>
          <w:sz w:val="24"/>
          <w:szCs w:val="24"/>
          <w:lang w:val="en-US"/>
        </w:rPr>
      </w:pPr>
      <w:r w:rsidRPr="009E7438">
        <w:rPr>
          <w:rFonts w:ascii="Times New Roman" w:eastAsia="Times New Roman" w:hAnsi="Times New Roman" w:cs="Times New Roman"/>
          <w:sz w:val="24"/>
          <w:szCs w:val="24"/>
          <w:lang w:val="en-US"/>
        </w:rPr>
        <w:t>Source:</w:t>
      </w:r>
      <w:r w:rsidRPr="00706E60">
        <w:rPr>
          <w:rFonts w:ascii="Times New Roman" w:eastAsia="Times New Roman" w:hAnsi="Times New Roman" w:cs="Times New Roman"/>
          <w:b/>
          <w:bCs/>
          <w:sz w:val="24"/>
          <w:szCs w:val="24"/>
          <w:lang w:val="en-US"/>
        </w:rPr>
        <w:t xml:space="preserve"> </w:t>
      </w:r>
      <w:r w:rsidRPr="00706E60">
        <w:rPr>
          <w:rFonts w:ascii="Times New Roman" w:eastAsia="Times New Roman" w:hAnsi="Times New Roman" w:cs="Times New Roman"/>
          <w:sz w:val="24"/>
          <w:szCs w:val="24"/>
          <w:lang w:val="en-US"/>
        </w:rPr>
        <w:t>Adapted from Simpson &amp; Riehl (1981)</w:t>
      </w:r>
    </w:p>
    <w:p w14:paraId="01DA1408" w14:textId="77777777" w:rsidR="00706E60" w:rsidRDefault="00706E60" w:rsidP="009E7438">
      <w:pPr>
        <w:spacing w:after="0" w:line="360" w:lineRule="auto"/>
        <w:ind w:firstLine="708"/>
        <w:jc w:val="both"/>
        <w:rPr>
          <w:rFonts w:ascii="Times New Roman" w:eastAsia="Times New Roman" w:hAnsi="Times New Roman" w:cs="Times New Roman"/>
          <w:sz w:val="24"/>
          <w:szCs w:val="24"/>
          <w:lang w:val="en-US"/>
        </w:rPr>
      </w:pPr>
      <w:r w:rsidRPr="00706E60">
        <w:rPr>
          <w:rFonts w:ascii="Times New Roman" w:eastAsia="Times New Roman" w:hAnsi="Times New Roman" w:cs="Times New Roman"/>
          <w:sz w:val="24"/>
          <w:szCs w:val="24"/>
          <w:lang w:val="en-US"/>
        </w:rPr>
        <w:t>Hurricane Ingrid exerted indirect effects on the Northern and Costa Chica regions, triggering flooding and landslides that compromised precarious housing. Conversely, Hurricane Manuel proved particularly destructive, precipitating historic flooding and a massive landslide in the community of La Pintada (Atoyac de Álvarez), which resulted in severe human and social losses (Figure 1).</w:t>
      </w:r>
    </w:p>
    <w:p w14:paraId="58F961B3" w14:textId="77777777" w:rsidR="009E7438" w:rsidRPr="00706E60" w:rsidRDefault="009E7438" w:rsidP="009E7438">
      <w:pPr>
        <w:spacing w:after="0" w:line="360" w:lineRule="auto"/>
        <w:ind w:firstLine="708"/>
        <w:jc w:val="both"/>
        <w:rPr>
          <w:rFonts w:ascii="Times New Roman" w:eastAsia="Times New Roman" w:hAnsi="Times New Roman" w:cs="Times New Roman"/>
          <w:sz w:val="24"/>
          <w:szCs w:val="24"/>
          <w:lang w:val="en-US"/>
        </w:rPr>
      </w:pPr>
    </w:p>
    <w:p w14:paraId="3083690B" w14:textId="74061926" w:rsidR="005C3561" w:rsidRPr="005C3561" w:rsidRDefault="005C3561" w:rsidP="009E7438">
      <w:pPr>
        <w:spacing w:after="0" w:line="360" w:lineRule="auto"/>
        <w:jc w:val="center"/>
        <w:rPr>
          <w:rFonts w:ascii="Times New Roman" w:hAnsi="Times New Roman" w:cs="Times New Roman"/>
          <w:b/>
          <w:bCs/>
          <w:sz w:val="24"/>
          <w:szCs w:val="24"/>
          <w:lang w:val="en-US"/>
        </w:rPr>
      </w:pPr>
      <w:r w:rsidRPr="005C3561">
        <w:rPr>
          <w:rFonts w:ascii="Times New Roman" w:hAnsi="Times New Roman" w:cs="Times New Roman"/>
          <w:b/>
          <w:bCs/>
          <w:sz w:val="24"/>
          <w:szCs w:val="24"/>
          <w:lang w:val="en-US"/>
        </w:rPr>
        <w:lastRenderedPageBreak/>
        <w:t xml:space="preserve">Figure 1. </w:t>
      </w:r>
      <w:r w:rsidRPr="005C3561">
        <w:rPr>
          <w:rFonts w:ascii="Times New Roman" w:hAnsi="Times New Roman" w:cs="Times New Roman"/>
          <w:sz w:val="24"/>
          <w:szCs w:val="24"/>
          <w:lang w:val="en-US"/>
        </w:rPr>
        <w:t xml:space="preserve">(a) </w:t>
      </w:r>
      <w:r w:rsidR="00DF669A" w:rsidRPr="00DF669A">
        <w:rPr>
          <w:rFonts w:ascii="Times New Roman" w:eastAsia="Times New Roman" w:hAnsi="Times New Roman" w:cs="Times New Roman"/>
          <w:sz w:val="24"/>
          <w:szCs w:val="24"/>
          <w:lang w:val="en-US"/>
        </w:rPr>
        <w:t>(a) Flooding of a rural community and (b) impacts in coastal areas.</w:t>
      </w:r>
      <w:r>
        <w:rPr>
          <w:noProof/>
        </w:rPr>
        <w:drawing>
          <wp:anchor distT="0" distB="0" distL="114300" distR="114300" simplePos="0" relativeHeight="251660288" behindDoc="0" locked="0" layoutInCell="1" allowOverlap="1" wp14:anchorId="503A3383" wp14:editId="47ADC481">
            <wp:simplePos x="0" y="0"/>
            <wp:positionH relativeFrom="margin">
              <wp:posOffset>0</wp:posOffset>
            </wp:positionH>
            <wp:positionV relativeFrom="paragraph">
              <wp:posOffset>360045</wp:posOffset>
            </wp:positionV>
            <wp:extent cx="2674620" cy="2278380"/>
            <wp:effectExtent l="0" t="0" r="0" b="7620"/>
            <wp:wrapThrough wrapText="bothSides">
              <wp:wrapPolygon edited="0">
                <wp:start x="0" y="0"/>
                <wp:lineTo x="0" y="21492"/>
                <wp:lineTo x="21385" y="21492"/>
                <wp:lineTo x="21385" y="0"/>
                <wp:lineTo x="0" y="0"/>
              </wp:wrapPolygon>
            </wp:wrapThrough>
            <wp:docPr id="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74620" cy="22783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59B68EA9" wp14:editId="7539DBAF">
            <wp:simplePos x="0" y="0"/>
            <wp:positionH relativeFrom="margin">
              <wp:posOffset>2708910</wp:posOffset>
            </wp:positionH>
            <wp:positionV relativeFrom="paragraph">
              <wp:posOffset>360045</wp:posOffset>
            </wp:positionV>
            <wp:extent cx="2903220" cy="2270760"/>
            <wp:effectExtent l="0" t="0" r="0" b="0"/>
            <wp:wrapThrough wrapText="bothSides">
              <wp:wrapPolygon edited="0">
                <wp:start x="0" y="0"/>
                <wp:lineTo x="0" y="21383"/>
                <wp:lineTo x="21402" y="21383"/>
                <wp:lineTo x="21402" y="0"/>
                <wp:lineTo x="0" y="0"/>
              </wp:wrapPolygon>
            </wp:wrapThrough>
            <wp:docPr id="50842738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03220" cy="22707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A13706" w14:textId="4A26F2A0" w:rsidR="005C3561" w:rsidRPr="005C3561" w:rsidRDefault="005C3561" w:rsidP="005C3561">
      <w:pPr>
        <w:pStyle w:val="Prrafodelista"/>
        <w:numPr>
          <w:ilvl w:val="0"/>
          <w:numId w:val="1"/>
        </w:numPr>
        <w:spacing w:line="360" w:lineRule="auto"/>
        <w:jc w:val="both"/>
        <w:rPr>
          <w:rFonts w:ascii="Times New Roman" w:hAnsi="Times New Roman" w:cs="Times New Roman"/>
          <w:sz w:val="24"/>
          <w:szCs w:val="24"/>
          <w:lang w:val="en-US"/>
        </w:rPr>
      </w:pPr>
      <w:r w:rsidRPr="005C3561">
        <w:rPr>
          <w:rFonts w:ascii="Times New Roman" w:hAnsi="Times New Roman" w:cs="Times New Roman"/>
          <w:sz w:val="24"/>
          <w:szCs w:val="24"/>
          <w:lang w:val="en-US"/>
        </w:rPr>
        <w:t>(b)</w:t>
      </w:r>
    </w:p>
    <w:p w14:paraId="50E52B7D" w14:textId="7F9F27DE" w:rsidR="005C3561" w:rsidRDefault="00DF669A" w:rsidP="009E7438">
      <w:pPr>
        <w:spacing w:after="0" w:line="360" w:lineRule="auto"/>
        <w:ind w:firstLine="708"/>
        <w:jc w:val="center"/>
        <w:rPr>
          <w:rFonts w:ascii="Times New Roman" w:eastAsia="Times New Roman" w:hAnsi="Times New Roman" w:cs="Times New Roman"/>
          <w:sz w:val="24"/>
          <w:szCs w:val="24"/>
          <w:lang w:val="en-US"/>
        </w:rPr>
      </w:pPr>
      <w:r w:rsidRPr="00DF669A">
        <w:rPr>
          <w:rFonts w:ascii="Times New Roman" w:eastAsia="Times New Roman" w:hAnsi="Times New Roman" w:cs="Times New Roman"/>
          <w:sz w:val="24"/>
          <w:szCs w:val="24"/>
          <w:lang w:val="en-US"/>
        </w:rPr>
        <w:t>Four years later, in 2017, Hurricane Max made a direct impact on the Costa Chica, causing damage to the roofs of homes, downed power lines, and damage to coastal roads (Figure 2)</w:t>
      </w:r>
    </w:p>
    <w:p w14:paraId="2311AFC2" w14:textId="77777777" w:rsidR="009E7438" w:rsidRPr="00DF669A" w:rsidRDefault="009E7438" w:rsidP="009E7438">
      <w:pPr>
        <w:spacing w:after="0" w:line="360" w:lineRule="auto"/>
        <w:ind w:firstLine="708"/>
        <w:jc w:val="center"/>
        <w:rPr>
          <w:rFonts w:ascii="Times New Roman" w:eastAsia="Times New Roman" w:hAnsi="Times New Roman" w:cs="Times New Roman"/>
          <w:sz w:val="24"/>
          <w:szCs w:val="24"/>
          <w:lang w:val="en-US"/>
        </w:rPr>
      </w:pPr>
    </w:p>
    <w:p w14:paraId="28410322" w14:textId="4249E031" w:rsidR="005C3561" w:rsidRPr="005C3561" w:rsidRDefault="005C3561" w:rsidP="005C3561">
      <w:pPr>
        <w:spacing w:line="276" w:lineRule="auto"/>
        <w:jc w:val="center"/>
        <w:rPr>
          <w:rFonts w:ascii="Times New Roman" w:hAnsi="Times New Roman" w:cs="Times New Roman"/>
          <w:b/>
          <w:bCs/>
          <w:sz w:val="24"/>
          <w:szCs w:val="24"/>
          <w:lang w:val="en-US" w:eastAsia="es-MX"/>
        </w:rPr>
      </w:pPr>
      <w:r w:rsidRPr="005C3561">
        <w:rPr>
          <w:rFonts w:ascii="Times New Roman" w:hAnsi="Times New Roman" w:cs="Times New Roman"/>
          <w:b/>
          <w:bCs/>
          <w:sz w:val="24"/>
          <w:szCs w:val="24"/>
          <w:lang w:val="en-US" w:eastAsia="es-MX"/>
        </w:rPr>
        <w:t xml:space="preserve">Figure 2. </w:t>
      </w:r>
      <w:r w:rsidRPr="005C3561">
        <w:rPr>
          <w:rFonts w:ascii="Times New Roman" w:hAnsi="Times New Roman" w:cs="Times New Roman"/>
          <w:sz w:val="24"/>
          <w:szCs w:val="24"/>
          <w:lang w:val="en-US" w:eastAsia="es-MX"/>
        </w:rPr>
        <w:t>Flooding and destruction of roofs in Guerrero.</w:t>
      </w:r>
    </w:p>
    <w:p w14:paraId="269A4DD2" w14:textId="6DDFE8F5" w:rsidR="005C3561" w:rsidRPr="005C3561" w:rsidRDefault="005C3561" w:rsidP="005C3561">
      <w:pPr>
        <w:spacing w:line="360" w:lineRule="auto"/>
        <w:ind w:firstLine="708"/>
        <w:jc w:val="both"/>
        <w:rPr>
          <w:rFonts w:ascii="Times New Roman" w:hAnsi="Times New Roman" w:cs="Times New Roman"/>
          <w:sz w:val="24"/>
          <w:szCs w:val="24"/>
          <w:lang w:val="en-US"/>
        </w:rPr>
      </w:pPr>
      <w:r>
        <w:rPr>
          <w:noProof/>
        </w:rPr>
        <w:drawing>
          <wp:anchor distT="0" distB="0" distL="114300" distR="114300" simplePos="0" relativeHeight="251662336" behindDoc="0" locked="0" layoutInCell="1" allowOverlap="1" wp14:anchorId="41F8E129" wp14:editId="516622B7">
            <wp:simplePos x="0" y="0"/>
            <wp:positionH relativeFrom="margin">
              <wp:align>center</wp:align>
            </wp:positionH>
            <wp:positionV relativeFrom="paragraph">
              <wp:posOffset>6985</wp:posOffset>
            </wp:positionV>
            <wp:extent cx="4221480" cy="2560320"/>
            <wp:effectExtent l="0" t="0" r="7620" b="0"/>
            <wp:wrapThrough wrapText="bothSides">
              <wp:wrapPolygon edited="0">
                <wp:start x="0" y="0"/>
                <wp:lineTo x="0" y="21375"/>
                <wp:lineTo x="21542" y="21375"/>
                <wp:lineTo x="21542" y="0"/>
                <wp:lineTo x="0" y="0"/>
              </wp:wrapPolygon>
            </wp:wrapThrough>
            <wp:docPr id="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21480" cy="2560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A92492" w14:textId="77777777" w:rsidR="005C3561" w:rsidRDefault="005C3561" w:rsidP="005C3561">
      <w:pPr>
        <w:spacing w:line="360" w:lineRule="auto"/>
        <w:jc w:val="both"/>
        <w:rPr>
          <w:rFonts w:ascii="Times New Roman" w:hAnsi="Times New Roman" w:cs="Times New Roman"/>
          <w:sz w:val="24"/>
          <w:szCs w:val="24"/>
          <w:lang w:val="en-US"/>
        </w:rPr>
      </w:pPr>
    </w:p>
    <w:p w14:paraId="7E3D0846" w14:textId="77777777" w:rsidR="005C3561" w:rsidRDefault="005C3561" w:rsidP="005C3561">
      <w:pPr>
        <w:spacing w:line="360" w:lineRule="auto"/>
        <w:jc w:val="both"/>
        <w:rPr>
          <w:rFonts w:ascii="Times New Roman" w:hAnsi="Times New Roman" w:cs="Times New Roman"/>
          <w:sz w:val="24"/>
          <w:szCs w:val="24"/>
          <w:lang w:val="en-US"/>
        </w:rPr>
      </w:pPr>
    </w:p>
    <w:p w14:paraId="13B2CDBD" w14:textId="77777777" w:rsidR="005C3561" w:rsidRDefault="005C3561" w:rsidP="005C3561">
      <w:pPr>
        <w:spacing w:line="360" w:lineRule="auto"/>
        <w:jc w:val="both"/>
        <w:rPr>
          <w:rFonts w:ascii="Times New Roman" w:hAnsi="Times New Roman" w:cs="Times New Roman"/>
          <w:sz w:val="24"/>
          <w:szCs w:val="24"/>
          <w:lang w:val="en-US"/>
        </w:rPr>
      </w:pPr>
    </w:p>
    <w:p w14:paraId="7F172B2A" w14:textId="77777777" w:rsidR="005C3561" w:rsidRDefault="005C3561" w:rsidP="005C3561">
      <w:pPr>
        <w:spacing w:line="360" w:lineRule="auto"/>
        <w:jc w:val="both"/>
        <w:rPr>
          <w:rFonts w:ascii="Times New Roman" w:hAnsi="Times New Roman" w:cs="Times New Roman"/>
          <w:sz w:val="24"/>
          <w:szCs w:val="24"/>
          <w:lang w:val="en-US"/>
        </w:rPr>
      </w:pPr>
    </w:p>
    <w:p w14:paraId="44C87E58" w14:textId="77777777" w:rsidR="005C3561" w:rsidRDefault="005C3561" w:rsidP="005C3561">
      <w:pPr>
        <w:spacing w:line="360" w:lineRule="auto"/>
        <w:jc w:val="both"/>
        <w:rPr>
          <w:rFonts w:ascii="Times New Roman" w:hAnsi="Times New Roman" w:cs="Times New Roman"/>
          <w:sz w:val="24"/>
          <w:szCs w:val="24"/>
          <w:lang w:val="en-US"/>
        </w:rPr>
      </w:pPr>
    </w:p>
    <w:p w14:paraId="59E3A44F" w14:textId="77777777" w:rsidR="005C3561" w:rsidRDefault="005C3561" w:rsidP="005C3561">
      <w:pPr>
        <w:spacing w:line="360" w:lineRule="auto"/>
        <w:jc w:val="both"/>
        <w:rPr>
          <w:rFonts w:ascii="Times New Roman" w:hAnsi="Times New Roman" w:cs="Times New Roman"/>
          <w:sz w:val="24"/>
          <w:szCs w:val="24"/>
          <w:lang w:val="en-US"/>
        </w:rPr>
      </w:pPr>
    </w:p>
    <w:p w14:paraId="581E12DE" w14:textId="77777777" w:rsidR="009E7438" w:rsidRDefault="009E7438" w:rsidP="00DF669A">
      <w:pPr>
        <w:spacing w:line="360" w:lineRule="auto"/>
        <w:ind w:firstLine="708"/>
        <w:jc w:val="both"/>
        <w:rPr>
          <w:rFonts w:ascii="Times New Roman" w:eastAsia="Times New Roman" w:hAnsi="Times New Roman" w:cs="Times New Roman"/>
          <w:sz w:val="24"/>
          <w:szCs w:val="24"/>
          <w:lang w:val="en-US"/>
        </w:rPr>
      </w:pPr>
    </w:p>
    <w:p w14:paraId="7EE14C3D" w14:textId="78906FCD" w:rsidR="00DF669A" w:rsidRDefault="00DF669A" w:rsidP="009E7438">
      <w:pPr>
        <w:spacing w:after="0" w:line="360" w:lineRule="auto"/>
        <w:ind w:firstLine="708"/>
        <w:jc w:val="both"/>
        <w:rPr>
          <w:rFonts w:ascii="Times New Roman" w:eastAsia="Times New Roman" w:hAnsi="Times New Roman" w:cs="Times New Roman"/>
          <w:sz w:val="24"/>
          <w:szCs w:val="24"/>
          <w:lang w:val="en-US"/>
        </w:rPr>
      </w:pPr>
      <w:r w:rsidRPr="00DF669A">
        <w:rPr>
          <w:rFonts w:ascii="Times New Roman" w:eastAsia="Times New Roman" w:hAnsi="Times New Roman" w:cs="Times New Roman"/>
          <w:sz w:val="24"/>
          <w:szCs w:val="24"/>
          <w:lang w:val="en-US"/>
        </w:rPr>
        <w:t>Most recently, Hurricane Erick (2025) -despite its lower intensity- resulted in significant losses to commercial agriculture, specifically affecting papaya and banana crops. The event also damaged rural road networks and caused temporary power outages (Figure 3).</w:t>
      </w:r>
    </w:p>
    <w:p w14:paraId="0D4E0DE1" w14:textId="77777777" w:rsidR="009E7438" w:rsidRPr="00DF669A" w:rsidRDefault="009E7438" w:rsidP="009E7438">
      <w:pPr>
        <w:spacing w:after="0" w:line="360" w:lineRule="auto"/>
        <w:ind w:firstLine="708"/>
        <w:jc w:val="both"/>
        <w:rPr>
          <w:rFonts w:ascii="Times New Roman" w:eastAsia="Times New Roman" w:hAnsi="Times New Roman" w:cs="Times New Roman"/>
          <w:sz w:val="24"/>
          <w:szCs w:val="24"/>
          <w:lang w:val="en-US"/>
        </w:rPr>
      </w:pPr>
    </w:p>
    <w:p w14:paraId="34455B3C" w14:textId="68EF791A" w:rsidR="005C3561" w:rsidRPr="00DF669A" w:rsidRDefault="005C3561" w:rsidP="009E7438">
      <w:pPr>
        <w:spacing w:after="0" w:line="276" w:lineRule="auto"/>
        <w:jc w:val="center"/>
        <w:rPr>
          <w:rFonts w:ascii="Times New Roman" w:hAnsi="Times New Roman" w:cs="Times New Roman"/>
          <w:b/>
          <w:bCs/>
          <w:sz w:val="24"/>
          <w:szCs w:val="24"/>
          <w:lang w:val="en-US"/>
        </w:rPr>
      </w:pPr>
      <w:r>
        <w:rPr>
          <w:noProof/>
        </w:rPr>
        <w:lastRenderedPageBreak/>
        <w:drawing>
          <wp:anchor distT="0" distB="0" distL="114300" distR="114300" simplePos="0" relativeHeight="251664384" behindDoc="0" locked="0" layoutInCell="1" allowOverlap="1" wp14:anchorId="6B5C7E48" wp14:editId="3A32FECF">
            <wp:simplePos x="0" y="0"/>
            <wp:positionH relativeFrom="margin">
              <wp:align>center</wp:align>
            </wp:positionH>
            <wp:positionV relativeFrom="paragraph">
              <wp:posOffset>494665</wp:posOffset>
            </wp:positionV>
            <wp:extent cx="4263390" cy="2714625"/>
            <wp:effectExtent l="0" t="0" r="3810" b="9525"/>
            <wp:wrapThrough wrapText="bothSides">
              <wp:wrapPolygon edited="0">
                <wp:start x="0" y="0"/>
                <wp:lineTo x="0" y="21524"/>
                <wp:lineTo x="21523" y="21524"/>
                <wp:lineTo x="21523" y="0"/>
                <wp:lineTo x="0" y="0"/>
              </wp:wrapPolygon>
            </wp:wrapThrough>
            <wp:docPr id="133556123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63390" cy="2714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3561">
        <w:rPr>
          <w:rFonts w:ascii="Times New Roman" w:hAnsi="Times New Roman" w:cs="Times New Roman"/>
          <w:b/>
          <w:bCs/>
          <w:sz w:val="24"/>
          <w:szCs w:val="24"/>
          <w:lang w:val="en-US"/>
        </w:rPr>
        <w:t xml:space="preserve">Figure 3. </w:t>
      </w:r>
      <w:r w:rsidR="00DF669A" w:rsidRPr="00DF669A">
        <w:rPr>
          <w:rFonts w:ascii="Times New Roman" w:eastAsia="Times New Roman" w:hAnsi="Times New Roman" w:cs="Times New Roman"/>
          <w:sz w:val="24"/>
          <w:szCs w:val="24"/>
          <w:lang w:val="en-US"/>
        </w:rPr>
        <w:t>Loss of agricultural production (papaya and banana) in rural communities of Guerrero.</w:t>
      </w:r>
    </w:p>
    <w:p w14:paraId="1CDA5D66" w14:textId="77777777" w:rsidR="005C3561" w:rsidRPr="005C3561" w:rsidRDefault="005C3561" w:rsidP="005C3561">
      <w:pPr>
        <w:spacing w:line="360" w:lineRule="auto"/>
        <w:jc w:val="both"/>
        <w:rPr>
          <w:rFonts w:ascii="Times New Roman" w:hAnsi="Times New Roman" w:cs="Times New Roman"/>
          <w:sz w:val="24"/>
          <w:szCs w:val="24"/>
          <w:lang w:val="en-US"/>
        </w:rPr>
      </w:pPr>
    </w:p>
    <w:p w14:paraId="0A7E989F" w14:textId="77777777" w:rsidR="005C3561" w:rsidRDefault="005C3561" w:rsidP="005C3561">
      <w:pPr>
        <w:spacing w:line="360" w:lineRule="auto"/>
        <w:jc w:val="both"/>
        <w:rPr>
          <w:rFonts w:ascii="Times New Roman" w:hAnsi="Times New Roman" w:cs="Times New Roman"/>
          <w:sz w:val="24"/>
          <w:szCs w:val="24"/>
          <w:lang w:val="en-US"/>
        </w:rPr>
      </w:pPr>
    </w:p>
    <w:p w14:paraId="53980CDA" w14:textId="77777777" w:rsidR="009E2B2A" w:rsidRDefault="009E2B2A" w:rsidP="009E2B2A">
      <w:pPr>
        <w:spacing w:line="360" w:lineRule="auto"/>
        <w:ind w:firstLine="708"/>
        <w:jc w:val="both"/>
        <w:rPr>
          <w:rFonts w:ascii="Times New Roman" w:hAnsi="Times New Roman" w:cs="Times New Roman"/>
          <w:sz w:val="24"/>
          <w:szCs w:val="24"/>
          <w:lang w:val="en-US"/>
        </w:rPr>
      </w:pPr>
    </w:p>
    <w:p w14:paraId="150E56E0" w14:textId="77777777" w:rsidR="009E2B2A" w:rsidRDefault="009E2B2A" w:rsidP="009E2B2A">
      <w:pPr>
        <w:spacing w:line="360" w:lineRule="auto"/>
        <w:ind w:firstLine="708"/>
        <w:jc w:val="both"/>
        <w:rPr>
          <w:rFonts w:ascii="Times New Roman" w:hAnsi="Times New Roman" w:cs="Times New Roman"/>
          <w:sz w:val="24"/>
          <w:szCs w:val="24"/>
          <w:lang w:val="en-US"/>
        </w:rPr>
      </w:pPr>
    </w:p>
    <w:p w14:paraId="1FBA038B" w14:textId="77777777" w:rsidR="009E2B2A" w:rsidRDefault="009E2B2A" w:rsidP="009E2B2A">
      <w:pPr>
        <w:spacing w:line="360" w:lineRule="auto"/>
        <w:ind w:firstLine="708"/>
        <w:jc w:val="both"/>
        <w:rPr>
          <w:rFonts w:ascii="Times New Roman" w:hAnsi="Times New Roman" w:cs="Times New Roman"/>
          <w:sz w:val="24"/>
          <w:szCs w:val="24"/>
          <w:lang w:val="en-US"/>
        </w:rPr>
      </w:pPr>
    </w:p>
    <w:p w14:paraId="6DA465FC" w14:textId="77777777" w:rsidR="009E2B2A" w:rsidRDefault="009E2B2A" w:rsidP="009E2B2A">
      <w:pPr>
        <w:spacing w:line="360" w:lineRule="auto"/>
        <w:ind w:firstLine="708"/>
        <w:jc w:val="both"/>
        <w:rPr>
          <w:rFonts w:ascii="Times New Roman" w:hAnsi="Times New Roman" w:cs="Times New Roman"/>
          <w:sz w:val="24"/>
          <w:szCs w:val="24"/>
          <w:lang w:val="en-US"/>
        </w:rPr>
      </w:pPr>
    </w:p>
    <w:p w14:paraId="530E9411" w14:textId="77777777" w:rsidR="009E2B2A" w:rsidRDefault="009E2B2A" w:rsidP="009E2B2A">
      <w:pPr>
        <w:spacing w:line="360" w:lineRule="auto"/>
        <w:ind w:firstLine="708"/>
        <w:jc w:val="both"/>
        <w:rPr>
          <w:rFonts w:ascii="Times New Roman" w:hAnsi="Times New Roman" w:cs="Times New Roman"/>
          <w:sz w:val="24"/>
          <w:szCs w:val="24"/>
          <w:lang w:val="en-US"/>
        </w:rPr>
      </w:pPr>
    </w:p>
    <w:p w14:paraId="21D566B8" w14:textId="77777777" w:rsidR="009E2B2A" w:rsidRDefault="009E2B2A" w:rsidP="009E2B2A">
      <w:pPr>
        <w:spacing w:line="360" w:lineRule="auto"/>
        <w:ind w:firstLine="708"/>
        <w:jc w:val="both"/>
        <w:rPr>
          <w:rFonts w:ascii="Times New Roman" w:hAnsi="Times New Roman" w:cs="Times New Roman"/>
          <w:sz w:val="24"/>
          <w:szCs w:val="24"/>
          <w:lang w:val="en-US"/>
        </w:rPr>
      </w:pPr>
    </w:p>
    <w:p w14:paraId="59ADEE96" w14:textId="77777777" w:rsidR="00DF669A" w:rsidRDefault="00DF669A" w:rsidP="009E7438">
      <w:pPr>
        <w:spacing w:after="0" w:line="360" w:lineRule="auto"/>
        <w:ind w:firstLine="708"/>
        <w:jc w:val="both"/>
        <w:rPr>
          <w:rFonts w:ascii="Times New Roman" w:eastAsia="Times New Roman" w:hAnsi="Times New Roman" w:cs="Times New Roman"/>
          <w:sz w:val="24"/>
          <w:szCs w:val="24"/>
          <w:lang w:val="en-US"/>
        </w:rPr>
      </w:pPr>
      <w:r w:rsidRPr="00DF669A">
        <w:rPr>
          <w:rFonts w:ascii="Times New Roman" w:eastAsia="Times New Roman" w:hAnsi="Times New Roman" w:cs="Times New Roman"/>
          <w:sz w:val="24"/>
          <w:szCs w:val="24"/>
          <w:lang w:val="en-US"/>
        </w:rPr>
        <w:t>Table 2 summarizes data regarding the higher-intensity hurricanes (Categories 2 and 5): John (2024) and Otis (2023). These events illustrate how increased wind speeds result in extensive structural and social damage, generating lasting repercussions for communities and regional infrastructure.</w:t>
      </w:r>
    </w:p>
    <w:p w14:paraId="5D7A7D4B" w14:textId="77777777" w:rsidR="009E7438" w:rsidRPr="00DF669A" w:rsidRDefault="009E7438" w:rsidP="009E7438">
      <w:pPr>
        <w:spacing w:after="0" w:line="360" w:lineRule="auto"/>
        <w:ind w:firstLine="708"/>
        <w:jc w:val="both"/>
        <w:rPr>
          <w:rFonts w:ascii="Times New Roman" w:eastAsia="Times New Roman" w:hAnsi="Times New Roman" w:cs="Times New Roman"/>
          <w:sz w:val="24"/>
          <w:szCs w:val="24"/>
          <w:lang w:val="en-US"/>
        </w:rPr>
      </w:pPr>
    </w:p>
    <w:p w14:paraId="0A4AAD66" w14:textId="77777777" w:rsidR="00DF669A" w:rsidRPr="00DF669A" w:rsidRDefault="00DF669A" w:rsidP="009E7438">
      <w:pPr>
        <w:spacing w:after="0" w:line="360" w:lineRule="auto"/>
        <w:jc w:val="center"/>
        <w:rPr>
          <w:rFonts w:ascii="Times New Roman" w:eastAsia="Times New Roman" w:hAnsi="Times New Roman" w:cs="Times New Roman"/>
          <w:sz w:val="24"/>
          <w:szCs w:val="24"/>
          <w:lang w:val="en-US"/>
        </w:rPr>
      </w:pPr>
      <w:r w:rsidRPr="00DF669A">
        <w:rPr>
          <w:rFonts w:ascii="Times New Roman" w:eastAsia="Times New Roman" w:hAnsi="Times New Roman" w:cs="Times New Roman"/>
          <w:b/>
          <w:bCs/>
          <w:sz w:val="24"/>
          <w:szCs w:val="24"/>
          <w:lang w:val="en-US"/>
        </w:rPr>
        <w:t>Table 2.</w:t>
      </w:r>
      <w:r w:rsidRPr="00DF669A">
        <w:rPr>
          <w:rFonts w:ascii="Times New Roman" w:eastAsia="Times New Roman" w:hAnsi="Times New Roman" w:cs="Times New Roman"/>
          <w:sz w:val="24"/>
          <w:szCs w:val="24"/>
          <w:lang w:val="en-US"/>
        </w:rPr>
        <w:t xml:space="preserve"> Category 2 and 5 Hurricanes in Guerrero (2023–2024).</w:t>
      </w:r>
    </w:p>
    <w:tbl>
      <w:tblPr>
        <w:tblW w:w="95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1134"/>
        <w:gridCol w:w="1154"/>
        <w:gridCol w:w="1114"/>
        <w:gridCol w:w="1609"/>
        <w:gridCol w:w="1488"/>
        <w:gridCol w:w="1767"/>
      </w:tblGrid>
      <w:tr w:rsidR="00DF669A" w:rsidRPr="009E7438" w14:paraId="6C7A1FAB" w14:textId="77777777" w:rsidTr="009E7438">
        <w:trPr>
          <w:trHeight w:val="851"/>
        </w:trPr>
        <w:tc>
          <w:tcPr>
            <w:tcW w:w="1276" w:type="dxa"/>
            <w:vAlign w:val="center"/>
          </w:tcPr>
          <w:p w14:paraId="5BDCB249" w14:textId="77777777" w:rsidR="00DF669A" w:rsidRPr="009E7438" w:rsidRDefault="00DF669A" w:rsidP="00310164">
            <w:pPr>
              <w:jc w:val="center"/>
              <w:rPr>
                <w:rFonts w:ascii="Times New Roman" w:eastAsia="Times New Roman" w:hAnsi="Times New Roman" w:cs="Times New Roman"/>
                <w:sz w:val="20"/>
                <w:szCs w:val="20"/>
              </w:rPr>
            </w:pPr>
            <w:r w:rsidRPr="009E7438">
              <w:rPr>
                <w:rFonts w:ascii="Times New Roman" w:eastAsia="Times New Roman" w:hAnsi="Times New Roman" w:cs="Times New Roman"/>
                <w:sz w:val="20"/>
                <w:szCs w:val="20"/>
              </w:rPr>
              <w:t>Hurricane (Year)</w:t>
            </w:r>
          </w:p>
        </w:tc>
        <w:tc>
          <w:tcPr>
            <w:tcW w:w="1134" w:type="dxa"/>
            <w:vAlign w:val="center"/>
          </w:tcPr>
          <w:p w14:paraId="3CB071A9" w14:textId="77777777" w:rsidR="00DF669A" w:rsidRPr="009E7438" w:rsidRDefault="00DF669A" w:rsidP="00310164">
            <w:pPr>
              <w:jc w:val="center"/>
              <w:rPr>
                <w:rFonts w:ascii="Times New Roman" w:eastAsia="Times New Roman" w:hAnsi="Times New Roman" w:cs="Times New Roman"/>
                <w:sz w:val="20"/>
                <w:szCs w:val="20"/>
              </w:rPr>
            </w:pPr>
            <w:r w:rsidRPr="009E7438">
              <w:rPr>
                <w:rFonts w:ascii="Times New Roman" w:eastAsia="Times New Roman" w:hAnsi="Times New Roman" w:cs="Times New Roman"/>
                <w:sz w:val="20"/>
                <w:szCs w:val="20"/>
              </w:rPr>
              <w:t>Category</w:t>
            </w:r>
          </w:p>
        </w:tc>
        <w:tc>
          <w:tcPr>
            <w:tcW w:w="1154" w:type="dxa"/>
            <w:vAlign w:val="center"/>
          </w:tcPr>
          <w:p w14:paraId="580543C0" w14:textId="77777777" w:rsidR="00DF669A" w:rsidRPr="009E7438" w:rsidRDefault="00DF669A" w:rsidP="00310164">
            <w:pPr>
              <w:jc w:val="center"/>
              <w:rPr>
                <w:rFonts w:ascii="Times New Roman" w:eastAsia="Times New Roman" w:hAnsi="Times New Roman" w:cs="Times New Roman"/>
                <w:sz w:val="20"/>
                <w:szCs w:val="20"/>
              </w:rPr>
            </w:pPr>
            <w:r w:rsidRPr="009E7438">
              <w:rPr>
                <w:rFonts w:ascii="Times New Roman" w:eastAsia="Times New Roman" w:hAnsi="Times New Roman" w:cs="Times New Roman"/>
                <w:sz w:val="20"/>
                <w:szCs w:val="20"/>
              </w:rPr>
              <w:t>Wind speed (km/h)</w:t>
            </w:r>
          </w:p>
        </w:tc>
        <w:tc>
          <w:tcPr>
            <w:tcW w:w="1114" w:type="dxa"/>
            <w:vAlign w:val="center"/>
          </w:tcPr>
          <w:p w14:paraId="5D04F10B" w14:textId="77777777" w:rsidR="00DF669A" w:rsidRPr="009E7438" w:rsidRDefault="00DF669A" w:rsidP="00310164">
            <w:pPr>
              <w:jc w:val="center"/>
              <w:rPr>
                <w:rFonts w:ascii="Times New Roman" w:eastAsia="Times New Roman" w:hAnsi="Times New Roman" w:cs="Times New Roman"/>
                <w:sz w:val="20"/>
                <w:szCs w:val="20"/>
              </w:rPr>
            </w:pPr>
            <w:r w:rsidRPr="009E7438">
              <w:rPr>
                <w:rFonts w:ascii="Times New Roman" w:eastAsia="Times New Roman" w:hAnsi="Times New Roman" w:cs="Times New Roman"/>
                <w:sz w:val="20"/>
                <w:szCs w:val="20"/>
              </w:rPr>
              <w:t>Impact date</w:t>
            </w:r>
          </w:p>
        </w:tc>
        <w:tc>
          <w:tcPr>
            <w:tcW w:w="1609" w:type="dxa"/>
            <w:vAlign w:val="center"/>
          </w:tcPr>
          <w:p w14:paraId="21A01A19" w14:textId="77777777" w:rsidR="00DF669A" w:rsidRPr="009E7438" w:rsidRDefault="00DF669A" w:rsidP="00310164">
            <w:pPr>
              <w:jc w:val="center"/>
              <w:rPr>
                <w:rFonts w:ascii="Times New Roman" w:eastAsia="Times New Roman" w:hAnsi="Times New Roman" w:cs="Times New Roman"/>
                <w:sz w:val="20"/>
                <w:szCs w:val="20"/>
              </w:rPr>
            </w:pPr>
            <w:r w:rsidRPr="009E7438">
              <w:rPr>
                <w:rFonts w:ascii="Times New Roman" w:eastAsia="Times New Roman" w:hAnsi="Times New Roman" w:cs="Times New Roman"/>
                <w:sz w:val="20"/>
                <w:szCs w:val="20"/>
              </w:rPr>
              <w:t>Geographical location of impact</w:t>
            </w:r>
          </w:p>
        </w:tc>
        <w:tc>
          <w:tcPr>
            <w:tcW w:w="1488" w:type="dxa"/>
            <w:vAlign w:val="center"/>
          </w:tcPr>
          <w:p w14:paraId="16160887" w14:textId="77777777" w:rsidR="00DF669A" w:rsidRPr="009E7438" w:rsidRDefault="00DF669A" w:rsidP="00310164">
            <w:pPr>
              <w:jc w:val="center"/>
              <w:rPr>
                <w:rFonts w:ascii="Times New Roman" w:eastAsia="Times New Roman" w:hAnsi="Times New Roman" w:cs="Times New Roman"/>
                <w:sz w:val="20"/>
                <w:szCs w:val="20"/>
              </w:rPr>
            </w:pPr>
            <w:r w:rsidRPr="009E7438">
              <w:rPr>
                <w:rFonts w:ascii="Times New Roman" w:eastAsia="Times New Roman" w:hAnsi="Times New Roman" w:cs="Times New Roman"/>
                <w:sz w:val="20"/>
                <w:szCs w:val="20"/>
              </w:rPr>
              <w:t>Impact on structures</w:t>
            </w:r>
          </w:p>
        </w:tc>
        <w:tc>
          <w:tcPr>
            <w:tcW w:w="1767" w:type="dxa"/>
            <w:vAlign w:val="center"/>
          </w:tcPr>
          <w:p w14:paraId="6651D58B" w14:textId="77777777" w:rsidR="00DF669A" w:rsidRPr="009E7438" w:rsidRDefault="00DF669A" w:rsidP="00310164">
            <w:pPr>
              <w:jc w:val="center"/>
              <w:rPr>
                <w:rFonts w:ascii="Times New Roman" w:eastAsia="Times New Roman" w:hAnsi="Times New Roman" w:cs="Times New Roman"/>
                <w:sz w:val="20"/>
                <w:szCs w:val="20"/>
              </w:rPr>
            </w:pPr>
            <w:r w:rsidRPr="009E7438">
              <w:rPr>
                <w:rFonts w:ascii="Times New Roman" w:eastAsia="Times New Roman" w:hAnsi="Times New Roman" w:cs="Times New Roman"/>
                <w:sz w:val="20"/>
                <w:szCs w:val="20"/>
              </w:rPr>
              <w:t>Environmental and social impact</w:t>
            </w:r>
          </w:p>
        </w:tc>
      </w:tr>
      <w:tr w:rsidR="00DF669A" w:rsidRPr="00EB43FB" w14:paraId="7731014E" w14:textId="77777777" w:rsidTr="009E7438">
        <w:trPr>
          <w:trHeight w:val="1554"/>
        </w:trPr>
        <w:tc>
          <w:tcPr>
            <w:tcW w:w="1276" w:type="dxa"/>
            <w:vAlign w:val="center"/>
          </w:tcPr>
          <w:p w14:paraId="241DCBB9" w14:textId="77777777" w:rsidR="00DF669A" w:rsidRPr="009E7438" w:rsidRDefault="00DF669A" w:rsidP="00310164">
            <w:pPr>
              <w:jc w:val="center"/>
              <w:rPr>
                <w:rFonts w:ascii="Times New Roman" w:eastAsia="Times New Roman" w:hAnsi="Times New Roman" w:cs="Times New Roman"/>
                <w:sz w:val="20"/>
                <w:szCs w:val="20"/>
              </w:rPr>
            </w:pPr>
            <w:r w:rsidRPr="009E7438">
              <w:rPr>
                <w:rFonts w:ascii="Times New Roman" w:eastAsia="Times New Roman" w:hAnsi="Times New Roman" w:cs="Times New Roman"/>
                <w:sz w:val="20"/>
                <w:szCs w:val="20"/>
              </w:rPr>
              <w:t>John (2024)</w:t>
            </w:r>
          </w:p>
        </w:tc>
        <w:tc>
          <w:tcPr>
            <w:tcW w:w="1134" w:type="dxa"/>
            <w:vAlign w:val="center"/>
          </w:tcPr>
          <w:p w14:paraId="261D4190" w14:textId="77777777" w:rsidR="00DF669A" w:rsidRPr="009E7438" w:rsidRDefault="00DF669A" w:rsidP="00310164">
            <w:pPr>
              <w:ind w:left="-393" w:firstLine="393"/>
              <w:jc w:val="center"/>
              <w:rPr>
                <w:rFonts w:ascii="Times New Roman" w:eastAsia="Times New Roman" w:hAnsi="Times New Roman" w:cs="Times New Roman"/>
                <w:sz w:val="20"/>
                <w:szCs w:val="20"/>
              </w:rPr>
            </w:pPr>
            <w:r w:rsidRPr="009E7438">
              <w:rPr>
                <w:rFonts w:ascii="Times New Roman" w:eastAsia="Times New Roman" w:hAnsi="Times New Roman" w:cs="Times New Roman"/>
                <w:sz w:val="20"/>
                <w:szCs w:val="20"/>
              </w:rPr>
              <w:t>2</w:t>
            </w:r>
          </w:p>
        </w:tc>
        <w:tc>
          <w:tcPr>
            <w:tcW w:w="1154" w:type="dxa"/>
            <w:vAlign w:val="center"/>
          </w:tcPr>
          <w:p w14:paraId="4B69047C" w14:textId="77777777" w:rsidR="00DF669A" w:rsidRPr="009E7438" w:rsidRDefault="00DF669A" w:rsidP="00310164">
            <w:pPr>
              <w:jc w:val="center"/>
              <w:rPr>
                <w:rFonts w:ascii="Times New Roman" w:eastAsia="Times New Roman" w:hAnsi="Times New Roman" w:cs="Times New Roman"/>
                <w:sz w:val="20"/>
                <w:szCs w:val="20"/>
              </w:rPr>
            </w:pPr>
            <w:r w:rsidRPr="009E7438">
              <w:rPr>
                <w:rFonts w:ascii="Times New Roman" w:eastAsia="Times New Roman" w:hAnsi="Times New Roman" w:cs="Times New Roman"/>
                <w:sz w:val="20"/>
                <w:szCs w:val="20"/>
              </w:rPr>
              <w:t>155-165</w:t>
            </w:r>
          </w:p>
        </w:tc>
        <w:tc>
          <w:tcPr>
            <w:tcW w:w="1114" w:type="dxa"/>
            <w:vAlign w:val="center"/>
          </w:tcPr>
          <w:p w14:paraId="16DDD45A" w14:textId="77777777" w:rsidR="00DF669A" w:rsidRPr="009E7438" w:rsidRDefault="00DF669A" w:rsidP="00310164">
            <w:pPr>
              <w:jc w:val="center"/>
              <w:rPr>
                <w:rFonts w:ascii="Times New Roman" w:eastAsia="Times New Roman" w:hAnsi="Times New Roman" w:cs="Times New Roman"/>
                <w:sz w:val="20"/>
                <w:szCs w:val="20"/>
              </w:rPr>
            </w:pPr>
            <w:r w:rsidRPr="009E7438">
              <w:rPr>
                <w:rFonts w:ascii="Times New Roman" w:eastAsia="Times New Roman" w:hAnsi="Times New Roman" w:cs="Times New Roman"/>
                <w:sz w:val="20"/>
                <w:szCs w:val="20"/>
              </w:rPr>
              <w:t>September</w:t>
            </w:r>
          </w:p>
          <w:p w14:paraId="5728493A" w14:textId="77777777" w:rsidR="00DF669A" w:rsidRPr="009E7438" w:rsidRDefault="00DF669A" w:rsidP="00310164">
            <w:pPr>
              <w:jc w:val="center"/>
              <w:rPr>
                <w:rFonts w:ascii="Times New Roman" w:eastAsia="Times New Roman" w:hAnsi="Times New Roman" w:cs="Times New Roman"/>
                <w:sz w:val="20"/>
                <w:szCs w:val="20"/>
              </w:rPr>
            </w:pPr>
            <w:r w:rsidRPr="009E7438">
              <w:rPr>
                <w:rFonts w:ascii="Times New Roman" w:eastAsia="Times New Roman" w:hAnsi="Times New Roman" w:cs="Times New Roman"/>
                <w:sz w:val="20"/>
                <w:szCs w:val="20"/>
              </w:rPr>
              <w:t>2024</w:t>
            </w:r>
          </w:p>
        </w:tc>
        <w:tc>
          <w:tcPr>
            <w:tcW w:w="1609" w:type="dxa"/>
            <w:vAlign w:val="center"/>
          </w:tcPr>
          <w:p w14:paraId="3F8E0951" w14:textId="77777777" w:rsidR="00DF669A" w:rsidRPr="009E7438" w:rsidRDefault="00DF669A" w:rsidP="00310164">
            <w:pPr>
              <w:jc w:val="center"/>
              <w:rPr>
                <w:rFonts w:ascii="Times New Roman" w:eastAsia="Times New Roman" w:hAnsi="Times New Roman" w:cs="Times New Roman"/>
                <w:sz w:val="20"/>
                <w:szCs w:val="20"/>
              </w:rPr>
            </w:pPr>
            <w:r w:rsidRPr="009E7438">
              <w:rPr>
                <w:rFonts w:ascii="Times New Roman" w:hAnsi="Times New Roman" w:cs="Times New Roman"/>
                <w:sz w:val="20"/>
                <w:szCs w:val="20"/>
              </w:rPr>
              <w:t>Acapulco and Guerrero Coast</w:t>
            </w:r>
          </w:p>
        </w:tc>
        <w:tc>
          <w:tcPr>
            <w:tcW w:w="1488" w:type="dxa"/>
            <w:vAlign w:val="center"/>
          </w:tcPr>
          <w:p w14:paraId="47083AB2" w14:textId="77777777" w:rsidR="00DF669A" w:rsidRPr="009E7438" w:rsidRDefault="00DF669A" w:rsidP="00310164">
            <w:pPr>
              <w:rPr>
                <w:rFonts w:ascii="Times New Roman" w:eastAsia="Times New Roman" w:hAnsi="Times New Roman" w:cs="Times New Roman"/>
                <w:sz w:val="20"/>
                <w:szCs w:val="20"/>
              </w:rPr>
            </w:pPr>
            <w:r w:rsidRPr="009E7438">
              <w:rPr>
                <w:rFonts w:ascii="Times New Roman" w:hAnsi="Times New Roman" w:cs="Times New Roman"/>
                <w:sz w:val="20"/>
                <w:szCs w:val="20"/>
              </w:rPr>
              <w:t>Costa Grande and Costa Chica</w:t>
            </w:r>
          </w:p>
        </w:tc>
        <w:tc>
          <w:tcPr>
            <w:tcW w:w="1767" w:type="dxa"/>
            <w:vAlign w:val="center"/>
          </w:tcPr>
          <w:p w14:paraId="21C0A970" w14:textId="77777777" w:rsidR="00DF669A" w:rsidRPr="009E7438" w:rsidRDefault="00DF669A" w:rsidP="00DF669A">
            <w:pPr>
              <w:jc w:val="both"/>
              <w:rPr>
                <w:rFonts w:ascii="Times New Roman" w:eastAsia="Times New Roman" w:hAnsi="Times New Roman" w:cs="Times New Roman"/>
                <w:sz w:val="20"/>
                <w:szCs w:val="20"/>
                <w:lang w:val="en-US"/>
              </w:rPr>
            </w:pPr>
            <w:r w:rsidRPr="009E7438">
              <w:rPr>
                <w:rFonts w:ascii="Times New Roman" w:hAnsi="Times New Roman" w:cs="Times New Roman"/>
                <w:sz w:val="20"/>
                <w:szCs w:val="20"/>
                <w:lang w:val="en-US"/>
              </w:rPr>
              <w:t>Considerable damage to homes, specifically roofs and windows.</w:t>
            </w:r>
          </w:p>
        </w:tc>
      </w:tr>
      <w:tr w:rsidR="00DF669A" w:rsidRPr="00EB43FB" w14:paraId="516BF777" w14:textId="77777777" w:rsidTr="009E7438">
        <w:trPr>
          <w:trHeight w:val="2597"/>
        </w:trPr>
        <w:tc>
          <w:tcPr>
            <w:tcW w:w="1276" w:type="dxa"/>
            <w:vAlign w:val="center"/>
          </w:tcPr>
          <w:p w14:paraId="2E0C0273" w14:textId="77777777" w:rsidR="00DF669A" w:rsidRPr="009E7438" w:rsidRDefault="00DF669A" w:rsidP="00310164">
            <w:pPr>
              <w:jc w:val="center"/>
              <w:rPr>
                <w:rFonts w:ascii="Times New Roman" w:eastAsia="Times New Roman" w:hAnsi="Times New Roman" w:cs="Times New Roman"/>
                <w:sz w:val="20"/>
                <w:szCs w:val="20"/>
              </w:rPr>
            </w:pPr>
            <w:r w:rsidRPr="009E7438">
              <w:rPr>
                <w:rFonts w:ascii="Times New Roman" w:eastAsia="Times New Roman" w:hAnsi="Times New Roman" w:cs="Times New Roman"/>
                <w:sz w:val="20"/>
                <w:szCs w:val="20"/>
              </w:rPr>
              <w:t>Otis (2023)</w:t>
            </w:r>
          </w:p>
        </w:tc>
        <w:tc>
          <w:tcPr>
            <w:tcW w:w="1134" w:type="dxa"/>
            <w:vAlign w:val="center"/>
          </w:tcPr>
          <w:p w14:paraId="1DC6CC06" w14:textId="77777777" w:rsidR="00DF669A" w:rsidRPr="009E7438" w:rsidRDefault="00DF669A" w:rsidP="00310164">
            <w:pPr>
              <w:jc w:val="center"/>
              <w:rPr>
                <w:rFonts w:ascii="Times New Roman" w:eastAsia="Times New Roman" w:hAnsi="Times New Roman" w:cs="Times New Roman"/>
                <w:sz w:val="20"/>
                <w:szCs w:val="20"/>
              </w:rPr>
            </w:pPr>
            <w:r w:rsidRPr="009E7438">
              <w:rPr>
                <w:rFonts w:ascii="Times New Roman" w:eastAsia="Times New Roman" w:hAnsi="Times New Roman" w:cs="Times New Roman"/>
                <w:sz w:val="20"/>
                <w:szCs w:val="20"/>
              </w:rPr>
              <w:t>5</w:t>
            </w:r>
          </w:p>
        </w:tc>
        <w:tc>
          <w:tcPr>
            <w:tcW w:w="1154" w:type="dxa"/>
            <w:vAlign w:val="center"/>
          </w:tcPr>
          <w:p w14:paraId="6E8DB847" w14:textId="77777777" w:rsidR="00DF669A" w:rsidRPr="009E7438" w:rsidRDefault="00DF669A" w:rsidP="00310164">
            <w:pPr>
              <w:jc w:val="center"/>
              <w:rPr>
                <w:rFonts w:ascii="Times New Roman" w:eastAsia="Times New Roman" w:hAnsi="Times New Roman" w:cs="Times New Roman"/>
                <w:sz w:val="20"/>
                <w:szCs w:val="20"/>
              </w:rPr>
            </w:pPr>
            <w:r w:rsidRPr="009E7438">
              <w:rPr>
                <w:rFonts w:ascii="Times New Roman" w:eastAsia="Gungsuh" w:hAnsi="Times New Roman" w:cs="Times New Roman"/>
                <w:sz w:val="20"/>
                <w:szCs w:val="20"/>
              </w:rPr>
              <w:t>≥270</w:t>
            </w:r>
          </w:p>
        </w:tc>
        <w:tc>
          <w:tcPr>
            <w:tcW w:w="1114" w:type="dxa"/>
            <w:vAlign w:val="center"/>
          </w:tcPr>
          <w:p w14:paraId="4DE35B2D" w14:textId="77777777" w:rsidR="00DF669A" w:rsidRPr="009E7438" w:rsidRDefault="00DF669A" w:rsidP="00310164">
            <w:pPr>
              <w:jc w:val="center"/>
              <w:rPr>
                <w:rFonts w:ascii="Times New Roman" w:eastAsia="Times New Roman" w:hAnsi="Times New Roman" w:cs="Times New Roman"/>
                <w:sz w:val="20"/>
                <w:szCs w:val="20"/>
              </w:rPr>
            </w:pPr>
            <w:r w:rsidRPr="009E7438">
              <w:rPr>
                <w:rFonts w:ascii="Times New Roman" w:hAnsi="Times New Roman" w:cs="Times New Roman"/>
                <w:sz w:val="20"/>
                <w:szCs w:val="20"/>
              </w:rPr>
              <w:t>October 25, 2023</w:t>
            </w:r>
          </w:p>
        </w:tc>
        <w:tc>
          <w:tcPr>
            <w:tcW w:w="1609" w:type="dxa"/>
            <w:vAlign w:val="center"/>
          </w:tcPr>
          <w:p w14:paraId="262DB008" w14:textId="77777777" w:rsidR="00DF669A" w:rsidRPr="009E7438" w:rsidRDefault="00DF669A" w:rsidP="00310164">
            <w:pPr>
              <w:jc w:val="center"/>
              <w:rPr>
                <w:rFonts w:ascii="Times New Roman" w:eastAsia="Times New Roman" w:hAnsi="Times New Roman" w:cs="Times New Roman"/>
                <w:sz w:val="20"/>
                <w:szCs w:val="20"/>
              </w:rPr>
            </w:pPr>
            <w:r w:rsidRPr="009E7438">
              <w:rPr>
                <w:rFonts w:ascii="Times New Roman" w:hAnsi="Times New Roman" w:cs="Times New Roman"/>
                <w:sz w:val="20"/>
                <w:szCs w:val="20"/>
              </w:rPr>
              <w:t>Acapulco and Guerrero Coast</w:t>
            </w:r>
          </w:p>
        </w:tc>
        <w:tc>
          <w:tcPr>
            <w:tcW w:w="1488" w:type="dxa"/>
            <w:vAlign w:val="center"/>
          </w:tcPr>
          <w:p w14:paraId="41C6DED9" w14:textId="77777777" w:rsidR="00DF669A" w:rsidRPr="009E7438" w:rsidRDefault="00DF669A" w:rsidP="00310164">
            <w:pPr>
              <w:rPr>
                <w:rFonts w:ascii="Times New Roman" w:eastAsia="Times New Roman" w:hAnsi="Times New Roman" w:cs="Times New Roman"/>
                <w:sz w:val="20"/>
                <w:szCs w:val="20"/>
                <w:lang w:val="en-US"/>
              </w:rPr>
            </w:pPr>
            <w:r w:rsidRPr="009E7438">
              <w:rPr>
                <w:rFonts w:ascii="Times New Roman" w:hAnsi="Times New Roman" w:cs="Times New Roman"/>
                <w:sz w:val="20"/>
                <w:szCs w:val="20"/>
                <w:lang w:val="en-US"/>
              </w:rPr>
              <w:t>Total destruction of homes and buildings; severe damage to hotels and hospitals.</w:t>
            </w:r>
          </w:p>
        </w:tc>
        <w:tc>
          <w:tcPr>
            <w:tcW w:w="1767" w:type="dxa"/>
            <w:vAlign w:val="center"/>
          </w:tcPr>
          <w:p w14:paraId="056010AA" w14:textId="77777777" w:rsidR="00DF669A" w:rsidRPr="009E7438" w:rsidRDefault="00DF669A" w:rsidP="00DF669A">
            <w:pPr>
              <w:jc w:val="both"/>
              <w:rPr>
                <w:rFonts w:ascii="Times New Roman" w:eastAsia="Times New Roman" w:hAnsi="Times New Roman" w:cs="Times New Roman"/>
                <w:sz w:val="20"/>
                <w:szCs w:val="20"/>
                <w:lang w:val="en-US"/>
              </w:rPr>
            </w:pPr>
            <w:r w:rsidRPr="009E7438">
              <w:rPr>
                <w:rFonts w:ascii="Times New Roman" w:hAnsi="Times New Roman" w:cs="Times New Roman"/>
                <w:sz w:val="20"/>
                <w:szCs w:val="20"/>
                <w:lang w:val="en-US"/>
              </w:rPr>
              <w:t>Collapse of tourism infrastructure and basic services; environmental devastation; massive population displacement.</w:t>
            </w:r>
          </w:p>
        </w:tc>
      </w:tr>
    </w:tbl>
    <w:p w14:paraId="2EC000C4" w14:textId="77777777" w:rsidR="00DF669A" w:rsidRPr="00DF669A" w:rsidRDefault="00DF669A" w:rsidP="009E7438">
      <w:pPr>
        <w:spacing w:after="0" w:line="360" w:lineRule="auto"/>
        <w:ind w:firstLine="708"/>
        <w:jc w:val="center"/>
        <w:rPr>
          <w:rFonts w:ascii="Times New Roman" w:eastAsia="Times New Roman" w:hAnsi="Times New Roman" w:cs="Times New Roman"/>
          <w:sz w:val="24"/>
          <w:szCs w:val="24"/>
          <w:lang w:val="en-US"/>
        </w:rPr>
      </w:pPr>
      <w:r w:rsidRPr="009E7438">
        <w:rPr>
          <w:rFonts w:ascii="Times New Roman" w:eastAsia="Times New Roman" w:hAnsi="Times New Roman" w:cs="Times New Roman"/>
          <w:sz w:val="24"/>
          <w:szCs w:val="24"/>
          <w:lang w:val="en-US"/>
        </w:rPr>
        <w:t>Source:</w:t>
      </w:r>
      <w:r w:rsidRPr="00DF669A">
        <w:rPr>
          <w:rFonts w:ascii="Times New Roman" w:eastAsia="Times New Roman" w:hAnsi="Times New Roman" w:cs="Times New Roman"/>
          <w:b/>
          <w:bCs/>
          <w:sz w:val="24"/>
          <w:szCs w:val="24"/>
          <w:lang w:val="en-US"/>
        </w:rPr>
        <w:t xml:space="preserve"> </w:t>
      </w:r>
      <w:r w:rsidRPr="00DF669A">
        <w:rPr>
          <w:rFonts w:ascii="Times New Roman" w:eastAsia="Times New Roman" w:hAnsi="Times New Roman" w:cs="Times New Roman"/>
          <w:sz w:val="24"/>
          <w:szCs w:val="24"/>
          <w:lang w:val="en-US"/>
        </w:rPr>
        <w:t>Authors’ elaboration based on CONAGUA and SMN data.</w:t>
      </w:r>
    </w:p>
    <w:p w14:paraId="418A9BDE" w14:textId="77777777" w:rsidR="00DF669A" w:rsidRDefault="00DF669A" w:rsidP="009E7438">
      <w:pPr>
        <w:spacing w:after="0" w:line="360" w:lineRule="auto"/>
        <w:ind w:firstLine="708"/>
        <w:jc w:val="both"/>
        <w:rPr>
          <w:rFonts w:ascii="Times New Roman" w:eastAsia="Times New Roman" w:hAnsi="Times New Roman" w:cs="Times New Roman"/>
          <w:sz w:val="24"/>
          <w:szCs w:val="24"/>
          <w:lang w:val="en-US"/>
        </w:rPr>
      </w:pPr>
      <w:r w:rsidRPr="00DF669A">
        <w:rPr>
          <w:rFonts w:ascii="Times New Roman" w:eastAsia="Times New Roman" w:hAnsi="Times New Roman" w:cs="Times New Roman"/>
          <w:sz w:val="24"/>
          <w:szCs w:val="24"/>
          <w:lang w:val="en-US"/>
        </w:rPr>
        <w:lastRenderedPageBreak/>
        <w:t>Hurricane John, classified as a Category 2 storm, registered sustained winds ranging from 155 to 165 km/h (95–105 mph) upon impacting the Costa Grande and Costa Chica regions. The event resulted in considerable structural damage-particularly to roofs and windows-along with uprooted trees and prolonged power outages. Furthermore, the storm compromised coastal road networks, hindering access to several isolated communities (Figure 4).</w:t>
      </w:r>
    </w:p>
    <w:p w14:paraId="4A29AD01" w14:textId="77777777" w:rsidR="004E0EB9" w:rsidRPr="00DF669A" w:rsidRDefault="004E0EB9" w:rsidP="009E7438">
      <w:pPr>
        <w:spacing w:after="0" w:line="360" w:lineRule="auto"/>
        <w:ind w:firstLine="708"/>
        <w:jc w:val="both"/>
        <w:rPr>
          <w:rFonts w:ascii="Times New Roman" w:eastAsia="Times New Roman" w:hAnsi="Times New Roman" w:cs="Times New Roman"/>
          <w:sz w:val="24"/>
          <w:szCs w:val="24"/>
          <w:lang w:val="en-US"/>
        </w:rPr>
      </w:pPr>
    </w:p>
    <w:p w14:paraId="3DD76018" w14:textId="44B6E375" w:rsidR="005C3561" w:rsidRPr="00DF669A" w:rsidRDefault="00DF669A" w:rsidP="00DF669A">
      <w:pPr>
        <w:spacing w:line="360" w:lineRule="auto"/>
        <w:jc w:val="center"/>
        <w:rPr>
          <w:rFonts w:ascii="Times New Roman" w:eastAsia="Times New Roman" w:hAnsi="Times New Roman" w:cs="Times New Roman"/>
          <w:sz w:val="24"/>
          <w:szCs w:val="24"/>
          <w:lang w:val="en-US"/>
        </w:rPr>
      </w:pPr>
      <w:r w:rsidRPr="00DF669A">
        <w:rPr>
          <w:rFonts w:ascii="Times New Roman" w:eastAsia="Times New Roman" w:hAnsi="Times New Roman" w:cs="Times New Roman"/>
          <w:b/>
          <w:bCs/>
          <w:sz w:val="24"/>
          <w:szCs w:val="24"/>
          <w:lang w:val="en-US"/>
        </w:rPr>
        <w:t>Figure 4.</w:t>
      </w:r>
      <w:r w:rsidRPr="00DF669A">
        <w:rPr>
          <w:rFonts w:ascii="Times New Roman" w:eastAsia="Times New Roman" w:hAnsi="Times New Roman" w:cs="Times New Roman"/>
          <w:sz w:val="24"/>
          <w:szCs w:val="24"/>
          <w:lang w:val="en-US"/>
        </w:rPr>
        <w:t xml:space="preserve"> (a) Structural damage to residential roofing and (b) agricultural crop loss</w:t>
      </w:r>
      <w:r w:rsidR="005C3561" w:rsidRPr="005C3561">
        <w:rPr>
          <w:rFonts w:ascii="Times New Roman" w:hAnsi="Times New Roman" w:cs="Times New Roman"/>
          <w:sz w:val="24"/>
          <w:szCs w:val="24"/>
          <w:lang w:val="en-US"/>
        </w:rPr>
        <w:t>.</w:t>
      </w:r>
      <w:r w:rsidR="005C3561" w:rsidRPr="004769DC">
        <w:rPr>
          <w:noProof/>
        </w:rPr>
        <w:drawing>
          <wp:anchor distT="0" distB="0" distL="114300" distR="114300" simplePos="0" relativeHeight="251666432" behindDoc="0" locked="0" layoutInCell="1" allowOverlap="1" wp14:anchorId="3523E38B" wp14:editId="42697F61">
            <wp:simplePos x="0" y="0"/>
            <wp:positionH relativeFrom="column">
              <wp:posOffset>2735580</wp:posOffset>
            </wp:positionH>
            <wp:positionV relativeFrom="paragraph">
              <wp:posOffset>271780</wp:posOffset>
            </wp:positionV>
            <wp:extent cx="2690495" cy="2781300"/>
            <wp:effectExtent l="0" t="0" r="0" b="0"/>
            <wp:wrapThrough wrapText="bothSides">
              <wp:wrapPolygon edited="0">
                <wp:start x="0" y="0"/>
                <wp:lineTo x="0" y="21452"/>
                <wp:lineTo x="21411" y="21452"/>
                <wp:lineTo x="21411" y="0"/>
                <wp:lineTo x="0" y="0"/>
              </wp:wrapPolygon>
            </wp:wrapThrough>
            <wp:docPr id="24530652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90495" cy="2781300"/>
                    </a:xfrm>
                    <a:prstGeom prst="rect">
                      <a:avLst/>
                    </a:prstGeom>
                    <a:noFill/>
                    <a:ln>
                      <a:noFill/>
                    </a:ln>
                  </pic:spPr>
                </pic:pic>
              </a:graphicData>
            </a:graphic>
            <wp14:sizeRelH relativeFrom="page">
              <wp14:pctWidth>0</wp14:pctWidth>
            </wp14:sizeRelH>
            <wp14:sizeRelV relativeFrom="page">
              <wp14:pctHeight>0</wp14:pctHeight>
            </wp14:sizeRelV>
          </wp:anchor>
        </w:drawing>
      </w:r>
      <w:r w:rsidR="005C3561" w:rsidRPr="004769DC">
        <w:rPr>
          <w:b/>
          <w:bCs/>
          <w:noProof/>
        </w:rPr>
        <w:drawing>
          <wp:anchor distT="0" distB="0" distL="114300" distR="114300" simplePos="0" relativeHeight="251667456" behindDoc="0" locked="0" layoutInCell="1" allowOverlap="1" wp14:anchorId="08A3C04D" wp14:editId="5A2AE228">
            <wp:simplePos x="0" y="0"/>
            <wp:positionH relativeFrom="column">
              <wp:posOffset>0</wp:posOffset>
            </wp:positionH>
            <wp:positionV relativeFrom="paragraph">
              <wp:posOffset>250825</wp:posOffset>
            </wp:positionV>
            <wp:extent cx="2681605" cy="2842260"/>
            <wp:effectExtent l="0" t="0" r="4445" b="0"/>
            <wp:wrapThrough wrapText="bothSides">
              <wp:wrapPolygon edited="0">
                <wp:start x="0" y="0"/>
                <wp:lineTo x="0" y="21426"/>
                <wp:lineTo x="21482" y="21426"/>
                <wp:lineTo x="21482" y="0"/>
                <wp:lineTo x="0" y="0"/>
              </wp:wrapPolygon>
            </wp:wrapThrough>
            <wp:docPr id="107645920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81605" cy="2842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221218" w14:textId="6D02F098" w:rsidR="005C3561" w:rsidRDefault="005C3561" w:rsidP="005C3561">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(a)                                                           (b)</w:t>
      </w:r>
    </w:p>
    <w:p w14:paraId="2A4CB585" w14:textId="77777777" w:rsidR="00DF669A" w:rsidRPr="009E7438" w:rsidRDefault="00DF669A" w:rsidP="009E7438">
      <w:pPr>
        <w:spacing w:after="0" w:line="360" w:lineRule="auto"/>
        <w:ind w:firstLine="708"/>
        <w:jc w:val="both"/>
        <w:rPr>
          <w:rFonts w:ascii="Times New Roman" w:eastAsia="Times New Roman" w:hAnsi="Times New Roman" w:cs="Times New Roman"/>
          <w:sz w:val="24"/>
          <w:szCs w:val="24"/>
          <w:lang w:val="en-US"/>
        </w:rPr>
      </w:pPr>
      <w:r w:rsidRPr="00DF669A">
        <w:rPr>
          <w:rFonts w:ascii="Times New Roman" w:eastAsia="Times New Roman" w:hAnsi="Times New Roman" w:cs="Times New Roman"/>
          <w:sz w:val="24"/>
          <w:szCs w:val="24"/>
          <w:lang w:val="en-US"/>
        </w:rPr>
        <w:t xml:space="preserve">The most devastating event was Hurricane Otis, classified as a Category 5 storm, which reached winds exceeding 270 km/h and represented an unprecedented event in Guerrero. Its direct impact on Acapulco and the coastal strip caused the total destruction of homes and large buildings, severe damage to hospitals and hotels, as well as the collapse of basic services and massive population displacement. </w:t>
      </w:r>
      <w:r w:rsidRPr="009E7438">
        <w:rPr>
          <w:rFonts w:ascii="Times New Roman" w:eastAsia="Times New Roman" w:hAnsi="Times New Roman" w:cs="Times New Roman"/>
          <w:sz w:val="24"/>
          <w:szCs w:val="24"/>
          <w:lang w:val="en-US"/>
        </w:rPr>
        <w:t>Furthermore, large-scale environmental losses were recorded (Figure 5).</w:t>
      </w:r>
    </w:p>
    <w:p w14:paraId="0694482B" w14:textId="77777777" w:rsidR="00DF669A" w:rsidRDefault="00DF669A" w:rsidP="009E7438">
      <w:pPr>
        <w:pStyle w:val="NormalWeb"/>
        <w:spacing w:line="360" w:lineRule="auto"/>
        <w:jc w:val="center"/>
        <w:rPr>
          <w:rStyle w:val="Fuerte"/>
          <w:rFonts w:eastAsiaTheme="majorEastAsia"/>
          <w:lang w:val="en-US"/>
        </w:rPr>
      </w:pPr>
    </w:p>
    <w:p w14:paraId="6E53BC2A" w14:textId="77777777" w:rsidR="004E0EB9" w:rsidRDefault="004E0EB9" w:rsidP="009E7438">
      <w:pPr>
        <w:pStyle w:val="NormalWeb"/>
        <w:spacing w:line="360" w:lineRule="auto"/>
        <w:jc w:val="center"/>
        <w:rPr>
          <w:rStyle w:val="Fuerte"/>
          <w:rFonts w:eastAsiaTheme="majorEastAsia"/>
          <w:lang w:val="en-US"/>
        </w:rPr>
      </w:pPr>
    </w:p>
    <w:p w14:paraId="02A26911" w14:textId="77777777" w:rsidR="004E0EB9" w:rsidRDefault="004E0EB9" w:rsidP="009E7438">
      <w:pPr>
        <w:pStyle w:val="NormalWeb"/>
        <w:spacing w:line="360" w:lineRule="auto"/>
        <w:jc w:val="center"/>
        <w:rPr>
          <w:rStyle w:val="Fuerte"/>
          <w:rFonts w:eastAsiaTheme="majorEastAsia"/>
          <w:lang w:val="en-US"/>
        </w:rPr>
      </w:pPr>
    </w:p>
    <w:p w14:paraId="050A35B7" w14:textId="77777777" w:rsidR="004E0EB9" w:rsidRDefault="004E0EB9" w:rsidP="009E7438">
      <w:pPr>
        <w:pStyle w:val="NormalWeb"/>
        <w:spacing w:line="360" w:lineRule="auto"/>
        <w:jc w:val="center"/>
        <w:rPr>
          <w:rStyle w:val="Fuerte"/>
          <w:rFonts w:eastAsiaTheme="majorEastAsia"/>
          <w:lang w:val="en-US"/>
        </w:rPr>
      </w:pPr>
    </w:p>
    <w:p w14:paraId="754CF6A4" w14:textId="77777777" w:rsidR="004E0EB9" w:rsidRDefault="004E0EB9" w:rsidP="009E7438">
      <w:pPr>
        <w:pStyle w:val="NormalWeb"/>
        <w:spacing w:line="360" w:lineRule="auto"/>
        <w:jc w:val="center"/>
        <w:rPr>
          <w:rStyle w:val="Fuerte"/>
          <w:rFonts w:eastAsiaTheme="majorEastAsia"/>
          <w:lang w:val="en-US"/>
        </w:rPr>
      </w:pPr>
    </w:p>
    <w:p w14:paraId="2633F171" w14:textId="77777777" w:rsidR="00DF669A" w:rsidRPr="00DF669A" w:rsidRDefault="00DF669A" w:rsidP="009E7438">
      <w:pPr>
        <w:spacing w:line="360" w:lineRule="auto"/>
        <w:jc w:val="center"/>
        <w:rPr>
          <w:rFonts w:ascii="Times New Roman" w:eastAsia="Times New Roman" w:hAnsi="Times New Roman" w:cs="Times New Roman"/>
          <w:b/>
          <w:bCs/>
          <w:sz w:val="24"/>
          <w:szCs w:val="24"/>
          <w:lang w:val="en-US"/>
        </w:rPr>
      </w:pPr>
      <w:r w:rsidRPr="00DF669A">
        <w:rPr>
          <w:rFonts w:ascii="Times New Roman" w:eastAsia="Times New Roman" w:hAnsi="Times New Roman" w:cs="Times New Roman"/>
          <w:b/>
          <w:bCs/>
          <w:sz w:val="24"/>
          <w:szCs w:val="24"/>
          <w:lang w:val="en-US"/>
        </w:rPr>
        <w:lastRenderedPageBreak/>
        <w:t xml:space="preserve">Figure 5. </w:t>
      </w:r>
      <w:r w:rsidRPr="00DF669A">
        <w:rPr>
          <w:rFonts w:ascii="Times New Roman" w:eastAsia="Times New Roman" w:hAnsi="Times New Roman" w:cs="Times New Roman"/>
          <w:sz w:val="24"/>
          <w:szCs w:val="24"/>
          <w:lang w:val="en-US"/>
        </w:rPr>
        <w:t>(a) Total destruction of homes in Acapulco and (b) impacts on agricultural production.</w:t>
      </w:r>
    </w:p>
    <w:p w14:paraId="34592698" w14:textId="064F0F19" w:rsidR="005C3561" w:rsidRDefault="007667F3" w:rsidP="005C3561">
      <w:pPr>
        <w:spacing w:line="360" w:lineRule="auto"/>
        <w:ind w:firstLine="708"/>
        <w:jc w:val="both"/>
        <w:rPr>
          <w:rFonts w:ascii="Times New Roman" w:hAnsi="Times New Roman" w:cs="Times New Roman"/>
          <w:sz w:val="24"/>
          <w:szCs w:val="24"/>
          <w:lang w:val="en-US"/>
        </w:rPr>
      </w:pPr>
      <w:r w:rsidRPr="004B17AD">
        <w:rPr>
          <w:noProof/>
        </w:rPr>
        <w:drawing>
          <wp:anchor distT="0" distB="0" distL="114300" distR="114300" simplePos="0" relativeHeight="251669504" behindDoc="0" locked="0" layoutInCell="1" allowOverlap="1" wp14:anchorId="740E4A49" wp14:editId="289F7A9E">
            <wp:simplePos x="0" y="0"/>
            <wp:positionH relativeFrom="column">
              <wp:posOffset>-99060</wp:posOffset>
            </wp:positionH>
            <wp:positionV relativeFrom="paragraph">
              <wp:posOffset>82550</wp:posOffset>
            </wp:positionV>
            <wp:extent cx="2766060" cy="2750820"/>
            <wp:effectExtent l="0" t="0" r="0" b="0"/>
            <wp:wrapThrough wrapText="bothSides">
              <wp:wrapPolygon edited="0">
                <wp:start x="0" y="0"/>
                <wp:lineTo x="0" y="21391"/>
                <wp:lineTo x="21421" y="21391"/>
                <wp:lineTo x="21421" y="0"/>
                <wp:lineTo x="0" y="0"/>
              </wp:wrapPolygon>
            </wp:wrapThrough>
            <wp:docPr id="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66060" cy="27508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17AD">
        <w:rPr>
          <w:noProof/>
        </w:rPr>
        <w:drawing>
          <wp:anchor distT="0" distB="0" distL="114300" distR="114300" simplePos="0" relativeHeight="251670528" behindDoc="0" locked="0" layoutInCell="1" allowOverlap="1" wp14:anchorId="62CAAF93" wp14:editId="2D2AB33C">
            <wp:simplePos x="0" y="0"/>
            <wp:positionH relativeFrom="column">
              <wp:posOffset>2727960</wp:posOffset>
            </wp:positionH>
            <wp:positionV relativeFrom="paragraph">
              <wp:posOffset>82550</wp:posOffset>
            </wp:positionV>
            <wp:extent cx="2688590" cy="2781300"/>
            <wp:effectExtent l="0" t="0" r="0" b="0"/>
            <wp:wrapThrough wrapText="bothSides">
              <wp:wrapPolygon edited="0">
                <wp:start x="0" y="0"/>
                <wp:lineTo x="0" y="21452"/>
                <wp:lineTo x="21427" y="21452"/>
                <wp:lineTo x="21427" y="0"/>
                <wp:lineTo x="0" y="0"/>
              </wp:wrapPolygon>
            </wp:wrapThrough>
            <wp:docPr id="144181091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88590" cy="27813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lang w:val="en-US"/>
        </w:rPr>
        <w:t xml:space="preserve">                   (a)                                                                   (b)</w:t>
      </w:r>
    </w:p>
    <w:p w14:paraId="60E77361" w14:textId="35D420E0" w:rsidR="0095284C" w:rsidRPr="009E2B2A" w:rsidRDefault="0095284C" w:rsidP="00DF669A">
      <w:pPr>
        <w:tabs>
          <w:tab w:val="center" w:pos="4420"/>
        </w:tabs>
        <w:autoSpaceDE w:val="0"/>
        <w:autoSpaceDN w:val="0"/>
        <w:adjustRightInd w:val="0"/>
        <w:spacing w:after="0" w:line="360" w:lineRule="auto"/>
        <w:rPr>
          <w:rFonts w:ascii="Times New Roman" w:hAnsi="Times New Roman" w:cs="Times New Roman"/>
          <w:b/>
          <w:bCs/>
          <w:color w:val="221E1F"/>
          <w:sz w:val="28"/>
          <w:szCs w:val="28"/>
          <w:lang w:val="en-US" w:eastAsia="es-CL"/>
        </w:rPr>
      </w:pPr>
    </w:p>
    <w:p w14:paraId="231F66FD" w14:textId="2D2A1E36" w:rsidR="005C6ADE" w:rsidRPr="009E7438" w:rsidRDefault="000705A7" w:rsidP="005C6ADE">
      <w:pPr>
        <w:tabs>
          <w:tab w:val="center" w:pos="4420"/>
        </w:tabs>
        <w:autoSpaceDE w:val="0"/>
        <w:autoSpaceDN w:val="0"/>
        <w:adjustRightInd w:val="0"/>
        <w:spacing w:after="0" w:line="360" w:lineRule="auto"/>
        <w:jc w:val="center"/>
        <w:rPr>
          <w:rFonts w:ascii="Times New Roman" w:hAnsi="Times New Roman" w:cs="Times New Roman"/>
          <w:b/>
          <w:bCs/>
          <w:color w:val="221E1F"/>
          <w:sz w:val="32"/>
          <w:szCs w:val="32"/>
          <w:lang w:val="en-US" w:eastAsia="es-CL"/>
        </w:rPr>
      </w:pPr>
      <w:r w:rsidRPr="000705A7">
        <w:rPr>
          <w:rFonts w:ascii="Times New Roman" w:hAnsi="Times New Roman" w:cs="Times New Roman"/>
          <w:b/>
          <w:bCs/>
          <w:color w:val="221E1F"/>
          <w:sz w:val="32"/>
          <w:szCs w:val="32"/>
          <w:lang w:val="en-US" w:eastAsia="es-CL"/>
        </w:rPr>
        <w:t>Discussion</w:t>
      </w:r>
    </w:p>
    <w:p w14:paraId="1C19B534" w14:textId="229BEDEC" w:rsidR="007667F3" w:rsidRPr="00CE39ED" w:rsidRDefault="00CE39ED" w:rsidP="009E7438">
      <w:pPr>
        <w:spacing w:after="0" w:line="360" w:lineRule="auto"/>
        <w:ind w:firstLine="708"/>
        <w:jc w:val="both"/>
        <w:rPr>
          <w:rFonts w:ascii="Times New Roman" w:eastAsia="Times New Roman" w:hAnsi="Times New Roman" w:cs="Times New Roman"/>
          <w:color w:val="221E1F"/>
          <w:sz w:val="24"/>
          <w:szCs w:val="24"/>
          <w:lang w:val="en-US"/>
        </w:rPr>
      </w:pPr>
      <w:r w:rsidRPr="00CE39ED">
        <w:rPr>
          <w:rFonts w:ascii="Times New Roman" w:eastAsia="Times New Roman" w:hAnsi="Times New Roman" w:cs="Times New Roman"/>
          <w:sz w:val="24"/>
          <w:szCs w:val="24"/>
          <w:lang w:val="en-US"/>
        </w:rPr>
        <w:t>The findings of this analysis confirm that hurricanes exert considerable impacts across Guerrero, irrespective of their classification on the Saffir-Simpson scale</w:t>
      </w:r>
      <w:r>
        <w:rPr>
          <w:rFonts w:ascii="Times New Roman" w:hAnsi="Times New Roman" w:cs="Times New Roman"/>
          <w:color w:val="221E1F"/>
          <w:sz w:val="24"/>
          <w:szCs w:val="24"/>
          <w:lang w:val="en-US" w:eastAsia="es-CL"/>
        </w:rPr>
        <w:t xml:space="preserve"> </w:t>
      </w:r>
      <w:r w:rsidR="00B17EDE">
        <w:rPr>
          <w:rFonts w:ascii="Times New Roman" w:hAnsi="Times New Roman" w:cs="Times New Roman"/>
          <w:color w:val="221E1F"/>
          <w:sz w:val="24"/>
          <w:szCs w:val="24"/>
          <w:lang w:val="en-US" w:eastAsia="es-CL"/>
        </w:rPr>
        <w:fldChar w:fldCharType="begin"/>
      </w:r>
      <w:r w:rsidR="00B17EDE">
        <w:rPr>
          <w:rFonts w:ascii="Times New Roman" w:hAnsi="Times New Roman" w:cs="Times New Roman"/>
          <w:color w:val="221E1F"/>
          <w:sz w:val="24"/>
          <w:szCs w:val="24"/>
          <w:lang w:val="en-US" w:eastAsia="es-CL"/>
        </w:rPr>
        <w:instrText xml:space="preserve"> ADDIN ZOTERO_ITEM CSL_CITATION {"citationID":"M12fLJyL","properties":{"formattedCitation":"(Ellis et\\uc0\\u160{}al., 2020; Paxton et\\uc0\\u160{}al., 2024)","plainCitation":"(Ellis et al., 2020; Paxton et al., 2024)","noteIndex":0},"citationItems":[{"id":422,"uris":["http://zotero.org/users/local/G75QjYIy/items/NAZ436FW"],"itemData":{"id":422,"type":"article-journal","abstract":"Over one-third of the Earth’s population resides or works within 200 km of the coast. The increasing threat of coastal hazards with predicted climate change will impact many global citizens. Coastal dune systems serve as a natural first line of defense against rising sea levels and coastal storms. This study investigated the volumetric changes of two dune systems on Isle of Palms, South Carolina, USA prior to and following Hurricanes Irma (2017) and Florence (2018), which impacted the island as tropical storms with different characteristics. Irma had relatively high significant wave heights and precipitation, resulting in an average 39% volumetric dune loss. During Florence, a storm where precipitation was low and winds were moderate, net volumetric dune loss averaged 3%. The primary driving force causing dune change during Irma was water (precipitation and storm surge), and during Florence, it was wind (aeolian transport). We suggest that the application of the Saffir-Simpson Hurricane Wind Scale classifications should be reconsidered because different geomorphic responses were measured, despite Irma and Florence both being designated as tropical storms. Site-specific pre- and post-storm studies of the dune morphology and site-specific meteorological measurements of the storm (wind characteristics, storm surge, precipitation) are critically needed.","container-title":"Journal of Marine Science and Engineering","DOI":"10.3390/jmse8090670","ISSN":"2077-1312","issue":"9","journalAbbreviation":"JMSE","language":"en","license":"https://creativecommons.org/licenses/by/4.0/","page":"670","source":"DOI.org (Crossref)","title":"Application of the Saffir-Simpson Hurricane Wind Scale to Assess Sand Dune Response to Tropical Storms","volume":"8","author":[{"family":"Ellis","given":"Jean T."},{"family":"Harris","given":"Michelle E."},{"family":"Román-Rivera","given":"Mayra A."},{"family":"Ferguson","given":"J. Brianna"},{"family":"Tereszkiewicz","given":"Peter A."},{"family":"McGill","given":"Sean P."}],"issued":{"date-parts":[["2020",9,1]]}}},{"id":424,"uris":["http://zotero.org/users/local/G75QjYIy/items/WXY65XBD"],"itemData":{"id":424,"type":"chapter","container-title":"Advances in Hurricane Risk in a Changing Climate","event-place":"Cham","ISBN":"978-3-031-63185-6","language":"en","note":"collection-title: Hurricane Risk\nDOI: 10.1007/978-3-031-63186-3_10","page":"241-279","publisher":"Springer Nature Switzerland","publisher-place":"Cham","source":"DOI.org (Crossref)","title":"Reconsidering the Saffir-Simpson Scale: A Qualitative Investigation of Public Understanding and Alternative Frameworks","title-short":"Reconsidering the Saffir-Simpson Scale","URL":"https://link.springer.com/10.1007/978-3-031-63186-3_10","volume":"3","editor":[{"family":"Collins","given":"Jennifer"},{"family":"Done","given":"James"},{"family":"Zhu","given":"Yi-Jie"},{"family":"Wilson","given":"Paul"}],"author":[{"family":"Paxton","given":"Leilani D."},{"family":"Collins","given":"Jennifer"},{"family":"Myers","given":"Laura"}],"accessed":{"date-parts":[["2025",9,20]]},"issued":{"date-parts":[["2024"]]}}}],"schema":"https://github.com/citation-style-language/schema/raw/master/csl-citation.json"} </w:instrText>
      </w:r>
      <w:r w:rsidR="00B17EDE">
        <w:rPr>
          <w:rFonts w:ascii="Times New Roman" w:hAnsi="Times New Roman" w:cs="Times New Roman"/>
          <w:color w:val="221E1F"/>
          <w:sz w:val="24"/>
          <w:szCs w:val="24"/>
          <w:lang w:val="en-US" w:eastAsia="es-CL"/>
        </w:rPr>
        <w:fldChar w:fldCharType="separate"/>
      </w:r>
      <w:r w:rsidR="00B17EDE" w:rsidRPr="00B17EDE">
        <w:rPr>
          <w:rFonts w:ascii="Times New Roman" w:hAnsi="Times New Roman" w:cs="Times New Roman"/>
          <w:sz w:val="24"/>
          <w:lang w:val="en-US"/>
        </w:rPr>
        <w:t xml:space="preserve">(Ellis </w:t>
      </w:r>
      <w:r w:rsidR="00B17EDE" w:rsidRPr="00390A71">
        <w:rPr>
          <w:rFonts w:ascii="Times New Roman" w:hAnsi="Times New Roman" w:cs="Times New Roman"/>
          <w:sz w:val="24"/>
          <w:lang w:val="en-US"/>
        </w:rPr>
        <w:t xml:space="preserve">et al., </w:t>
      </w:r>
      <w:r w:rsidR="00B17EDE" w:rsidRPr="00B17EDE">
        <w:rPr>
          <w:rFonts w:ascii="Times New Roman" w:hAnsi="Times New Roman" w:cs="Times New Roman"/>
          <w:sz w:val="24"/>
          <w:lang w:val="en-US"/>
        </w:rPr>
        <w:t xml:space="preserve">2020; Paxton </w:t>
      </w:r>
      <w:r w:rsidR="00B17EDE" w:rsidRPr="00390A71">
        <w:rPr>
          <w:rFonts w:ascii="Times New Roman" w:hAnsi="Times New Roman" w:cs="Times New Roman"/>
          <w:sz w:val="24"/>
          <w:lang w:val="en-US"/>
        </w:rPr>
        <w:t>et al.,</w:t>
      </w:r>
      <w:r w:rsidR="00B17EDE" w:rsidRPr="00B17EDE">
        <w:rPr>
          <w:rFonts w:ascii="Times New Roman" w:hAnsi="Times New Roman" w:cs="Times New Roman"/>
          <w:sz w:val="24"/>
          <w:lang w:val="en-US"/>
        </w:rPr>
        <w:t xml:space="preserve"> 2024)</w:t>
      </w:r>
      <w:r w:rsidR="00B17EDE">
        <w:rPr>
          <w:rFonts w:ascii="Times New Roman" w:hAnsi="Times New Roman" w:cs="Times New Roman"/>
          <w:color w:val="221E1F"/>
          <w:sz w:val="24"/>
          <w:szCs w:val="24"/>
          <w:lang w:val="en-US" w:eastAsia="es-CL"/>
        </w:rPr>
        <w:fldChar w:fldCharType="end"/>
      </w:r>
      <w:r w:rsidR="007667F3" w:rsidRPr="007667F3">
        <w:rPr>
          <w:rFonts w:ascii="Times New Roman" w:hAnsi="Times New Roman" w:cs="Times New Roman"/>
          <w:color w:val="221E1F"/>
          <w:sz w:val="24"/>
          <w:szCs w:val="24"/>
          <w:lang w:val="en-US" w:eastAsia="es-CL"/>
        </w:rPr>
        <w:t xml:space="preserve">. </w:t>
      </w:r>
      <w:r w:rsidRPr="00CE39ED">
        <w:rPr>
          <w:rFonts w:ascii="Times New Roman" w:eastAsia="Times New Roman" w:hAnsi="Times New Roman" w:cs="Times New Roman"/>
          <w:sz w:val="24"/>
          <w:szCs w:val="24"/>
          <w:lang w:val="en-US"/>
        </w:rPr>
        <w:t xml:space="preserve">This observation aligns with </w:t>
      </w:r>
      <w:r w:rsidR="007667F3" w:rsidRPr="007667F3">
        <w:rPr>
          <w:rFonts w:ascii="Times New Roman" w:hAnsi="Times New Roman" w:cs="Times New Roman"/>
          <w:color w:val="221E1F"/>
          <w:sz w:val="24"/>
          <w:szCs w:val="24"/>
          <w:lang w:val="en-US" w:eastAsia="es-CL"/>
        </w:rPr>
        <w:t xml:space="preserve">Knutson </w:t>
      </w:r>
      <w:r w:rsidR="00B17EDE">
        <w:rPr>
          <w:rFonts w:ascii="Times New Roman" w:hAnsi="Times New Roman" w:cs="Times New Roman"/>
          <w:color w:val="221E1F"/>
          <w:sz w:val="24"/>
          <w:szCs w:val="24"/>
          <w:lang w:val="en-US" w:eastAsia="es-CL"/>
        </w:rPr>
        <w:fldChar w:fldCharType="begin"/>
      </w:r>
      <w:r w:rsidR="00B17EDE">
        <w:rPr>
          <w:rFonts w:ascii="Times New Roman" w:hAnsi="Times New Roman" w:cs="Times New Roman"/>
          <w:color w:val="221E1F"/>
          <w:sz w:val="24"/>
          <w:szCs w:val="24"/>
          <w:lang w:val="en-US" w:eastAsia="es-CL"/>
        </w:rPr>
        <w:instrText xml:space="preserve"> ADDIN ZOTERO_ITEM CSL_CITATION {"citationID":"jDCcUd7m","properties":{"formattedCitation":"(Knutson et\\uc0\\u160{}al., 2020)","plainCitation":"(Knutson et al., 2020)","noteIndex":0},"citationItems":[{"id":425,"uris":["http://zotero.org/users/local/G75QjYIy/items/NZKQUUBG"],"itemData":{"id":425,"type":"article-journal","abstract":"Abstract\n            Model projections of tropical cyclone (TC) activity response to anthropogenic warming in climate models are assessed. Observations, theory, and models, with increasing robustness, indicate rising global TC risk for some metrics that are projected to impact multiple regions. A 2°C anthropogenic global warming is projected to impact TC activity as follows. 1) The most confident TC-related projection is that sea level rise accompanying the warming will lead to higher storm inundation levels, assuming all other factors are unchanged. 2) For TC precipitation rates, there is at least medium-to-high confidence in an increase globally, with a median projected increase of 14%, or close to the rate of tropical water vapor increase with warming, at constant relative humidity. 3) For TC intensity, 10 of 11 authors had at least medium-to-high confidence that the global average will increase. The median projected increase in lifetime maximum surface wind speeds is about 5% (range: 1%–10%) in available higher-resolution studies. 4) For the global proportion (as opposed to frequency) of TCs that reach very intense (category 4–5) levels, there is at least medium-to-high confidence in an increase, with a median projected change of +13%. Author opinion was more mixed and confidence levels lower for the following projections: 5) a further poleward expansion of the latitude of maximum TC intensity in the western North Pacific; 6) a decrease of global TC frequency, as projected in most studies; 7) an increase in global very intense TC frequency (category 4–5), seen most prominently in higher-resolution models; and 8) a slowdown in TC translation speed.","container-title":"Bulletin of the American Meteorological Society","DOI":"10.1175/BAMS-D-18-0194.1","ISSN":"0003-0007, 1520-0477","issue":"3","page":"E303-E322","source":"DOI.org (Crossref)","title":"Tropical Cyclones and Climate Change Assessment: Part II: Projected Response to Anthropogenic Warming","title-short":"Tropical Cyclones and Climate Change Assessment","volume":"101","author":[{"family":"Knutson","given":"Thomas"},{"family":"Camargo","given":"Suzana J."},{"family":"Chan","given":"Johnny C. L."},{"family":"Emanuel","given":"Kerry"},{"family":"Ho","given":"Chang-Hoi"},{"family":"Kossin","given":"James"},{"family":"Mohapatra","given":"Mrutyunjay"},{"family":"Satoh","given":"Masaki"},{"family":"Sugi","given":"Masato"},{"family":"Walsh","given":"Kevin"},{"family":"Wu","given":"Liguang"}],"issued":{"date-parts":[["2020",3]]}}}],"schema":"https://github.com/citation-style-language/schema/raw/master/csl-citation.json"} </w:instrText>
      </w:r>
      <w:r w:rsidR="00B17EDE">
        <w:rPr>
          <w:rFonts w:ascii="Times New Roman" w:hAnsi="Times New Roman" w:cs="Times New Roman"/>
          <w:color w:val="221E1F"/>
          <w:sz w:val="24"/>
          <w:szCs w:val="24"/>
          <w:lang w:val="en-US" w:eastAsia="es-CL"/>
        </w:rPr>
        <w:fldChar w:fldCharType="separate"/>
      </w:r>
      <w:r w:rsidR="00B17EDE" w:rsidRPr="00B17EDE">
        <w:rPr>
          <w:rFonts w:ascii="Times New Roman" w:hAnsi="Times New Roman" w:cs="Times New Roman"/>
          <w:sz w:val="24"/>
          <w:lang w:val="en-US"/>
        </w:rPr>
        <w:t xml:space="preserve">(Knutson </w:t>
      </w:r>
      <w:r w:rsidR="00B17EDE" w:rsidRPr="00390A71">
        <w:rPr>
          <w:rFonts w:ascii="Times New Roman" w:hAnsi="Times New Roman" w:cs="Times New Roman"/>
          <w:sz w:val="24"/>
          <w:lang w:val="en-US"/>
        </w:rPr>
        <w:t>et al.,</w:t>
      </w:r>
      <w:r w:rsidR="00B17EDE" w:rsidRPr="00B17EDE">
        <w:rPr>
          <w:rFonts w:ascii="Times New Roman" w:hAnsi="Times New Roman" w:cs="Times New Roman"/>
          <w:sz w:val="24"/>
          <w:lang w:val="en-US"/>
        </w:rPr>
        <w:t xml:space="preserve"> 2020)</w:t>
      </w:r>
      <w:r w:rsidR="00B17EDE">
        <w:rPr>
          <w:rFonts w:ascii="Times New Roman" w:hAnsi="Times New Roman" w:cs="Times New Roman"/>
          <w:color w:val="221E1F"/>
          <w:sz w:val="24"/>
          <w:szCs w:val="24"/>
          <w:lang w:val="en-US" w:eastAsia="es-CL"/>
        </w:rPr>
        <w:fldChar w:fldCharType="end"/>
      </w:r>
      <w:r w:rsidR="007667F3" w:rsidRPr="007667F3">
        <w:rPr>
          <w:rFonts w:ascii="Times New Roman" w:hAnsi="Times New Roman" w:cs="Times New Roman"/>
          <w:color w:val="221E1F"/>
          <w:sz w:val="24"/>
          <w:szCs w:val="24"/>
          <w:lang w:val="en-US" w:eastAsia="es-CL"/>
        </w:rPr>
        <w:t xml:space="preserve">, </w:t>
      </w:r>
      <w:r w:rsidRPr="00CE39ED">
        <w:rPr>
          <w:rFonts w:ascii="Times New Roman" w:eastAsia="Times New Roman" w:hAnsi="Times New Roman" w:cs="Times New Roman"/>
          <w:sz w:val="24"/>
          <w:szCs w:val="24"/>
          <w:lang w:val="en-US"/>
        </w:rPr>
        <w:t>who emphasize that the magnitude of tropical cyclone impacts depends not only on wind intensity but also on critical contextual factors, such as geography, population density, infrastructure quality, and community resilience</w:t>
      </w:r>
      <w:r w:rsidR="007667F3" w:rsidRPr="007667F3">
        <w:rPr>
          <w:rFonts w:ascii="Times New Roman" w:hAnsi="Times New Roman" w:cs="Times New Roman"/>
          <w:color w:val="221E1F"/>
          <w:sz w:val="24"/>
          <w:szCs w:val="24"/>
          <w:lang w:val="en-US" w:eastAsia="es-CL"/>
        </w:rPr>
        <w:t xml:space="preserve"> </w:t>
      </w:r>
      <w:r w:rsidR="00B17EDE">
        <w:rPr>
          <w:rFonts w:ascii="Times New Roman" w:hAnsi="Times New Roman" w:cs="Times New Roman"/>
          <w:color w:val="221E1F"/>
          <w:sz w:val="24"/>
          <w:szCs w:val="24"/>
          <w:lang w:val="en-US" w:eastAsia="es-CL"/>
        </w:rPr>
        <w:fldChar w:fldCharType="begin"/>
      </w:r>
      <w:r w:rsidR="00B17EDE">
        <w:rPr>
          <w:rFonts w:ascii="Times New Roman" w:hAnsi="Times New Roman" w:cs="Times New Roman"/>
          <w:color w:val="221E1F"/>
          <w:sz w:val="24"/>
          <w:szCs w:val="24"/>
          <w:lang w:val="en-US" w:eastAsia="es-CL"/>
        </w:rPr>
        <w:instrText xml:space="preserve"> ADDIN ZOTERO_ITEM CSL_CITATION {"citationID":"ksbsNAJV","properties":{"formattedCitation":"(Ibe et\\uc0\\u160{}al., 2025; Mitsova et\\uc0\\u160{}al., 2019; Swain, 2022)","plainCitation":"(Ibe et al., 2025; Mitsova et al., 2019; Swain, 2022)","noteIndex":0},"citationItems":[{"id":429,"uris":["http://zotero.org/users/local/G75QjYIy/items/RAUYGU25"],"itemData":{"id":429,"type":"article-journal","container-title":"Journal of Safety Science and Resilience","DOI":"10.1016/j.jnlssr.2025.100217","ISSN":"26664496","issue":"4","journalAbbreviation":"Journal of Safety Science and Resilience","language":"en","page":"100217","source":"DOI.org (Crossref)","title":"Community vulnerability to cyclones: An empirical evidence from rural India to improve resilience","title-short":"Community vulnerability to cyclones","volume":"6","author":[{"family":"Ibe","given":"Kelechukwu Kelvin"},{"family":"Chiweshe","given":"Owen"},{"family":"Ola","given":"Mercy Ichiko"},{"family":"Kollur","given":"Shiva Prasad"}],"issued":{"date-parts":[["2025",12]]}}},{"id":430,"uris":["http://zotero.org/users/local/G75QjYIy/items/MF97YSY7"],"itemData":{"id":430,"type":"article-journal","abstract":"Hurricanes and extreme weather events can cause widespread damage and disruption to infrastructure services and consequently delay household and community recovery. A subset of data from a cross-sectional survey of 989 households in central and south Florida is used to examine the effects of Hurricane Irma on post-disaster recovery eight months after the landfall. Using logistic regression modeling, we find that physical damage to property, disruption of infrastructure services such as loss of electric power and cell phone/internet services and other factors (i.e., homeowner’s or renter’s insurance coverage, receiving disaster assistance and loss of income) are significant predictors of post-disaster recovery when controlling for age and race/ethnicity.","container-title":"Sustainability","DOI":"10.3390/su11020516","ISSN":"2071-1050","issue":"2","journalAbbreviation":"Sustainability","language":"en","license":"https://creativecommons.org/licenses/by/4.0/","page"</w:instrText>
      </w:r>
      <w:r w:rsidR="00B17EDE" w:rsidRPr="00DB43B9">
        <w:rPr>
          <w:rFonts w:ascii="Times New Roman" w:hAnsi="Times New Roman" w:cs="Times New Roman"/>
          <w:color w:val="221E1F"/>
          <w:sz w:val="24"/>
          <w:szCs w:val="24"/>
          <w:lang w:val="en-US" w:eastAsia="es-CL"/>
        </w:rPr>
        <w:instrText xml:space="preserve">:"516","source":"DOI.org (Crossref)","title":"The Effects of Infrastructure Service Disruptions and Socio-Economic Vulnerability on Hurricane Recovery","volume":"11","author":[{"family":"Mitsova","given":"Diana"},{"family":"Escaleras","given":"Monica"},{"family":"Sapat","given":"Alka"},{"family":"Esnard","given":"Ann-Margaret"},{"family":"Lamadrid","given":"Alberto J."}],"issued":{"date-parts":[["2019",1,19]]}}},{"id":394,"uris":["http://zotero.org/users/local/G75QjYIy/items/F8BCK6QR"],"itemData":{"id":394,"type":"chapter","container-title":"Geospatial Technologies for Land and Water Resources Management","event-place":"Cham","ISBN":"978-3-030-90478-4","language":"en","note":"collection-title: Water Science and Technology Library\nDOI: 10.1007/978-3-030-90479-1_30","page":"587-621","publisher":"Springer International Publishing","publisher-place":"Cham","source":"DOI.org (Crossref)","title":"Tropical Cyclones and Coastal Vulnerability: Assessment and Mitigation","title-short":"Tropical Cyclones and Coastal Vulnerability","URL":"https://link.springer.com/10.1007/978-3-030-90479-1_30","volume":"103","editor":[{"family":"Pandey","given":"Ashish"},{"family":"Chowdary","given":"V. M."},{"family":"Behera","given":"Mukunda Dev"},{"family":"Singh","given":"V. P."}],"author":[{"family":"Swain","given":"Debadatta"}],"accessed":{"date-parts":[["2025",9,20]]},"issued":{"date-parts":[["2022"]]}}}],"schema":"https://github.com/citation-style-language/schema/raw/master/csl-citation.json"} </w:instrText>
      </w:r>
      <w:r w:rsidR="00B17EDE">
        <w:rPr>
          <w:rFonts w:ascii="Times New Roman" w:hAnsi="Times New Roman" w:cs="Times New Roman"/>
          <w:color w:val="221E1F"/>
          <w:sz w:val="24"/>
          <w:szCs w:val="24"/>
          <w:lang w:val="en-US" w:eastAsia="es-CL"/>
        </w:rPr>
        <w:fldChar w:fldCharType="separate"/>
      </w:r>
      <w:r w:rsidR="00B17EDE" w:rsidRPr="00DB43B9">
        <w:rPr>
          <w:rFonts w:ascii="Times New Roman" w:hAnsi="Times New Roman" w:cs="Times New Roman"/>
          <w:sz w:val="24"/>
          <w:lang w:val="en-US"/>
        </w:rPr>
        <w:t>(Ibe</w:t>
      </w:r>
      <w:r w:rsidR="00B17EDE" w:rsidRPr="00DB43B9">
        <w:rPr>
          <w:rFonts w:ascii="Times New Roman" w:hAnsi="Times New Roman" w:cs="Times New Roman"/>
          <w:i/>
          <w:iCs/>
          <w:sz w:val="24"/>
          <w:lang w:val="en-US"/>
        </w:rPr>
        <w:t xml:space="preserve"> </w:t>
      </w:r>
      <w:r w:rsidR="00B17EDE" w:rsidRPr="00390A71">
        <w:rPr>
          <w:rFonts w:ascii="Times New Roman" w:hAnsi="Times New Roman" w:cs="Times New Roman"/>
          <w:sz w:val="24"/>
          <w:lang w:val="en-US"/>
        </w:rPr>
        <w:t>et al.,</w:t>
      </w:r>
      <w:r w:rsidR="00B17EDE" w:rsidRPr="00DB43B9">
        <w:rPr>
          <w:rFonts w:ascii="Times New Roman" w:hAnsi="Times New Roman" w:cs="Times New Roman"/>
          <w:sz w:val="24"/>
          <w:lang w:val="en-US"/>
        </w:rPr>
        <w:t xml:space="preserve"> 2025; Mitsova </w:t>
      </w:r>
      <w:r w:rsidR="00B17EDE" w:rsidRPr="00390A71">
        <w:rPr>
          <w:rFonts w:ascii="Times New Roman" w:hAnsi="Times New Roman" w:cs="Times New Roman"/>
          <w:sz w:val="24"/>
          <w:lang w:val="en-US"/>
        </w:rPr>
        <w:t>et al.,</w:t>
      </w:r>
      <w:r w:rsidR="00B17EDE" w:rsidRPr="00DB43B9">
        <w:rPr>
          <w:rFonts w:ascii="Times New Roman" w:hAnsi="Times New Roman" w:cs="Times New Roman"/>
          <w:i/>
          <w:iCs/>
          <w:sz w:val="24"/>
          <w:lang w:val="en-US"/>
        </w:rPr>
        <w:t xml:space="preserve"> </w:t>
      </w:r>
      <w:r w:rsidR="00B17EDE" w:rsidRPr="00DB43B9">
        <w:rPr>
          <w:rFonts w:ascii="Times New Roman" w:hAnsi="Times New Roman" w:cs="Times New Roman"/>
          <w:sz w:val="24"/>
          <w:lang w:val="en-US"/>
        </w:rPr>
        <w:t>2019; Swain, 2022)</w:t>
      </w:r>
      <w:r w:rsidR="00B17EDE">
        <w:rPr>
          <w:rFonts w:ascii="Times New Roman" w:hAnsi="Times New Roman" w:cs="Times New Roman"/>
          <w:color w:val="221E1F"/>
          <w:sz w:val="24"/>
          <w:szCs w:val="24"/>
          <w:lang w:val="en-US" w:eastAsia="es-CL"/>
        </w:rPr>
        <w:fldChar w:fldCharType="end"/>
      </w:r>
      <w:r w:rsidR="007667F3" w:rsidRPr="00DB43B9">
        <w:rPr>
          <w:rFonts w:ascii="Times New Roman" w:hAnsi="Times New Roman" w:cs="Times New Roman"/>
          <w:color w:val="221E1F"/>
          <w:sz w:val="24"/>
          <w:szCs w:val="24"/>
          <w:lang w:val="en-US" w:eastAsia="es-CL"/>
        </w:rPr>
        <w:t>.</w:t>
      </w:r>
    </w:p>
    <w:p w14:paraId="181E5F6C" w14:textId="5B1964D9" w:rsidR="007667F3" w:rsidRDefault="005C6ADE" w:rsidP="009E7438">
      <w:pPr>
        <w:tabs>
          <w:tab w:val="center" w:pos="4420"/>
        </w:tabs>
        <w:autoSpaceDE w:val="0"/>
        <w:autoSpaceDN w:val="0"/>
        <w:adjustRightInd w:val="0"/>
        <w:spacing w:after="0" w:line="360" w:lineRule="auto"/>
        <w:jc w:val="both"/>
        <w:rPr>
          <w:rFonts w:ascii="Times New Roman" w:hAnsi="Times New Roman" w:cs="Times New Roman"/>
          <w:color w:val="000000"/>
          <w:sz w:val="24"/>
          <w:lang w:val="en-US" w:eastAsia="es-MX"/>
        </w:rPr>
      </w:pPr>
      <w:r w:rsidRPr="00DB43B9">
        <w:rPr>
          <w:rFonts w:ascii="Times New Roman" w:hAnsi="Times New Roman" w:cs="Times New Roman"/>
          <w:color w:val="000000"/>
          <w:sz w:val="24"/>
          <w:lang w:val="en-US" w:eastAsia="es-MX"/>
        </w:rPr>
        <w:tab/>
        <w:t xml:space="preserve">         </w:t>
      </w:r>
      <w:r w:rsidR="007667F3" w:rsidRPr="007667F3">
        <w:rPr>
          <w:rFonts w:ascii="Times New Roman" w:hAnsi="Times New Roman" w:cs="Times New Roman"/>
          <w:color w:val="000000"/>
          <w:sz w:val="24"/>
          <w:lang w:val="en-US" w:eastAsia="es-MX"/>
        </w:rPr>
        <w:t>In this context, Hurricanes Ingrid, Manuel, Max, and Erick classified as Category 1 demonstrate that even low-level storms can produce significant social and economic repercussions due to intense rainfall and the structural vulnerability of rural housing</w:t>
      </w:r>
      <w:r w:rsidR="007667F3">
        <w:rPr>
          <w:rFonts w:ascii="Times New Roman" w:hAnsi="Times New Roman" w:cs="Times New Roman"/>
          <w:color w:val="000000"/>
          <w:sz w:val="24"/>
          <w:lang w:val="en-US" w:eastAsia="es-MX"/>
        </w:rPr>
        <w:t xml:space="preserve"> </w:t>
      </w:r>
      <w:r w:rsidR="00CF3FD1">
        <w:rPr>
          <w:rFonts w:ascii="Times New Roman" w:hAnsi="Times New Roman" w:cs="Times New Roman"/>
          <w:color w:val="000000"/>
          <w:sz w:val="24"/>
          <w:lang w:val="en-US" w:eastAsia="es-MX"/>
        </w:rPr>
        <w:fldChar w:fldCharType="begin"/>
      </w:r>
      <w:r w:rsidR="00CF3FD1">
        <w:rPr>
          <w:rFonts w:ascii="Times New Roman" w:hAnsi="Times New Roman" w:cs="Times New Roman"/>
          <w:color w:val="000000"/>
          <w:sz w:val="24"/>
          <w:lang w:val="en-US" w:eastAsia="es-MX"/>
        </w:rPr>
        <w:instrText xml:space="preserve"> ADDIN ZOTERO_ITEM CSL_CITATION {"citationID":"WVq4TJLc","properties":{"formattedCitation":"(Castillo-Loeza et\\uc0\\u160{}al., 2025; Jadhav et\\uc0\\u160{}al., 2025)","plainCitation":"(Castillo-Loeza et al., 2025; Jadhav et al., 2025)","noteIndex":0},"citationItems":[{"id":397,"uris":["http://zotero.org/users/local/G75QjYIy/items/2BNQTXCU"],"itemData":{"id":397,"type":"article-journal","abstract":"Abstract\n            Tropical cyclones (TCs) are associated with significant and destructive natural disasters, making the assessment and analysis of the resulting damage essential for effective disaster risk management. The main objectives of this research are to estimate the annual probability of Tropical Cyclones (TCs), analyse four socioeconomic damage variables (fatalities, affected population, damaged houses, and economic losses) related to TCs in Mexico from 1970 to 2023, and construct a composite socioeconomic damage index. Time series analyses were conducted to evaluate the four socioeconomic damage variables extracted from the damage databases. CENAPRED database was selected for a temporal-spatial analysis of cumulative data at the state level, covering the period from 1980 to 2023. A bootstrap PCA analysis was performed to assess the stability of the weights assigned to each variable in the index. At least one hurricane is expected to have socio-economic effects on the national territory each year. Discrepancies in the information from the three databases reveal differences in the reported data and time periods. According to the composite index, states like Guerrero, Veracruz, Oaxaca, and Nuevo León exhibit the highest levels of accumulated damage. However, it’s important to note that in Nuevo León, much of this damage is attributed to indirect impacts, such as extreme precipitation. The discussion emphasizes that cyclone intensity by itself, is not the reason for the damage magnitude, as factors like precipitation levels, and regional vulnerability are crucial drivers.","container-title":"Economics of Disasters and Climate Change","DOI":"10.1007/s41885-025-00179-3","ISSN":"2511-1280, 2511-1299","journalAbbreviation":"EconDisCliCha","language":"en","source":"DOI.org (Crossref)","title":"Tropical Cyclones in Mexico: A Comparative Analysis and a Composite Socio</w:instrText>
      </w:r>
      <w:r w:rsidR="00CF3FD1" w:rsidRPr="00301B17">
        <w:rPr>
          <w:rFonts w:ascii="Times New Roman" w:hAnsi="Times New Roman" w:cs="Times New Roman"/>
          <w:color w:val="000000"/>
          <w:sz w:val="24"/>
          <w:lang w:val="en-US" w:eastAsia="es-MX"/>
        </w:rPr>
        <w:instrText>economic Damage Index","title-short":"Tropical Cyclones in Mexico","URL":"https://link.springer.com/10.1007/s41885-025-00179-3","author":[{"family":"Castillo-Loeza","given":"Diana Estefania"},{"family":"Romero","given":"David"},{"family":"Quesada-Román","given":"Adolfo"}],"accessed":{"date-parts":[["2025",9,20]]},"issued":{"date-parts":[["2025",7,31]]}}},{"id":432,"uris":["http://zotero.org/users/local/G75QjYIy/items/2KJKNLGP</w:instrText>
      </w:r>
      <w:r w:rsidR="00CF3FD1" w:rsidRPr="00DB43B9">
        <w:rPr>
          <w:rFonts w:ascii="Times New Roman" w:hAnsi="Times New Roman" w:cs="Times New Roman"/>
          <w:color w:val="000000"/>
          <w:sz w:val="24"/>
          <w:lang w:val="en-US" w:eastAsia="es-MX"/>
        </w:rPr>
        <w:instrText xml:space="preserve">"],"itemData":{"id":432,"type":"chapter","container-title":"Severe Storms","event-place":"Singapore","ISBN":"978-981-97-7074-8","language":"en","note":"DOI: 10.1007/978-981-97-7075-5_25","page":"647-670","publisher":"Springer Nature Singapore","publisher-place":"Singapore","source":"DOI.org (Crossref)","title":"Socio-Economic Implications of Severe Storms in the Changing Climatic Scenarios: A Case of South Asia","title-short":"Socio-Economic Implications of Severe Storms in the Changing Climatic Scenarios","URL":"https://link.springer.com/10.1007/978-981-97-7075-5_25","editor":[{"family":"Das","given":"Someshwar"},{"family":"Tao","given":"Wei-Kuo"}],"author":[{"family":"Jadhav","given":"Jagdish"},{"family":"Kamble","given":"Pramod"},{"family":"Sharma","given":"Devesh"},{"family":"Manglani","given":"Hemlata"},{"family":"Panda","given":"Gyana Ranjan"},{"family":"Rajput","given":"Priya"}],"accessed":{"date-parts":[["2025",9,20]]},"issued":{"date-parts":[["2025"]]}}}],"schema":"https://github.com/citation-style-language/schema/raw/master/csl-citation.json"} </w:instrText>
      </w:r>
      <w:r w:rsidR="00CF3FD1">
        <w:rPr>
          <w:rFonts w:ascii="Times New Roman" w:hAnsi="Times New Roman" w:cs="Times New Roman"/>
          <w:color w:val="000000"/>
          <w:sz w:val="24"/>
          <w:lang w:val="en-US" w:eastAsia="es-MX"/>
        </w:rPr>
        <w:fldChar w:fldCharType="separate"/>
      </w:r>
      <w:r w:rsidR="00CF3FD1" w:rsidRPr="00DB43B9">
        <w:rPr>
          <w:rFonts w:ascii="Times New Roman" w:hAnsi="Times New Roman" w:cs="Times New Roman"/>
          <w:sz w:val="24"/>
          <w:lang w:val="en-US"/>
        </w:rPr>
        <w:t xml:space="preserve">(Castillo-Loeza </w:t>
      </w:r>
      <w:r w:rsidR="00CF3FD1" w:rsidRPr="00390A71">
        <w:rPr>
          <w:rFonts w:ascii="Times New Roman" w:hAnsi="Times New Roman" w:cs="Times New Roman"/>
          <w:sz w:val="24"/>
          <w:lang w:val="en-US"/>
        </w:rPr>
        <w:t>et al.,</w:t>
      </w:r>
      <w:r w:rsidR="00CF3FD1" w:rsidRPr="00DB43B9">
        <w:rPr>
          <w:rFonts w:ascii="Times New Roman" w:hAnsi="Times New Roman" w:cs="Times New Roman"/>
          <w:i/>
          <w:iCs/>
          <w:sz w:val="24"/>
          <w:lang w:val="en-US"/>
        </w:rPr>
        <w:t xml:space="preserve"> </w:t>
      </w:r>
      <w:r w:rsidR="00CF3FD1" w:rsidRPr="00DB43B9">
        <w:rPr>
          <w:rFonts w:ascii="Times New Roman" w:hAnsi="Times New Roman" w:cs="Times New Roman"/>
          <w:sz w:val="24"/>
          <w:lang w:val="en-US"/>
        </w:rPr>
        <w:t xml:space="preserve">2025; Jadhav </w:t>
      </w:r>
      <w:r w:rsidR="00CF3FD1" w:rsidRPr="00390A71">
        <w:rPr>
          <w:rFonts w:ascii="Times New Roman" w:hAnsi="Times New Roman" w:cs="Times New Roman"/>
          <w:sz w:val="24"/>
          <w:lang w:val="en-US"/>
        </w:rPr>
        <w:t>et al.,</w:t>
      </w:r>
      <w:r w:rsidR="00CF3FD1" w:rsidRPr="00DB43B9">
        <w:rPr>
          <w:rFonts w:ascii="Times New Roman" w:hAnsi="Times New Roman" w:cs="Times New Roman"/>
          <w:sz w:val="24"/>
          <w:lang w:val="en-US"/>
        </w:rPr>
        <w:t xml:space="preserve"> 2025)</w:t>
      </w:r>
      <w:r w:rsidR="00CF3FD1">
        <w:rPr>
          <w:rFonts w:ascii="Times New Roman" w:hAnsi="Times New Roman" w:cs="Times New Roman"/>
          <w:color w:val="000000"/>
          <w:sz w:val="24"/>
          <w:lang w:val="en-US" w:eastAsia="es-MX"/>
        </w:rPr>
        <w:fldChar w:fldCharType="end"/>
      </w:r>
      <w:r w:rsidR="007667F3" w:rsidRPr="00DB43B9">
        <w:rPr>
          <w:rFonts w:ascii="Times New Roman" w:hAnsi="Times New Roman" w:cs="Times New Roman"/>
          <w:color w:val="000000"/>
          <w:sz w:val="24"/>
          <w:lang w:val="en-US" w:eastAsia="es-MX"/>
        </w:rPr>
        <w:t xml:space="preserve">.  </w:t>
      </w:r>
      <w:r w:rsidR="007667F3" w:rsidRPr="007667F3">
        <w:rPr>
          <w:rFonts w:ascii="Times New Roman" w:hAnsi="Times New Roman" w:cs="Times New Roman"/>
          <w:color w:val="000000"/>
          <w:sz w:val="24"/>
          <w:lang w:val="en-US" w:eastAsia="es-MX"/>
        </w:rPr>
        <w:t>Hurricane Manuel provides a clear example: although it did not exceed Category 1, it triggered a landslide in the community of La Pintada, Atoyac de Álvarez, causing devastating losses in terms of human lives and material assets</w:t>
      </w:r>
      <w:r w:rsidR="007667F3">
        <w:rPr>
          <w:rFonts w:ascii="Times New Roman" w:hAnsi="Times New Roman" w:cs="Times New Roman"/>
          <w:color w:val="000000"/>
          <w:sz w:val="24"/>
          <w:lang w:val="en-US" w:eastAsia="es-MX"/>
        </w:rPr>
        <w:t xml:space="preserve"> </w:t>
      </w:r>
      <w:r w:rsidR="00CF3FD1">
        <w:rPr>
          <w:rFonts w:ascii="Times New Roman" w:hAnsi="Times New Roman" w:cs="Times New Roman"/>
          <w:color w:val="000000"/>
          <w:sz w:val="24"/>
          <w:lang w:val="en-US" w:eastAsia="es-MX"/>
        </w:rPr>
        <w:fldChar w:fldCharType="begin"/>
      </w:r>
      <w:r w:rsidR="00CF3FD1">
        <w:rPr>
          <w:rFonts w:ascii="Times New Roman" w:hAnsi="Times New Roman" w:cs="Times New Roman"/>
          <w:color w:val="000000"/>
          <w:sz w:val="24"/>
          <w:lang w:val="en-US" w:eastAsia="es-MX"/>
        </w:rPr>
        <w:instrText xml:space="preserve"> ADDIN ZOTERO_ITEM CSL_CITATION {"citationID":"WFWD8C2S","properties":{"formattedCitation":"(Castillo-Loeza et\\uc0\\u160{}al., 2025)","plainCitation":"(Castillo-Loeza et al., 2025)","noteIndex":0},"citationItems":[{"id":397,"uris":["http://zotero.org/users/local/G75QjYIy/items/2BNQTXCU"],"itemData":{"id":397,"type":"article-journal","abstract":"Abstract\n            Tropical cyclones (TCs) are associated with significant and destructive natural disasters, making the assessment and analysis of the resulting damage essential for effective disaster risk management. The main objectives of this research are to estimate the annual probability of Tropical Cyclones (TCs), analyse four socioeconomic damage variables (fatalities, affected population, damaged houses, and economic losses) related to TCs in Mexico from 1970 to 2023, and construct a composite socioeconomic damage index. Time series analyses were conducted to evaluate the four socioeconomic damage variables extracted from the damage databases. CENAPRED database was selected for a temporal-spatial analysis of cumulative data at the state level, covering the period from 1980 to 2023. A bootstrap PCA analysis was performed to assess the stability of the weights assigned to each variable in the index. At least one hurricane is expected to have socio-economic effects on the national territory each year. Discrepancies in the information from the three databases reveal differences in the reported data and time periods. According to the composite index, states like Guerrero, Veracruz, Oaxaca, and Nuevo León exhibit the highest levels of accumulated damage. However, it’s important to note that in Nuevo León, much of this damage is attributed to indirect impacts, such as extreme precipitation. The discussion emphasizes that cyclone intensity by itself, is not the reason for the damage magnitude, as factors like precipitation levels, and regional vulnerability are crucial drivers.","container-title":"Economics of Disasters and Climate Change","DOI":"10.1007/s41885-025-00179-3","ISSN":"2511-1280, 2511-1299","journalAbbreviation":"EconDisCliCha","language":"en","source":"DOI.org (Crossref)","title":"Tropical Cyclones in Mexico: A Comparative Analysis and a Composite Socioeconomic Damage Index","title-short":"Tropical Cyclones in Mexico","URL":"https://link.springer.com/10.1007/s41885-025-00179-3","author":[{"family":"Castillo-Loeza","given":"Diana Estefania"},{"family":"Romero","given":"David"},{"family":"Quesada-Román","given":"Adolfo"}],"accessed":{"date-parts":[["2025",9,20]]},"issued":{"date-parts":[["2025",7,31]]}}}],"schema":"https://github.com/citation-style-language/schema/raw/master/csl-citation.json"} </w:instrText>
      </w:r>
      <w:r w:rsidR="00CF3FD1">
        <w:rPr>
          <w:rFonts w:ascii="Times New Roman" w:hAnsi="Times New Roman" w:cs="Times New Roman"/>
          <w:color w:val="000000"/>
          <w:sz w:val="24"/>
          <w:lang w:val="en-US" w:eastAsia="es-MX"/>
        </w:rPr>
        <w:fldChar w:fldCharType="separate"/>
      </w:r>
      <w:r w:rsidR="00CF3FD1" w:rsidRPr="00DB43B9">
        <w:rPr>
          <w:rFonts w:ascii="Times New Roman" w:hAnsi="Times New Roman" w:cs="Times New Roman"/>
          <w:sz w:val="24"/>
          <w:lang w:val="en-US"/>
        </w:rPr>
        <w:t>(Castillo-Loeza</w:t>
      </w:r>
      <w:r w:rsidR="00CF3FD1" w:rsidRPr="00390A71">
        <w:rPr>
          <w:rFonts w:ascii="Times New Roman" w:hAnsi="Times New Roman" w:cs="Times New Roman"/>
          <w:sz w:val="24"/>
          <w:lang w:val="en-US"/>
        </w:rPr>
        <w:t xml:space="preserve"> et al.</w:t>
      </w:r>
      <w:r w:rsidR="00CF3FD1" w:rsidRPr="00DB43B9">
        <w:rPr>
          <w:rFonts w:ascii="Times New Roman" w:hAnsi="Times New Roman" w:cs="Times New Roman"/>
          <w:i/>
          <w:iCs/>
          <w:sz w:val="24"/>
          <w:lang w:val="en-US"/>
        </w:rPr>
        <w:t>,</w:t>
      </w:r>
      <w:r w:rsidR="00CF3FD1" w:rsidRPr="00DB43B9">
        <w:rPr>
          <w:rFonts w:ascii="Times New Roman" w:hAnsi="Times New Roman" w:cs="Times New Roman"/>
          <w:sz w:val="24"/>
          <w:lang w:val="en-US"/>
        </w:rPr>
        <w:t xml:space="preserve"> 2025)</w:t>
      </w:r>
      <w:r w:rsidR="00CF3FD1">
        <w:rPr>
          <w:rFonts w:ascii="Times New Roman" w:hAnsi="Times New Roman" w:cs="Times New Roman"/>
          <w:color w:val="000000"/>
          <w:sz w:val="24"/>
          <w:lang w:val="en-US" w:eastAsia="es-MX"/>
        </w:rPr>
        <w:fldChar w:fldCharType="end"/>
      </w:r>
      <w:r w:rsidR="007667F3" w:rsidRPr="007667F3">
        <w:rPr>
          <w:rFonts w:ascii="Times New Roman" w:hAnsi="Times New Roman" w:cs="Times New Roman"/>
          <w:color w:val="000000"/>
          <w:sz w:val="24"/>
          <w:lang w:val="en-US" w:eastAsia="es-MX"/>
        </w:rPr>
        <w:t xml:space="preserve">. This event illustrates the urgency of broadening the assessment framework of the Saffir-Simpson scale by incorporating additional indicators </w:t>
      </w:r>
      <w:r w:rsidR="007667F3" w:rsidRPr="007667F3">
        <w:rPr>
          <w:rFonts w:ascii="Times New Roman" w:hAnsi="Times New Roman" w:cs="Times New Roman"/>
          <w:color w:val="000000"/>
          <w:sz w:val="24"/>
          <w:lang w:val="en-US" w:eastAsia="es-MX"/>
        </w:rPr>
        <w:lastRenderedPageBreak/>
        <w:t>such as rainfall accumulation and soil saturation—factors that are critical in mountainous areas prone to landslides</w:t>
      </w:r>
      <w:r w:rsidR="007667F3">
        <w:rPr>
          <w:rFonts w:ascii="Times New Roman" w:hAnsi="Times New Roman" w:cs="Times New Roman"/>
          <w:color w:val="000000"/>
          <w:sz w:val="24"/>
          <w:lang w:val="en-US" w:eastAsia="es-MX"/>
        </w:rPr>
        <w:t xml:space="preserve"> </w:t>
      </w:r>
      <w:r w:rsidR="00CF3FD1">
        <w:rPr>
          <w:rFonts w:ascii="Times New Roman" w:hAnsi="Times New Roman" w:cs="Times New Roman"/>
          <w:color w:val="000000"/>
          <w:sz w:val="24"/>
          <w:lang w:val="en-US" w:eastAsia="es-MX"/>
        </w:rPr>
        <w:fldChar w:fldCharType="begin"/>
      </w:r>
      <w:r w:rsidR="00CF3FD1">
        <w:rPr>
          <w:rFonts w:ascii="Times New Roman" w:hAnsi="Times New Roman" w:cs="Times New Roman"/>
          <w:color w:val="000000"/>
          <w:sz w:val="24"/>
          <w:lang w:val="en-US" w:eastAsia="es-MX"/>
        </w:rPr>
        <w:instrText xml:space="preserve"> ADDIN ZOTERO_ITEM CSL_CITATION {"citationID":"z2RxhImc","properties":{"formattedCitation":"(Conforti &amp; Ietto, 2019)","plainCitation":"(Conforti &amp; Ietto, 2019)","noteIndex":0},"citationItems":[{"id":434,"uris":["http://zotero.org/users/local/G75QjYIy/items/NJFCINKJ"],"itemData":{"id":434,"type":"article-journal","container-title":"Bulletin of Engineering Geology and the Environment","DOI":"10.1007/s10064-018-1311-9","ISSN":"1435-9529, 1435-9537","issue":"4","journalAbbreviation":"Bull Eng Geol Environ","language":"en","page":"2355-2375","source":"DOI.org (Crossref)","title":"An integrated approach to investigate slope instability affecting infrastructures","volume":"78","author":[{"family":"Conforti","given":"Massimo"},{"family":"Ietto","given":"Fabio"}],"issued":{"date-parts":[["2019",6]]}}}],"schema":"https://github.com/citation-style-language/schema/raw/master/csl-citation.json"} </w:instrText>
      </w:r>
      <w:r w:rsidR="00CF3FD1">
        <w:rPr>
          <w:rFonts w:ascii="Times New Roman" w:hAnsi="Times New Roman" w:cs="Times New Roman"/>
          <w:color w:val="000000"/>
          <w:sz w:val="24"/>
          <w:lang w:val="en-US" w:eastAsia="es-MX"/>
        </w:rPr>
        <w:fldChar w:fldCharType="separate"/>
      </w:r>
      <w:r w:rsidR="00CF3FD1" w:rsidRPr="00CF3FD1">
        <w:rPr>
          <w:rFonts w:ascii="Times New Roman" w:hAnsi="Times New Roman" w:cs="Times New Roman"/>
          <w:sz w:val="24"/>
          <w:lang w:val="en-US"/>
        </w:rPr>
        <w:t>(Conforti &amp; Ietto, 2019)</w:t>
      </w:r>
      <w:r w:rsidR="00CF3FD1">
        <w:rPr>
          <w:rFonts w:ascii="Times New Roman" w:hAnsi="Times New Roman" w:cs="Times New Roman"/>
          <w:color w:val="000000"/>
          <w:sz w:val="24"/>
          <w:lang w:val="en-US" w:eastAsia="es-MX"/>
        </w:rPr>
        <w:fldChar w:fldCharType="end"/>
      </w:r>
      <w:r w:rsidR="007667F3" w:rsidRPr="007667F3">
        <w:rPr>
          <w:rFonts w:ascii="Times New Roman" w:hAnsi="Times New Roman" w:cs="Times New Roman"/>
          <w:color w:val="000000"/>
          <w:sz w:val="24"/>
          <w:lang w:val="en-US" w:eastAsia="es-MX"/>
        </w:rPr>
        <w:t>.</w:t>
      </w:r>
    </w:p>
    <w:p w14:paraId="71F4653B" w14:textId="25086645" w:rsidR="007667F3" w:rsidRPr="007667F3" w:rsidRDefault="005C6ADE" w:rsidP="009E7438">
      <w:pPr>
        <w:tabs>
          <w:tab w:val="center" w:pos="4420"/>
        </w:tabs>
        <w:autoSpaceDE w:val="0"/>
        <w:autoSpaceDN w:val="0"/>
        <w:adjustRightInd w:val="0"/>
        <w:spacing w:after="0" w:line="360" w:lineRule="auto"/>
        <w:jc w:val="both"/>
        <w:rPr>
          <w:rFonts w:ascii="Times New Roman" w:hAnsi="Times New Roman" w:cs="Times New Roman"/>
          <w:color w:val="000000"/>
          <w:sz w:val="24"/>
          <w:lang w:val="en-US" w:eastAsia="es-MX"/>
        </w:rPr>
      </w:pPr>
      <w:r w:rsidRPr="007667F3">
        <w:rPr>
          <w:rFonts w:ascii="Times New Roman" w:hAnsi="Times New Roman" w:cs="Times New Roman"/>
          <w:color w:val="000000"/>
          <w:sz w:val="24"/>
          <w:lang w:val="en-US" w:eastAsia="es-MX"/>
        </w:rPr>
        <w:tab/>
        <w:t xml:space="preserve">           </w:t>
      </w:r>
      <w:r w:rsidR="007667F3" w:rsidRPr="007667F3">
        <w:rPr>
          <w:rFonts w:ascii="Times New Roman" w:hAnsi="Times New Roman" w:cs="Times New Roman"/>
          <w:color w:val="000000"/>
          <w:sz w:val="24"/>
          <w:lang w:val="en-US" w:eastAsia="es-MX"/>
        </w:rPr>
        <w:t>On the other hand, Hurricanes John (Category 2) and Otis (Category 5) highlight how stronger wind intensity leads to more severe structural damage and long-term consequence</w:t>
      </w:r>
      <w:r w:rsidR="007667F3">
        <w:rPr>
          <w:rFonts w:ascii="Times New Roman" w:hAnsi="Times New Roman" w:cs="Times New Roman"/>
          <w:color w:val="000000"/>
          <w:sz w:val="24"/>
          <w:lang w:val="en-US" w:eastAsia="es-MX"/>
        </w:rPr>
        <w:t xml:space="preserve"> </w:t>
      </w:r>
      <w:r w:rsidR="00CF3FD1">
        <w:rPr>
          <w:rFonts w:ascii="Times New Roman" w:hAnsi="Times New Roman" w:cs="Times New Roman"/>
          <w:color w:val="000000"/>
          <w:sz w:val="24"/>
          <w:lang w:val="en-US" w:eastAsia="es-MX"/>
        </w:rPr>
        <w:fldChar w:fldCharType="begin"/>
      </w:r>
      <w:r w:rsidR="00CF3FD1">
        <w:rPr>
          <w:rFonts w:ascii="Times New Roman" w:hAnsi="Times New Roman" w:cs="Times New Roman"/>
          <w:color w:val="000000"/>
          <w:sz w:val="24"/>
          <w:lang w:val="en-US" w:eastAsia="es-MX"/>
        </w:rPr>
        <w:instrText xml:space="preserve"> ADDIN ZOTERO_ITEM CSL_CITATION {"citationID":"00WKgSsr","properties":{"formattedCitation":"(Emrich et\\uc0\\u160{}al., 2022; Ram\\uc0\\u237{}rez-Herrera et\\uc0\\u160{}al., 2025)","plainCitation":"(Emrich et al., 2022; Ramírez-Herrera et al., 2025)","noteIndex":0},"citationItems":[{"id":435,"uris":["http://zotero.org/users/local/G75QjYIy/items/9YTQZVGX"],"itemData":{"id":435,"type":"article-journal","abstract":"The US is exposed to myriad natural hazards causing USD billions in damages and thousands of fatalities each year. Significant population and economic growth during the last several decades have resulted in more people residing in hazardous places. However, consistent national-scale hazard threat assessment techniques reflecting the state of hazard knowledge are not readily available for application in risk and vulnerability assessments. Mapping natural hazard threats is the crucial first step in identifying and implementing threat reduction or mitigation strategies. In this study, we demonstrate applied GIS approaches for creating and synthesizing US hazard threat extents using publicly available data for 15 natural hazards. Individually mapping each threat enables empirically supported intervention development and the building of a Composite Hazard Index (CHI). Summarizing the hazard frequencies provides a novel representation of US hazardousness. Implementing cluster analysis to regionalize US counties based on their underlying hazard characteristics offers insight into hazard threats’ spatial (non-political) natures. The results indicate that the southeast, central plains, and coastal regions of the northeast had high hazard occurrence scores, whereas more moderate hazard scores were observed west of the continental divide. Furthermore, while no place is safe from hazard occurrence, identifying each region’s distinct “hazardousness” can support individualized risk</w:instrText>
      </w:r>
      <w:r w:rsidR="00CF3FD1" w:rsidRPr="00301B17">
        <w:rPr>
          <w:rFonts w:ascii="Times New Roman" w:hAnsi="Times New Roman" w:cs="Times New Roman"/>
          <w:color w:val="000000"/>
          <w:sz w:val="24"/>
          <w:lang w:val="en-US" w:eastAsia="es-MX"/>
        </w:rPr>
        <w:instrText xml:space="preserve"> assessments and mitigation intervention development.","container-title":"Sustainability","DOI":"10.3390/su14052685","ISSN":"2071-1050","issue":"5","journalAbbreviation":"Sustainability","language":"en","license":"https://creativecommons.org/licenses/by/4.0/","page":"2685","source":"DOI.org (Crossref)","title":"Creating a Nationwide Composite Hazard Index Using Empirically Based Threat Assessment Approaches Applied to Open Geospatial Data","volume":"14","author":[{"family":"Emrich","given":"Christopher T."},{"family":"Zhou","given":"Yao"},{"family":"Aksha","given":"Sanam K."},{"family":"Longenecker","given":"Herbert E."}],"issued":{"date-parts":[["2022",2,25]]}}},{"id":437,"uris":["http://zotero.org/users/local/G75QjYIy/items/P2DLRGCL"],"itemData":{"id":437,"type":"article-journal","container-title":"Global and Earth Surface Processes Change","DOI":"10.1016/j.gespch.2025.100004","ISSN":"295047</w:instrText>
      </w:r>
      <w:r w:rsidR="00CF3FD1" w:rsidRPr="00DB43B9">
        <w:rPr>
          <w:rFonts w:ascii="Times New Roman" w:hAnsi="Times New Roman" w:cs="Times New Roman"/>
          <w:color w:val="000000"/>
          <w:sz w:val="24"/>
          <w:lang w:val="en-US" w:eastAsia="es-MX"/>
        </w:rPr>
        <w:instrText xml:space="preserve">40","journalAbbreviation":"Global and Earth Surface Processes Change","language":"en","page":"100004","source":"DOI.org (Crossref)","title":"Hurricane Otis: Category 5 storm effects and cascading hazards in Acapulco Bay, Mexico","title-short":"Hurricane Otis","volume":"3","author":[{"family":"Ramírez-Herrera","given":"María Teresa"},{"family":"Coca","given":"Oswaldo"},{"family":"Gaidzik","given":"Krzysztof"},{"family":"Vargas Espinosa","given":"Víctor H."}],"issued":{"date-parts":[["2025",6]]}}}],"schema":"https://github.com/citation-style-language/schema/raw/master/csl-citation.json"} </w:instrText>
      </w:r>
      <w:r w:rsidR="00CF3FD1">
        <w:rPr>
          <w:rFonts w:ascii="Times New Roman" w:hAnsi="Times New Roman" w:cs="Times New Roman"/>
          <w:color w:val="000000"/>
          <w:sz w:val="24"/>
          <w:lang w:val="en-US" w:eastAsia="es-MX"/>
        </w:rPr>
        <w:fldChar w:fldCharType="separate"/>
      </w:r>
      <w:r w:rsidR="00CF3FD1" w:rsidRPr="00DB43B9">
        <w:rPr>
          <w:rFonts w:ascii="Times New Roman" w:hAnsi="Times New Roman" w:cs="Times New Roman"/>
          <w:sz w:val="24"/>
          <w:lang w:val="en-US"/>
        </w:rPr>
        <w:t xml:space="preserve">(Emrich </w:t>
      </w:r>
      <w:r w:rsidR="00CF3FD1" w:rsidRPr="00390A71">
        <w:rPr>
          <w:rFonts w:ascii="Times New Roman" w:hAnsi="Times New Roman" w:cs="Times New Roman"/>
          <w:sz w:val="24"/>
          <w:lang w:val="en-US"/>
        </w:rPr>
        <w:t>et al.,</w:t>
      </w:r>
      <w:r w:rsidR="00CF3FD1" w:rsidRPr="00DB43B9">
        <w:rPr>
          <w:rFonts w:ascii="Times New Roman" w:hAnsi="Times New Roman" w:cs="Times New Roman"/>
          <w:sz w:val="24"/>
          <w:lang w:val="en-US"/>
        </w:rPr>
        <w:t xml:space="preserve"> 2022; Ramírez-Herrera </w:t>
      </w:r>
      <w:r w:rsidR="00CF3FD1" w:rsidRPr="00390A71">
        <w:rPr>
          <w:rFonts w:ascii="Times New Roman" w:hAnsi="Times New Roman" w:cs="Times New Roman"/>
          <w:sz w:val="24"/>
          <w:lang w:val="en-US"/>
        </w:rPr>
        <w:t xml:space="preserve">et al., </w:t>
      </w:r>
      <w:r w:rsidR="00CF3FD1" w:rsidRPr="00DB43B9">
        <w:rPr>
          <w:rFonts w:ascii="Times New Roman" w:hAnsi="Times New Roman" w:cs="Times New Roman"/>
          <w:sz w:val="24"/>
          <w:lang w:val="en-US"/>
        </w:rPr>
        <w:t>2025)</w:t>
      </w:r>
      <w:r w:rsidR="00CF3FD1">
        <w:rPr>
          <w:rFonts w:ascii="Times New Roman" w:hAnsi="Times New Roman" w:cs="Times New Roman"/>
          <w:color w:val="000000"/>
          <w:sz w:val="24"/>
          <w:lang w:val="en-US" w:eastAsia="es-MX"/>
        </w:rPr>
        <w:fldChar w:fldCharType="end"/>
      </w:r>
      <w:r w:rsidR="007667F3" w:rsidRPr="00DB43B9">
        <w:rPr>
          <w:rFonts w:ascii="Times New Roman" w:hAnsi="Times New Roman" w:cs="Times New Roman"/>
          <w:color w:val="000000"/>
          <w:sz w:val="24"/>
          <w:lang w:val="en-US" w:eastAsia="es-MX"/>
        </w:rPr>
        <w:t xml:space="preserve">. </w:t>
      </w:r>
      <w:r w:rsidR="007667F3" w:rsidRPr="007667F3">
        <w:rPr>
          <w:rFonts w:ascii="Times New Roman" w:hAnsi="Times New Roman" w:cs="Times New Roman"/>
          <w:color w:val="000000"/>
          <w:sz w:val="24"/>
          <w:lang w:val="en-US" w:eastAsia="es-MX"/>
        </w:rPr>
        <w:t>John caused significant damage to roofs, windows, and coastal roads, affecting the connectivity of rural communities. In contrast, Otis represents a watershed event in Guerrero’s recent history: with winds exceeding 270 km/h, it reached Category 5 and caused unprecedented destruction in Acapulco and surrounding coastal areas</w:t>
      </w:r>
      <w:r w:rsidR="007667F3">
        <w:rPr>
          <w:rFonts w:ascii="Times New Roman" w:hAnsi="Times New Roman" w:cs="Times New Roman"/>
          <w:color w:val="000000"/>
          <w:sz w:val="24"/>
          <w:lang w:val="en-US" w:eastAsia="es-MX"/>
        </w:rPr>
        <w:t xml:space="preserve"> </w:t>
      </w:r>
      <w:r w:rsidR="00CF3FD1">
        <w:rPr>
          <w:rFonts w:ascii="Times New Roman" w:hAnsi="Times New Roman" w:cs="Times New Roman"/>
          <w:color w:val="000000"/>
          <w:sz w:val="24"/>
          <w:lang w:val="en-US" w:eastAsia="es-MX"/>
        </w:rPr>
        <w:fldChar w:fldCharType="begin"/>
      </w:r>
      <w:r w:rsidR="00CF3FD1">
        <w:rPr>
          <w:rFonts w:ascii="Times New Roman" w:hAnsi="Times New Roman" w:cs="Times New Roman"/>
          <w:color w:val="000000"/>
          <w:sz w:val="24"/>
          <w:lang w:val="en-US" w:eastAsia="es-MX"/>
        </w:rPr>
        <w:instrText xml:space="preserve"> ADDIN ZOTERO_ITEM CSL_CITATION {"citationID":"c2LFf1f5","properties":{"formattedCitation":"(Mor\\uc0\\u225{}n-Rodr\\uc0\\u237{}guez &amp; Novelo-Casanova, 2018; Valderrama-Landeros et\\uc0\\u160{}al., 2025)","plainCitation":"(Morán-Rodríguez &amp; Novelo-Casanova, 2018; Valderrama-Landeros et al., 2025)","noteIndex":0},"citationItems":[{"id":439,"uris":["http://zotero.org/users/local/G75QjYIy/items/YGYAYG22"],"itemData":{"id":439,"type":"article-journal","container-title":"Natural Hazards","DOI":"10.1007/s11069-017-3101-2","ISSN":"0921-030X, 1573-0840","issue":"3","journalAbbreviation":"Nat Hazards","language":"en","page":"1349-1375","source":"DOI.org (Crossref)","title":"A methodology to estimate seismic vulnerability of health facilities. Case study: Mexico City, Mexico","title-short":"A methodology to estimate seismic vulnerability of health facilities. Case study","volume":"90","author":[{"family":"Morán-Rodríguez","given":"Sonia"},{"family":"Novelo-Casanova","given":"David A."}],"issued":{"date-parts":[["2018",2]]}}},{"id":438,"uris":["http://zotero.org/users/local/G75QjYIy/items/2X7LLCZI"],"itemData":{"id":438,"type":"article-journal","abstract":"The city of Acapulco was impacted by two near-consecutive hurricanes. On 25 October 2023, Hurricane Otis made landfall, reaching the highest Category 5 storm on the Saffir–Simpson scale, causing extensive coastal destruction due to extreme winds and waves. Nearly one year later (23 September 2024), Hurricane John—a Category 2 storm—caused severe flooding despite its lower intensity, primarily due to its unusual trajectory and prolonged rainfall. Digital shoreline analysis of PlanetScope images (captured one month before and after Hurricane Otis) revealed that the southern coast of Acapulco, specifically Zona Diamante—where the major seafront hotels are located—experienced substantial shoreline erosion (94 ha) and damage. I</w:instrText>
      </w:r>
      <w:r w:rsidR="00CF3FD1" w:rsidRPr="00DB43B9">
        <w:rPr>
          <w:rFonts w:ascii="Times New Roman" w:hAnsi="Times New Roman" w:cs="Times New Roman"/>
          <w:color w:val="000000"/>
          <w:sz w:val="24"/>
          <w:lang w:val="en-US" w:eastAsia="es-MX"/>
        </w:rPr>
        <w:instrText xml:space="preserve">n the northwestern section of the study area, the Coyuca Bar experienced the most dramatic geomorphological change in surface area. This was primarily due to the complete disappearance of the bar on October 26, which resulted in a shoreline retreat of 85 m immediately after the passage of Hurricane Otis. Sentinel-1 Synthetic Aperture Radar (SAR) showed that Hurricane John inundated 2385 ha, four times greater than Hurricane Otis’s flooding (567 ha). The retrofitted QGIS methodology demonstrated high reliability when compared to limited in situ local reports. Given the increased frequency of intense hurricanes, these methods and findings will be relevant in other coastal areas for monitoring and managing local communities affected by severe climate events.","container-title":"Coasts","DOI":"10.3390/coasts5030028","ISSN":"2673-964X","issue":"3","journalAbbreviation":"Coasts","language":"en","license":"https://creativecommons.org/licenses/by/4.0/","page":"28","source":"DOI.org (Crossref)","title":"Shoreline Response to Hurricane Otis and Flooding Impact from Hurricane John in Acapulco, Mexico","volume":"5","author":[{"family":"Valderrama-Landeros","given":"Luis"},{"family":"Pérez-Espinosa","given":"Iliana"},{"family":"Villeda-Chávez","given":"Edgar"},{"family":"Alarcón-Medina","given":"Rafael"},{"family":"Flores-de-Santiago","given":"Francisco"}],"issued":{"date-parts":[["2025",8,4]]}}}],"schema":"https://github.com/citation-style-language/schema/raw/master/csl-citation.json"} </w:instrText>
      </w:r>
      <w:r w:rsidR="00CF3FD1">
        <w:rPr>
          <w:rFonts w:ascii="Times New Roman" w:hAnsi="Times New Roman" w:cs="Times New Roman"/>
          <w:color w:val="000000"/>
          <w:sz w:val="24"/>
          <w:lang w:val="en-US" w:eastAsia="es-MX"/>
        </w:rPr>
        <w:fldChar w:fldCharType="separate"/>
      </w:r>
      <w:r w:rsidR="00CF3FD1" w:rsidRPr="00DB43B9">
        <w:rPr>
          <w:rFonts w:ascii="Times New Roman" w:hAnsi="Times New Roman" w:cs="Times New Roman"/>
          <w:sz w:val="24"/>
          <w:lang w:val="en-US"/>
        </w:rPr>
        <w:t xml:space="preserve">(Morán-Rodríguez &amp; Novelo-Casanova, 2018; Valderrama-Landeros </w:t>
      </w:r>
      <w:r w:rsidR="00CF3FD1" w:rsidRPr="00390A71">
        <w:rPr>
          <w:rFonts w:ascii="Times New Roman" w:hAnsi="Times New Roman" w:cs="Times New Roman"/>
          <w:sz w:val="24"/>
          <w:lang w:val="en-US"/>
        </w:rPr>
        <w:t>et al.,</w:t>
      </w:r>
      <w:r w:rsidR="00CF3FD1" w:rsidRPr="00DB43B9">
        <w:rPr>
          <w:rFonts w:ascii="Times New Roman" w:hAnsi="Times New Roman" w:cs="Times New Roman"/>
          <w:sz w:val="24"/>
          <w:lang w:val="en-US"/>
        </w:rPr>
        <w:t xml:space="preserve"> 2025)</w:t>
      </w:r>
      <w:r w:rsidR="00CF3FD1">
        <w:rPr>
          <w:rFonts w:ascii="Times New Roman" w:hAnsi="Times New Roman" w:cs="Times New Roman"/>
          <w:color w:val="000000"/>
          <w:sz w:val="24"/>
          <w:lang w:val="en-US" w:eastAsia="es-MX"/>
        </w:rPr>
        <w:fldChar w:fldCharType="end"/>
      </w:r>
      <w:r w:rsidR="007667F3" w:rsidRPr="00DB43B9">
        <w:rPr>
          <w:rFonts w:ascii="Times New Roman" w:hAnsi="Times New Roman" w:cs="Times New Roman"/>
          <w:color w:val="000000"/>
          <w:sz w:val="24"/>
          <w:lang w:val="en-US" w:eastAsia="es-MX"/>
        </w:rPr>
        <w:t xml:space="preserve">.  </w:t>
      </w:r>
      <w:r w:rsidR="007667F3" w:rsidRPr="007667F3">
        <w:rPr>
          <w:rFonts w:ascii="Times New Roman" w:hAnsi="Times New Roman" w:cs="Times New Roman"/>
          <w:color w:val="000000"/>
          <w:sz w:val="24"/>
          <w:lang w:val="en-US" w:eastAsia="es-MX"/>
        </w:rPr>
        <w:t>The total devastation of homes, hotels, hospitals, and basic services revealed the critical vulnerability of urban infrastructure to extreme events</w:t>
      </w:r>
      <w:r w:rsidR="007667F3">
        <w:rPr>
          <w:rFonts w:ascii="Times New Roman" w:hAnsi="Times New Roman" w:cs="Times New Roman"/>
          <w:color w:val="000000"/>
          <w:sz w:val="24"/>
          <w:lang w:val="en-US" w:eastAsia="es-MX"/>
        </w:rPr>
        <w:t xml:space="preserve"> </w:t>
      </w:r>
      <w:r w:rsidR="00CF3FD1">
        <w:rPr>
          <w:rFonts w:ascii="Times New Roman" w:hAnsi="Times New Roman" w:cs="Times New Roman"/>
          <w:color w:val="000000"/>
          <w:sz w:val="24"/>
          <w:lang w:val="en-US" w:eastAsia="es-MX"/>
        </w:rPr>
        <w:fldChar w:fldCharType="begin"/>
      </w:r>
      <w:r w:rsidR="00CF3FD1">
        <w:rPr>
          <w:rFonts w:ascii="Times New Roman" w:hAnsi="Times New Roman" w:cs="Times New Roman"/>
          <w:color w:val="000000"/>
          <w:sz w:val="24"/>
          <w:lang w:val="en-US" w:eastAsia="es-MX"/>
        </w:rPr>
        <w:instrText xml:space="preserve"> ADDIN ZOTERO_ITEM CSL_CITATION {"citationID":"7Jbyx361","properties":{"formattedCitation":"(Emanuel, 2017)","plainCitation":"(Emanuel, 2017)","noteIndex":0},"citationItems":[{"id":441,"uris":["http://zotero.org/users/local/G75QjYIy/items/5W6PWSX7"],"itemData":{"id":441,"type":"article-journal","abstract":"Abstract\n            Hurricane track forecasts have improved steadily over the past few decades, yet forecasting hurricane intensity remains challenging. Of special concern are the rare instances of tropical cyclones that intensify rapidly just before landfall, catching forecasters and populations off guard, thereby risking large casualties. Here, we review two historical examples of such events and use scaling arguments and models to show that rapid intensification just before landfall is likely to become increasingly frequent and severe as the globe warms.","container-title":"Bulletin of the American Meteorological Society","DOI":"10.1175/BAMS-D-16-0134.1","ISSN":"0003-0007, 1520-0477","issue":"3","language":"en","license":"http://www.ametsoc.org/PUBSReuseLicenses","page":"495-501","source":"DOI.org (Crossref)","title":"Will Global Warming Make Hurricane Forecasting More Difficult?","volume":"98","author":[{"family":"Emanuel","given":"Kerry"}],"issued":{"date-parts":[["2017",3,1]]}}}],"schema":"https://github.com/citation-style-language/schema/raw/master/csl-citation.json"} </w:instrText>
      </w:r>
      <w:r w:rsidR="00CF3FD1">
        <w:rPr>
          <w:rFonts w:ascii="Times New Roman" w:hAnsi="Times New Roman" w:cs="Times New Roman"/>
          <w:color w:val="000000"/>
          <w:sz w:val="24"/>
          <w:lang w:val="en-US" w:eastAsia="es-MX"/>
        </w:rPr>
        <w:fldChar w:fldCharType="separate"/>
      </w:r>
      <w:r w:rsidR="00CF3FD1" w:rsidRPr="00CF3FD1">
        <w:rPr>
          <w:rFonts w:ascii="Times New Roman" w:hAnsi="Times New Roman" w:cs="Times New Roman"/>
          <w:sz w:val="24"/>
          <w:lang w:val="en-US"/>
        </w:rPr>
        <w:t>(Emanuel, 2017)</w:t>
      </w:r>
      <w:r w:rsidR="00CF3FD1">
        <w:rPr>
          <w:rFonts w:ascii="Times New Roman" w:hAnsi="Times New Roman" w:cs="Times New Roman"/>
          <w:color w:val="000000"/>
          <w:sz w:val="24"/>
          <w:lang w:val="en-US" w:eastAsia="es-MX"/>
        </w:rPr>
        <w:fldChar w:fldCharType="end"/>
      </w:r>
      <w:r w:rsidR="007667F3" w:rsidRPr="007667F3">
        <w:rPr>
          <w:rFonts w:ascii="Times New Roman" w:hAnsi="Times New Roman" w:cs="Times New Roman"/>
          <w:color w:val="000000"/>
          <w:sz w:val="24"/>
          <w:lang w:val="en-US" w:eastAsia="es-MX"/>
        </w:rPr>
        <w:t>. These outcomes are consistent with the arguments of Emanuel</w:t>
      </w:r>
      <w:r w:rsidR="007667F3">
        <w:rPr>
          <w:rFonts w:ascii="Times New Roman" w:hAnsi="Times New Roman" w:cs="Times New Roman"/>
          <w:color w:val="000000"/>
          <w:sz w:val="24"/>
          <w:lang w:val="en-US" w:eastAsia="es-MX"/>
        </w:rPr>
        <w:t xml:space="preserve"> </w:t>
      </w:r>
      <w:r w:rsidR="00CF3FD1">
        <w:rPr>
          <w:rFonts w:ascii="Times New Roman" w:hAnsi="Times New Roman" w:cs="Times New Roman"/>
          <w:color w:val="000000"/>
          <w:sz w:val="24"/>
          <w:lang w:val="en-US" w:eastAsia="es-MX"/>
        </w:rPr>
        <w:fldChar w:fldCharType="begin"/>
      </w:r>
      <w:r w:rsidR="00CF3FD1">
        <w:rPr>
          <w:rFonts w:ascii="Times New Roman" w:hAnsi="Times New Roman" w:cs="Times New Roman"/>
          <w:color w:val="000000"/>
          <w:sz w:val="24"/>
          <w:lang w:val="en-US" w:eastAsia="es-MX"/>
        </w:rPr>
        <w:instrText xml:space="preserve"> ADDIN ZOTERO_ITEM CSL_CITATION {"citationID":"Zj5zmXQt","properties":{"formattedCitation":"(Emanuel, 2017)","plainCitation":"(Emanuel, 2017)","noteIndex":0},"citationItems":[{"id":441,"uris":["http://zotero.org/users/local/G75QjYIy/items/5W6PWSX7"],"itemData":{"id":441,"type":"article-journal","abstract":"Abstract\n            Hurricane track forecasts have improved steadily over the past few decades, yet forecasting hurricane intensity remains challenging. Of special concern are the rare instances of tropical cyclones that intensify rapidly just before landfall, catching forecasters and populations off guard, thereby risking large casualties. Here, we review two historical examples of such events and use scaling arguments and models to show that rapid intensification just before landfall is likely to become increasingly frequent and severe as the globe warms.","container-title":"Bulletin of the American Meteorological Society","DOI":"10.1175/BAMS-D-16-0134.1","ISSN":"0003-0007, 1520-0477","issue":"3","language":"en","license":"http://www.ametsoc.org/PUBSReuseLicenses","page":"495-501","source":"DOI.org (Crossref)","title":"Will Global Warming Make Hurricane Forecasting More Difficult?","volume":"98","author":[{"family":"Emanuel","given":"Kerry"}],"issued":{"date-parts":[["2017",3,1]]}}}],"schema":"https://github.com/citation-style-language/schema/raw/master/csl-citation.json"} </w:instrText>
      </w:r>
      <w:r w:rsidR="00CF3FD1">
        <w:rPr>
          <w:rFonts w:ascii="Times New Roman" w:hAnsi="Times New Roman" w:cs="Times New Roman"/>
          <w:color w:val="000000"/>
          <w:sz w:val="24"/>
          <w:lang w:val="en-US" w:eastAsia="es-MX"/>
        </w:rPr>
        <w:fldChar w:fldCharType="separate"/>
      </w:r>
      <w:r w:rsidR="00CF3FD1" w:rsidRPr="00CF3FD1">
        <w:rPr>
          <w:rFonts w:ascii="Times New Roman" w:hAnsi="Times New Roman" w:cs="Times New Roman"/>
          <w:sz w:val="24"/>
          <w:lang w:val="en-US"/>
        </w:rPr>
        <w:t>(Emanuel, 2017)</w:t>
      </w:r>
      <w:r w:rsidR="00CF3FD1">
        <w:rPr>
          <w:rFonts w:ascii="Times New Roman" w:hAnsi="Times New Roman" w:cs="Times New Roman"/>
          <w:color w:val="000000"/>
          <w:sz w:val="24"/>
          <w:lang w:val="en-US" w:eastAsia="es-MX"/>
        </w:rPr>
        <w:fldChar w:fldCharType="end"/>
      </w:r>
      <w:r w:rsidR="007667F3" w:rsidRPr="007667F3">
        <w:rPr>
          <w:rFonts w:ascii="Times New Roman" w:hAnsi="Times New Roman" w:cs="Times New Roman"/>
          <w:color w:val="000000"/>
          <w:sz w:val="24"/>
          <w:lang w:val="en-US" w:eastAsia="es-MX"/>
        </w:rPr>
        <w:t xml:space="preserve"> and the IPCC</w:t>
      </w:r>
      <w:r w:rsidR="007667F3">
        <w:rPr>
          <w:rFonts w:ascii="Times New Roman" w:hAnsi="Times New Roman" w:cs="Times New Roman"/>
          <w:color w:val="000000"/>
          <w:sz w:val="24"/>
          <w:lang w:val="en-US" w:eastAsia="es-MX"/>
        </w:rPr>
        <w:t xml:space="preserve"> </w:t>
      </w:r>
      <w:r w:rsidR="00CF3FD1">
        <w:rPr>
          <w:rFonts w:ascii="Times New Roman" w:hAnsi="Times New Roman" w:cs="Times New Roman"/>
          <w:color w:val="000000"/>
          <w:sz w:val="24"/>
          <w:lang w:val="en-US" w:eastAsia="es-MX"/>
        </w:rPr>
        <w:fldChar w:fldCharType="begin"/>
      </w:r>
      <w:r w:rsidR="00CF3FD1">
        <w:rPr>
          <w:rFonts w:ascii="Times New Roman" w:hAnsi="Times New Roman" w:cs="Times New Roman"/>
          <w:color w:val="000000"/>
          <w:sz w:val="24"/>
          <w:lang w:val="en-US" w:eastAsia="es-MX"/>
        </w:rPr>
        <w:instrText xml:space="preserve"> ADDIN ZOTERO_ITEM CSL_CITATION {"citationID":"9PHq3OPi","properties":{"formattedCitation":"(IPCC, 2023)","plainCitation":"(IPCC, 2023)","noteIndex":0},"citationItems":[{"id":384,"uris":["http://zotero.org/users/local/G75QjYIy/items/YRUZG75K"],"itemData":{"id":384,"type":"book","abstract":"The Working Group I contribution to the Sixth Assessment Report of the Intergovernmental Panel on Climate Change (IPCC) provides a comprehensive assessment of the physical science basis of climate change. It considers in situ and remote observations; paleoclimate information; understanding of climate drivers and physical, chemical, and biological processes and feedbacks; global and regional climate modelling; advances in methods of analyses; and insights from climate services. It assesses the current state of the climate; human influence on climate in all regions; future climate change including sea level rise; global warming effects including extremes; climate information for risk assessment and regional adaptation; limiting climate change by reaching net zero carbon dioxide emissions and reducing other greenhouse gas emissions; and benefits for air quality. The report serves policymakers, decision makers, stakeholders, and all interested parties with the latest policy-relevant information on climate change. Available as Open Access on Cambridge Core.","edition":"1","ISBN":"978-1-009-15789-6","license":"https://www.cambridge.org/core/terms","note":"DOI: 10.1017/9781009157896","publisher":"Cambridge University Press","source":"DOI.org (Crossref)","title":"Climate Change 2021 – The Physical Science Basis: Working Group I Contribution to the Sixth Assessment Report of the Intergovernmental Panel on Climate Change","title-short":"Climate Change 2021 – The Physical Science Basis","URL":"https://www.cambridge.org/core/product/identifier/9781009157896/type/book","author":[{"family":"IPCC","given":""}],"accessed":{"date-parts":[["2025",9,20]]},"issued":{"date-parts":[["2023",7,6]]}}}],"schema":"https://github.com/citation-style-language/schema/raw/master/csl-citation.json"} </w:instrText>
      </w:r>
      <w:r w:rsidR="00CF3FD1">
        <w:rPr>
          <w:rFonts w:ascii="Times New Roman" w:hAnsi="Times New Roman" w:cs="Times New Roman"/>
          <w:color w:val="000000"/>
          <w:sz w:val="24"/>
          <w:lang w:val="en-US" w:eastAsia="es-MX"/>
        </w:rPr>
        <w:fldChar w:fldCharType="separate"/>
      </w:r>
      <w:r w:rsidR="00CF3FD1" w:rsidRPr="00CF3FD1">
        <w:rPr>
          <w:rFonts w:ascii="Times New Roman" w:hAnsi="Times New Roman" w:cs="Times New Roman"/>
          <w:sz w:val="24"/>
          <w:lang w:val="en-US"/>
        </w:rPr>
        <w:t>(IPCC, 2023)</w:t>
      </w:r>
      <w:r w:rsidR="00CF3FD1">
        <w:rPr>
          <w:rFonts w:ascii="Times New Roman" w:hAnsi="Times New Roman" w:cs="Times New Roman"/>
          <w:color w:val="000000"/>
          <w:sz w:val="24"/>
          <w:lang w:val="en-US" w:eastAsia="es-MX"/>
        </w:rPr>
        <w:fldChar w:fldCharType="end"/>
      </w:r>
      <w:r w:rsidR="007667F3" w:rsidRPr="007667F3">
        <w:rPr>
          <w:rFonts w:ascii="Times New Roman" w:hAnsi="Times New Roman" w:cs="Times New Roman"/>
          <w:color w:val="000000"/>
          <w:sz w:val="24"/>
          <w:lang w:val="en-US" w:eastAsia="es-MX"/>
        </w:rPr>
        <w:t>, ho contend that climate change has increased the severity of hurricanes and exacerbated their socioeconomic repercussions.</w:t>
      </w:r>
    </w:p>
    <w:p w14:paraId="15C699A8" w14:textId="5862F75C" w:rsidR="007667F3" w:rsidRPr="007667F3" w:rsidRDefault="005C6ADE" w:rsidP="009E7438">
      <w:pPr>
        <w:spacing w:after="0" w:line="360" w:lineRule="auto"/>
        <w:jc w:val="both"/>
        <w:rPr>
          <w:rFonts w:ascii="Times New Roman" w:hAnsi="Times New Roman" w:cs="Times New Roman"/>
          <w:sz w:val="24"/>
          <w:szCs w:val="24"/>
          <w:lang w:val="en-US"/>
        </w:rPr>
      </w:pPr>
      <w:r w:rsidRPr="007667F3">
        <w:rPr>
          <w:rFonts w:ascii="Times New Roman" w:hAnsi="Times New Roman" w:cs="Times New Roman"/>
          <w:color w:val="000000"/>
          <w:sz w:val="24"/>
          <w:lang w:val="en-US" w:eastAsia="es-MX"/>
        </w:rPr>
        <w:tab/>
      </w:r>
      <w:bookmarkStart w:id="2" w:name="_Hlk209903344"/>
      <w:r w:rsidR="007667F3" w:rsidRPr="004B17AD">
        <w:rPr>
          <w:rFonts w:ascii="Times New Roman" w:hAnsi="Times New Roman" w:cs="Times New Roman"/>
          <w:sz w:val="24"/>
          <w:szCs w:val="24"/>
          <w:lang w:val="en-GB"/>
        </w:rPr>
        <w:t>The comparative analysis underscores two key aspects. The first concerns the limitations of the Saffir-Simpson scale: by focusing exclusively on wind speed, it overlooks other crucial factors such as rainfall intensity, storm surges, and socio-environmental vulnerability conditions</w:t>
      </w:r>
      <w:r w:rsidR="007667F3">
        <w:rPr>
          <w:rFonts w:ascii="Times New Roman" w:hAnsi="Times New Roman" w:cs="Times New Roman"/>
          <w:sz w:val="24"/>
          <w:szCs w:val="24"/>
          <w:lang w:val="en-GB"/>
        </w:rPr>
        <w:t xml:space="preserve"> </w:t>
      </w:r>
      <w:r w:rsidR="007667F3">
        <w:rPr>
          <w:rFonts w:ascii="Times New Roman" w:hAnsi="Times New Roman" w:cs="Times New Roman"/>
          <w:sz w:val="24"/>
          <w:szCs w:val="24"/>
          <w:lang w:val="en-GB"/>
        </w:rPr>
        <w:fldChar w:fldCharType="begin"/>
      </w:r>
      <w:r w:rsidR="00CF3FD1">
        <w:rPr>
          <w:rFonts w:ascii="Times New Roman" w:hAnsi="Times New Roman" w:cs="Times New Roman"/>
          <w:sz w:val="24"/>
          <w:szCs w:val="24"/>
          <w:lang w:val="en-GB"/>
        </w:rPr>
        <w:instrText xml:space="preserve"> ADDIN ZOTERO_ITEM CSL_CITATION {"citationID":"SLlgTVlC","properties":{"formattedCitation":"(Bachmann, 2025; Wehner &amp; Kossin, 2024)","plainCitation":"(Bachmann, 2025; Wehner &amp; Kossin, 2024)","noteIndex":0},"citationItems":[{"id":443,"uris":["http://zotero.org/users/local/G75QjYIy/items/C2V5Y3G6"],"itemData":{"id":443,"type":"article-journal","abstract":"Global warming increases available sensible and latent heat energy, increasing the thermodynamic potential wind intensity of tropical cyclones (TCs). Supported by theory, observations, and modeling, this causes a shift in mean TC intensity, which tends to manifest most clearly at the greatest intensities. The Saffir–Simpson scale for categorizing damage based on the wind intensity of TCs was introduced in the early 1970s and remains the most commonly used metric for public communication of the level of wind hazard that a TC poses. Because the scale is open-ended and does not extend beyond category 5 (70 m/s windspeed or greater), the level of wind hazard conveyed by the scale remains constant regardless of how far the intensity extends beyond 70 m/s. This may be considered a weakness of the scale, particularly considering that the destructive potential of the wind increases exponentially. Here, we consider how this weakness becomes amplified in a warming world by elucidating the past and future increases of peak wind speeds in the most intense TCs. A simple extrapolation of the Saffir–Simpson scale is used to define a hypothetical category 6, and we describe the frequency of TCs, both past and projected under global warming, that would fall under this category. We find that a number of recent storms have already achieved this hypothetical category 6 intensity and based on multiple independent lines of evidence examining the highest simulated and potential peak wind speeds, more such storms are projected as the climate continues to warm.","container-title":"Proceedings of the National Academy of Sciences","DOI":"10.1073/pnas.2308901121","ISSN":"0027-8424, 1091-6490","issue":"7","journalAbbreviation":"Proc. Natl. Acad. Sci. U.S.A.","language":"en","page":"e2308901121","source":"DOI.org (Crossref)","title":"The growing inadequacy of an open-ended Saffir–Simpson hurricane wind scale in a warming world","volume":"121","author":[{"family":"Wehner","given":"Michael F."},{"family":"Kossin","given":"James P."}],"issued":{"date-parts":[["2024",2,13]]}}},{"id":445,"uris":["http://zotero.org/users/local/G75QjYIy/items/82S7KGPZ"],"itemData":{"id":445,"type":"article-journal","DOI":"10.3929/ETHZ-B-000738124","language":"en","note":"dimensions: 48 p.\nmedium: application/pdf\npublisher: ETH Zurich","page":"48 p.","source":"DOI.org (Datacite)","title":"Integrating Social Vulnerability into Human Displacement Risk Models: An Event-Based Approach for Weather-Related Hazards","title-short":"Integrating Social Vulnerability into Human Displacement Risk Models","author":[{"family":"Bachmann","given":"Lisa"}],"contributor":[{"literal":"McCaughey, Jamie W"},{"literal":"Gebhart, Valentin"},{"literal":"Meiler, Simona"}],"issued":{"date-parts":[["2025",5,9]]}}}],"schema":"https://github.com/citation-style-language/schema/raw/master/csl-citation.json"} </w:instrText>
      </w:r>
      <w:r w:rsidR="007667F3">
        <w:rPr>
          <w:rFonts w:ascii="Times New Roman" w:hAnsi="Times New Roman" w:cs="Times New Roman"/>
          <w:sz w:val="24"/>
          <w:szCs w:val="24"/>
          <w:lang w:val="en-GB"/>
        </w:rPr>
        <w:fldChar w:fldCharType="separate"/>
      </w:r>
      <w:r w:rsidR="00CF3FD1" w:rsidRPr="00CF3FD1">
        <w:rPr>
          <w:rFonts w:ascii="Times New Roman" w:hAnsi="Times New Roman" w:cs="Times New Roman"/>
          <w:sz w:val="24"/>
          <w:lang w:val="en-US"/>
        </w:rPr>
        <w:t>(Bachmann, 2025; Wehner &amp; Kossin, 2024)</w:t>
      </w:r>
      <w:r w:rsidR="007667F3">
        <w:rPr>
          <w:rFonts w:ascii="Times New Roman" w:hAnsi="Times New Roman" w:cs="Times New Roman"/>
          <w:sz w:val="24"/>
          <w:szCs w:val="24"/>
          <w:lang w:val="en-GB"/>
        </w:rPr>
        <w:fldChar w:fldCharType="end"/>
      </w:r>
      <w:r w:rsidR="007667F3" w:rsidRPr="004B17AD">
        <w:rPr>
          <w:rFonts w:ascii="Times New Roman" w:hAnsi="Times New Roman" w:cs="Times New Roman"/>
          <w:sz w:val="24"/>
          <w:szCs w:val="24"/>
          <w:lang w:val="en-GB"/>
        </w:rPr>
        <w:t>. The second emphasizes the need to adopt an integrated risk management approach that combines physical indicators (winds, rainfall, sea levels) with social indicators (poverty, marginalization, access to preventive infrastructure)</w:t>
      </w:r>
      <w:r w:rsidR="007667F3">
        <w:rPr>
          <w:rFonts w:ascii="Times New Roman" w:hAnsi="Times New Roman" w:cs="Times New Roman"/>
          <w:sz w:val="24"/>
          <w:szCs w:val="24"/>
          <w:lang w:val="en-GB"/>
        </w:rPr>
        <w:t xml:space="preserve"> </w:t>
      </w:r>
      <w:r w:rsidR="007667F3">
        <w:rPr>
          <w:rFonts w:ascii="Times New Roman" w:hAnsi="Times New Roman" w:cs="Times New Roman"/>
          <w:sz w:val="24"/>
          <w:szCs w:val="24"/>
          <w:lang w:val="en-GB"/>
        </w:rPr>
        <w:fldChar w:fldCharType="begin"/>
      </w:r>
      <w:r w:rsidR="00CF3FD1">
        <w:rPr>
          <w:rFonts w:ascii="Times New Roman" w:hAnsi="Times New Roman" w:cs="Times New Roman"/>
          <w:sz w:val="24"/>
          <w:szCs w:val="24"/>
          <w:lang w:val="en-GB"/>
        </w:rPr>
        <w:instrText xml:space="preserve"> ADDIN ZOTERO_ITEM CSL_CITATION {"citationID":"9vTtDWlz","properties":{"formattedCitation":"(Esteban et\\uc0\\u160{}al., 2025)","plainCitation":"(Esteban et al., 2025)","noteIndex":0},"citationItems":[{"id":449,"uris":["http://zotero.org/users/local/G75QjYIy/items/S95W7UYI"],"itemData":{"id":449,"type":"article-journal","abstract":"Water is essential to life, yet scarcity and contamination remain persistent global challenges. This study analyzed the water situation in Las Vigas, a rural community in the Costa Chica region of Guerrero, Mexico, from a socioenvironmental perspective, focusing on three water sources: natural streams, artificial irrigation canals, and potable water from the community system. A mixed-methods approach was used, comprising participant observation, surveys, and interviews. The participant observation revealed that water issues are tied to economic marginalization, the presence of urban solid waste and agrochemical containers in water bodies, and insufficient institutional infrastructure. A structured questionnaire with 41 closed-ended questions was applied to 35 residents. In the socioeconomic dimension, 66% of respondents were women, 77% had stable jobs, and 60% lived in owned homes, although 43% had only a primary education, limiting access to technical knowledge. In the environmental dimension, 86% perceived stream contamination, 94% canal contamination, 97% recurrent droughts, and 83% a lack of water conservation culture. In the sociopolitical dimension, 89% perceived a lack of environmental education, and 86% attributed water shortages to institutional failures, especially in the pumping system (69%). Only 20% believed that wastewater treatment plants existed, although none currently do. Interviews with 42 key informants reinforced that water scarcity, contamination, and unequal access are interconnected challenges rooted in structural weaknesses. The findings highlight the urgent need for integrated strategies that promote water governance, environmental education, community participation, and infrastructure enhancement to ensure sustainable and equitable access to water in the Las Vigas community.","container-title":"Asian Journal of Water, Environment and Pollution","DOI":"10.36922/AJWEP025220180","ISSN":"0972-9860, 1875-8568","issue":"0","journalAbbreviation":"AJWEP","license":"https://creativecommons.org/licenses/","page":"025220180","source":"DOI.org (Crossref)","title":"Water situation in Las Vigas from a socioenvironmental perspective","volume":"0","author":[{"family":"Esteban","given":"Adriana Miranda"},{"family":"Solano","given":"Irma Bedolla"},{"family":"Solano","given":"Juan José Bedolla"},{"family":"Adame","given":"Oscar Sánchez"},{"family":"Solano","given":"Ramón Bedolla"}],"issued":{"date-parts":[["2025",8,15]]}}}],"schema":"https://github.com/citation-style-language/schema/raw/master/csl-citation.json"} </w:instrText>
      </w:r>
      <w:r w:rsidR="007667F3">
        <w:rPr>
          <w:rFonts w:ascii="Times New Roman" w:hAnsi="Times New Roman" w:cs="Times New Roman"/>
          <w:sz w:val="24"/>
          <w:szCs w:val="24"/>
          <w:lang w:val="en-GB"/>
        </w:rPr>
        <w:fldChar w:fldCharType="separate"/>
      </w:r>
      <w:r w:rsidR="00CF3FD1" w:rsidRPr="00CF3FD1">
        <w:rPr>
          <w:rFonts w:ascii="Times New Roman" w:hAnsi="Times New Roman" w:cs="Times New Roman"/>
          <w:sz w:val="24"/>
          <w:lang w:val="en-US"/>
        </w:rPr>
        <w:t xml:space="preserve">(Esteban </w:t>
      </w:r>
      <w:r w:rsidR="00CF3FD1" w:rsidRPr="00390A71">
        <w:rPr>
          <w:rFonts w:ascii="Times New Roman" w:hAnsi="Times New Roman" w:cs="Times New Roman"/>
          <w:sz w:val="24"/>
          <w:lang w:val="en-US"/>
        </w:rPr>
        <w:t>et al.,</w:t>
      </w:r>
      <w:r w:rsidR="00CF3FD1" w:rsidRPr="00CF3FD1">
        <w:rPr>
          <w:rFonts w:ascii="Times New Roman" w:hAnsi="Times New Roman" w:cs="Times New Roman"/>
          <w:sz w:val="24"/>
          <w:lang w:val="en-US"/>
        </w:rPr>
        <w:t xml:space="preserve"> 2025)</w:t>
      </w:r>
      <w:r w:rsidR="007667F3">
        <w:rPr>
          <w:rFonts w:ascii="Times New Roman" w:hAnsi="Times New Roman" w:cs="Times New Roman"/>
          <w:sz w:val="24"/>
          <w:szCs w:val="24"/>
          <w:lang w:val="en-GB"/>
        </w:rPr>
        <w:fldChar w:fldCharType="end"/>
      </w:r>
      <w:r w:rsidR="007667F3" w:rsidRPr="007667F3">
        <w:rPr>
          <w:rFonts w:ascii="Times New Roman" w:hAnsi="Times New Roman" w:cs="Times New Roman"/>
          <w:sz w:val="24"/>
          <w:szCs w:val="24"/>
          <w:lang w:val="en-US"/>
        </w:rPr>
        <w:t xml:space="preserve">.  </w:t>
      </w:r>
    </w:p>
    <w:p w14:paraId="27374F77" w14:textId="5C67B8B0" w:rsidR="00C2507B" w:rsidRPr="009E7438" w:rsidRDefault="007667F3" w:rsidP="009E7438">
      <w:pPr>
        <w:spacing w:after="0" w:line="360" w:lineRule="auto"/>
        <w:jc w:val="both"/>
        <w:rPr>
          <w:rFonts w:ascii="Times New Roman" w:hAnsi="Times New Roman" w:cs="Times New Roman"/>
          <w:sz w:val="24"/>
          <w:szCs w:val="24"/>
          <w:lang w:val="en-GB"/>
        </w:rPr>
      </w:pPr>
      <w:bookmarkStart w:id="3" w:name="_Hlk209903377"/>
      <w:bookmarkEnd w:id="2"/>
      <w:r w:rsidRPr="004B17AD">
        <w:rPr>
          <w:rFonts w:ascii="Times New Roman" w:hAnsi="Times New Roman" w:cs="Times New Roman"/>
          <w:sz w:val="24"/>
          <w:szCs w:val="24"/>
          <w:lang w:val="en-GB"/>
        </w:rPr>
        <w:t>Likewise, this study stresses the importance of strengthening public policies for climate change adaptation in Guerrero</w:t>
      </w:r>
      <w:r>
        <w:rPr>
          <w:rFonts w:ascii="Times New Roman" w:hAnsi="Times New Roman" w:cs="Times New Roman"/>
          <w:sz w:val="24"/>
          <w:szCs w:val="24"/>
          <w:lang w:val="en-GB"/>
        </w:rPr>
        <w:t xml:space="preserve"> </w:t>
      </w:r>
      <w:r>
        <w:rPr>
          <w:rFonts w:ascii="Times New Roman" w:hAnsi="Times New Roman" w:cs="Times New Roman"/>
          <w:sz w:val="24"/>
          <w:szCs w:val="24"/>
          <w:lang w:val="en-GB"/>
        </w:rPr>
        <w:fldChar w:fldCharType="begin"/>
      </w:r>
      <w:r w:rsidR="00CF3FD1">
        <w:rPr>
          <w:rFonts w:ascii="Times New Roman" w:hAnsi="Times New Roman" w:cs="Times New Roman"/>
          <w:sz w:val="24"/>
          <w:szCs w:val="24"/>
          <w:lang w:val="en-GB"/>
        </w:rPr>
        <w:instrText xml:space="preserve"> ADDIN ZOTERO_ITEM CSL_CITATION {"citationID":"Ek0jUMvq","properties":{"formattedCitation":"(Esteban et\\uc0\\u160{}al., 2025)","plainCitation":"(Esteban et al., 2025)","noteIndex":0},"citationItems":[{"id":449,"uris":["http://zotero.org/users/local/G75QjYIy/items/S95W7UYI"],"itemData":{"id":449,"type":"article-journal","abstract":"Water is essential to life, yet scarcity and contamination remain persistent global challenges. This study analyzed the water situation in Las Vigas, a rural community in the Costa Chica region of Guerrero, Mexico, from a socioenvironmental perspective, focusing on three water sources: natural streams, artificial irrigation canals, and potable water from the community system. A mixed-methods approach was used, comprising participant observation, surveys, and interviews. The participant observation revealed that water issues are tied to economic marginalization, the presence of urban solid waste and agrochemical containers in water bodies, and insufficient institutional infrastructure. A structured questionnaire with 41 closed-ended questions was applied to 35 residents. In the socioeconomic dimension, 66% of respondents were women, 77% had stable jobs, and 60% lived in owned homes, although 43% had only a primary education, limiting access to technical knowledge. In the environmental dimension, 86% perceived stream contamination, 94% canal contamination, 97% recurrent droughts, and 83% a lack of water conservation culture. In the sociopolitical dimension, 89% perceived a lack of environmental education, and 86% attributed water shortages to institutional failures, especially in the pumping system (69%). Only 20% believed that wastewater treatment plants existed, although none currently do. Interviews with 42 key informants reinforced that water scarcity, contamination, and unequal access are interconnected challenges rooted in structural weaknesses. The findings highlight the urgent need for integrated strategies that promote water governance, environmental education, community participation, and infrastructure enhancement to ensure sustainable and equitable access to water in the Las Vigas community.","container-title":"Asian Journal of Water, Environment and Pollution","DOI":"10.36922/AJWEP025220180","ISSN":"0972-9860, 1875-8568","issue":"0","journalAbbreviation":"AJWEP","license":"https://creativecommons.org/licenses/","page":"025220180","source":"DOI.org (Crossref)","title":"Water situation in Las Vigas from a socioenvironmental perspective","volume":"0","author":[{"family":"Esteban","given":"Adriana Miranda"},{"family":"Solano","given":"Irma Bedolla"},{"family":"Solano","given":"Juan José Bedolla"},{"family":"Adame","given":"Oscar Sánchez"},{"family":"Solano","given":"Ramón Bedolla"}],"issued":{"date-parts":[["2025",8,15]]}}}],"schema":"https://github.com/citation-style-language/schema/raw/master/csl-citation.json"} </w:instrText>
      </w:r>
      <w:r>
        <w:rPr>
          <w:rFonts w:ascii="Times New Roman" w:hAnsi="Times New Roman" w:cs="Times New Roman"/>
          <w:sz w:val="24"/>
          <w:szCs w:val="24"/>
          <w:lang w:val="en-GB"/>
        </w:rPr>
        <w:fldChar w:fldCharType="separate"/>
      </w:r>
      <w:r w:rsidR="00CF3FD1" w:rsidRPr="00DB43B9">
        <w:rPr>
          <w:rFonts w:ascii="Times New Roman" w:hAnsi="Times New Roman" w:cs="Times New Roman"/>
          <w:sz w:val="24"/>
          <w:lang w:val="en-US"/>
        </w:rPr>
        <w:t xml:space="preserve">(Esteban </w:t>
      </w:r>
      <w:r w:rsidR="00CF3FD1" w:rsidRPr="00390A71">
        <w:rPr>
          <w:rFonts w:ascii="Times New Roman" w:hAnsi="Times New Roman" w:cs="Times New Roman"/>
          <w:sz w:val="24"/>
          <w:lang w:val="en-US"/>
        </w:rPr>
        <w:t xml:space="preserve">et al., </w:t>
      </w:r>
      <w:r w:rsidR="00CF3FD1" w:rsidRPr="00DB43B9">
        <w:rPr>
          <w:rFonts w:ascii="Times New Roman" w:hAnsi="Times New Roman" w:cs="Times New Roman"/>
          <w:sz w:val="24"/>
          <w:lang w:val="en-US"/>
        </w:rPr>
        <w:t>2025)</w:t>
      </w:r>
      <w:r>
        <w:rPr>
          <w:rFonts w:ascii="Times New Roman" w:hAnsi="Times New Roman" w:cs="Times New Roman"/>
          <w:sz w:val="24"/>
          <w:szCs w:val="24"/>
          <w:lang w:val="en-GB"/>
        </w:rPr>
        <w:fldChar w:fldCharType="end"/>
      </w:r>
      <w:r w:rsidRPr="004B17AD">
        <w:rPr>
          <w:rFonts w:ascii="Times New Roman" w:hAnsi="Times New Roman" w:cs="Times New Roman"/>
          <w:sz w:val="24"/>
          <w:szCs w:val="24"/>
          <w:lang w:val="en-GB"/>
        </w:rPr>
        <w:t>. Priority actions include financing resilient infrastructure, establishing more efficient early warning systems, training communities in emergency protocols, and promoting environmental restoration strategies to reduce the risks of landslides and flooding. Furthermore, it is essential to reinforce inclusive territorial governance, where different levels of government work closely with local communities to design and implement prevention and post-disaster recovery strategies.</w:t>
      </w:r>
      <w:bookmarkEnd w:id="3"/>
      <w:r>
        <w:rPr>
          <w:rFonts w:ascii="Times New Roman" w:hAnsi="Times New Roman" w:cs="Times New Roman"/>
          <w:color w:val="000000"/>
          <w:sz w:val="24"/>
          <w:lang w:val="en-GB" w:eastAsia="es-MX"/>
        </w:rPr>
        <w:t xml:space="preserve"> </w:t>
      </w:r>
    </w:p>
    <w:p w14:paraId="12DF01D3" w14:textId="77777777" w:rsidR="0080363C" w:rsidRDefault="0080363C" w:rsidP="009E7438">
      <w:pPr>
        <w:tabs>
          <w:tab w:val="center" w:pos="4420"/>
        </w:tabs>
        <w:autoSpaceDE w:val="0"/>
        <w:autoSpaceDN w:val="0"/>
        <w:adjustRightInd w:val="0"/>
        <w:spacing w:after="0" w:line="360" w:lineRule="auto"/>
        <w:rPr>
          <w:rFonts w:ascii="Times New Roman" w:hAnsi="Times New Roman" w:cs="Times New Roman"/>
          <w:color w:val="000000"/>
          <w:sz w:val="24"/>
          <w:lang w:val="en-US" w:eastAsia="es-MX"/>
        </w:rPr>
      </w:pPr>
    </w:p>
    <w:p w14:paraId="7E58724D" w14:textId="77777777" w:rsidR="004E0EB9" w:rsidRDefault="004E0EB9" w:rsidP="009E7438">
      <w:pPr>
        <w:tabs>
          <w:tab w:val="center" w:pos="4420"/>
        </w:tabs>
        <w:autoSpaceDE w:val="0"/>
        <w:autoSpaceDN w:val="0"/>
        <w:adjustRightInd w:val="0"/>
        <w:spacing w:after="0" w:line="360" w:lineRule="auto"/>
        <w:rPr>
          <w:rFonts w:ascii="Times New Roman" w:hAnsi="Times New Roman" w:cs="Times New Roman"/>
          <w:color w:val="000000"/>
          <w:sz w:val="24"/>
          <w:lang w:val="en-US" w:eastAsia="es-MX"/>
        </w:rPr>
      </w:pPr>
    </w:p>
    <w:p w14:paraId="22497460" w14:textId="77777777" w:rsidR="004E0EB9" w:rsidRDefault="004E0EB9" w:rsidP="009E7438">
      <w:pPr>
        <w:tabs>
          <w:tab w:val="center" w:pos="4420"/>
        </w:tabs>
        <w:autoSpaceDE w:val="0"/>
        <w:autoSpaceDN w:val="0"/>
        <w:adjustRightInd w:val="0"/>
        <w:spacing w:after="0" w:line="360" w:lineRule="auto"/>
        <w:rPr>
          <w:rFonts w:ascii="Times New Roman" w:hAnsi="Times New Roman" w:cs="Times New Roman"/>
          <w:color w:val="000000"/>
          <w:sz w:val="24"/>
          <w:lang w:val="en-US" w:eastAsia="es-MX"/>
        </w:rPr>
      </w:pPr>
    </w:p>
    <w:p w14:paraId="2C17F9C6" w14:textId="77777777" w:rsidR="004E0EB9" w:rsidRPr="007667F3" w:rsidRDefault="004E0EB9" w:rsidP="009E7438">
      <w:pPr>
        <w:tabs>
          <w:tab w:val="center" w:pos="4420"/>
        </w:tabs>
        <w:autoSpaceDE w:val="0"/>
        <w:autoSpaceDN w:val="0"/>
        <w:adjustRightInd w:val="0"/>
        <w:spacing w:after="0" w:line="360" w:lineRule="auto"/>
        <w:rPr>
          <w:rFonts w:ascii="Times New Roman" w:hAnsi="Times New Roman" w:cs="Times New Roman"/>
          <w:color w:val="000000"/>
          <w:sz w:val="24"/>
          <w:lang w:val="en-US" w:eastAsia="es-MX"/>
        </w:rPr>
      </w:pPr>
    </w:p>
    <w:p w14:paraId="47CB4128" w14:textId="64842996" w:rsidR="00EB2277" w:rsidRPr="004E0EB9" w:rsidRDefault="000705A7" w:rsidP="009E7438">
      <w:pPr>
        <w:tabs>
          <w:tab w:val="center" w:pos="4420"/>
        </w:tabs>
        <w:autoSpaceDE w:val="0"/>
        <w:autoSpaceDN w:val="0"/>
        <w:adjustRightInd w:val="0"/>
        <w:spacing w:after="0" w:line="360" w:lineRule="auto"/>
        <w:jc w:val="center"/>
        <w:rPr>
          <w:rFonts w:ascii="Times New Roman" w:hAnsi="Times New Roman" w:cs="Times New Roman"/>
          <w:b/>
          <w:bCs/>
          <w:color w:val="221E1F"/>
          <w:sz w:val="32"/>
          <w:szCs w:val="32"/>
          <w:lang w:val="en-US" w:eastAsia="es-CL"/>
        </w:rPr>
      </w:pPr>
      <w:r w:rsidRPr="004E0EB9">
        <w:rPr>
          <w:rFonts w:ascii="Times New Roman" w:hAnsi="Times New Roman" w:cs="Times New Roman"/>
          <w:b/>
          <w:bCs/>
          <w:color w:val="221E1F"/>
          <w:sz w:val="32"/>
          <w:szCs w:val="32"/>
          <w:lang w:val="en-US" w:eastAsia="es-CL"/>
        </w:rPr>
        <w:lastRenderedPageBreak/>
        <w:t>Conclusions</w:t>
      </w:r>
    </w:p>
    <w:p w14:paraId="2C2776A3" w14:textId="77777777" w:rsidR="00CE39ED" w:rsidRPr="00CE39ED" w:rsidRDefault="00CE39ED" w:rsidP="009E7438">
      <w:pPr>
        <w:spacing w:after="0" w:line="360" w:lineRule="auto"/>
        <w:ind w:firstLine="708"/>
        <w:jc w:val="both"/>
        <w:rPr>
          <w:rFonts w:ascii="Times New Roman" w:eastAsia="Times New Roman" w:hAnsi="Times New Roman" w:cs="Times New Roman"/>
          <w:sz w:val="24"/>
          <w:szCs w:val="24"/>
          <w:lang w:val="en-US"/>
        </w:rPr>
      </w:pPr>
      <w:r w:rsidRPr="00CE39ED">
        <w:rPr>
          <w:rFonts w:ascii="Times New Roman" w:eastAsia="Times New Roman" w:hAnsi="Times New Roman" w:cs="Times New Roman"/>
          <w:sz w:val="24"/>
          <w:szCs w:val="24"/>
          <w:lang w:val="en-US"/>
        </w:rPr>
        <w:t>The analysis of hurricanes impacting southern Guerrero between 2013 and 2025 demonstrates that the magnitude of impacts depends not only on the Saffir-Simpson category but also on critical factors such as rainfall intensity, topography, and community social vulnerability. Even Category 1 events -namely Ingrid, Manuel, Max, and Erick- caused severe damage driven by extreme precipitation and the structural vulnerability of rural housing. The case of Hurricane Manuel in La Pintada exemplifies how lower-category storms can precipitate irreparable human and social disasters. Conversely, Hurricane Otis (Category 5) marked a turning point, devastating Acapulco and exposing the critical fragility of urban infrastructure against extreme weather events.</w:t>
      </w:r>
    </w:p>
    <w:p w14:paraId="00FF1207" w14:textId="77777777" w:rsidR="00CE39ED" w:rsidRPr="00CE39ED" w:rsidRDefault="00CE39ED" w:rsidP="009E7438">
      <w:pPr>
        <w:spacing w:after="0" w:line="360" w:lineRule="auto"/>
        <w:ind w:firstLine="708"/>
        <w:jc w:val="both"/>
        <w:rPr>
          <w:rFonts w:ascii="Times New Roman" w:eastAsia="Times New Roman" w:hAnsi="Times New Roman" w:cs="Times New Roman"/>
          <w:sz w:val="24"/>
          <w:szCs w:val="24"/>
          <w:lang w:val="en-US"/>
        </w:rPr>
      </w:pPr>
      <w:r w:rsidRPr="00CE39ED">
        <w:rPr>
          <w:rFonts w:ascii="Times New Roman" w:eastAsia="Times New Roman" w:hAnsi="Times New Roman" w:cs="Times New Roman"/>
          <w:sz w:val="24"/>
          <w:szCs w:val="24"/>
          <w:lang w:val="en-US"/>
        </w:rPr>
        <w:t>Crucially, the disproportionate damage caused by Category 1 storms in Guerrero is not solely a climatic anomaly but a direct consequence of structural informality. The prevalence of unregulated self-construction (autoconstrucción) in rural zones-often lacking adherence to building codes-amplifies the vulnerability of households to wind loads and saturation, transforming otherwise manageable meteorological events into social disasters.</w:t>
      </w:r>
    </w:p>
    <w:p w14:paraId="54633C9B" w14:textId="77777777" w:rsidR="00CE39ED" w:rsidRPr="00CE39ED" w:rsidRDefault="00CE39ED" w:rsidP="009E7438">
      <w:pPr>
        <w:spacing w:after="0" w:line="360" w:lineRule="auto"/>
        <w:ind w:firstLine="708"/>
        <w:jc w:val="both"/>
        <w:rPr>
          <w:rFonts w:ascii="Times New Roman" w:eastAsia="Times New Roman" w:hAnsi="Times New Roman" w:cs="Times New Roman"/>
          <w:sz w:val="24"/>
          <w:szCs w:val="24"/>
          <w:lang w:val="en-US"/>
        </w:rPr>
      </w:pPr>
      <w:r w:rsidRPr="00CE39ED">
        <w:rPr>
          <w:rFonts w:ascii="Times New Roman" w:eastAsia="Times New Roman" w:hAnsi="Times New Roman" w:cs="Times New Roman"/>
          <w:sz w:val="24"/>
          <w:szCs w:val="24"/>
          <w:lang w:val="en-US"/>
        </w:rPr>
        <w:t xml:space="preserve">These findings reaffirm the utility of the Saffir-Simpson scale as a reference tool while simultaneously revealing its limitations in highly vulnerable contexts. Consequently, this study advocates for complementing the scale with hydrometeorological and socioeconomic indicators to enable a more comprehensive risk assessment. </w:t>
      </w:r>
    </w:p>
    <w:p w14:paraId="7E18EAA3" w14:textId="77777777" w:rsidR="00CE39ED" w:rsidRPr="00CE39ED" w:rsidRDefault="00CE39ED" w:rsidP="009E7438">
      <w:pPr>
        <w:spacing w:after="0" w:line="360" w:lineRule="auto"/>
        <w:ind w:firstLine="708"/>
        <w:jc w:val="both"/>
        <w:rPr>
          <w:rFonts w:ascii="Times New Roman" w:eastAsia="Times New Roman" w:hAnsi="Times New Roman" w:cs="Times New Roman"/>
          <w:sz w:val="24"/>
          <w:szCs w:val="24"/>
          <w:lang w:val="en-US"/>
        </w:rPr>
      </w:pPr>
      <w:r w:rsidRPr="00CE39ED">
        <w:rPr>
          <w:rFonts w:ascii="Times New Roman" w:eastAsia="Times New Roman" w:hAnsi="Times New Roman" w:cs="Times New Roman"/>
          <w:sz w:val="24"/>
          <w:szCs w:val="24"/>
          <w:lang w:val="en-US"/>
        </w:rPr>
        <w:t>Consequently, this study advocates for a paradigm shift from hazard-based warnings (solely focused on physical parameters like wind speed) to impact-based forecasting models. This approach prioritizes the potential socioeconomic consequences of the event over its meteorological magnitude, ensuring that risk communication effectively reaches the most vulnerable populations.</w:t>
      </w:r>
    </w:p>
    <w:p w14:paraId="1CEE5CD6" w14:textId="77777777" w:rsidR="00CE39ED" w:rsidRPr="00CE39ED" w:rsidRDefault="00CE39ED" w:rsidP="009E7438">
      <w:pPr>
        <w:spacing w:after="0" w:line="360" w:lineRule="auto"/>
        <w:ind w:firstLine="708"/>
        <w:jc w:val="both"/>
        <w:rPr>
          <w:rFonts w:ascii="Times New Roman" w:eastAsia="Times New Roman" w:hAnsi="Times New Roman" w:cs="Times New Roman"/>
          <w:sz w:val="24"/>
          <w:szCs w:val="24"/>
          <w:lang w:val="en-US"/>
        </w:rPr>
      </w:pPr>
      <w:r w:rsidRPr="00CE39ED">
        <w:rPr>
          <w:rFonts w:ascii="Times New Roman" w:eastAsia="Times New Roman" w:hAnsi="Times New Roman" w:cs="Times New Roman"/>
          <w:sz w:val="24"/>
          <w:szCs w:val="24"/>
          <w:lang w:val="en-US"/>
        </w:rPr>
        <w:t>Furthermore, the results emphasize the urgency of strengthening territorial governance, investing in resilient infrastructure, and promoting community-based educational strategies to advance effective climate change adaptation.</w:t>
      </w:r>
    </w:p>
    <w:p w14:paraId="74EBB2E0" w14:textId="77777777" w:rsidR="007667F3" w:rsidRDefault="007667F3" w:rsidP="009E7438">
      <w:pPr>
        <w:spacing w:after="0" w:line="360" w:lineRule="auto"/>
        <w:rPr>
          <w:rFonts w:ascii="Times New Roman" w:hAnsi="Times New Roman" w:cs="Times New Roman"/>
          <w:color w:val="000000"/>
          <w:sz w:val="24"/>
          <w:lang w:val="en-US" w:eastAsia="es-MX"/>
        </w:rPr>
      </w:pPr>
    </w:p>
    <w:p w14:paraId="5F338991" w14:textId="77777777" w:rsidR="004E0EB9" w:rsidRDefault="004E0EB9" w:rsidP="009E7438">
      <w:pPr>
        <w:spacing w:after="0" w:line="360" w:lineRule="auto"/>
        <w:rPr>
          <w:rFonts w:ascii="Times New Roman" w:hAnsi="Times New Roman" w:cs="Times New Roman"/>
          <w:color w:val="000000"/>
          <w:sz w:val="24"/>
          <w:lang w:val="en-US" w:eastAsia="es-MX"/>
        </w:rPr>
      </w:pPr>
    </w:p>
    <w:p w14:paraId="201DB6C2" w14:textId="77777777" w:rsidR="004E0EB9" w:rsidRDefault="004E0EB9" w:rsidP="009E7438">
      <w:pPr>
        <w:spacing w:after="0" w:line="360" w:lineRule="auto"/>
        <w:rPr>
          <w:rFonts w:ascii="Times New Roman" w:hAnsi="Times New Roman" w:cs="Times New Roman"/>
          <w:color w:val="000000"/>
          <w:sz w:val="24"/>
          <w:lang w:val="en-US" w:eastAsia="es-MX"/>
        </w:rPr>
      </w:pPr>
    </w:p>
    <w:p w14:paraId="20A672C7" w14:textId="77777777" w:rsidR="004E0EB9" w:rsidRDefault="004E0EB9" w:rsidP="009E7438">
      <w:pPr>
        <w:spacing w:after="0" w:line="360" w:lineRule="auto"/>
        <w:rPr>
          <w:rFonts w:ascii="Times New Roman" w:hAnsi="Times New Roman" w:cs="Times New Roman"/>
          <w:color w:val="000000"/>
          <w:sz w:val="24"/>
          <w:lang w:val="en-US" w:eastAsia="es-MX"/>
        </w:rPr>
      </w:pPr>
    </w:p>
    <w:p w14:paraId="5C11ABCA" w14:textId="77777777" w:rsidR="004E0EB9" w:rsidRPr="00301B17" w:rsidRDefault="004E0EB9" w:rsidP="009E7438">
      <w:pPr>
        <w:spacing w:after="0" w:line="360" w:lineRule="auto"/>
        <w:rPr>
          <w:rFonts w:ascii="Times New Roman" w:hAnsi="Times New Roman" w:cs="Times New Roman"/>
          <w:color w:val="000000"/>
          <w:sz w:val="24"/>
          <w:lang w:val="en-US" w:eastAsia="es-MX"/>
        </w:rPr>
      </w:pPr>
    </w:p>
    <w:p w14:paraId="7A65B63B" w14:textId="77777777" w:rsidR="00CF3FD1" w:rsidRDefault="00CF3FD1" w:rsidP="009E7438">
      <w:pPr>
        <w:spacing w:after="0" w:line="360" w:lineRule="auto"/>
        <w:jc w:val="center"/>
        <w:rPr>
          <w:rFonts w:ascii="Times New Roman" w:hAnsi="Times New Roman" w:cs="Times New Roman"/>
          <w:b/>
          <w:sz w:val="28"/>
          <w:szCs w:val="28"/>
          <w:shd w:val="clear" w:color="auto" w:fill="FFFFFF"/>
          <w:lang w:val="en-US"/>
        </w:rPr>
      </w:pPr>
      <w:r w:rsidRPr="00CF3FD1">
        <w:rPr>
          <w:rFonts w:ascii="Times New Roman" w:hAnsi="Times New Roman" w:cs="Times New Roman"/>
          <w:b/>
          <w:sz w:val="28"/>
          <w:szCs w:val="28"/>
          <w:shd w:val="clear" w:color="auto" w:fill="FFFFFF"/>
          <w:lang w:val="en-US"/>
        </w:rPr>
        <w:lastRenderedPageBreak/>
        <w:t>Future lines of research</w:t>
      </w:r>
    </w:p>
    <w:p w14:paraId="415FA0C2" w14:textId="2CF848DD" w:rsidR="00CE39ED" w:rsidRPr="00CE39ED" w:rsidRDefault="00CE39ED" w:rsidP="004E0EB9">
      <w:pPr>
        <w:spacing w:after="0" w:line="360" w:lineRule="auto"/>
        <w:ind w:firstLine="708"/>
        <w:jc w:val="both"/>
        <w:rPr>
          <w:rFonts w:ascii="Times New Roman" w:eastAsia="Times New Roman" w:hAnsi="Times New Roman" w:cs="Times New Roman"/>
          <w:sz w:val="24"/>
          <w:szCs w:val="24"/>
          <w:lang w:val="en-US"/>
        </w:rPr>
      </w:pPr>
      <w:r w:rsidRPr="00CE39ED">
        <w:rPr>
          <w:rFonts w:ascii="Times New Roman" w:eastAsia="Times New Roman" w:hAnsi="Times New Roman" w:cs="Times New Roman"/>
          <w:sz w:val="24"/>
          <w:szCs w:val="24"/>
          <w:lang w:val="en-US"/>
        </w:rPr>
        <w:t>Future research should prioritize the development of integrated assessment models that synthesize climatic, social, and territorial data. These models must incorporate precipitation patterns, soil saturation, housing conditions, and socioeconomic vulnerability, providing a multidimensional perspective that transcends the limitations of sole reliance on wind speed classification.</w:t>
      </w:r>
    </w:p>
    <w:p w14:paraId="58B4A140" w14:textId="7390F0E6" w:rsidR="00CF3FD1" w:rsidRPr="00CE39ED" w:rsidRDefault="00CE39ED" w:rsidP="009E7438">
      <w:pPr>
        <w:spacing w:after="0" w:line="360" w:lineRule="auto"/>
        <w:ind w:firstLine="708"/>
        <w:jc w:val="both"/>
        <w:rPr>
          <w:rFonts w:ascii="Times New Roman" w:eastAsia="Times New Roman" w:hAnsi="Times New Roman" w:cs="Times New Roman"/>
          <w:sz w:val="24"/>
          <w:szCs w:val="24"/>
          <w:lang w:val="en-US"/>
        </w:rPr>
      </w:pPr>
      <w:r w:rsidRPr="00CE39ED">
        <w:rPr>
          <w:rFonts w:ascii="Times New Roman" w:eastAsia="Times New Roman" w:hAnsi="Times New Roman" w:cs="Times New Roman"/>
          <w:sz w:val="24"/>
          <w:szCs w:val="24"/>
          <w:lang w:val="en-US"/>
        </w:rPr>
        <w:t>Parallel to this, environmental education should be established as a central pillar to guide public policy, strengthen local capacities, and bolster the resilience of Guerrero's coastal communities. Furthermore, fostering community participation and intercultural dialogue is essential to ensure that adaptation strategies remain context-specific, culturally sensitive, and sustainable in the long term.</w:t>
      </w:r>
    </w:p>
    <w:p w14:paraId="45B9429B" w14:textId="77777777" w:rsidR="00CF3FD1" w:rsidRPr="00301B17" w:rsidRDefault="00CF3FD1" w:rsidP="00390A71">
      <w:pPr>
        <w:spacing w:after="0" w:line="360" w:lineRule="auto"/>
        <w:rPr>
          <w:rFonts w:ascii="Times New Roman" w:hAnsi="Times New Roman" w:cs="Times New Roman"/>
          <w:b/>
          <w:bCs/>
          <w:color w:val="000000"/>
          <w:sz w:val="28"/>
          <w:szCs w:val="28"/>
          <w:lang w:val="en-US" w:eastAsia="es-MX"/>
        </w:rPr>
      </w:pPr>
    </w:p>
    <w:p w14:paraId="21D25F47" w14:textId="79C4FD46" w:rsidR="009E7438" w:rsidRDefault="000705A7" w:rsidP="009E7438">
      <w:pPr>
        <w:spacing w:after="0" w:line="360" w:lineRule="auto"/>
      </w:pPr>
      <w:r w:rsidRPr="000705A7">
        <w:rPr>
          <w:rFonts w:cstheme="minorHAnsi"/>
          <w:b/>
          <w:bCs/>
          <w:color w:val="000000"/>
          <w:sz w:val="28"/>
          <w:szCs w:val="28"/>
          <w:lang w:eastAsia="es-MX"/>
        </w:rPr>
        <w:t>References</w:t>
      </w:r>
    </w:p>
    <w:p w14:paraId="5B3105D6" w14:textId="77777777" w:rsidR="009E7438" w:rsidRPr="009E7438" w:rsidRDefault="009E7438" w:rsidP="009E7438">
      <w:pPr>
        <w:spacing w:after="0" w:line="360" w:lineRule="auto"/>
        <w:ind w:left="709" w:hanging="709"/>
        <w:jc w:val="both"/>
        <w:rPr>
          <w:rFonts w:ascii="Times New Roman" w:hAnsi="Times New Roman" w:cs="Times New Roman"/>
          <w:sz w:val="24"/>
          <w:szCs w:val="24"/>
        </w:rPr>
      </w:pPr>
      <w:r w:rsidRPr="009E7438">
        <w:rPr>
          <w:rFonts w:ascii="Times New Roman" w:hAnsi="Times New Roman" w:cs="Times New Roman"/>
          <w:sz w:val="24"/>
          <w:szCs w:val="24"/>
        </w:rPr>
        <w:t>Alvarez Montalvan, O. E., Memije Alarcón, N. Y., &amp; Ventura Ramos, P. E. (2025). Crisis Climática y Vulnerabilidad Económica: Afectaciones por Fenómenos Naturales en el Estado de Guerrero (2020–2025). Ibero Ciencias - Revista Científica y Académica - ISSN 3072-7197, 4(3), 356-376. https://doi.org/10.63371/ic.v4.n3.a127</w:t>
      </w:r>
    </w:p>
    <w:p w14:paraId="02B9B77D" w14:textId="77777777" w:rsidR="009E7438" w:rsidRPr="009E7438" w:rsidRDefault="009E7438" w:rsidP="009E7438">
      <w:pPr>
        <w:spacing w:after="0" w:line="360" w:lineRule="auto"/>
        <w:ind w:left="709" w:hanging="709"/>
        <w:jc w:val="both"/>
        <w:rPr>
          <w:rFonts w:ascii="Times New Roman" w:hAnsi="Times New Roman" w:cs="Times New Roman"/>
          <w:sz w:val="24"/>
          <w:szCs w:val="24"/>
          <w:lang w:val="en-US"/>
        </w:rPr>
      </w:pPr>
      <w:r w:rsidRPr="009E7438">
        <w:rPr>
          <w:rFonts w:ascii="Times New Roman" w:hAnsi="Times New Roman" w:cs="Times New Roman"/>
          <w:sz w:val="24"/>
          <w:szCs w:val="24"/>
          <w:lang w:val="en-US"/>
        </w:rPr>
        <w:t>Bachmann, L. (2025). Integrating Social Vulnerability into Human Displacement Risk Models: An Event-Based Approach for Weather-Related Hazards [Application/pdf]. 48 p. https://doi.org/10.3929/ETHZ-B-000738124</w:t>
      </w:r>
    </w:p>
    <w:p w14:paraId="29C0FA99" w14:textId="77777777" w:rsidR="009E7438" w:rsidRPr="009E7438" w:rsidRDefault="009E7438" w:rsidP="009E7438">
      <w:pPr>
        <w:spacing w:after="0" w:line="360" w:lineRule="auto"/>
        <w:ind w:left="709" w:hanging="709"/>
        <w:jc w:val="both"/>
        <w:rPr>
          <w:rFonts w:ascii="Times New Roman" w:hAnsi="Times New Roman" w:cs="Times New Roman"/>
          <w:sz w:val="24"/>
          <w:szCs w:val="24"/>
          <w:lang w:val="en-US"/>
        </w:rPr>
      </w:pPr>
      <w:r w:rsidRPr="009E7438">
        <w:rPr>
          <w:rFonts w:ascii="Times New Roman" w:hAnsi="Times New Roman" w:cs="Times New Roman"/>
          <w:sz w:val="24"/>
          <w:szCs w:val="24"/>
        </w:rPr>
        <w:t xml:space="preserve">Bastien-Olvera, B. A., Rivera, A., Gray, E., Mitchell, S., Favoretto, F., Ezcurra, E., &amp; Aburto-Oropeza, O. (2024). </w:t>
      </w:r>
      <w:r w:rsidRPr="009E7438">
        <w:rPr>
          <w:rFonts w:ascii="Times New Roman" w:hAnsi="Times New Roman" w:cs="Times New Roman"/>
          <w:sz w:val="24"/>
          <w:szCs w:val="24"/>
          <w:lang w:val="en-US"/>
        </w:rPr>
        <w:t>Mangrove preservation could have significantly reduced damages from Hurricane Otis on the coast of Guerrero, Mexico. Science of The Total Environment, 957, 177822. https://doi.org/10.1016/j.scitotenv.2024.177822</w:t>
      </w:r>
    </w:p>
    <w:p w14:paraId="6B5A7E4C" w14:textId="77777777" w:rsidR="009E7438" w:rsidRPr="009E7438" w:rsidRDefault="009E7438" w:rsidP="009E7438">
      <w:pPr>
        <w:spacing w:after="0" w:line="360" w:lineRule="auto"/>
        <w:ind w:left="709" w:hanging="709"/>
        <w:jc w:val="both"/>
        <w:rPr>
          <w:rFonts w:ascii="Times New Roman" w:hAnsi="Times New Roman" w:cs="Times New Roman"/>
          <w:sz w:val="24"/>
          <w:szCs w:val="24"/>
          <w:lang w:val="en-US"/>
        </w:rPr>
      </w:pPr>
      <w:r w:rsidRPr="009E7438">
        <w:rPr>
          <w:rFonts w:ascii="Times New Roman" w:hAnsi="Times New Roman" w:cs="Times New Roman"/>
          <w:sz w:val="24"/>
          <w:szCs w:val="24"/>
          <w:lang w:val="en-US"/>
        </w:rPr>
        <w:t>Bathi, J., &amp; Das, H. (2016). Vulnerability of Coastal Communities from Storm Surge and Flood Disasters. International Journal of Environmental Research and Public Health, 13(2), 239. https://doi.org/10.3390/ijerph13020239</w:t>
      </w:r>
    </w:p>
    <w:p w14:paraId="09AC1BBB" w14:textId="77777777" w:rsidR="009E7438" w:rsidRPr="009E7438" w:rsidRDefault="009E7438" w:rsidP="009E7438">
      <w:pPr>
        <w:spacing w:after="0" w:line="360" w:lineRule="auto"/>
        <w:ind w:left="709" w:hanging="709"/>
        <w:jc w:val="both"/>
        <w:rPr>
          <w:rFonts w:ascii="Times New Roman" w:hAnsi="Times New Roman" w:cs="Times New Roman"/>
          <w:sz w:val="24"/>
          <w:szCs w:val="24"/>
        </w:rPr>
      </w:pPr>
      <w:r w:rsidRPr="009E7438">
        <w:rPr>
          <w:rFonts w:ascii="Times New Roman" w:hAnsi="Times New Roman" w:cs="Times New Roman"/>
          <w:sz w:val="24"/>
          <w:szCs w:val="24"/>
        </w:rPr>
        <w:t>Bedolla Solano, R., Miranda Esteban, A., Bedolla Solano, J. J., &amp; Sánchez Adame, O. (2021). Análisis prospectivo-educativo del impacto del huracán Max en una comunidad de Guerrero. RIDE Revista Iberoamericana para la Investigación y el Desarrollo Educativo, 11(22). https://doi.org/10.23913/ride.v11i22.877</w:t>
      </w:r>
    </w:p>
    <w:p w14:paraId="2AB07AA0" w14:textId="77777777" w:rsidR="009E7438" w:rsidRPr="009E7438" w:rsidRDefault="009E7438" w:rsidP="009E7438">
      <w:pPr>
        <w:spacing w:after="0" w:line="360" w:lineRule="auto"/>
        <w:ind w:left="709" w:hanging="709"/>
        <w:jc w:val="both"/>
        <w:rPr>
          <w:rFonts w:ascii="Times New Roman" w:hAnsi="Times New Roman" w:cs="Times New Roman"/>
          <w:sz w:val="24"/>
          <w:szCs w:val="24"/>
          <w:lang w:val="en-US"/>
        </w:rPr>
      </w:pPr>
      <w:r w:rsidRPr="009E7438">
        <w:rPr>
          <w:rFonts w:ascii="Times New Roman" w:hAnsi="Times New Roman" w:cs="Times New Roman"/>
          <w:sz w:val="24"/>
          <w:szCs w:val="24"/>
          <w:lang w:val="en-US"/>
        </w:rPr>
        <w:lastRenderedPageBreak/>
        <w:t>Behera, S. K. (2024). Understanding the impact of climate change on extreme events. Frontiers in Science, 2, 1433766. https://doi.org/10.3389/fsci.2024.1433766</w:t>
      </w:r>
    </w:p>
    <w:p w14:paraId="4F5D0D9D" w14:textId="77777777" w:rsidR="009E7438" w:rsidRPr="009E7438" w:rsidRDefault="009E7438" w:rsidP="009E7438">
      <w:pPr>
        <w:spacing w:after="0" w:line="360" w:lineRule="auto"/>
        <w:ind w:left="709" w:hanging="709"/>
        <w:jc w:val="both"/>
        <w:rPr>
          <w:rFonts w:ascii="Times New Roman" w:hAnsi="Times New Roman" w:cs="Times New Roman"/>
          <w:sz w:val="24"/>
          <w:szCs w:val="24"/>
          <w:lang w:val="en-US"/>
        </w:rPr>
      </w:pPr>
      <w:r w:rsidRPr="009E7438">
        <w:rPr>
          <w:rFonts w:ascii="Times New Roman" w:hAnsi="Times New Roman" w:cs="Times New Roman"/>
          <w:sz w:val="24"/>
          <w:szCs w:val="24"/>
          <w:lang w:val="en-US"/>
        </w:rPr>
        <w:t>Bonfanti, R. C., Oberti, B., Ravazzoli, E., Rinaldi, A., Ruggieri, S., &amp; Schimmenti, A. (2023). The Role of Trust in Disaster Risk Reduction: A Critical Review. International Journal of Environmental Research and Public Health, 21(1), 29. https://doi.org/10.3390/ijerph21010029</w:t>
      </w:r>
    </w:p>
    <w:p w14:paraId="3FE0106F" w14:textId="77777777" w:rsidR="009E7438" w:rsidRPr="009E7438" w:rsidRDefault="009E7438" w:rsidP="009E7438">
      <w:pPr>
        <w:spacing w:after="0" w:line="360" w:lineRule="auto"/>
        <w:ind w:left="709" w:hanging="709"/>
        <w:jc w:val="both"/>
        <w:rPr>
          <w:rFonts w:ascii="Times New Roman" w:hAnsi="Times New Roman" w:cs="Times New Roman"/>
          <w:sz w:val="24"/>
          <w:szCs w:val="24"/>
        </w:rPr>
      </w:pPr>
      <w:r w:rsidRPr="009E7438">
        <w:rPr>
          <w:rFonts w:ascii="Times New Roman" w:hAnsi="Times New Roman" w:cs="Times New Roman"/>
          <w:sz w:val="24"/>
          <w:szCs w:val="24"/>
        </w:rPr>
        <w:t>Camacho Sanabria, J. M., Chávez Alvarado, R., &amp; Velázquez Torres, D. (2019). Propuesta Metodológica para medir la Resiliencia Urbana ante Huracanes e Inundaciones en el Caribe Mexicano. Revista de Estudios Latinoamericanos sobre Reducción del Riesgo de Desastres REDER, 3(2), 28. https://doi.org/10.55467/reder.v3i2.30</w:t>
      </w:r>
    </w:p>
    <w:p w14:paraId="11E34858" w14:textId="77777777" w:rsidR="009E7438" w:rsidRPr="009E7438" w:rsidRDefault="009E7438" w:rsidP="009E7438">
      <w:pPr>
        <w:spacing w:after="0" w:line="360" w:lineRule="auto"/>
        <w:ind w:left="709" w:hanging="709"/>
        <w:jc w:val="both"/>
        <w:rPr>
          <w:rFonts w:ascii="Times New Roman" w:hAnsi="Times New Roman" w:cs="Times New Roman"/>
          <w:sz w:val="24"/>
          <w:szCs w:val="24"/>
          <w:lang w:val="en-US"/>
        </w:rPr>
      </w:pPr>
      <w:r w:rsidRPr="009E7438">
        <w:rPr>
          <w:rFonts w:ascii="Times New Roman" w:hAnsi="Times New Roman" w:cs="Times New Roman"/>
          <w:sz w:val="24"/>
          <w:szCs w:val="24"/>
        </w:rPr>
        <w:t xml:space="preserve">Castillo-Loeza, D. E., Romero, D., &amp; Quesada-Román, A. (2025). </w:t>
      </w:r>
      <w:r w:rsidRPr="009E7438">
        <w:rPr>
          <w:rFonts w:ascii="Times New Roman" w:hAnsi="Times New Roman" w:cs="Times New Roman"/>
          <w:sz w:val="24"/>
          <w:szCs w:val="24"/>
          <w:lang w:val="en-US"/>
        </w:rPr>
        <w:t>Tropical Cyclones in Mexico: A Comparative Analysis and a Composite Socioeconomic Damage Index. Economics of Disasters and Climate Change. https://doi.org/10.1007/s41885-025-00179-3</w:t>
      </w:r>
    </w:p>
    <w:p w14:paraId="575B1F86" w14:textId="77777777" w:rsidR="009E7438" w:rsidRPr="009E7438" w:rsidRDefault="009E7438" w:rsidP="009E7438">
      <w:pPr>
        <w:spacing w:after="0" w:line="360" w:lineRule="auto"/>
        <w:ind w:left="709" w:hanging="709"/>
        <w:jc w:val="both"/>
        <w:rPr>
          <w:rFonts w:ascii="Times New Roman" w:hAnsi="Times New Roman" w:cs="Times New Roman"/>
          <w:sz w:val="24"/>
          <w:szCs w:val="24"/>
        </w:rPr>
      </w:pPr>
      <w:r w:rsidRPr="009E7438">
        <w:rPr>
          <w:rFonts w:ascii="Times New Roman" w:hAnsi="Times New Roman" w:cs="Times New Roman"/>
          <w:sz w:val="24"/>
          <w:szCs w:val="24"/>
        </w:rPr>
        <w:t>CENAPRED. (2019). Catálogo de inundaciones 2019. Mexico: Centro Nacional de Prevención de Desastres. Bing. https://www.bing.com/search?q=CENAPRED. Catálogo de inundaciones 2019. Mexico%3A Centro Nacional de Prevención de Desastres.&amp;form=SWAUA2</w:t>
      </w:r>
    </w:p>
    <w:p w14:paraId="5DD5436D" w14:textId="77777777" w:rsidR="009E7438" w:rsidRPr="009E7438" w:rsidRDefault="009E7438" w:rsidP="009E7438">
      <w:pPr>
        <w:spacing w:after="0" w:line="360" w:lineRule="auto"/>
        <w:ind w:left="709" w:hanging="709"/>
        <w:jc w:val="both"/>
        <w:rPr>
          <w:rFonts w:ascii="Times New Roman" w:hAnsi="Times New Roman" w:cs="Times New Roman"/>
          <w:sz w:val="24"/>
          <w:szCs w:val="24"/>
          <w:lang w:val="en-US"/>
        </w:rPr>
      </w:pPr>
      <w:r w:rsidRPr="009E7438">
        <w:rPr>
          <w:rFonts w:ascii="Times New Roman" w:hAnsi="Times New Roman" w:cs="Times New Roman"/>
          <w:sz w:val="24"/>
          <w:szCs w:val="24"/>
        </w:rPr>
        <w:t xml:space="preserve">Conforti, M., &amp; Ietto, F. (2019). </w:t>
      </w:r>
      <w:r w:rsidRPr="009E7438">
        <w:rPr>
          <w:rFonts w:ascii="Times New Roman" w:hAnsi="Times New Roman" w:cs="Times New Roman"/>
          <w:sz w:val="24"/>
          <w:szCs w:val="24"/>
          <w:lang w:val="en-US"/>
        </w:rPr>
        <w:t>An integrated approach to investigate slope instability affecting infrastructures. Bulletin of Engineering Geology and the Environment, 78(4), 2355-2375. https://doi.org/10.1007/s10064-018-1311-9</w:t>
      </w:r>
    </w:p>
    <w:p w14:paraId="59888E14" w14:textId="77777777" w:rsidR="009E7438" w:rsidRPr="009E7438" w:rsidRDefault="009E7438" w:rsidP="009E7438">
      <w:pPr>
        <w:spacing w:after="0" w:line="360" w:lineRule="auto"/>
        <w:ind w:left="709" w:hanging="709"/>
        <w:jc w:val="both"/>
        <w:rPr>
          <w:rFonts w:ascii="Times New Roman" w:hAnsi="Times New Roman" w:cs="Times New Roman"/>
          <w:sz w:val="24"/>
          <w:szCs w:val="24"/>
          <w:lang w:val="en-US"/>
        </w:rPr>
      </w:pPr>
      <w:r w:rsidRPr="009E7438">
        <w:rPr>
          <w:rFonts w:ascii="Times New Roman" w:hAnsi="Times New Roman" w:cs="Times New Roman"/>
          <w:sz w:val="24"/>
          <w:szCs w:val="24"/>
          <w:lang w:val="en-US"/>
        </w:rPr>
        <w:t>Ellis, J. T., Harris, M. E., Román-Rivera, M. A., Ferguson, J. B., Tereszkiewicz, P. A., &amp; McGill, S. P. (2020). Application of the Saffir-Simpson Hurricane Wind Scale to Assess Sand Dune Response to Tropical Storms. Journal of Marine Science and Engineering, 8(9), 670. https://doi.org/10.3390/jmse8090670</w:t>
      </w:r>
    </w:p>
    <w:p w14:paraId="66BF7B2B" w14:textId="77777777" w:rsidR="009E7438" w:rsidRPr="009E7438" w:rsidRDefault="009E7438" w:rsidP="009E7438">
      <w:pPr>
        <w:spacing w:after="0" w:line="360" w:lineRule="auto"/>
        <w:ind w:left="709" w:hanging="709"/>
        <w:jc w:val="both"/>
        <w:rPr>
          <w:rFonts w:ascii="Times New Roman" w:hAnsi="Times New Roman" w:cs="Times New Roman"/>
          <w:sz w:val="24"/>
          <w:szCs w:val="24"/>
          <w:lang w:val="en-US"/>
        </w:rPr>
      </w:pPr>
      <w:r w:rsidRPr="009E7438">
        <w:rPr>
          <w:rFonts w:ascii="Times New Roman" w:hAnsi="Times New Roman" w:cs="Times New Roman"/>
          <w:sz w:val="24"/>
          <w:szCs w:val="24"/>
          <w:lang w:val="en-US"/>
        </w:rPr>
        <w:t>Emanuel, K. (2017). Will Global Warming Make Hurricane Forecasting More Difficult? Bulletin of the American Meteorological Society, 98(3), 495-501. https://doi.org/10.1175/BAMS-D-16-0134.1</w:t>
      </w:r>
    </w:p>
    <w:p w14:paraId="5AE4FBA8" w14:textId="77777777" w:rsidR="009E7438" w:rsidRPr="009E7438" w:rsidRDefault="009E7438" w:rsidP="009E7438">
      <w:pPr>
        <w:spacing w:after="0" w:line="360" w:lineRule="auto"/>
        <w:ind w:left="709" w:hanging="709"/>
        <w:jc w:val="both"/>
        <w:rPr>
          <w:rFonts w:ascii="Times New Roman" w:hAnsi="Times New Roman" w:cs="Times New Roman"/>
          <w:sz w:val="24"/>
          <w:szCs w:val="24"/>
        </w:rPr>
      </w:pPr>
      <w:r w:rsidRPr="009E7438">
        <w:rPr>
          <w:rFonts w:ascii="Times New Roman" w:hAnsi="Times New Roman" w:cs="Times New Roman"/>
          <w:sz w:val="24"/>
          <w:szCs w:val="24"/>
          <w:lang w:val="en-US"/>
        </w:rPr>
        <w:t xml:space="preserve">Emrich, C. T., Zhou, Y., Aksha, S. K., &amp; Longenecker, H. E. (2022). Creating a Nationwide Composite Hazard Index Using Empirically Based Threat Assessment Approaches Applied to Open Geospatial Data. </w:t>
      </w:r>
      <w:r w:rsidRPr="009E7438">
        <w:rPr>
          <w:rFonts w:ascii="Times New Roman" w:hAnsi="Times New Roman" w:cs="Times New Roman"/>
          <w:sz w:val="24"/>
          <w:szCs w:val="24"/>
        </w:rPr>
        <w:t>Sustainability, 14(5), 2685. https://doi.org/10.3390/su14052685</w:t>
      </w:r>
    </w:p>
    <w:p w14:paraId="1D975079" w14:textId="77777777" w:rsidR="009E7438" w:rsidRPr="009E7438" w:rsidRDefault="009E7438" w:rsidP="009E7438">
      <w:pPr>
        <w:spacing w:after="0" w:line="360" w:lineRule="auto"/>
        <w:ind w:left="709" w:hanging="709"/>
        <w:jc w:val="both"/>
        <w:rPr>
          <w:rFonts w:ascii="Times New Roman" w:hAnsi="Times New Roman" w:cs="Times New Roman"/>
          <w:sz w:val="24"/>
          <w:szCs w:val="24"/>
          <w:lang w:val="en-US"/>
        </w:rPr>
      </w:pPr>
      <w:r w:rsidRPr="009E7438">
        <w:rPr>
          <w:rFonts w:ascii="Times New Roman" w:hAnsi="Times New Roman" w:cs="Times New Roman"/>
          <w:sz w:val="24"/>
          <w:szCs w:val="24"/>
        </w:rPr>
        <w:lastRenderedPageBreak/>
        <w:t xml:space="preserve">Esteban, A. M., Solano, I. B., Solano, J. J. B., Adame, O. S., &amp; Solano, R. B. (2025). </w:t>
      </w:r>
      <w:r w:rsidRPr="009E7438">
        <w:rPr>
          <w:rFonts w:ascii="Times New Roman" w:hAnsi="Times New Roman" w:cs="Times New Roman"/>
          <w:sz w:val="24"/>
          <w:szCs w:val="24"/>
          <w:lang w:val="en-US"/>
        </w:rPr>
        <w:t>Water situation in Las Vigas from a socioenvironmental perspective. Asian Journal of Water, Environment and Pollution, 0(0), 025220180. https://doi.org/10.36922/AJWEP025220180</w:t>
      </w:r>
    </w:p>
    <w:p w14:paraId="50F6EFC6" w14:textId="77777777" w:rsidR="009E7438" w:rsidRPr="009E7438" w:rsidRDefault="009E7438" w:rsidP="009E7438">
      <w:pPr>
        <w:spacing w:after="0" w:line="360" w:lineRule="auto"/>
        <w:ind w:left="709" w:hanging="709"/>
        <w:jc w:val="both"/>
        <w:rPr>
          <w:rFonts w:ascii="Times New Roman" w:hAnsi="Times New Roman" w:cs="Times New Roman"/>
          <w:sz w:val="24"/>
          <w:szCs w:val="24"/>
          <w:lang w:val="en-US"/>
        </w:rPr>
      </w:pPr>
      <w:r w:rsidRPr="009E7438">
        <w:rPr>
          <w:rFonts w:ascii="Times New Roman" w:hAnsi="Times New Roman" w:cs="Times New Roman"/>
          <w:sz w:val="24"/>
          <w:szCs w:val="24"/>
          <w:lang w:val="en-US"/>
        </w:rPr>
        <w:t>Ibe, K. K., Chiweshe, O., Ola, M. I., &amp; Kollur, S. P. (2025). Community vulnerability to cyclones: An empirical evidence from rural India to improve resilience. Journal of Safety Science and Resilience, 6(4), 100217. https://doi.org/10.1016/j.jnlssr.2025.100217</w:t>
      </w:r>
    </w:p>
    <w:p w14:paraId="2C595327" w14:textId="77777777" w:rsidR="009E7438" w:rsidRPr="009E7438" w:rsidRDefault="009E7438" w:rsidP="009E7438">
      <w:pPr>
        <w:spacing w:after="0" w:line="360" w:lineRule="auto"/>
        <w:ind w:left="709" w:hanging="709"/>
        <w:jc w:val="both"/>
        <w:rPr>
          <w:rFonts w:ascii="Times New Roman" w:hAnsi="Times New Roman" w:cs="Times New Roman"/>
          <w:sz w:val="24"/>
          <w:szCs w:val="24"/>
          <w:lang w:val="en-US"/>
        </w:rPr>
      </w:pPr>
      <w:r w:rsidRPr="009E7438">
        <w:rPr>
          <w:rFonts w:ascii="Times New Roman" w:hAnsi="Times New Roman" w:cs="Times New Roman"/>
          <w:sz w:val="24"/>
          <w:szCs w:val="24"/>
          <w:lang w:val="en-US"/>
        </w:rPr>
        <w:t>IPCC. (2023). Climate Change 2021 – The Physical Science Basis: Working Group I Contribution to the Sixth Assessment Report of the Intergovernmental Panel on Climate Change (1.a ed.). Cambridge University Press. https://doi.org/10.1017/9781009157896</w:t>
      </w:r>
    </w:p>
    <w:p w14:paraId="79D7B8EF" w14:textId="77777777" w:rsidR="009E7438" w:rsidRPr="009E7438" w:rsidRDefault="009E7438" w:rsidP="009E7438">
      <w:pPr>
        <w:spacing w:after="0" w:line="360" w:lineRule="auto"/>
        <w:ind w:left="709" w:hanging="709"/>
        <w:jc w:val="both"/>
        <w:rPr>
          <w:rFonts w:ascii="Times New Roman" w:hAnsi="Times New Roman" w:cs="Times New Roman"/>
          <w:sz w:val="24"/>
          <w:szCs w:val="24"/>
          <w:lang w:val="en-US"/>
        </w:rPr>
      </w:pPr>
      <w:r w:rsidRPr="009E7438">
        <w:rPr>
          <w:rFonts w:ascii="Times New Roman" w:hAnsi="Times New Roman" w:cs="Times New Roman"/>
          <w:sz w:val="24"/>
          <w:szCs w:val="24"/>
          <w:lang w:val="en-US"/>
        </w:rPr>
        <w:t>Jadhav, J., Kamble, P., Sharma, D., Manglani, H., Panda, G. R., &amp; Rajput, P. (2025). Socio-Economic Implications of Severe Storms in the Changing Climatic Scenarios: A Case of South Asia. En S. Das &amp; W.-K. Tao (Eds.), Severe Storms (pp. 647-670). Springer Nature Singapore. https://doi.org/10.1007/978-981-97-7075-5_25</w:t>
      </w:r>
    </w:p>
    <w:p w14:paraId="63DEAABF" w14:textId="77777777" w:rsidR="009E7438" w:rsidRPr="009E7438" w:rsidRDefault="009E7438" w:rsidP="009E7438">
      <w:pPr>
        <w:spacing w:after="0" w:line="360" w:lineRule="auto"/>
        <w:ind w:left="709" w:hanging="709"/>
        <w:jc w:val="both"/>
        <w:rPr>
          <w:rFonts w:ascii="Times New Roman" w:hAnsi="Times New Roman" w:cs="Times New Roman"/>
          <w:sz w:val="24"/>
          <w:szCs w:val="24"/>
        </w:rPr>
      </w:pPr>
      <w:r w:rsidRPr="009E7438">
        <w:rPr>
          <w:rFonts w:ascii="Times New Roman" w:hAnsi="Times New Roman" w:cs="Times New Roman"/>
          <w:sz w:val="24"/>
          <w:szCs w:val="24"/>
          <w:lang w:val="en-US"/>
        </w:rPr>
        <w:t xml:space="preserve">Klasa, K., Trump, B. D., Dulin, S., Smith, M., Jarman, H., &amp; Linkov, I. (2025). A Resilience-Augmented Approach to Compound Threats and Risk Governance: A Systems Perspective on Navigating Complex Crises. </w:t>
      </w:r>
      <w:r w:rsidRPr="009E7438">
        <w:rPr>
          <w:rFonts w:ascii="Times New Roman" w:hAnsi="Times New Roman" w:cs="Times New Roman"/>
          <w:sz w:val="24"/>
          <w:szCs w:val="24"/>
        </w:rPr>
        <w:t>Environments, 12(2), 64. https://doi.org/10.3390/environments12020064</w:t>
      </w:r>
    </w:p>
    <w:p w14:paraId="70496063" w14:textId="77777777" w:rsidR="009E7438" w:rsidRPr="009E7438" w:rsidRDefault="009E7438" w:rsidP="009E7438">
      <w:pPr>
        <w:spacing w:after="0" w:line="360" w:lineRule="auto"/>
        <w:ind w:left="709" w:hanging="709"/>
        <w:jc w:val="both"/>
        <w:rPr>
          <w:rFonts w:ascii="Times New Roman" w:hAnsi="Times New Roman" w:cs="Times New Roman"/>
          <w:sz w:val="24"/>
          <w:szCs w:val="24"/>
          <w:lang w:val="en-US"/>
        </w:rPr>
      </w:pPr>
      <w:r w:rsidRPr="009E7438">
        <w:rPr>
          <w:rFonts w:ascii="Times New Roman" w:hAnsi="Times New Roman" w:cs="Times New Roman"/>
          <w:sz w:val="24"/>
          <w:szCs w:val="24"/>
        </w:rPr>
        <w:t xml:space="preserve">Knutson, T., Camargo, S. J., Chan, J. C. L., Emanuel, K., Ho, C.-H., Kossin, J., Mohapatra, M., Satoh, M., Sugi, M., Walsh, K., &amp; Wu, L. (2020). </w:t>
      </w:r>
      <w:r w:rsidRPr="009E7438">
        <w:rPr>
          <w:rFonts w:ascii="Times New Roman" w:hAnsi="Times New Roman" w:cs="Times New Roman"/>
          <w:sz w:val="24"/>
          <w:szCs w:val="24"/>
          <w:lang w:val="en-US"/>
        </w:rPr>
        <w:t>Tropical Cyclones and Climate Change Assessment: Part II: Projected Response to Anthropogenic Warming. Bulletin of the American Meteorological Society, 101(3), E303-E322. https://doi.org/10.1175/BAMS-D-18-0194.1</w:t>
      </w:r>
    </w:p>
    <w:p w14:paraId="4A03B199" w14:textId="77777777" w:rsidR="009E7438" w:rsidRPr="009E7438" w:rsidRDefault="009E7438" w:rsidP="009E7438">
      <w:pPr>
        <w:spacing w:after="0" w:line="360" w:lineRule="auto"/>
        <w:ind w:left="709" w:hanging="709"/>
        <w:jc w:val="both"/>
        <w:rPr>
          <w:rFonts w:ascii="Times New Roman" w:hAnsi="Times New Roman" w:cs="Times New Roman"/>
          <w:sz w:val="24"/>
          <w:szCs w:val="24"/>
          <w:lang w:val="en-US"/>
        </w:rPr>
      </w:pPr>
      <w:r w:rsidRPr="009E7438">
        <w:rPr>
          <w:rFonts w:ascii="Times New Roman" w:hAnsi="Times New Roman" w:cs="Times New Roman"/>
          <w:sz w:val="24"/>
          <w:szCs w:val="24"/>
          <w:lang w:val="en-US"/>
        </w:rPr>
        <w:t>Koliyabandara, P. A., Preethika, D. D. P., Cooray, A. T., Liyanage, S. S., Siriwardana, C., &amp; Vithanage, M. (2024). The Environmental Pressure by Open Dumpsites and Way Forward. En A. Anouzla &amp; S. Souabi (Eds.), Technical Landfills and Waste Management (pp. 171-204). Springer Nature Switzerland. https://doi.org/10.1007/978-3-031-52633-6_7</w:t>
      </w:r>
    </w:p>
    <w:p w14:paraId="0AC10956" w14:textId="77777777" w:rsidR="009E7438" w:rsidRPr="009E7438" w:rsidRDefault="009E7438" w:rsidP="009E7438">
      <w:pPr>
        <w:spacing w:after="0" w:line="360" w:lineRule="auto"/>
        <w:ind w:left="709" w:hanging="709"/>
        <w:jc w:val="both"/>
        <w:rPr>
          <w:rFonts w:ascii="Times New Roman" w:hAnsi="Times New Roman" w:cs="Times New Roman"/>
          <w:sz w:val="24"/>
          <w:szCs w:val="24"/>
          <w:lang w:val="en-US"/>
        </w:rPr>
      </w:pPr>
      <w:r w:rsidRPr="009E7438">
        <w:rPr>
          <w:rFonts w:ascii="Times New Roman" w:hAnsi="Times New Roman" w:cs="Times New Roman"/>
          <w:sz w:val="24"/>
          <w:szCs w:val="24"/>
          <w:lang w:val="en-US"/>
        </w:rPr>
        <w:t xml:space="preserve">Lim, K. Y., &amp; Foo, K. Y. (2022). A State-of-the-Art Review on the Unique Characteristics, Key Driving Causes and Mitigation Measures of the World Catastrophic Flood Disasters. En C. Ghosh &amp; S. Kolathayar (Eds.), A System Engineering Approach to </w:t>
      </w:r>
      <w:r w:rsidRPr="009E7438">
        <w:rPr>
          <w:rFonts w:ascii="Times New Roman" w:hAnsi="Times New Roman" w:cs="Times New Roman"/>
          <w:sz w:val="24"/>
          <w:szCs w:val="24"/>
          <w:lang w:val="en-US"/>
        </w:rPr>
        <w:lastRenderedPageBreak/>
        <w:t>Disaster Resilience (Vol. 205, pp. 229-246). Springer Nature Singapore. https://doi.org/10.1007/978-981-16-7397-9_17</w:t>
      </w:r>
    </w:p>
    <w:p w14:paraId="2A8FD80C" w14:textId="77777777" w:rsidR="009E7438" w:rsidRPr="009E7438" w:rsidRDefault="009E7438" w:rsidP="009E7438">
      <w:pPr>
        <w:spacing w:after="0" w:line="360" w:lineRule="auto"/>
        <w:ind w:left="709" w:hanging="709"/>
        <w:jc w:val="both"/>
        <w:rPr>
          <w:rFonts w:ascii="Times New Roman" w:hAnsi="Times New Roman" w:cs="Times New Roman"/>
          <w:sz w:val="24"/>
          <w:szCs w:val="24"/>
          <w:lang w:val="en-US"/>
        </w:rPr>
      </w:pPr>
      <w:r w:rsidRPr="009E7438">
        <w:rPr>
          <w:rFonts w:ascii="Times New Roman" w:hAnsi="Times New Roman" w:cs="Times New Roman"/>
          <w:sz w:val="24"/>
          <w:szCs w:val="24"/>
          <w:lang w:val="en-US"/>
        </w:rPr>
        <w:t>Mančić, T. (2025). Climate Change as a Security Challenge, Risk and Threat of the 21st Century and Its Consequences on Critical Infrastructure. International Journal of Contemporary Security Studies, 1(1), 191-203. https://doi.org/10.18485/fb_ijcss.2025.1.1.14</w:t>
      </w:r>
    </w:p>
    <w:p w14:paraId="6B6019DA" w14:textId="77777777" w:rsidR="009E7438" w:rsidRPr="009E7438" w:rsidRDefault="009E7438" w:rsidP="009E7438">
      <w:pPr>
        <w:spacing w:after="0" w:line="360" w:lineRule="auto"/>
        <w:ind w:left="709" w:hanging="709"/>
        <w:jc w:val="both"/>
        <w:rPr>
          <w:rFonts w:ascii="Times New Roman" w:hAnsi="Times New Roman" w:cs="Times New Roman"/>
          <w:sz w:val="24"/>
          <w:szCs w:val="24"/>
        </w:rPr>
      </w:pPr>
      <w:r w:rsidRPr="009E7438">
        <w:rPr>
          <w:rFonts w:ascii="Times New Roman" w:hAnsi="Times New Roman" w:cs="Times New Roman"/>
          <w:sz w:val="24"/>
          <w:szCs w:val="24"/>
          <w:lang w:val="en-US"/>
        </w:rPr>
        <w:t xml:space="preserve">Marshall, J., Wiltshire, J., Delva, J., Bello, T., &amp; Masys, A. J. (2020). Natural and Manmade Disasters: Vulnerable Populations. En A. J. Masys, R. Izurieta, &amp; M. Reina Ortiz (Eds.), Global Health Security (pp. 143-161). </w:t>
      </w:r>
      <w:r w:rsidRPr="009E7438">
        <w:rPr>
          <w:rFonts w:ascii="Times New Roman" w:hAnsi="Times New Roman" w:cs="Times New Roman"/>
          <w:sz w:val="24"/>
          <w:szCs w:val="24"/>
        </w:rPr>
        <w:t>Springer International Publishing. https://doi.org/10.1007/978-3-030-23491-1_7</w:t>
      </w:r>
    </w:p>
    <w:p w14:paraId="60CCA3B3" w14:textId="77777777" w:rsidR="009E7438" w:rsidRPr="009E7438" w:rsidRDefault="009E7438" w:rsidP="009E7438">
      <w:pPr>
        <w:spacing w:after="0" w:line="360" w:lineRule="auto"/>
        <w:ind w:left="709" w:hanging="709"/>
        <w:jc w:val="both"/>
        <w:rPr>
          <w:rFonts w:ascii="Times New Roman" w:hAnsi="Times New Roman" w:cs="Times New Roman"/>
          <w:sz w:val="24"/>
          <w:szCs w:val="24"/>
        </w:rPr>
      </w:pPr>
      <w:r w:rsidRPr="009E7438">
        <w:rPr>
          <w:rFonts w:ascii="Times New Roman" w:hAnsi="Times New Roman" w:cs="Times New Roman"/>
          <w:sz w:val="24"/>
          <w:szCs w:val="24"/>
        </w:rPr>
        <w:t xml:space="preserve">Martínez, M. L., Silva, R., Chávez, V., López-Portillo, J., Salgado, K., Marín-Coria, E., Pérez-Maqueo, O., Maximiliano-Cordova, C., Landgrave, R., &amp; De La Cruz, V. (2025). </w:t>
      </w:r>
      <w:r w:rsidRPr="009E7438">
        <w:rPr>
          <w:rFonts w:ascii="Times New Roman" w:hAnsi="Times New Roman" w:cs="Times New Roman"/>
          <w:sz w:val="24"/>
          <w:szCs w:val="24"/>
          <w:lang w:val="en-US"/>
        </w:rPr>
        <w:t xml:space="preserve">The challenges of climate change and human impacts faced by Mexican coasts: A comprehensive evaluation. </w:t>
      </w:r>
      <w:r w:rsidRPr="009E7438">
        <w:rPr>
          <w:rFonts w:ascii="Times New Roman" w:hAnsi="Times New Roman" w:cs="Times New Roman"/>
          <w:sz w:val="24"/>
          <w:szCs w:val="24"/>
        </w:rPr>
        <w:t>PLOS ONE, 20(4), e0320087. https://doi.org/10.1371/journal.pone.0320087</w:t>
      </w:r>
    </w:p>
    <w:p w14:paraId="25B0EC43" w14:textId="77777777" w:rsidR="009E7438" w:rsidRPr="009E7438" w:rsidRDefault="009E7438" w:rsidP="009E7438">
      <w:pPr>
        <w:spacing w:after="0" w:line="360" w:lineRule="auto"/>
        <w:ind w:left="709" w:hanging="709"/>
        <w:jc w:val="both"/>
        <w:rPr>
          <w:rFonts w:ascii="Times New Roman" w:hAnsi="Times New Roman" w:cs="Times New Roman"/>
          <w:sz w:val="24"/>
          <w:szCs w:val="24"/>
          <w:lang w:val="en-US"/>
        </w:rPr>
      </w:pPr>
      <w:r w:rsidRPr="009E7438">
        <w:rPr>
          <w:rFonts w:ascii="Times New Roman" w:hAnsi="Times New Roman" w:cs="Times New Roman"/>
          <w:sz w:val="24"/>
          <w:szCs w:val="24"/>
        </w:rPr>
        <w:t xml:space="preserve">Mezősi, G. (2022). </w:t>
      </w:r>
      <w:r w:rsidRPr="009E7438">
        <w:rPr>
          <w:rFonts w:ascii="Times New Roman" w:hAnsi="Times New Roman" w:cs="Times New Roman"/>
          <w:sz w:val="24"/>
          <w:szCs w:val="24"/>
          <w:lang w:val="en-US"/>
        </w:rPr>
        <w:t>Meteorological Hazards. En G. Mezősi, Natural Hazards and the Mitigation of their Impact (pp. 97-136). Springer International Publishing. https://doi.org/10.1007/978-3-031-07226-0_3</w:t>
      </w:r>
    </w:p>
    <w:p w14:paraId="0F647ED7" w14:textId="77777777" w:rsidR="009E7438" w:rsidRPr="009E7438" w:rsidRDefault="009E7438" w:rsidP="009E7438">
      <w:pPr>
        <w:spacing w:after="0" w:line="360" w:lineRule="auto"/>
        <w:ind w:left="709" w:hanging="709"/>
        <w:jc w:val="both"/>
        <w:rPr>
          <w:rFonts w:ascii="Times New Roman" w:hAnsi="Times New Roman" w:cs="Times New Roman"/>
          <w:sz w:val="24"/>
          <w:szCs w:val="24"/>
        </w:rPr>
      </w:pPr>
      <w:r w:rsidRPr="009E7438">
        <w:rPr>
          <w:rFonts w:ascii="Times New Roman" w:hAnsi="Times New Roman" w:cs="Times New Roman"/>
          <w:sz w:val="24"/>
          <w:szCs w:val="24"/>
          <w:lang w:val="en-US"/>
        </w:rPr>
        <w:t xml:space="preserve">Mitsova, D., Escaleras, M., Sapat, A., Esnard, A.-M., &amp; Lamadrid, A. J. (2019). The Effects of Infrastructure Service Disruptions and Socio-Economic Vulnerability on Hurricane Recovery. </w:t>
      </w:r>
      <w:r w:rsidRPr="009E7438">
        <w:rPr>
          <w:rFonts w:ascii="Times New Roman" w:hAnsi="Times New Roman" w:cs="Times New Roman"/>
          <w:sz w:val="24"/>
          <w:szCs w:val="24"/>
        </w:rPr>
        <w:t>Sustainability, 11(2), 516. https://doi.org/10.3390/su11020516</w:t>
      </w:r>
    </w:p>
    <w:p w14:paraId="1D62AFEF" w14:textId="77777777" w:rsidR="009E7438" w:rsidRPr="009E7438" w:rsidRDefault="009E7438" w:rsidP="009E7438">
      <w:pPr>
        <w:spacing w:after="0" w:line="360" w:lineRule="auto"/>
        <w:ind w:left="709" w:hanging="709"/>
        <w:jc w:val="both"/>
        <w:rPr>
          <w:rFonts w:ascii="Times New Roman" w:hAnsi="Times New Roman" w:cs="Times New Roman"/>
          <w:sz w:val="24"/>
          <w:szCs w:val="24"/>
        </w:rPr>
      </w:pPr>
      <w:r w:rsidRPr="009E7438">
        <w:rPr>
          <w:rFonts w:ascii="Times New Roman" w:hAnsi="Times New Roman" w:cs="Times New Roman"/>
          <w:sz w:val="24"/>
          <w:szCs w:val="24"/>
        </w:rPr>
        <w:t xml:space="preserve">Morán-Rodríguez, S., &amp; Novelo-Casanova, D. A. (2018). </w:t>
      </w:r>
      <w:r w:rsidRPr="009E7438">
        <w:rPr>
          <w:rFonts w:ascii="Times New Roman" w:hAnsi="Times New Roman" w:cs="Times New Roman"/>
          <w:sz w:val="24"/>
          <w:szCs w:val="24"/>
          <w:lang w:val="en-US"/>
        </w:rPr>
        <w:t xml:space="preserve">A methodology to estimate seismic vulnerability of health facilities. </w:t>
      </w:r>
      <w:r w:rsidRPr="009E7438">
        <w:rPr>
          <w:rFonts w:ascii="Times New Roman" w:hAnsi="Times New Roman" w:cs="Times New Roman"/>
          <w:sz w:val="24"/>
          <w:szCs w:val="24"/>
        </w:rPr>
        <w:t>Case study: Mexico City, Mexico. Natural Hazards, 90(3), 1349-1375. https://doi.org/10.1007/s11069-017-3101-2</w:t>
      </w:r>
    </w:p>
    <w:p w14:paraId="6E0435A5" w14:textId="77777777" w:rsidR="009E7438" w:rsidRPr="009E7438" w:rsidRDefault="009E7438" w:rsidP="009E7438">
      <w:pPr>
        <w:spacing w:after="0" w:line="360" w:lineRule="auto"/>
        <w:ind w:left="709" w:hanging="709"/>
        <w:jc w:val="both"/>
        <w:rPr>
          <w:rFonts w:ascii="Times New Roman" w:hAnsi="Times New Roman" w:cs="Times New Roman"/>
          <w:sz w:val="24"/>
          <w:szCs w:val="24"/>
        </w:rPr>
      </w:pPr>
      <w:r w:rsidRPr="009E7438">
        <w:rPr>
          <w:rFonts w:ascii="Times New Roman" w:hAnsi="Times New Roman" w:cs="Times New Roman"/>
          <w:sz w:val="24"/>
          <w:szCs w:val="24"/>
        </w:rPr>
        <w:t>Moreno Mendoza, E., Calderón Arellanes, M. P., &amp; Suastegui Cruz, S. (2024). Percepción socioambiental de los productores de maíz, debido al paso del huracán Otis en el estado de Guerrero, México. RIDE Revista Iberoamericana para la Investigación y el Desarrollo Educativo, 15(29). https://doi.org/10.23913/ride.v15i29.2037</w:t>
      </w:r>
    </w:p>
    <w:p w14:paraId="328AE245" w14:textId="77777777" w:rsidR="009E7438" w:rsidRPr="009E7438" w:rsidRDefault="009E7438" w:rsidP="009E7438">
      <w:pPr>
        <w:spacing w:after="0" w:line="360" w:lineRule="auto"/>
        <w:ind w:left="709" w:hanging="709"/>
        <w:jc w:val="both"/>
        <w:rPr>
          <w:rFonts w:ascii="Times New Roman" w:hAnsi="Times New Roman" w:cs="Times New Roman"/>
          <w:sz w:val="24"/>
          <w:szCs w:val="24"/>
          <w:lang w:val="en-US"/>
        </w:rPr>
      </w:pPr>
      <w:r w:rsidRPr="009E7438">
        <w:rPr>
          <w:rFonts w:ascii="Times New Roman" w:hAnsi="Times New Roman" w:cs="Times New Roman"/>
          <w:sz w:val="24"/>
          <w:szCs w:val="24"/>
          <w:lang w:val="en-US"/>
        </w:rPr>
        <w:t>Okolo, E. C., Landaverde, R., Doerfert, D., Piñeiro, J. M., Hudson, D., Elbert, C., &amp; Opat, K. (2025). Preparedness, Response, and Communication Preferences of Dairy Farmers During Extreme Weather Events: A Phenomenological Case Study. Climate, 13(2), 29. https://doi.org/10.3390/cli13020029</w:t>
      </w:r>
    </w:p>
    <w:p w14:paraId="15173721" w14:textId="77777777" w:rsidR="009E7438" w:rsidRPr="009E7438" w:rsidRDefault="009E7438" w:rsidP="009E7438">
      <w:pPr>
        <w:spacing w:after="0" w:line="360" w:lineRule="auto"/>
        <w:ind w:left="709" w:hanging="709"/>
        <w:jc w:val="both"/>
        <w:rPr>
          <w:rFonts w:ascii="Times New Roman" w:hAnsi="Times New Roman" w:cs="Times New Roman"/>
          <w:sz w:val="24"/>
          <w:szCs w:val="24"/>
          <w:lang w:val="en-US"/>
        </w:rPr>
      </w:pPr>
      <w:r w:rsidRPr="009E7438">
        <w:rPr>
          <w:rFonts w:ascii="Times New Roman" w:hAnsi="Times New Roman" w:cs="Times New Roman"/>
          <w:sz w:val="24"/>
          <w:szCs w:val="24"/>
          <w:lang w:val="en-US"/>
        </w:rPr>
        <w:lastRenderedPageBreak/>
        <w:t>Paxton, L. D., Collins, J., &amp; Myers, L. (2024). Reconsidering the Saffir-Simpson Scale: A Qualitative Investigation of Public Understanding and Alternative Frameworks. En J. Collins, J. Done, Y.-J. Zhu, &amp; P. Wilson (Eds.), Advances in Hurricane Risk in a Changing Climate (Vol. 3, pp. 241-279). Springer Nature Switzerland. https://doi.org/10.1007/978-3-031-63186-3_10</w:t>
      </w:r>
    </w:p>
    <w:p w14:paraId="36AA9A19" w14:textId="77777777" w:rsidR="009E7438" w:rsidRPr="009E7438" w:rsidRDefault="009E7438" w:rsidP="009E7438">
      <w:pPr>
        <w:spacing w:after="0" w:line="360" w:lineRule="auto"/>
        <w:ind w:left="709" w:hanging="709"/>
        <w:jc w:val="both"/>
        <w:rPr>
          <w:rFonts w:ascii="Times New Roman" w:hAnsi="Times New Roman" w:cs="Times New Roman"/>
          <w:sz w:val="24"/>
          <w:szCs w:val="24"/>
          <w:lang w:val="en-US"/>
        </w:rPr>
      </w:pPr>
      <w:r w:rsidRPr="009E7438">
        <w:rPr>
          <w:rFonts w:ascii="Times New Roman" w:hAnsi="Times New Roman" w:cs="Times New Roman"/>
          <w:sz w:val="24"/>
          <w:szCs w:val="24"/>
          <w:lang w:val="en-US"/>
        </w:rPr>
        <w:t>Pitchaimani, G. P., Santhanakrishnan, S., Rodríguez, S. P., Ibarra, M. A. M., Torres, M. A. G., &amp; Ponniah, J. M. (2025). Eco-environmental impact of hurricane John (September 24, 2024) along the coastal municipalities of Acapulco, Guerrero, Mexico. Environmental Monitoring and Assessment, 197(8), 903. https://doi.org/10.1007/s10661-025-14274-1</w:t>
      </w:r>
    </w:p>
    <w:p w14:paraId="49E671E5" w14:textId="77777777" w:rsidR="009E7438" w:rsidRPr="009E7438" w:rsidRDefault="009E7438" w:rsidP="009E7438">
      <w:pPr>
        <w:spacing w:after="0" w:line="360" w:lineRule="auto"/>
        <w:ind w:left="709" w:hanging="709"/>
        <w:jc w:val="both"/>
        <w:rPr>
          <w:rFonts w:ascii="Times New Roman" w:hAnsi="Times New Roman" w:cs="Times New Roman"/>
          <w:sz w:val="24"/>
          <w:szCs w:val="24"/>
          <w:lang w:val="en-US"/>
        </w:rPr>
      </w:pPr>
      <w:r w:rsidRPr="009E7438">
        <w:rPr>
          <w:rFonts w:ascii="Times New Roman" w:hAnsi="Times New Roman" w:cs="Times New Roman"/>
          <w:sz w:val="24"/>
          <w:szCs w:val="24"/>
          <w:lang w:val="en-US"/>
        </w:rPr>
        <w:t>Ramírez-Herrera, M. T., Coca, O., Gaidzik, K., &amp; Vargas Espinosa, V. H. (2025). Hurricane Otis: Category 5 storm effects and cascading hazards in Acapulco Bay, Mexico. Global and Earth Surface Processes Change, 3, 100004. https://doi.org/10.1016/j.gespch.2025.100004</w:t>
      </w:r>
    </w:p>
    <w:p w14:paraId="28AC3C9A" w14:textId="77777777" w:rsidR="009E7438" w:rsidRPr="009E7438" w:rsidRDefault="009E7438" w:rsidP="009E7438">
      <w:pPr>
        <w:spacing w:after="0" w:line="360" w:lineRule="auto"/>
        <w:ind w:left="709" w:hanging="709"/>
        <w:jc w:val="both"/>
        <w:rPr>
          <w:rFonts w:ascii="Times New Roman" w:hAnsi="Times New Roman" w:cs="Times New Roman"/>
          <w:sz w:val="24"/>
          <w:szCs w:val="24"/>
          <w:lang w:val="en-US"/>
        </w:rPr>
      </w:pPr>
      <w:r w:rsidRPr="009E7438">
        <w:rPr>
          <w:rFonts w:ascii="Times New Roman" w:hAnsi="Times New Roman" w:cs="Times New Roman"/>
          <w:sz w:val="24"/>
          <w:szCs w:val="24"/>
          <w:lang w:val="en-US"/>
        </w:rPr>
        <w:t>Robinson, W. A. (2021). Climate change and extreme weather: A review focusing on the continental United States. Journal of the Air &amp; Waste Management Association, 71(10), 1186-1209. https://doi.org/10.1080/10962247.2021.1942319</w:t>
      </w:r>
    </w:p>
    <w:p w14:paraId="729DB4B0" w14:textId="77777777" w:rsidR="009E7438" w:rsidRPr="009E7438" w:rsidRDefault="009E7438" w:rsidP="009E7438">
      <w:pPr>
        <w:spacing w:after="0" w:line="360" w:lineRule="auto"/>
        <w:ind w:left="709" w:hanging="709"/>
        <w:jc w:val="both"/>
        <w:rPr>
          <w:rFonts w:ascii="Times New Roman" w:hAnsi="Times New Roman" w:cs="Times New Roman"/>
          <w:sz w:val="24"/>
          <w:szCs w:val="24"/>
          <w:lang w:val="en-US"/>
        </w:rPr>
      </w:pPr>
      <w:r w:rsidRPr="009E7438">
        <w:rPr>
          <w:rFonts w:ascii="Times New Roman" w:hAnsi="Times New Roman" w:cs="Times New Roman"/>
          <w:sz w:val="24"/>
          <w:szCs w:val="24"/>
          <w:lang w:val="en-US"/>
        </w:rPr>
        <w:t>Shaharier Alam, Md., &amp; Hu, Y. (2025). Mobility disruption and recovery in southwest Florida’s elderly-dense communities during Hurricane Ian. Transportation Research Part D: Transport and Environment, 141, 104648. https://doi.org/10.1016/j.trd.2025.104648</w:t>
      </w:r>
    </w:p>
    <w:p w14:paraId="2729AE7D" w14:textId="77777777" w:rsidR="009E7438" w:rsidRPr="009E7438" w:rsidRDefault="009E7438" w:rsidP="009E7438">
      <w:pPr>
        <w:spacing w:after="0" w:line="360" w:lineRule="auto"/>
        <w:ind w:left="709" w:hanging="709"/>
        <w:jc w:val="both"/>
        <w:rPr>
          <w:rFonts w:ascii="Times New Roman" w:hAnsi="Times New Roman" w:cs="Times New Roman"/>
          <w:sz w:val="24"/>
          <w:szCs w:val="24"/>
          <w:lang w:val="en-US"/>
        </w:rPr>
      </w:pPr>
      <w:r w:rsidRPr="009E7438">
        <w:rPr>
          <w:rFonts w:ascii="Times New Roman" w:hAnsi="Times New Roman" w:cs="Times New Roman"/>
          <w:sz w:val="24"/>
          <w:szCs w:val="24"/>
          <w:lang w:val="en-US"/>
        </w:rPr>
        <w:t>Simpson, R. H., &amp; Riehl, H. (1981). The hurricane and its impact. (No Title). https://cir.nii.ac.jp/crid/1130000794772982144</w:t>
      </w:r>
    </w:p>
    <w:p w14:paraId="0517B047" w14:textId="77777777" w:rsidR="009E7438" w:rsidRPr="009E7438" w:rsidRDefault="009E7438" w:rsidP="009E7438">
      <w:pPr>
        <w:spacing w:after="0" w:line="360" w:lineRule="auto"/>
        <w:ind w:left="709" w:hanging="709"/>
        <w:jc w:val="both"/>
        <w:rPr>
          <w:rFonts w:ascii="Times New Roman" w:hAnsi="Times New Roman" w:cs="Times New Roman"/>
          <w:sz w:val="24"/>
          <w:szCs w:val="24"/>
        </w:rPr>
      </w:pPr>
      <w:r w:rsidRPr="009E7438">
        <w:rPr>
          <w:rFonts w:ascii="Times New Roman" w:hAnsi="Times New Roman" w:cs="Times New Roman"/>
          <w:sz w:val="24"/>
          <w:szCs w:val="24"/>
          <w:lang w:val="en-US"/>
        </w:rPr>
        <w:t xml:space="preserve">Swain, D. (2022). Tropical Cyclones and Coastal Vulnerability: Assessment and Mitigation. En A. Pandey, V. M. Chowdary, M. D. Behera, &amp; V. P. Singh (Eds.), Geospatial Technologies for Land and Water Resources Management (Vol. 103, pp. 587-621). </w:t>
      </w:r>
      <w:r w:rsidRPr="009E7438">
        <w:rPr>
          <w:rFonts w:ascii="Times New Roman" w:hAnsi="Times New Roman" w:cs="Times New Roman"/>
          <w:sz w:val="24"/>
          <w:szCs w:val="24"/>
        </w:rPr>
        <w:t>Springer International Publishing. https://doi.org/10.1007/978-3-030-90479-1_30</w:t>
      </w:r>
    </w:p>
    <w:p w14:paraId="78D2567A" w14:textId="77777777" w:rsidR="009E7438" w:rsidRPr="009E7438" w:rsidRDefault="009E7438" w:rsidP="009E7438">
      <w:pPr>
        <w:spacing w:after="0" w:line="360" w:lineRule="auto"/>
        <w:ind w:left="709" w:hanging="709"/>
        <w:jc w:val="both"/>
        <w:rPr>
          <w:rFonts w:ascii="Times New Roman" w:hAnsi="Times New Roman" w:cs="Times New Roman"/>
          <w:sz w:val="24"/>
          <w:szCs w:val="24"/>
        </w:rPr>
      </w:pPr>
      <w:r w:rsidRPr="009E7438">
        <w:rPr>
          <w:rFonts w:ascii="Times New Roman" w:hAnsi="Times New Roman" w:cs="Times New Roman"/>
          <w:sz w:val="24"/>
          <w:szCs w:val="24"/>
        </w:rPr>
        <w:t>Toscana Aparicio, A., &amp; Villaseñor Franco, A. (2018). Las tormentas Ingrid y Manuel en La Montaña de Guerrero, 2013. La atención de la emergencia. Sociedad y ambiente, 16, 59-89.</w:t>
      </w:r>
    </w:p>
    <w:p w14:paraId="384C797C" w14:textId="77777777" w:rsidR="009E7438" w:rsidRPr="009E7438" w:rsidRDefault="009E7438" w:rsidP="009E7438">
      <w:pPr>
        <w:spacing w:after="0" w:line="360" w:lineRule="auto"/>
        <w:ind w:left="709" w:hanging="709"/>
        <w:jc w:val="both"/>
        <w:rPr>
          <w:rFonts w:ascii="Times New Roman" w:hAnsi="Times New Roman" w:cs="Times New Roman"/>
          <w:sz w:val="24"/>
          <w:szCs w:val="24"/>
          <w:lang w:val="en-US"/>
        </w:rPr>
      </w:pPr>
      <w:r w:rsidRPr="009E7438">
        <w:rPr>
          <w:rFonts w:ascii="Times New Roman" w:hAnsi="Times New Roman" w:cs="Times New Roman"/>
          <w:sz w:val="24"/>
          <w:szCs w:val="24"/>
        </w:rPr>
        <w:t xml:space="preserve">Valderrama-Landeros, L., Pérez-Espinosa, I., Villeda-Chávez, E., Alarcón-Medina, R., &amp; Flores-de-Santiago, F. (2025). </w:t>
      </w:r>
      <w:r w:rsidRPr="009E7438">
        <w:rPr>
          <w:rFonts w:ascii="Times New Roman" w:hAnsi="Times New Roman" w:cs="Times New Roman"/>
          <w:sz w:val="24"/>
          <w:szCs w:val="24"/>
          <w:lang w:val="en-US"/>
        </w:rPr>
        <w:t xml:space="preserve">Shoreline Response to Hurricane Otis and Flooding </w:t>
      </w:r>
      <w:r w:rsidRPr="009E7438">
        <w:rPr>
          <w:rFonts w:ascii="Times New Roman" w:hAnsi="Times New Roman" w:cs="Times New Roman"/>
          <w:sz w:val="24"/>
          <w:szCs w:val="24"/>
          <w:lang w:val="en-US"/>
        </w:rPr>
        <w:lastRenderedPageBreak/>
        <w:t>Impact from Hurricane John in Acapulco, Mexico. Coasts, 5(3), 28. https://doi.org/10.3390/coasts5030028</w:t>
      </w:r>
    </w:p>
    <w:p w14:paraId="68DD6AED" w14:textId="77777777" w:rsidR="009E7438" w:rsidRPr="009E7438" w:rsidRDefault="009E7438" w:rsidP="009E7438">
      <w:pPr>
        <w:spacing w:after="0" w:line="360" w:lineRule="auto"/>
        <w:ind w:left="709" w:hanging="709"/>
        <w:jc w:val="both"/>
        <w:rPr>
          <w:rFonts w:ascii="Times New Roman" w:hAnsi="Times New Roman" w:cs="Times New Roman"/>
          <w:sz w:val="24"/>
          <w:szCs w:val="24"/>
          <w:lang w:val="en-US"/>
        </w:rPr>
      </w:pPr>
      <w:r w:rsidRPr="009E7438">
        <w:rPr>
          <w:rFonts w:ascii="Times New Roman" w:hAnsi="Times New Roman" w:cs="Times New Roman"/>
          <w:sz w:val="24"/>
          <w:szCs w:val="24"/>
          <w:lang w:val="en-US"/>
        </w:rPr>
        <w:t>Wehner, M. F., &amp; Kossin, J. P. (2024). The growing inadequacy of an open-ended Saffir–Simpson hurricane wind scale in a warming world. Proceedings of the National Academy of Sciences, 121(7), e2308901121. https://doi.org/10.1073/pnas.2308901121</w:t>
      </w:r>
    </w:p>
    <w:p w14:paraId="2ACABE9D" w14:textId="115C00FC" w:rsidR="009E7438" w:rsidRPr="00AF1576" w:rsidRDefault="009E7438" w:rsidP="009E7438">
      <w:pPr>
        <w:spacing w:after="0" w:line="360" w:lineRule="auto"/>
        <w:ind w:left="709" w:hanging="709"/>
        <w:jc w:val="both"/>
        <w:rPr>
          <w:rFonts w:ascii="Times New Roman" w:hAnsi="Times New Roman" w:cs="Times New Roman"/>
          <w:sz w:val="24"/>
          <w:szCs w:val="24"/>
          <w:lang w:val="en-US"/>
        </w:rPr>
      </w:pPr>
      <w:r w:rsidRPr="009E7438">
        <w:rPr>
          <w:rFonts w:ascii="Times New Roman" w:hAnsi="Times New Roman" w:cs="Times New Roman"/>
          <w:sz w:val="24"/>
          <w:szCs w:val="24"/>
          <w:lang w:val="en-US"/>
        </w:rPr>
        <w:t xml:space="preserve">Yang, Y., Tilman, D., Jin, Z., Smith, P., Barrett, C. B., Zhu, Y.-G., Burney, J., D’Odorico, P., Fantke, P., Fargione, J., Finlay, J. C., Rulli, M. C., Sloat, L., Jan Van Groenigen, K., West, P. C., Ziska, L., Michalak, A. M., the Clim-Ag Team, Lobell, D. B., … Zhuang, M. (2024). Climate change exacerbates the environmental impacts of agriculture. </w:t>
      </w:r>
      <w:r w:rsidRPr="00AF1576">
        <w:rPr>
          <w:rFonts w:ascii="Times New Roman" w:hAnsi="Times New Roman" w:cs="Times New Roman"/>
          <w:sz w:val="24"/>
          <w:szCs w:val="24"/>
          <w:lang w:val="en-US"/>
        </w:rPr>
        <w:t>Science, 385(6713), eadn3747. https://doi.org/10.1126/science.adn3747</w:t>
      </w:r>
    </w:p>
    <w:p w14:paraId="5B44A15B" w14:textId="0A195DFE" w:rsidR="00D15E6A" w:rsidRDefault="00D15E6A" w:rsidP="00591996">
      <w:pPr>
        <w:jc w:val="both"/>
        <w:rPr>
          <w:lang w:val="en-US"/>
        </w:rPr>
      </w:pPr>
    </w:p>
    <w:p w14:paraId="1F43391B" w14:textId="77777777" w:rsidR="004E0EB9" w:rsidRDefault="004E0EB9" w:rsidP="00591996">
      <w:pPr>
        <w:jc w:val="both"/>
        <w:rPr>
          <w:lang w:val="en-US"/>
        </w:rPr>
      </w:pPr>
    </w:p>
    <w:p w14:paraId="20DF80A2" w14:textId="77777777" w:rsidR="004E0EB9" w:rsidRDefault="004E0EB9" w:rsidP="00591996">
      <w:pPr>
        <w:jc w:val="both"/>
        <w:rPr>
          <w:lang w:val="en-US"/>
        </w:rPr>
      </w:pPr>
    </w:p>
    <w:p w14:paraId="47C1E19E" w14:textId="77777777" w:rsidR="004E0EB9" w:rsidRDefault="004E0EB9" w:rsidP="00591996">
      <w:pPr>
        <w:jc w:val="both"/>
        <w:rPr>
          <w:lang w:val="en-US"/>
        </w:rPr>
      </w:pPr>
    </w:p>
    <w:p w14:paraId="3A4EC5C4" w14:textId="77777777" w:rsidR="004E0EB9" w:rsidRDefault="004E0EB9" w:rsidP="00591996">
      <w:pPr>
        <w:jc w:val="both"/>
        <w:rPr>
          <w:lang w:val="en-US"/>
        </w:rPr>
      </w:pPr>
    </w:p>
    <w:p w14:paraId="29444CBD" w14:textId="77777777" w:rsidR="004E0EB9" w:rsidRDefault="004E0EB9" w:rsidP="00591996">
      <w:pPr>
        <w:jc w:val="both"/>
        <w:rPr>
          <w:lang w:val="en-US"/>
        </w:rPr>
      </w:pPr>
    </w:p>
    <w:p w14:paraId="1808D9D6" w14:textId="77777777" w:rsidR="004E0EB9" w:rsidRDefault="004E0EB9" w:rsidP="00591996">
      <w:pPr>
        <w:jc w:val="both"/>
        <w:rPr>
          <w:lang w:val="en-US"/>
        </w:rPr>
      </w:pPr>
    </w:p>
    <w:p w14:paraId="6F1CD83C" w14:textId="77777777" w:rsidR="004E0EB9" w:rsidRDefault="004E0EB9" w:rsidP="00591996">
      <w:pPr>
        <w:jc w:val="both"/>
        <w:rPr>
          <w:lang w:val="en-US"/>
        </w:rPr>
      </w:pPr>
    </w:p>
    <w:p w14:paraId="662F3781" w14:textId="77777777" w:rsidR="004E0EB9" w:rsidRDefault="004E0EB9" w:rsidP="00591996">
      <w:pPr>
        <w:jc w:val="both"/>
        <w:rPr>
          <w:lang w:val="en-US"/>
        </w:rPr>
      </w:pPr>
    </w:p>
    <w:p w14:paraId="5FE32753" w14:textId="77777777" w:rsidR="004E0EB9" w:rsidRDefault="004E0EB9" w:rsidP="00591996">
      <w:pPr>
        <w:jc w:val="both"/>
        <w:rPr>
          <w:lang w:val="en-US"/>
        </w:rPr>
      </w:pPr>
    </w:p>
    <w:p w14:paraId="4B3A5BFD" w14:textId="77777777" w:rsidR="004E0EB9" w:rsidRDefault="004E0EB9" w:rsidP="00591996">
      <w:pPr>
        <w:jc w:val="both"/>
        <w:rPr>
          <w:lang w:val="en-US"/>
        </w:rPr>
      </w:pPr>
    </w:p>
    <w:p w14:paraId="0EEC142D" w14:textId="77777777" w:rsidR="004E0EB9" w:rsidRDefault="004E0EB9" w:rsidP="00591996">
      <w:pPr>
        <w:jc w:val="both"/>
        <w:rPr>
          <w:lang w:val="en-US"/>
        </w:rPr>
      </w:pPr>
    </w:p>
    <w:p w14:paraId="4560EBF3" w14:textId="77777777" w:rsidR="004E0EB9" w:rsidRDefault="004E0EB9" w:rsidP="00591996">
      <w:pPr>
        <w:jc w:val="both"/>
        <w:rPr>
          <w:lang w:val="en-US"/>
        </w:rPr>
      </w:pPr>
    </w:p>
    <w:p w14:paraId="27532B53" w14:textId="77777777" w:rsidR="004E0EB9" w:rsidRDefault="004E0EB9" w:rsidP="00591996">
      <w:pPr>
        <w:jc w:val="both"/>
        <w:rPr>
          <w:lang w:val="en-US"/>
        </w:rPr>
      </w:pPr>
    </w:p>
    <w:p w14:paraId="0B1CC54F" w14:textId="77777777" w:rsidR="004E0EB9" w:rsidRDefault="004E0EB9" w:rsidP="00591996">
      <w:pPr>
        <w:jc w:val="both"/>
        <w:rPr>
          <w:lang w:val="en-US"/>
        </w:rPr>
      </w:pPr>
    </w:p>
    <w:p w14:paraId="0B336B7F" w14:textId="77777777" w:rsidR="004E0EB9" w:rsidRDefault="004E0EB9" w:rsidP="00591996">
      <w:pPr>
        <w:jc w:val="both"/>
        <w:rPr>
          <w:lang w:val="en-US"/>
        </w:rPr>
      </w:pPr>
    </w:p>
    <w:p w14:paraId="40753A19" w14:textId="77777777" w:rsidR="004E0EB9" w:rsidRDefault="004E0EB9" w:rsidP="00591996">
      <w:pPr>
        <w:jc w:val="both"/>
        <w:rPr>
          <w:lang w:val="en-US"/>
        </w:rPr>
      </w:pPr>
    </w:p>
    <w:p w14:paraId="5353A089" w14:textId="77777777" w:rsidR="004E0EB9" w:rsidRDefault="004E0EB9" w:rsidP="00591996">
      <w:pPr>
        <w:jc w:val="both"/>
        <w:rPr>
          <w:lang w:val="en-US"/>
        </w:rPr>
      </w:pPr>
    </w:p>
    <w:p w14:paraId="77A92A5A" w14:textId="77777777" w:rsidR="004E0EB9" w:rsidRPr="00AF1576" w:rsidRDefault="004E0EB9" w:rsidP="00591996">
      <w:pPr>
        <w:jc w:val="both"/>
        <w:rPr>
          <w:lang w:val="en-US"/>
        </w:rPr>
      </w:pPr>
    </w:p>
    <w:tbl>
      <w:tblPr>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45"/>
        <w:gridCol w:w="6315"/>
      </w:tblGrid>
      <w:tr w:rsidR="009E7438" w:rsidRPr="009E7438" w14:paraId="25EBDDB3" w14:textId="77777777" w:rsidTr="009E7438">
        <w:trPr>
          <w:jc w:val="center"/>
        </w:trPr>
        <w:tc>
          <w:tcPr>
            <w:tcW w:w="3045" w:type="dxa"/>
            <w:tcMar>
              <w:top w:w="100" w:type="dxa"/>
              <w:left w:w="100" w:type="dxa"/>
              <w:bottom w:w="100" w:type="dxa"/>
              <w:right w:w="100" w:type="dxa"/>
            </w:tcMar>
          </w:tcPr>
          <w:p w14:paraId="5E20004F" w14:textId="77777777" w:rsidR="009E7438" w:rsidRPr="009E7438" w:rsidRDefault="009E7438" w:rsidP="009E7438">
            <w:pPr>
              <w:widowControl w:val="0"/>
              <w:spacing w:after="0" w:line="240" w:lineRule="auto"/>
              <w:outlineLvl w:val="2"/>
              <w:rPr>
                <w:rFonts w:ascii="Times New Roman" w:eastAsia="Times New Roman" w:hAnsi="Times New Roman" w:cs="Times New Roman"/>
                <w:bCs/>
                <w:color w:val="000000" w:themeColor="text1"/>
                <w:sz w:val="24"/>
                <w:szCs w:val="24"/>
                <w:lang w:eastAsia="es-MX"/>
              </w:rPr>
            </w:pPr>
            <w:r w:rsidRPr="009E7438">
              <w:rPr>
                <w:rFonts w:ascii="Times New Roman" w:eastAsia="Times New Roman" w:hAnsi="Times New Roman" w:cs="Times New Roman"/>
                <w:bCs/>
                <w:color w:val="000000" w:themeColor="text1"/>
                <w:sz w:val="24"/>
                <w:szCs w:val="24"/>
                <w:lang w:eastAsia="es-MX"/>
              </w:rPr>
              <w:lastRenderedPageBreak/>
              <w:t>Rol de Contribución</w:t>
            </w:r>
          </w:p>
        </w:tc>
        <w:tc>
          <w:tcPr>
            <w:tcW w:w="6315" w:type="dxa"/>
            <w:tcMar>
              <w:top w:w="100" w:type="dxa"/>
              <w:left w:w="100" w:type="dxa"/>
              <w:bottom w:w="100" w:type="dxa"/>
              <w:right w:w="100" w:type="dxa"/>
            </w:tcMar>
          </w:tcPr>
          <w:p w14:paraId="0CB8BB08" w14:textId="3DE4BE0C" w:rsidR="009E7438" w:rsidRPr="009E7438" w:rsidRDefault="009E7438" w:rsidP="009E7438">
            <w:pPr>
              <w:widowControl w:val="0"/>
              <w:spacing w:after="0" w:line="240" w:lineRule="auto"/>
              <w:outlineLvl w:val="2"/>
              <w:rPr>
                <w:rFonts w:ascii="Times New Roman" w:eastAsia="Times New Roman" w:hAnsi="Times New Roman" w:cs="Times New Roman"/>
                <w:bCs/>
                <w:color w:val="000000" w:themeColor="text1"/>
                <w:sz w:val="24"/>
                <w:szCs w:val="24"/>
                <w:lang w:eastAsia="es-MX"/>
              </w:rPr>
            </w:pPr>
            <w:bookmarkStart w:id="4" w:name="_btsjgdfgjwkr" w:colFirst="0" w:colLast="0"/>
            <w:bookmarkEnd w:id="4"/>
            <w:r>
              <w:rPr>
                <w:rFonts w:ascii="Times New Roman" w:eastAsia="Times New Roman" w:hAnsi="Times New Roman" w:cs="Times New Roman"/>
                <w:bCs/>
                <w:color w:val="000000" w:themeColor="text1"/>
                <w:sz w:val="24"/>
                <w:szCs w:val="24"/>
                <w:lang w:eastAsia="es-MX"/>
              </w:rPr>
              <w:t>Autor (es)</w:t>
            </w:r>
          </w:p>
        </w:tc>
      </w:tr>
      <w:tr w:rsidR="009E7438" w:rsidRPr="009E7438" w14:paraId="3859BD06" w14:textId="77777777" w:rsidTr="009E7438">
        <w:trPr>
          <w:jc w:val="center"/>
        </w:trPr>
        <w:tc>
          <w:tcPr>
            <w:tcW w:w="3045" w:type="dxa"/>
            <w:tcMar>
              <w:top w:w="100" w:type="dxa"/>
              <w:left w:w="100" w:type="dxa"/>
              <w:bottom w:w="100" w:type="dxa"/>
              <w:right w:w="100" w:type="dxa"/>
            </w:tcMar>
          </w:tcPr>
          <w:p w14:paraId="64A4F3EB" w14:textId="77777777" w:rsidR="009E7438" w:rsidRPr="009E7438" w:rsidRDefault="009E7438" w:rsidP="009E7438">
            <w:pPr>
              <w:widowControl w:val="0"/>
              <w:spacing w:after="0" w:line="240" w:lineRule="auto"/>
              <w:rPr>
                <w:rFonts w:ascii="Times New Roman" w:eastAsia="Times New Roman" w:hAnsi="Times New Roman" w:cs="Times New Roman"/>
                <w:bCs/>
                <w:color w:val="000000" w:themeColor="text1"/>
                <w:sz w:val="24"/>
                <w:szCs w:val="24"/>
                <w:lang w:eastAsia="es-MX"/>
              </w:rPr>
            </w:pPr>
            <w:r w:rsidRPr="009E7438">
              <w:rPr>
                <w:rFonts w:ascii="Times New Roman" w:eastAsia="Times New Roman" w:hAnsi="Times New Roman" w:cs="Times New Roman"/>
                <w:bCs/>
                <w:color w:val="000000" w:themeColor="text1"/>
                <w:sz w:val="24"/>
                <w:szCs w:val="24"/>
                <w:lang w:eastAsia="es-MX"/>
              </w:rPr>
              <w:t>Conceptualización</w:t>
            </w:r>
          </w:p>
        </w:tc>
        <w:tc>
          <w:tcPr>
            <w:tcW w:w="6315" w:type="dxa"/>
            <w:tcMar>
              <w:top w:w="100" w:type="dxa"/>
              <w:left w:w="100" w:type="dxa"/>
              <w:bottom w:w="100" w:type="dxa"/>
              <w:right w:w="100" w:type="dxa"/>
            </w:tcMar>
          </w:tcPr>
          <w:p w14:paraId="272E5AAF" w14:textId="77777777" w:rsidR="009E7438" w:rsidRPr="009E7438" w:rsidRDefault="009E7438" w:rsidP="009E7438">
            <w:pPr>
              <w:widowControl w:val="0"/>
              <w:spacing w:after="0" w:line="240" w:lineRule="auto"/>
              <w:rPr>
                <w:rFonts w:ascii="Times New Roman" w:eastAsia="Times New Roman" w:hAnsi="Times New Roman" w:cs="Times New Roman"/>
                <w:bCs/>
                <w:color w:val="000000" w:themeColor="text1"/>
                <w:sz w:val="24"/>
                <w:szCs w:val="24"/>
                <w:lang w:eastAsia="es-MX"/>
              </w:rPr>
            </w:pPr>
            <w:r w:rsidRPr="009E7438">
              <w:rPr>
                <w:rFonts w:ascii="Times New Roman" w:eastAsia="Times New Roman" w:hAnsi="Times New Roman" w:cs="Times New Roman"/>
                <w:bCs/>
                <w:color w:val="000000" w:themeColor="text1"/>
                <w:sz w:val="24"/>
                <w:szCs w:val="24"/>
                <w:lang w:eastAsia="es-MX"/>
              </w:rPr>
              <w:t>Francisco (Principal), Inti Leopoldo (Apoyo), Sirilo (Principal)</w:t>
            </w:r>
          </w:p>
        </w:tc>
      </w:tr>
      <w:tr w:rsidR="009E7438" w:rsidRPr="009E7438" w14:paraId="4F23CFF6" w14:textId="77777777" w:rsidTr="009E7438">
        <w:trPr>
          <w:jc w:val="center"/>
        </w:trPr>
        <w:tc>
          <w:tcPr>
            <w:tcW w:w="3045" w:type="dxa"/>
            <w:tcMar>
              <w:top w:w="100" w:type="dxa"/>
              <w:left w:w="100" w:type="dxa"/>
              <w:bottom w:w="100" w:type="dxa"/>
              <w:right w:w="100" w:type="dxa"/>
            </w:tcMar>
          </w:tcPr>
          <w:p w14:paraId="65B553AA" w14:textId="77777777" w:rsidR="009E7438" w:rsidRPr="009E7438" w:rsidRDefault="009E7438" w:rsidP="009E7438">
            <w:pPr>
              <w:widowControl w:val="0"/>
              <w:spacing w:after="0" w:line="240" w:lineRule="auto"/>
              <w:rPr>
                <w:rFonts w:ascii="Times New Roman" w:eastAsia="Times New Roman" w:hAnsi="Times New Roman" w:cs="Times New Roman"/>
                <w:bCs/>
                <w:color w:val="000000" w:themeColor="text1"/>
                <w:sz w:val="24"/>
                <w:szCs w:val="24"/>
                <w:lang w:eastAsia="es-MX"/>
              </w:rPr>
            </w:pPr>
            <w:r w:rsidRPr="009E7438">
              <w:rPr>
                <w:rFonts w:ascii="Times New Roman" w:eastAsia="Times New Roman" w:hAnsi="Times New Roman" w:cs="Times New Roman"/>
                <w:bCs/>
                <w:color w:val="000000" w:themeColor="text1"/>
                <w:sz w:val="24"/>
                <w:szCs w:val="24"/>
                <w:lang w:eastAsia="es-MX"/>
              </w:rPr>
              <w:t>Metodología</w:t>
            </w:r>
          </w:p>
        </w:tc>
        <w:tc>
          <w:tcPr>
            <w:tcW w:w="6315" w:type="dxa"/>
            <w:tcMar>
              <w:top w:w="100" w:type="dxa"/>
              <w:left w:w="100" w:type="dxa"/>
              <w:bottom w:w="100" w:type="dxa"/>
              <w:right w:w="100" w:type="dxa"/>
            </w:tcMar>
          </w:tcPr>
          <w:p w14:paraId="78577B58" w14:textId="77777777" w:rsidR="009E7438" w:rsidRPr="009E7438" w:rsidRDefault="009E7438" w:rsidP="009E7438">
            <w:pPr>
              <w:widowControl w:val="0"/>
              <w:spacing w:after="0" w:line="240" w:lineRule="auto"/>
              <w:rPr>
                <w:rFonts w:ascii="Times New Roman" w:eastAsia="Times New Roman" w:hAnsi="Times New Roman" w:cs="Times New Roman"/>
                <w:bCs/>
                <w:color w:val="000000" w:themeColor="text1"/>
                <w:sz w:val="24"/>
                <w:szCs w:val="24"/>
                <w:lang w:eastAsia="es-MX"/>
              </w:rPr>
            </w:pPr>
            <w:r w:rsidRPr="009E7438">
              <w:rPr>
                <w:rFonts w:ascii="Times New Roman" w:eastAsia="Times New Roman" w:hAnsi="Times New Roman" w:cs="Times New Roman"/>
                <w:bCs/>
                <w:color w:val="000000" w:themeColor="text1"/>
                <w:sz w:val="24"/>
                <w:szCs w:val="24"/>
                <w:lang w:eastAsia="es-MX"/>
              </w:rPr>
              <w:t>Francisco (Principal), Marco Polo (Igual), Enrique (Apoya)</w:t>
            </w:r>
          </w:p>
        </w:tc>
      </w:tr>
      <w:tr w:rsidR="009E7438" w:rsidRPr="009E7438" w14:paraId="4BFB5E4C" w14:textId="77777777" w:rsidTr="009E7438">
        <w:trPr>
          <w:jc w:val="center"/>
        </w:trPr>
        <w:tc>
          <w:tcPr>
            <w:tcW w:w="3045" w:type="dxa"/>
            <w:tcMar>
              <w:top w:w="100" w:type="dxa"/>
              <w:left w:w="100" w:type="dxa"/>
              <w:bottom w:w="100" w:type="dxa"/>
              <w:right w:w="100" w:type="dxa"/>
            </w:tcMar>
          </w:tcPr>
          <w:p w14:paraId="2BEDE6E9" w14:textId="77777777" w:rsidR="009E7438" w:rsidRPr="009E7438" w:rsidRDefault="009E7438" w:rsidP="009E7438">
            <w:pPr>
              <w:widowControl w:val="0"/>
              <w:spacing w:after="0" w:line="240" w:lineRule="auto"/>
              <w:rPr>
                <w:rFonts w:ascii="Times New Roman" w:eastAsia="Times New Roman" w:hAnsi="Times New Roman" w:cs="Times New Roman"/>
                <w:bCs/>
                <w:color w:val="000000" w:themeColor="text1"/>
                <w:sz w:val="24"/>
                <w:szCs w:val="24"/>
                <w:lang w:eastAsia="es-MX"/>
              </w:rPr>
            </w:pPr>
            <w:r w:rsidRPr="009E7438">
              <w:rPr>
                <w:rFonts w:ascii="Times New Roman" w:eastAsia="Times New Roman" w:hAnsi="Times New Roman" w:cs="Times New Roman"/>
                <w:bCs/>
                <w:color w:val="000000" w:themeColor="text1"/>
                <w:sz w:val="24"/>
                <w:szCs w:val="24"/>
                <w:lang w:eastAsia="es-MX"/>
              </w:rPr>
              <w:t>Software</w:t>
            </w:r>
          </w:p>
        </w:tc>
        <w:tc>
          <w:tcPr>
            <w:tcW w:w="6315" w:type="dxa"/>
            <w:tcMar>
              <w:top w:w="100" w:type="dxa"/>
              <w:left w:w="100" w:type="dxa"/>
              <w:bottom w:w="100" w:type="dxa"/>
              <w:right w:w="100" w:type="dxa"/>
            </w:tcMar>
          </w:tcPr>
          <w:p w14:paraId="60C04A9D" w14:textId="77777777" w:rsidR="009E7438" w:rsidRPr="009E7438" w:rsidRDefault="009E7438" w:rsidP="009E7438">
            <w:pPr>
              <w:widowControl w:val="0"/>
              <w:spacing w:after="0" w:line="240" w:lineRule="auto"/>
              <w:rPr>
                <w:rFonts w:ascii="Times New Roman" w:eastAsia="Times New Roman" w:hAnsi="Times New Roman" w:cs="Times New Roman"/>
                <w:bCs/>
                <w:color w:val="000000" w:themeColor="text1"/>
                <w:sz w:val="24"/>
                <w:szCs w:val="24"/>
                <w:lang w:eastAsia="es-MX"/>
              </w:rPr>
            </w:pPr>
            <w:r w:rsidRPr="009E7438">
              <w:rPr>
                <w:rFonts w:ascii="Times New Roman" w:eastAsia="Times New Roman" w:hAnsi="Times New Roman" w:cs="Times New Roman"/>
                <w:bCs/>
                <w:color w:val="000000" w:themeColor="text1"/>
                <w:sz w:val="24"/>
                <w:szCs w:val="24"/>
                <w:lang w:eastAsia="es-MX"/>
              </w:rPr>
              <w:t>NO APLICA</w:t>
            </w:r>
          </w:p>
        </w:tc>
      </w:tr>
      <w:tr w:rsidR="009E7438" w:rsidRPr="009E7438" w14:paraId="740F342F" w14:textId="77777777" w:rsidTr="009E7438">
        <w:trPr>
          <w:jc w:val="center"/>
        </w:trPr>
        <w:tc>
          <w:tcPr>
            <w:tcW w:w="3045" w:type="dxa"/>
            <w:tcMar>
              <w:top w:w="100" w:type="dxa"/>
              <w:left w:w="100" w:type="dxa"/>
              <w:bottom w:w="100" w:type="dxa"/>
              <w:right w:w="100" w:type="dxa"/>
            </w:tcMar>
          </w:tcPr>
          <w:p w14:paraId="055D6DB8" w14:textId="77777777" w:rsidR="009E7438" w:rsidRPr="009E7438" w:rsidRDefault="009E7438" w:rsidP="009E7438">
            <w:pPr>
              <w:widowControl w:val="0"/>
              <w:spacing w:after="0" w:line="240" w:lineRule="auto"/>
              <w:rPr>
                <w:rFonts w:ascii="Times New Roman" w:eastAsia="Times New Roman" w:hAnsi="Times New Roman" w:cs="Times New Roman"/>
                <w:bCs/>
                <w:color w:val="000000" w:themeColor="text1"/>
                <w:sz w:val="24"/>
                <w:szCs w:val="24"/>
                <w:lang w:eastAsia="es-MX"/>
              </w:rPr>
            </w:pPr>
            <w:r w:rsidRPr="009E7438">
              <w:rPr>
                <w:rFonts w:ascii="Times New Roman" w:eastAsia="Times New Roman" w:hAnsi="Times New Roman" w:cs="Times New Roman"/>
                <w:bCs/>
                <w:color w:val="000000" w:themeColor="text1"/>
                <w:sz w:val="24"/>
                <w:szCs w:val="24"/>
                <w:lang w:eastAsia="es-MX"/>
              </w:rPr>
              <w:t>Validación</w:t>
            </w:r>
          </w:p>
        </w:tc>
        <w:tc>
          <w:tcPr>
            <w:tcW w:w="6315" w:type="dxa"/>
            <w:tcMar>
              <w:top w:w="100" w:type="dxa"/>
              <w:left w:w="100" w:type="dxa"/>
              <w:bottom w:w="100" w:type="dxa"/>
              <w:right w:w="100" w:type="dxa"/>
            </w:tcMar>
          </w:tcPr>
          <w:p w14:paraId="6C46D2BB" w14:textId="77777777" w:rsidR="009E7438" w:rsidRPr="009E7438" w:rsidRDefault="009E7438" w:rsidP="009E7438">
            <w:pPr>
              <w:widowControl w:val="0"/>
              <w:spacing w:after="0" w:line="240" w:lineRule="auto"/>
              <w:rPr>
                <w:rFonts w:ascii="Times New Roman" w:eastAsia="Times New Roman" w:hAnsi="Times New Roman" w:cs="Times New Roman"/>
                <w:bCs/>
                <w:color w:val="000000" w:themeColor="text1"/>
                <w:sz w:val="24"/>
                <w:szCs w:val="24"/>
                <w:lang w:eastAsia="es-MX"/>
              </w:rPr>
            </w:pPr>
            <w:r w:rsidRPr="009E7438">
              <w:rPr>
                <w:rFonts w:ascii="Times New Roman" w:eastAsia="Times New Roman" w:hAnsi="Times New Roman" w:cs="Times New Roman"/>
                <w:bCs/>
                <w:color w:val="000000" w:themeColor="text1"/>
                <w:sz w:val="24"/>
                <w:szCs w:val="24"/>
                <w:lang w:eastAsia="es-MX"/>
              </w:rPr>
              <w:t>Francisco (Principal), Inti Leopoldo (Igual), Sirilo (Igual)</w:t>
            </w:r>
          </w:p>
        </w:tc>
      </w:tr>
      <w:tr w:rsidR="009E7438" w:rsidRPr="009E7438" w14:paraId="504CFC4E" w14:textId="77777777" w:rsidTr="009E7438">
        <w:trPr>
          <w:jc w:val="center"/>
        </w:trPr>
        <w:tc>
          <w:tcPr>
            <w:tcW w:w="3045" w:type="dxa"/>
            <w:tcMar>
              <w:top w:w="100" w:type="dxa"/>
              <w:left w:w="100" w:type="dxa"/>
              <w:bottom w:w="100" w:type="dxa"/>
              <w:right w:w="100" w:type="dxa"/>
            </w:tcMar>
          </w:tcPr>
          <w:p w14:paraId="0651F0C7" w14:textId="77777777" w:rsidR="009E7438" w:rsidRPr="009E7438" w:rsidRDefault="009E7438" w:rsidP="009E7438">
            <w:pPr>
              <w:widowControl w:val="0"/>
              <w:spacing w:after="0" w:line="240" w:lineRule="auto"/>
              <w:rPr>
                <w:rFonts w:ascii="Times New Roman" w:eastAsia="Times New Roman" w:hAnsi="Times New Roman" w:cs="Times New Roman"/>
                <w:bCs/>
                <w:color w:val="000000" w:themeColor="text1"/>
                <w:sz w:val="24"/>
                <w:szCs w:val="24"/>
                <w:lang w:eastAsia="es-MX"/>
              </w:rPr>
            </w:pPr>
            <w:r w:rsidRPr="009E7438">
              <w:rPr>
                <w:rFonts w:ascii="Times New Roman" w:eastAsia="Times New Roman" w:hAnsi="Times New Roman" w:cs="Times New Roman"/>
                <w:bCs/>
                <w:color w:val="000000" w:themeColor="text1"/>
                <w:sz w:val="24"/>
                <w:szCs w:val="24"/>
                <w:lang w:eastAsia="es-MX"/>
              </w:rPr>
              <w:t>Análisis Formal</w:t>
            </w:r>
          </w:p>
        </w:tc>
        <w:tc>
          <w:tcPr>
            <w:tcW w:w="6315" w:type="dxa"/>
            <w:tcMar>
              <w:top w:w="100" w:type="dxa"/>
              <w:left w:w="100" w:type="dxa"/>
              <w:bottom w:w="100" w:type="dxa"/>
              <w:right w:w="100" w:type="dxa"/>
            </w:tcMar>
          </w:tcPr>
          <w:p w14:paraId="108EC5F5" w14:textId="77777777" w:rsidR="009E7438" w:rsidRPr="009E7438" w:rsidRDefault="009E7438" w:rsidP="009E7438">
            <w:pPr>
              <w:widowControl w:val="0"/>
              <w:spacing w:after="0" w:line="240" w:lineRule="auto"/>
              <w:rPr>
                <w:rFonts w:ascii="Times New Roman" w:eastAsia="Times New Roman" w:hAnsi="Times New Roman" w:cs="Times New Roman"/>
                <w:bCs/>
                <w:color w:val="000000" w:themeColor="text1"/>
                <w:sz w:val="24"/>
                <w:szCs w:val="24"/>
                <w:lang w:eastAsia="es-MX"/>
              </w:rPr>
            </w:pPr>
            <w:r w:rsidRPr="009E7438">
              <w:rPr>
                <w:rFonts w:ascii="Times New Roman" w:eastAsia="Times New Roman" w:hAnsi="Times New Roman" w:cs="Times New Roman"/>
                <w:bCs/>
                <w:color w:val="000000" w:themeColor="text1"/>
                <w:sz w:val="24"/>
                <w:szCs w:val="24"/>
                <w:lang w:eastAsia="es-MX"/>
              </w:rPr>
              <w:t>Francisco (Principal), Sirilo (Igual)</w:t>
            </w:r>
          </w:p>
        </w:tc>
      </w:tr>
      <w:tr w:rsidR="009E7438" w:rsidRPr="009E7438" w14:paraId="3ACEAF3C" w14:textId="77777777" w:rsidTr="009E7438">
        <w:trPr>
          <w:jc w:val="center"/>
        </w:trPr>
        <w:tc>
          <w:tcPr>
            <w:tcW w:w="3045" w:type="dxa"/>
            <w:tcMar>
              <w:top w:w="100" w:type="dxa"/>
              <w:left w:w="100" w:type="dxa"/>
              <w:bottom w:w="100" w:type="dxa"/>
              <w:right w:w="100" w:type="dxa"/>
            </w:tcMar>
          </w:tcPr>
          <w:p w14:paraId="34780DEF" w14:textId="77777777" w:rsidR="009E7438" w:rsidRPr="009E7438" w:rsidRDefault="009E7438" w:rsidP="009E7438">
            <w:pPr>
              <w:widowControl w:val="0"/>
              <w:spacing w:after="0" w:line="240" w:lineRule="auto"/>
              <w:rPr>
                <w:rFonts w:ascii="Times New Roman" w:eastAsia="Times New Roman" w:hAnsi="Times New Roman" w:cs="Times New Roman"/>
                <w:bCs/>
                <w:color w:val="000000" w:themeColor="text1"/>
                <w:sz w:val="24"/>
                <w:szCs w:val="24"/>
                <w:lang w:eastAsia="es-MX"/>
              </w:rPr>
            </w:pPr>
            <w:r w:rsidRPr="009E7438">
              <w:rPr>
                <w:rFonts w:ascii="Times New Roman" w:eastAsia="Times New Roman" w:hAnsi="Times New Roman" w:cs="Times New Roman"/>
                <w:bCs/>
                <w:color w:val="000000" w:themeColor="text1"/>
                <w:sz w:val="24"/>
                <w:szCs w:val="24"/>
                <w:lang w:eastAsia="es-MX"/>
              </w:rPr>
              <w:t>Investigación</w:t>
            </w:r>
          </w:p>
        </w:tc>
        <w:tc>
          <w:tcPr>
            <w:tcW w:w="6315" w:type="dxa"/>
            <w:tcMar>
              <w:top w:w="100" w:type="dxa"/>
              <w:left w:w="100" w:type="dxa"/>
              <w:bottom w:w="100" w:type="dxa"/>
              <w:right w:w="100" w:type="dxa"/>
            </w:tcMar>
          </w:tcPr>
          <w:p w14:paraId="7CBB5C3E" w14:textId="77777777" w:rsidR="009E7438" w:rsidRPr="009E7438" w:rsidRDefault="009E7438" w:rsidP="009E7438">
            <w:pPr>
              <w:widowControl w:val="0"/>
              <w:spacing w:after="0" w:line="240" w:lineRule="auto"/>
              <w:rPr>
                <w:rFonts w:ascii="Times New Roman" w:eastAsia="Times New Roman" w:hAnsi="Times New Roman" w:cs="Times New Roman"/>
                <w:bCs/>
                <w:color w:val="000000" w:themeColor="text1"/>
                <w:sz w:val="24"/>
                <w:szCs w:val="24"/>
                <w:lang w:eastAsia="es-MX"/>
              </w:rPr>
            </w:pPr>
            <w:r w:rsidRPr="009E7438">
              <w:rPr>
                <w:rFonts w:ascii="Times New Roman" w:eastAsia="Times New Roman" w:hAnsi="Times New Roman" w:cs="Times New Roman"/>
                <w:bCs/>
                <w:color w:val="000000" w:themeColor="text1"/>
                <w:sz w:val="24"/>
                <w:szCs w:val="24"/>
                <w:lang w:eastAsia="es-MX"/>
              </w:rPr>
              <w:t>Francisco (Principal), Enrique (Igual), Inti Leopoldo (Igual), Marco Polo (Igual)</w:t>
            </w:r>
          </w:p>
        </w:tc>
      </w:tr>
      <w:tr w:rsidR="009E7438" w:rsidRPr="009E7438" w14:paraId="72BD32D8" w14:textId="77777777" w:rsidTr="009E7438">
        <w:trPr>
          <w:jc w:val="center"/>
        </w:trPr>
        <w:tc>
          <w:tcPr>
            <w:tcW w:w="3045" w:type="dxa"/>
            <w:tcMar>
              <w:top w:w="100" w:type="dxa"/>
              <w:left w:w="100" w:type="dxa"/>
              <w:bottom w:w="100" w:type="dxa"/>
              <w:right w:w="100" w:type="dxa"/>
            </w:tcMar>
          </w:tcPr>
          <w:p w14:paraId="26255C40" w14:textId="77777777" w:rsidR="009E7438" w:rsidRPr="009E7438" w:rsidRDefault="009E7438" w:rsidP="009E7438">
            <w:pPr>
              <w:widowControl w:val="0"/>
              <w:spacing w:after="0" w:line="240" w:lineRule="auto"/>
              <w:rPr>
                <w:rFonts w:ascii="Times New Roman" w:eastAsia="Times New Roman" w:hAnsi="Times New Roman" w:cs="Times New Roman"/>
                <w:bCs/>
                <w:color w:val="000000" w:themeColor="text1"/>
                <w:sz w:val="24"/>
                <w:szCs w:val="24"/>
                <w:lang w:eastAsia="es-MX"/>
              </w:rPr>
            </w:pPr>
            <w:r w:rsidRPr="009E7438">
              <w:rPr>
                <w:rFonts w:ascii="Times New Roman" w:eastAsia="Times New Roman" w:hAnsi="Times New Roman" w:cs="Times New Roman"/>
                <w:bCs/>
                <w:color w:val="000000" w:themeColor="text1"/>
                <w:sz w:val="24"/>
                <w:szCs w:val="24"/>
                <w:lang w:eastAsia="es-MX"/>
              </w:rPr>
              <w:t>Recursos</w:t>
            </w:r>
          </w:p>
        </w:tc>
        <w:tc>
          <w:tcPr>
            <w:tcW w:w="6315" w:type="dxa"/>
            <w:tcMar>
              <w:top w:w="100" w:type="dxa"/>
              <w:left w:w="100" w:type="dxa"/>
              <w:bottom w:w="100" w:type="dxa"/>
              <w:right w:w="100" w:type="dxa"/>
            </w:tcMar>
          </w:tcPr>
          <w:p w14:paraId="0250D9B9" w14:textId="77777777" w:rsidR="009E7438" w:rsidRPr="009E7438" w:rsidRDefault="009E7438" w:rsidP="009E7438">
            <w:pPr>
              <w:widowControl w:val="0"/>
              <w:spacing w:after="0" w:line="240" w:lineRule="auto"/>
              <w:rPr>
                <w:rFonts w:ascii="Times New Roman" w:eastAsia="Times New Roman" w:hAnsi="Times New Roman" w:cs="Times New Roman"/>
                <w:bCs/>
                <w:color w:val="000000" w:themeColor="text1"/>
                <w:sz w:val="24"/>
                <w:szCs w:val="24"/>
                <w:lang w:eastAsia="es-MX"/>
              </w:rPr>
            </w:pPr>
            <w:r w:rsidRPr="009E7438">
              <w:rPr>
                <w:rFonts w:ascii="Times New Roman" w:eastAsia="Times New Roman" w:hAnsi="Times New Roman" w:cs="Times New Roman"/>
                <w:bCs/>
                <w:color w:val="000000" w:themeColor="text1"/>
                <w:sz w:val="24"/>
                <w:szCs w:val="24"/>
                <w:lang w:eastAsia="es-MX"/>
              </w:rPr>
              <w:t>Enrique (Principal), Marco Polo (Igual)</w:t>
            </w:r>
          </w:p>
        </w:tc>
      </w:tr>
      <w:tr w:rsidR="009E7438" w:rsidRPr="009E7438" w14:paraId="3CDC8C0A" w14:textId="77777777" w:rsidTr="009E7438">
        <w:trPr>
          <w:jc w:val="center"/>
        </w:trPr>
        <w:tc>
          <w:tcPr>
            <w:tcW w:w="3045" w:type="dxa"/>
            <w:tcMar>
              <w:top w:w="100" w:type="dxa"/>
              <w:left w:w="100" w:type="dxa"/>
              <w:bottom w:w="100" w:type="dxa"/>
              <w:right w:w="100" w:type="dxa"/>
            </w:tcMar>
          </w:tcPr>
          <w:p w14:paraId="5F5481DA" w14:textId="77777777" w:rsidR="009E7438" w:rsidRPr="009E7438" w:rsidRDefault="009E7438" w:rsidP="009E7438">
            <w:pPr>
              <w:widowControl w:val="0"/>
              <w:spacing w:after="0" w:line="240" w:lineRule="auto"/>
              <w:rPr>
                <w:rFonts w:ascii="Times New Roman" w:eastAsia="Times New Roman" w:hAnsi="Times New Roman" w:cs="Times New Roman"/>
                <w:bCs/>
                <w:color w:val="000000" w:themeColor="text1"/>
                <w:sz w:val="24"/>
                <w:szCs w:val="24"/>
                <w:lang w:eastAsia="es-MX"/>
              </w:rPr>
            </w:pPr>
            <w:r w:rsidRPr="009E7438">
              <w:rPr>
                <w:rFonts w:ascii="Times New Roman" w:eastAsia="Times New Roman" w:hAnsi="Times New Roman" w:cs="Times New Roman"/>
                <w:bCs/>
                <w:color w:val="000000" w:themeColor="text1"/>
                <w:sz w:val="24"/>
                <w:szCs w:val="24"/>
                <w:lang w:eastAsia="es-MX"/>
              </w:rPr>
              <w:t>Curación de datos</w:t>
            </w:r>
          </w:p>
        </w:tc>
        <w:tc>
          <w:tcPr>
            <w:tcW w:w="6315" w:type="dxa"/>
            <w:tcMar>
              <w:top w:w="100" w:type="dxa"/>
              <w:left w:w="100" w:type="dxa"/>
              <w:bottom w:w="100" w:type="dxa"/>
              <w:right w:w="100" w:type="dxa"/>
            </w:tcMar>
          </w:tcPr>
          <w:p w14:paraId="48068301" w14:textId="77777777" w:rsidR="009E7438" w:rsidRPr="009E7438" w:rsidRDefault="009E7438" w:rsidP="009E7438">
            <w:pPr>
              <w:widowControl w:val="0"/>
              <w:spacing w:after="0" w:line="240" w:lineRule="auto"/>
              <w:rPr>
                <w:rFonts w:ascii="Times New Roman" w:eastAsia="Times New Roman" w:hAnsi="Times New Roman" w:cs="Times New Roman"/>
                <w:bCs/>
                <w:color w:val="000000" w:themeColor="text1"/>
                <w:sz w:val="24"/>
                <w:szCs w:val="24"/>
                <w:lang w:eastAsia="es-MX"/>
              </w:rPr>
            </w:pPr>
            <w:r w:rsidRPr="009E7438">
              <w:rPr>
                <w:rFonts w:ascii="Times New Roman" w:eastAsia="Times New Roman" w:hAnsi="Times New Roman" w:cs="Times New Roman"/>
                <w:bCs/>
                <w:color w:val="000000" w:themeColor="text1"/>
                <w:sz w:val="24"/>
                <w:szCs w:val="24"/>
                <w:lang w:eastAsia="es-MX"/>
              </w:rPr>
              <w:t>NO APLICA</w:t>
            </w:r>
          </w:p>
        </w:tc>
      </w:tr>
      <w:tr w:rsidR="009E7438" w:rsidRPr="009E7438" w14:paraId="010E2168" w14:textId="77777777" w:rsidTr="009E7438">
        <w:trPr>
          <w:jc w:val="center"/>
        </w:trPr>
        <w:tc>
          <w:tcPr>
            <w:tcW w:w="3045" w:type="dxa"/>
            <w:tcMar>
              <w:top w:w="100" w:type="dxa"/>
              <w:left w:w="100" w:type="dxa"/>
              <w:bottom w:w="100" w:type="dxa"/>
              <w:right w:w="100" w:type="dxa"/>
            </w:tcMar>
          </w:tcPr>
          <w:p w14:paraId="73F52AD4" w14:textId="77777777" w:rsidR="009E7438" w:rsidRPr="009E7438" w:rsidRDefault="009E7438" w:rsidP="009E7438">
            <w:pPr>
              <w:widowControl w:val="0"/>
              <w:spacing w:after="0" w:line="240" w:lineRule="auto"/>
              <w:rPr>
                <w:rFonts w:ascii="Times New Roman" w:eastAsia="Times New Roman" w:hAnsi="Times New Roman" w:cs="Times New Roman"/>
                <w:bCs/>
                <w:color w:val="000000" w:themeColor="text1"/>
                <w:sz w:val="24"/>
                <w:szCs w:val="24"/>
                <w:lang w:eastAsia="es-MX"/>
              </w:rPr>
            </w:pPr>
            <w:r w:rsidRPr="009E7438">
              <w:rPr>
                <w:rFonts w:ascii="Times New Roman" w:eastAsia="Times New Roman" w:hAnsi="Times New Roman" w:cs="Times New Roman"/>
                <w:bCs/>
                <w:color w:val="000000" w:themeColor="text1"/>
                <w:sz w:val="24"/>
                <w:szCs w:val="24"/>
                <w:lang w:eastAsia="es-MX"/>
              </w:rPr>
              <w:t>Escritura - Preparación del borrador original</w:t>
            </w:r>
          </w:p>
        </w:tc>
        <w:tc>
          <w:tcPr>
            <w:tcW w:w="6315" w:type="dxa"/>
            <w:tcMar>
              <w:top w:w="100" w:type="dxa"/>
              <w:left w:w="100" w:type="dxa"/>
              <w:bottom w:w="100" w:type="dxa"/>
              <w:right w:w="100" w:type="dxa"/>
            </w:tcMar>
          </w:tcPr>
          <w:p w14:paraId="1F7906FF" w14:textId="77777777" w:rsidR="009E7438" w:rsidRPr="009E7438" w:rsidRDefault="009E7438" w:rsidP="009E7438">
            <w:pPr>
              <w:widowControl w:val="0"/>
              <w:spacing w:after="0" w:line="240" w:lineRule="auto"/>
              <w:rPr>
                <w:rFonts w:ascii="Times New Roman" w:eastAsia="Times New Roman" w:hAnsi="Times New Roman" w:cs="Times New Roman"/>
                <w:bCs/>
                <w:color w:val="000000" w:themeColor="text1"/>
                <w:sz w:val="24"/>
                <w:szCs w:val="24"/>
                <w:lang w:eastAsia="es-MX"/>
              </w:rPr>
            </w:pPr>
            <w:r w:rsidRPr="009E7438">
              <w:rPr>
                <w:rFonts w:ascii="Times New Roman" w:eastAsia="Times New Roman" w:hAnsi="Times New Roman" w:cs="Times New Roman"/>
                <w:bCs/>
                <w:color w:val="000000" w:themeColor="text1"/>
                <w:sz w:val="24"/>
                <w:szCs w:val="24"/>
                <w:lang w:eastAsia="es-MX"/>
              </w:rPr>
              <w:t>Sirilo (Principal), Inti Leopoldo (Apoyo), Marco Polo (Apoyo)</w:t>
            </w:r>
          </w:p>
        </w:tc>
      </w:tr>
      <w:tr w:rsidR="009E7438" w:rsidRPr="009E7438" w14:paraId="332840D0" w14:textId="77777777" w:rsidTr="009E7438">
        <w:trPr>
          <w:jc w:val="center"/>
        </w:trPr>
        <w:tc>
          <w:tcPr>
            <w:tcW w:w="3045" w:type="dxa"/>
            <w:tcMar>
              <w:top w:w="100" w:type="dxa"/>
              <w:left w:w="100" w:type="dxa"/>
              <w:bottom w:w="100" w:type="dxa"/>
              <w:right w:w="100" w:type="dxa"/>
            </w:tcMar>
          </w:tcPr>
          <w:p w14:paraId="1624522C" w14:textId="77777777" w:rsidR="009E7438" w:rsidRPr="009E7438" w:rsidRDefault="009E7438" w:rsidP="009E7438">
            <w:pPr>
              <w:widowControl w:val="0"/>
              <w:spacing w:after="0" w:line="240" w:lineRule="auto"/>
              <w:rPr>
                <w:rFonts w:ascii="Times New Roman" w:eastAsia="Times New Roman" w:hAnsi="Times New Roman" w:cs="Times New Roman"/>
                <w:bCs/>
                <w:color w:val="000000" w:themeColor="text1"/>
                <w:sz w:val="24"/>
                <w:szCs w:val="24"/>
                <w:lang w:eastAsia="es-MX"/>
              </w:rPr>
            </w:pPr>
            <w:r w:rsidRPr="009E7438">
              <w:rPr>
                <w:rFonts w:ascii="Times New Roman" w:eastAsia="Times New Roman" w:hAnsi="Times New Roman" w:cs="Times New Roman"/>
                <w:bCs/>
                <w:color w:val="000000" w:themeColor="text1"/>
                <w:sz w:val="24"/>
                <w:szCs w:val="24"/>
                <w:lang w:eastAsia="es-MX"/>
              </w:rPr>
              <w:t>Escritura - Revisión y edición</w:t>
            </w:r>
          </w:p>
        </w:tc>
        <w:tc>
          <w:tcPr>
            <w:tcW w:w="6315" w:type="dxa"/>
            <w:tcMar>
              <w:top w:w="100" w:type="dxa"/>
              <w:left w:w="100" w:type="dxa"/>
              <w:bottom w:w="100" w:type="dxa"/>
              <w:right w:w="100" w:type="dxa"/>
            </w:tcMar>
          </w:tcPr>
          <w:p w14:paraId="0A712F17" w14:textId="77777777" w:rsidR="009E7438" w:rsidRPr="009E7438" w:rsidRDefault="009E7438" w:rsidP="009E7438">
            <w:pPr>
              <w:widowControl w:val="0"/>
              <w:spacing w:after="0" w:line="240" w:lineRule="auto"/>
              <w:rPr>
                <w:rFonts w:ascii="Times New Roman" w:eastAsia="Times New Roman" w:hAnsi="Times New Roman" w:cs="Times New Roman"/>
                <w:bCs/>
                <w:color w:val="000000" w:themeColor="text1"/>
                <w:sz w:val="24"/>
                <w:szCs w:val="24"/>
                <w:lang w:eastAsia="es-MX"/>
              </w:rPr>
            </w:pPr>
            <w:r w:rsidRPr="009E7438">
              <w:rPr>
                <w:rFonts w:ascii="Times New Roman" w:eastAsia="Times New Roman" w:hAnsi="Times New Roman" w:cs="Times New Roman"/>
                <w:bCs/>
                <w:color w:val="000000" w:themeColor="text1"/>
                <w:sz w:val="24"/>
                <w:szCs w:val="24"/>
                <w:lang w:eastAsia="es-MX"/>
              </w:rPr>
              <w:t>Enrique (Apoyo), Francisco (Principal), Marco Polo (Apoyo), Sirilo (Principal)</w:t>
            </w:r>
          </w:p>
        </w:tc>
      </w:tr>
      <w:tr w:rsidR="009E7438" w:rsidRPr="009E7438" w14:paraId="352B1D5B" w14:textId="77777777" w:rsidTr="009E7438">
        <w:trPr>
          <w:jc w:val="center"/>
        </w:trPr>
        <w:tc>
          <w:tcPr>
            <w:tcW w:w="3045" w:type="dxa"/>
            <w:tcMar>
              <w:top w:w="100" w:type="dxa"/>
              <w:left w:w="100" w:type="dxa"/>
              <w:bottom w:w="100" w:type="dxa"/>
              <w:right w:w="100" w:type="dxa"/>
            </w:tcMar>
          </w:tcPr>
          <w:p w14:paraId="2A4B3747" w14:textId="77777777" w:rsidR="009E7438" w:rsidRPr="009E7438" w:rsidRDefault="009E7438" w:rsidP="009E7438">
            <w:pPr>
              <w:widowControl w:val="0"/>
              <w:spacing w:after="0" w:line="240" w:lineRule="auto"/>
              <w:rPr>
                <w:rFonts w:ascii="Times New Roman" w:eastAsia="Times New Roman" w:hAnsi="Times New Roman" w:cs="Times New Roman"/>
                <w:bCs/>
                <w:color w:val="000000" w:themeColor="text1"/>
                <w:sz w:val="24"/>
                <w:szCs w:val="24"/>
                <w:lang w:eastAsia="es-MX"/>
              </w:rPr>
            </w:pPr>
            <w:r w:rsidRPr="009E7438">
              <w:rPr>
                <w:rFonts w:ascii="Times New Roman" w:eastAsia="Times New Roman" w:hAnsi="Times New Roman" w:cs="Times New Roman"/>
                <w:bCs/>
                <w:color w:val="000000" w:themeColor="text1"/>
                <w:sz w:val="24"/>
                <w:szCs w:val="24"/>
                <w:lang w:eastAsia="es-MX"/>
              </w:rPr>
              <w:t>Visualización</w:t>
            </w:r>
          </w:p>
        </w:tc>
        <w:tc>
          <w:tcPr>
            <w:tcW w:w="6315" w:type="dxa"/>
            <w:tcMar>
              <w:top w:w="100" w:type="dxa"/>
              <w:left w:w="100" w:type="dxa"/>
              <w:bottom w:w="100" w:type="dxa"/>
              <w:right w:w="100" w:type="dxa"/>
            </w:tcMar>
          </w:tcPr>
          <w:p w14:paraId="22947A78" w14:textId="77777777" w:rsidR="009E7438" w:rsidRPr="009E7438" w:rsidRDefault="009E7438" w:rsidP="009E7438">
            <w:pPr>
              <w:widowControl w:val="0"/>
              <w:spacing w:after="0" w:line="240" w:lineRule="auto"/>
              <w:rPr>
                <w:rFonts w:ascii="Times New Roman" w:eastAsia="Times New Roman" w:hAnsi="Times New Roman" w:cs="Times New Roman"/>
                <w:bCs/>
                <w:color w:val="000000" w:themeColor="text1"/>
                <w:sz w:val="24"/>
                <w:szCs w:val="24"/>
                <w:lang w:eastAsia="es-MX"/>
              </w:rPr>
            </w:pPr>
            <w:r w:rsidRPr="009E7438">
              <w:rPr>
                <w:rFonts w:ascii="Times New Roman" w:eastAsia="Times New Roman" w:hAnsi="Times New Roman" w:cs="Times New Roman"/>
                <w:bCs/>
                <w:color w:val="000000" w:themeColor="text1"/>
                <w:sz w:val="24"/>
                <w:szCs w:val="24"/>
                <w:lang w:eastAsia="es-MX"/>
              </w:rPr>
              <w:t>Enrique (Principal)</w:t>
            </w:r>
          </w:p>
        </w:tc>
      </w:tr>
      <w:tr w:rsidR="009E7438" w:rsidRPr="009E7438" w14:paraId="4FB89588" w14:textId="77777777" w:rsidTr="009E7438">
        <w:trPr>
          <w:jc w:val="center"/>
        </w:trPr>
        <w:tc>
          <w:tcPr>
            <w:tcW w:w="3045" w:type="dxa"/>
            <w:tcMar>
              <w:top w:w="100" w:type="dxa"/>
              <w:left w:w="100" w:type="dxa"/>
              <w:bottom w:w="100" w:type="dxa"/>
              <w:right w:w="100" w:type="dxa"/>
            </w:tcMar>
          </w:tcPr>
          <w:p w14:paraId="52120064" w14:textId="77777777" w:rsidR="009E7438" w:rsidRPr="009E7438" w:rsidRDefault="009E7438" w:rsidP="009E7438">
            <w:pPr>
              <w:widowControl w:val="0"/>
              <w:spacing w:after="0" w:line="240" w:lineRule="auto"/>
              <w:rPr>
                <w:rFonts w:ascii="Times New Roman" w:eastAsia="Times New Roman" w:hAnsi="Times New Roman" w:cs="Times New Roman"/>
                <w:bCs/>
                <w:color w:val="000000" w:themeColor="text1"/>
                <w:sz w:val="24"/>
                <w:szCs w:val="24"/>
                <w:lang w:eastAsia="es-MX"/>
              </w:rPr>
            </w:pPr>
            <w:r w:rsidRPr="009E7438">
              <w:rPr>
                <w:rFonts w:ascii="Times New Roman" w:eastAsia="Times New Roman" w:hAnsi="Times New Roman" w:cs="Times New Roman"/>
                <w:bCs/>
                <w:color w:val="000000" w:themeColor="text1"/>
                <w:sz w:val="24"/>
                <w:szCs w:val="24"/>
                <w:lang w:eastAsia="es-MX"/>
              </w:rPr>
              <w:t>Supervisión</w:t>
            </w:r>
          </w:p>
        </w:tc>
        <w:tc>
          <w:tcPr>
            <w:tcW w:w="6315" w:type="dxa"/>
            <w:tcMar>
              <w:top w:w="100" w:type="dxa"/>
              <w:left w:w="100" w:type="dxa"/>
              <w:bottom w:w="100" w:type="dxa"/>
              <w:right w:w="100" w:type="dxa"/>
            </w:tcMar>
          </w:tcPr>
          <w:p w14:paraId="17A5D3BC" w14:textId="77777777" w:rsidR="009E7438" w:rsidRPr="009E7438" w:rsidRDefault="009E7438" w:rsidP="009E7438">
            <w:pPr>
              <w:widowControl w:val="0"/>
              <w:spacing w:after="0" w:line="240" w:lineRule="auto"/>
              <w:rPr>
                <w:rFonts w:ascii="Times New Roman" w:eastAsia="Times New Roman" w:hAnsi="Times New Roman" w:cs="Times New Roman"/>
                <w:bCs/>
                <w:color w:val="000000" w:themeColor="text1"/>
                <w:sz w:val="24"/>
                <w:szCs w:val="24"/>
                <w:lang w:eastAsia="es-MX"/>
              </w:rPr>
            </w:pPr>
            <w:r w:rsidRPr="009E7438">
              <w:rPr>
                <w:rFonts w:ascii="Times New Roman" w:eastAsia="Times New Roman" w:hAnsi="Times New Roman" w:cs="Times New Roman"/>
                <w:bCs/>
                <w:color w:val="000000" w:themeColor="text1"/>
                <w:sz w:val="24"/>
                <w:szCs w:val="24"/>
                <w:lang w:eastAsia="es-MX"/>
              </w:rPr>
              <w:t>Sirilo (Principal)</w:t>
            </w:r>
          </w:p>
        </w:tc>
      </w:tr>
      <w:tr w:rsidR="009E7438" w:rsidRPr="009E7438" w14:paraId="74FE458F" w14:textId="77777777" w:rsidTr="009E7438">
        <w:trPr>
          <w:jc w:val="center"/>
        </w:trPr>
        <w:tc>
          <w:tcPr>
            <w:tcW w:w="3045" w:type="dxa"/>
            <w:tcMar>
              <w:top w:w="100" w:type="dxa"/>
              <w:left w:w="100" w:type="dxa"/>
              <w:bottom w:w="100" w:type="dxa"/>
              <w:right w:w="100" w:type="dxa"/>
            </w:tcMar>
          </w:tcPr>
          <w:p w14:paraId="774D721F" w14:textId="77777777" w:rsidR="009E7438" w:rsidRPr="009E7438" w:rsidRDefault="009E7438" w:rsidP="009E7438">
            <w:pPr>
              <w:widowControl w:val="0"/>
              <w:spacing w:after="0" w:line="240" w:lineRule="auto"/>
              <w:rPr>
                <w:rFonts w:ascii="Times New Roman" w:eastAsia="Times New Roman" w:hAnsi="Times New Roman" w:cs="Times New Roman"/>
                <w:bCs/>
                <w:color w:val="000000" w:themeColor="text1"/>
                <w:sz w:val="24"/>
                <w:szCs w:val="24"/>
                <w:lang w:eastAsia="es-MX"/>
              </w:rPr>
            </w:pPr>
            <w:r w:rsidRPr="009E7438">
              <w:rPr>
                <w:rFonts w:ascii="Times New Roman" w:eastAsia="Times New Roman" w:hAnsi="Times New Roman" w:cs="Times New Roman"/>
                <w:bCs/>
                <w:color w:val="000000" w:themeColor="text1"/>
                <w:sz w:val="24"/>
                <w:szCs w:val="24"/>
                <w:lang w:eastAsia="es-MX"/>
              </w:rPr>
              <w:t>Administración de Proyectos</w:t>
            </w:r>
          </w:p>
        </w:tc>
        <w:tc>
          <w:tcPr>
            <w:tcW w:w="6315" w:type="dxa"/>
            <w:tcMar>
              <w:top w:w="100" w:type="dxa"/>
              <w:left w:w="100" w:type="dxa"/>
              <w:bottom w:w="100" w:type="dxa"/>
              <w:right w:w="100" w:type="dxa"/>
            </w:tcMar>
          </w:tcPr>
          <w:p w14:paraId="712008CB" w14:textId="77777777" w:rsidR="009E7438" w:rsidRPr="009E7438" w:rsidRDefault="009E7438" w:rsidP="009E7438">
            <w:pPr>
              <w:widowControl w:val="0"/>
              <w:spacing w:after="0" w:line="240" w:lineRule="auto"/>
              <w:rPr>
                <w:rFonts w:ascii="Times New Roman" w:eastAsia="Times New Roman" w:hAnsi="Times New Roman" w:cs="Times New Roman"/>
                <w:bCs/>
                <w:color w:val="000000" w:themeColor="text1"/>
                <w:sz w:val="24"/>
                <w:szCs w:val="24"/>
                <w:lang w:eastAsia="es-MX"/>
              </w:rPr>
            </w:pPr>
            <w:r w:rsidRPr="009E7438">
              <w:rPr>
                <w:rFonts w:ascii="Times New Roman" w:eastAsia="Times New Roman" w:hAnsi="Times New Roman" w:cs="Times New Roman"/>
                <w:bCs/>
                <w:color w:val="000000" w:themeColor="text1"/>
                <w:sz w:val="24"/>
                <w:szCs w:val="24"/>
                <w:lang w:eastAsia="es-MX"/>
              </w:rPr>
              <w:t>Francisco (Principal)</w:t>
            </w:r>
          </w:p>
        </w:tc>
      </w:tr>
      <w:tr w:rsidR="009E7438" w:rsidRPr="009E7438" w14:paraId="5B10DA2D" w14:textId="77777777" w:rsidTr="009E7438">
        <w:trPr>
          <w:jc w:val="center"/>
        </w:trPr>
        <w:tc>
          <w:tcPr>
            <w:tcW w:w="3045" w:type="dxa"/>
            <w:tcMar>
              <w:top w:w="100" w:type="dxa"/>
              <w:left w:w="100" w:type="dxa"/>
              <w:bottom w:w="100" w:type="dxa"/>
              <w:right w:w="100" w:type="dxa"/>
            </w:tcMar>
          </w:tcPr>
          <w:p w14:paraId="59BF7BDA" w14:textId="77777777" w:rsidR="009E7438" w:rsidRPr="009E7438" w:rsidRDefault="009E7438" w:rsidP="009E7438">
            <w:pPr>
              <w:widowControl w:val="0"/>
              <w:spacing w:after="0" w:line="240" w:lineRule="auto"/>
              <w:rPr>
                <w:rFonts w:ascii="Times New Roman" w:eastAsia="Times New Roman" w:hAnsi="Times New Roman" w:cs="Times New Roman"/>
                <w:bCs/>
                <w:color w:val="000000" w:themeColor="text1"/>
                <w:sz w:val="24"/>
                <w:szCs w:val="24"/>
                <w:lang w:eastAsia="es-MX"/>
              </w:rPr>
            </w:pPr>
            <w:r w:rsidRPr="009E7438">
              <w:rPr>
                <w:rFonts w:ascii="Times New Roman" w:eastAsia="Times New Roman" w:hAnsi="Times New Roman" w:cs="Times New Roman"/>
                <w:bCs/>
                <w:color w:val="000000" w:themeColor="text1"/>
                <w:sz w:val="24"/>
                <w:szCs w:val="24"/>
                <w:lang w:eastAsia="es-MX"/>
              </w:rPr>
              <w:t>Adquisición de fondos</w:t>
            </w:r>
          </w:p>
        </w:tc>
        <w:tc>
          <w:tcPr>
            <w:tcW w:w="6315" w:type="dxa"/>
            <w:tcMar>
              <w:top w:w="100" w:type="dxa"/>
              <w:left w:w="100" w:type="dxa"/>
              <w:bottom w:w="100" w:type="dxa"/>
              <w:right w:w="100" w:type="dxa"/>
            </w:tcMar>
          </w:tcPr>
          <w:p w14:paraId="21FF529B" w14:textId="77777777" w:rsidR="009E7438" w:rsidRPr="009E7438" w:rsidRDefault="009E7438" w:rsidP="009E7438">
            <w:pPr>
              <w:widowControl w:val="0"/>
              <w:spacing w:after="0" w:line="240" w:lineRule="auto"/>
              <w:rPr>
                <w:rFonts w:ascii="Times New Roman" w:eastAsia="Times New Roman" w:hAnsi="Times New Roman" w:cs="Times New Roman"/>
                <w:bCs/>
                <w:color w:val="000000" w:themeColor="text1"/>
                <w:sz w:val="24"/>
                <w:szCs w:val="24"/>
                <w:lang w:eastAsia="es-MX"/>
              </w:rPr>
            </w:pPr>
            <w:r w:rsidRPr="009E7438">
              <w:rPr>
                <w:rFonts w:ascii="Times New Roman" w:eastAsia="Times New Roman" w:hAnsi="Times New Roman" w:cs="Times New Roman"/>
                <w:bCs/>
                <w:color w:val="000000" w:themeColor="text1"/>
                <w:sz w:val="24"/>
                <w:szCs w:val="24"/>
                <w:lang w:eastAsia="es-MX"/>
              </w:rPr>
              <w:t>Enrique (Principal), Marco Polo (Apoyo)</w:t>
            </w:r>
          </w:p>
        </w:tc>
      </w:tr>
    </w:tbl>
    <w:p w14:paraId="026D2589" w14:textId="60FE44D6" w:rsidR="002269D7" w:rsidRPr="009E7438" w:rsidRDefault="002269D7" w:rsidP="00301B17">
      <w:pPr>
        <w:spacing w:after="0" w:line="360" w:lineRule="auto"/>
        <w:jc w:val="both"/>
        <w:rPr>
          <w:rFonts w:ascii="Times New Roman" w:hAnsi="Times New Roman" w:cs="Times New Roman"/>
          <w:b/>
          <w:bCs/>
          <w:color w:val="000000"/>
          <w:sz w:val="28"/>
          <w:szCs w:val="28"/>
          <w:lang w:eastAsia="es-MX"/>
        </w:rPr>
      </w:pPr>
    </w:p>
    <w:sectPr w:rsidR="002269D7" w:rsidRPr="009E7438" w:rsidSect="009E7438">
      <w:headerReference w:type="default" r:id="rId18"/>
      <w:footerReference w:type="default" r:id="rId19"/>
      <w:pgSz w:w="12240" w:h="15840"/>
      <w:pgMar w:top="1276" w:right="1701" w:bottom="993" w:left="1701" w:header="142" w:footer="9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3DB8DD" w14:textId="77777777" w:rsidR="009D7C95" w:rsidRDefault="009D7C95" w:rsidP="009E7438">
      <w:pPr>
        <w:spacing w:after="0" w:line="240" w:lineRule="auto"/>
      </w:pPr>
      <w:r>
        <w:separator/>
      </w:r>
    </w:p>
  </w:endnote>
  <w:endnote w:type="continuationSeparator" w:id="0">
    <w:p w14:paraId="602AE39D" w14:textId="77777777" w:rsidR="009D7C95" w:rsidRDefault="009D7C95" w:rsidP="009E74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Open Sans">
    <w:altName w:val="Segoe UI"/>
    <w:charset w:val="00"/>
    <w:family w:val="swiss"/>
    <w:pitch w:val="variable"/>
    <w:sig w:usb0="E00002EF" w:usb1="4000205B" w:usb2="00000028" w:usb3="00000000" w:csb0="0000019F" w:csb1="00000000"/>
  </w:font>
  <w:font w:name="Courier New">
    <w:panose1 w:val="02070309020205020404"/>
    <w:charset w:val="00"/>
    <w:family w:val="modern"/>
    <w:pitch w:val="fixed"/>
    <w:sig w:usb0="E0002EFF" w:usb1="C0007843" w:usb2="00000009" w:usb3="00000000" w:csb0="000001FF" w:csb1="00000000"/>
  </w:font>
  <w:font w:name="Consolas">
    <w:panose1 w:val="020B0609020204030204"/>
    <w:charset w:val="00"/>
    <w:family w:val="modern"/>
    <w:pitch w:val="fixed"/>
    <w:sig w:usb0="E00006FF" w:usb1="0000FCFF" w:usb2="00000001" w:usb3="00000000" w:csb0="0000019F" w:csb1="00000000"/>
  </w:font>
  <w:font w:name="Gungsuh">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BC0E1C" w14:textId="59911049" w:rsidR="009E7438" w:rsidRDefault="009E7438">
    <w:pPr>
      <w:pStyle w:val="Piedepgina"/>
    </w:pPr>
    <w:r>
      <w:t xml:space="preserve">                 </w:t>
    </w:r>
    <w:r>
      <w:rPr>
        <w:noProof/>
      </w:rPr>
      <w:drawing>
        <wp:inline distT="0" distB="0" distL="0" distR="0" wp14:anchorId="377744A9" wp14:editId="7591CBCD">
          <wp:extent cx="1600200" cy="419100"/>
          <wp:effectExtent l="0" t="0" r="0" b="0"/>
          <wp:docPr id="195310778" name="Imagen 195310778" descr="Resultado de imagen de creative commons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10778" name="Imagen 195310778" descr="Resultado de imagen de creative commons cc by 4.0"/>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419100"/>
                  </a:xfrm>
                  <a:prstGeom prst="rect">
                    <a:avLst/>
                  </a:prstGeom>
                  <a:noFill/>
                  <a:ln>
                    <a:noFill/>
                  </a:ln>
                </pic:spPr>
              </pic:pic>
            </a:graphicData>
          </a:graphic>
        </wp:inline>
      </w:drawing>
    </w:r>
    <w:r>
      <w:t xml:space="preserve">             </w:t>
    </w:r>
    <w:r w:rsidRPr="00590B82">
      <w:rPr>
        <w:rFonts w:ascii="Calibri" w:hAnsi="Calibri" w:cs="Calibri"/>
        <w:b/>
      </w:rPr>
      <w:t>Vol. 1</w:t>
    </w:r>
    <w:r>
      <w:rPr>
        <w:rFonts w:ascii="Calibri" w:hAnsi="Calibri" w:cs="Calibri"/>
        <w:b/>
      </w:rPr>
      <w:t>6</w:t>
    </w:r>
    <w:r w:rsidRPr="00590B82">
      <w:rPr>
        <w:rFonts w:ascii="Calibri" w:hAnsi="Calibri" w:cs="Calibri"/>
        <w:b/>
      </w:rPr>
      <w:t xml:space="preserve"> Num. 3</w:t>
    </w:r>
    <w:r>
      <w:rPr>
        <w:rFonts w:ascii="Calibri" w:hAnsi="Calibri" w:cs="Calibri"/>
        <w:b/>
      </w:rPr>
      <w:t>2</w:t>
    </w:r>
    <w:r w:rsidRPr="00590B82">
      <w:rPr>
        <w:rFonts w:ascii="Calibri" w:hAnsi="Calibri" w:cs="Calibri"/>
        <w:b/>
      </w:rPr>
      <w:t xml:space="preserve"> Enero – Junio 202</w:t>
    </w:r>
    <w:r w:rsidR="00EB43FB">
      <w:rPr>
        <w:rFonts w:ascii="Calibri" w:hAnsi="Calibri" w:cs="Calibri"/>
        <w:b/>
      </w:rPr>
      <w:t>6</w:t>
    </w:r>
    <w:r w:rsidRPr="00590B82">
      <w:rPr>
        <w:rFonts w:ascii="Calibri" w:hAnsi="Calibri" w:cs="Calibri"/>
        <w:b/>
      </w:rPr>
      <w:t>, e</w:t>
    </w:r>
    <w:r w:rsidR="00EB43FB">
      <w:rPr>
        <w:rFonts w:ascii="Calibri" w:hAnsi="Calibri" w:cs="Calibri"/>
        <w:b/>
      </w:rPr>
      <w:t>103</w:t>
    </w:r>
    <w:r w:rsidR="00935B5D">
      <w:rPr>
        <w:rFonts w:ascii="Calibri" w:hAnsi="Calibri" w:cs="Calibri"/>
        <w:b/>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CB9646" w14:textId="77777777" w:rsidR="009D7C95" w:rsidRDefault="009D7C95" w:rsidP="009E7438">
      <w:pPr>
        <w:spacing w:after="0" w:line="240" w:lineRule="auto"/>
      </w:pPr>
      <w:r>
        <w:separator/>
      </w:r>
    </w:p>
  </w:footnote>
  <w:footnote w:type="continuationSeparator" w:id="0">
    <w:p w14:paraId="11E79731" w14:textId="77777777" w:rsidR="009D7C95" w:rsidRDefault="009D7C95" w:rsidP="009E74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EEEB3C" w14:textId="32FF0964" w:rsidR="009E7438" w:rsidRDefault="009E7438" w:rsidP="009E7438">
    <w:pPr>
      <w:pStyle w:val="Encabezado"/>
      <w:jc w:val="center"/>
    </w:pPr>
    <w:r>
      <w:rPr>
        <w:noProof/>
      </w:rPr>
      <w:drawing>
        <wp:inline distT="0" distB="0" distL="0" distR="0" wp14:anchorId="7D181804" wp14:editId="205E57BA">
          <wp:extent cx="5397500" cy="635000"/>
          <wp:effectExtent l="0" t="0" r="0" b="0"/>
          <wp:docPr id="28659100" name="Imagen 28659100"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59100" name="Imagen 28659100" descr="Diagrama&#10;&#10;Descripción generada automáticamente con confianza media"/>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7500" cy="6350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33673C8"/>
    <w:multiLevelType w:val="hybridMultilevel"/>
    <w:tmpl w:val="0790581C"/>
    <w:lvl w:ilvl="0" w:tplc="9FCAA980">
      <w:start w:val="1"/>
      <w:numFmt w:val="lowerLetter"/>
      <w:lvlText w:val="(%1)"/>
      <w:lvlJc w:val="left"/>
      <w:pPr>
        <w:ind w:left="6372" w:hanging="4464"/>
      </w:pPr>
      <w:rPr>
        <w:rFonts w:hint="default"/>
      </w:rPr>
    </w:lvl>
    <w:lvl w:ilvl="1" w:tplc="080A0019" w:tentative="1">
      <w:start w:val="1"/>
      <w:numFmt w:val="lowerLetter"/>
      <w:lvlText w:val="%2."/>
      <w:lvlJc w:val="left"/>
      <w:pPr>
        <w:ind w:left="2988" w:hanging="360"/>
      </w:pPr>
    </w:lvl>
    <w:lvl w:ilvl="2" w:tplc="080A001B" w:tentative="1">
      <w:start w:val="1"/>
      <w:numFmt w:val="lowerRoman"/>
      <w:lvlText w:val="%3."/>
      <w:lvlJc w:val="right"/>
      <w:pPr>
        <w:ind w:left="3708" w:hanging="180"/>
      </w:pPr>
    </w:lvl>
    <w:lvl w:ilvl="3" w:tplc="080A000F" w:tentative="1">
      <w:start w:val="1"/>
      <w:numFmt w:val="decimal"/>
      <w:lvlText w:val="%4."/>
      <w:lvlJc w:val="left"/>
      <w:pPr>
        <w:ind w:left="4428" w:hanging="360"/>
      </w:pPr>
    </w:lvl>
    <w:lvl w:ilvl="4" w:tplc="080A0019" w:tentative="1">
      <w:start w:val="1"/>
      <w:numFmt w:val="lowerLetter"/>
      <w:lvlText w:val="%5."/>
      <w:lvlJc w:val="left"/>
      <w:pPr>
        <w:ind w:left="5148" w:hanging="360"/>
      </w:pPr>
    </w:lvl>
    <w:lvl w:ilvl="5" w:tplc="080A001B" w:tentative="1">
      <w:start w:val="1"/>
      <w:numFmt w:val="lowerRoman"/>
      <w:lvlText w:val="%6."/>
      <w:lvlJc w:val="right"/>
      <w:pPr>
        <w:ind w:left="5868" w:hanging="180"/>
      </w:pPr>
    </w:lvl>
    <w:lvl w:ilvl="6" w:tplc="080A000F" w:tentative="1">
      <w:start w:val="1"/>
      <w:numFmt w:val="decimal"/>
      <w:lvlText w:val="%7."/>
      <w:lvlJc w:val="left"/>
      <w:pPr>
        <w:ind w:left="6588" w:hanging="360"/>
      </w:pPr>
    </w:lvl>
    <w:lvl w:ilvl="7" w:tplc="080A0019" w:tentative="1">
      <w:start w:val="1"/>
      <w:numFmt w:val="lowerLetter"/>
      <w:lvlText w:val="%8."/>
      <w:lvlJc w:val="left"/>
      <w:pPr>
        <w:ind w:left="7308" w:hanging="360"/>
      </w:pPr>
    </w:lvl>
    <w:lvl w:ilvl="8" w:tplc="080A001B" w:tentative="1">
      <w:start w:val="1"/>
      <w:numFmt w:val="lowerRoman"/>
      <w:lvlText w:val="%9."/>
      <w:lvlJc w:val="right"/>
      <w:pPr>
        <w:ind w:left="8028" w:hanging="180"/>
      </w:pPr>
    </w:lvl>
  </w:abstractNum>
  <w:num w:numId="1" w16cid:durableId="2602649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3F21"/>
    <w:rsid w:val="00026DE1"/>
    <w:rsid w:val="000404FD"/>
    <w:rsid w:val="0006396C"/>
    <w:rsid w:val="000705A7"/>
    <w:rsid w:val="00081DF6"/>
    <w:rsid w:val="000970BA"/>
    <w:rsid w:val="000A4595"/>
    <w:rsid w:val="00107A5D"/>
    <w:rsid w:val="00112D53"/>
    <w:rsid w:val="0011784B"/>
    <w:rsid w:val="00125AB0"/>
    <w:rsid w:val="00156140"/>
    <w:rsid w:val="00166A09"/>
    <w:rsid w:val="00174ACB"/>
    <w:rsid w:val="00175E3A"/>
    <w:rsid w:val="001831C3"/>
    <w:rsid w:val="001A2EAC"/>
    <w:rsid w:val="001A5E46"/>
    <w:rsid w:val="001C1CB7"/>
    <w:rsid w:val="001C6E73"/>
    <w:rsid w:val="001D1251"/>
    <w:rsid w:val="001E02FB"/>
    <w:rsid w:val="001E2677"/>
    <w:rsid w:val="001E3884"/>
    <w:rsid w:val="001F0A69"/>
    <w:rsid w:val="002269D7"/>
    <w:rsid w:val="002329A2"/>
    <w:rsid w:val="00234377"/>
    <w:rsid w:val="0024002D"/>
    <w:rsid w:val="002544D5"/>
    <w:rsid w:val="00265BF3"/>
    <w:rsid w:val="00274C10"/>
    <w:rsid w:val="002763B2"/>
    <w:rsid w:val="00285A1B"/>
    <w:rsid w:val="002969F4"/>
    <w:rsid w:val="002C2FB2"/>
    <w:rsid w:val="002C4808"/>
    <w:rsid w:val="002E1327"/>
    <w:rsid w:val="002E7DDE"/>
    <w:rsid w:val="002F1937"/>
    <w:rsid w:val="002F31E8"/>
    <w:rsid w:val="00301B17"/>
    <w:rsid w:val="00305F85"/>
    <w:rsid w:val="0031311A"/>
    <w:rsid w:val="00315A6F"/>
    <w:rsid w:val="0031798B"/>
    <w:rsid w:val="00317E22"/>
    <w:rsid w:val="00337F15"/>
    <w:rsid w:val="00345603"/>
    <w:rsid w:val="00376EAA"/>
    <w:rsid w:val="00377B21"/>
    <w:rsid w:val="0038770F"/>
    <w:rsid w:val="00390A71"/>
    <w:rsid w:val="00392170"/>
    <w:rsid w:val="003B5367"/>
    <w:rsid w:val="003C07EB"/>
    <w:rsid w:val="003C5B24"/>
    <w:rsid w:val="003E2AB6"/>
    <w:rsid w:val="003E2F1A"/>
    <w:rsid w:val="003E4C37"/>
    <w:rsid w:val="00405924"/>
    <w:rsid w:val="00421836"/>
    <w:rsid w:val="004310B9"/>
    <w:rsid w:val="00436A3F"/>
    <w:rsid w:val="004402DE"/>
    <w:rsid w:val="00447CA6"/>
    <w:rsid w:val="00462377"/>
    <w:rsid w:val="00464288"/>
    <w:rsid w:val="004736FD"/>
    <w:rsid w:val="00491027"/>
    <w:rsid w:val="004D596B"/>
    <w:rsid w:val="004E0EB9"/>
    <w:rsid w:val="004E142C"/>
    <w:rsid w:val="004E3366"/>
    <w:rsid w:val="004F0D6B"/>
    <w:rsid w:val="005023A2"/>
    <w:rsid w:val="00507CAD"/>
    <w:rsid w:val="005122DB"/>
    <w:rsid w:val="005122E5"/>
    <w:rsid w:val="00517AD4"/>
    <w:rsid w:val="00523CC9"/>
    <w:rsid w:val="00524778"/>
    <w:rsid w:val="00532488"/>
    <w:rsid w:val="00537E31"/>
    <w:rsid w:val="00553CD5"/>
    <w:rsid w:val="005603BB"/>
    <w:rsid w:val="00566B71"/>
    <w:rsid w:val="0057388B"/>
    <w:rsid w:val="005745EF"/>
    <w:rsid w:val="00591996"/>
    <w:rsid w:val="00592245"/>
    <w:rsid w:val="005953B2"/>
    <w:rsid w:val="0059759C"/>
    <w:rsid w:val="005A025E"/>
    <w:rsid w:val="005A4B74"/>
    <w:rsid w:val="005A53ED"/>
    <w:rsid w:val="005A6668"/>
    <w:rsid w:val="005A6711"/>
    <w:rsid w:val="005C26C8"/>
    <w:rsid w:val="005C3561"/>
    <w:rsid w:val="005C6ADE"/>
    <w:rsid w:val="005D5359"/>
    <w:rsid w:val="005F5E75"/>
    <w:rsid w:val="00620653"/>
    <w:rsid w:val="006425CE"/>
    <w:rsid w:val="00665C35"/>
    <w:rsid w:val="00677AA7"/>
    <w:rsid w:val="00684D22"/>
    <w:rsid w:val="006915CC"/>
    <w:rsid w:val="00694FA7"/>
    <w:rsid w:val="00695B06"/>
    <w:rsid w:val="006A1B75"/>
    <w:rsid w:val="006A27D6"/>
    <w:rsid w:val="006D0257"/>
    <w:rsid w:val="006D19B0"/>
    <w:rsid w:val="006E188D"/>
    <w:rsid w:val="006E2175"/>
    <w:rsid w:val="006E3F33"/>
    <w:rsid w:val="006F5319"/>
    <w:rsid w:val="00706E60"/>
    <w:rsid w:val="007115AC"/>
    <w:rsid w:val="00721F05"/>
    <w:rsid w:val="007274FD"/>
    <w:rsid w:val="0074537E"/>
    <w:rsid w:val="007667F3"/>
    <w:rsid w:val="007813F7"/>
    <w:rsid w:val="007A1E48"/>
    <w:rsid w:val="007B4BB9"/>
    <w:rsid w:val="007C78B9"/>
    <w:rsid w:val="007D1227"/>
    <w:rsid w:val="007E5A9E"/>
    <w:rsid w:val="0080363C"/>
    <w:rsid w:val="00811A77"/>
    <w:rsid w:val="008208BC"/>
    <w:rsid w:val="008250BB"/>
    <w:rsid w:val="00833CA8"/>
    <w:rsid w:val="008344E4"/>
    <w:rsid w:val="00847169"/>
    <w:rsid w:val="00855820"/>
    <w:rsid w:val="0086049A"/>
    <w:rsid w:val="0086402E"/>
    <w:rsid w:val="00891BEB"/>
    <w:rsid w:val="008A5BF5"/>
    <w:rsid w:val="008B1677"/>
    <w:rsid w:val="008B4C3F"/>
    <w:rsid w:val="008D0E68"/>
    <w:rsid w:val="008D3F5E"/>
    <w:rsid w:val="008E3E81"/>
    <w:rsid w:val="00916D6B"/>
    <w:rsid w:val="00925180"/>
    <w:rsid w:val="00935B5D"/>
    <w:rsid w:val="00937B06"/>
    <w:rsid w:val="0095284C"/>
    <w:rsid w:val="00954990"/>
    <w:rsid w:val="0095654F"/>
    <w:rsid w:val="00956791"/>
    <w:rsid w:val="00964049"/>
    <w:rsid w:val="009706EE"/>
    <w:rsid w:val="00973E53"/>
    <w:rsid w:val="009874E0"/>
    <w:rsid w:val="0099437F"/>
    <w:rsid w:val="009A197B"/>
    <w:rsid w:val="009B3294"/>
    <w:rsid w:val="009D7C95"/>
    <w:rsid w:val="009E0C84"/>
    <w:rsid w:val="009E2B2A"/>
    <w:rsid w:val="009E7438"/>
    <w:rsid w:val="009E74F3"/>
    <w:rsid w:val="009F55D4"/>
    <w:rsid w:val="00A03C86"/>
    <w:rsid w:val="00A106B6"/>
    <w:rsid w:val="00A12EAE"/>
    <w:rsid w:val="00A264C7"/>
    <w:rsid w:val="00A359C3"/>
    <w:rsid w:val="00A70BD5"/>
    <w:rsid w:val="00A90BF8"/>
    <w:rsid w:val="00A947BD"/>
    <w:rsid w:val="00A95478"/>
    <w:rsid w:val="00AC0AE1"/>
    <w:rsid w:val="00AC1A30"/>
    <w:rsid w:val="00AC2D8D"/>
    <w:rsid w:val="00AD7169"/>
    <w:rsid w:val="00AE54A7"/>
    <w:rsid w:val="00AF1576"/>
    <w:rsid w:val="00AF2865"/>
    <w:rsid w:val="00B1203A"/>
    <w:rsid w:val="00B12052"/>
    <w:rsid w:val="00B15C69"/>
    <w:rsid w:val="00B17C02"/>
    <w:rsid w:val="00B17EDE"/>
    <w:rsid w:val="00B411F0"/>
    <w:rsid w:val="00B506E7"/>
    <w:rsid w:val="00B73151"/>
    <w:rsid w:val="00B77CEC"/>
    <w:rsid w:val="00B95317"/>
    <w:rsid w:val="00B96FEF"/>
    <w:rsid w:val="00BA0A47"/>
    <w:rsid w:val="00BA5406"/>
    <w:rsid w:val="00BC60C5"/>
    <w:rsid w:val="00BD14E4"/>
    <w:rsid w:val="00BD7A05"/>
    <w:rsid w:val="00BE4EC3"/>
    <w:rsid w:val="00BE60AB"/>
    <w:rsid w:val="00C131E9"/>
    <w:rsid w:val="00C23100"/>
    <w:rsid w:val="00C2507B"/>
    <w:rsid w:val="00C416DC"/>
    <w:rsid w:val="00C41B87"/>
    <w:rsid w:val="00C57B7D"/>
    <w:rsid w:val="00C57D1C"/>
    <w:rsid w:val="00C874B3"/>
    <w:rsid w:val="00C87B71"/>
    <w:rsid w:val="00C946B7"/>
    <w:rsid w:val="00C94BCA"/>
    <w:rsid w:val="00CA2666"/>
    <w:rsid w:val="00CA3B55"/>
    <w:rsid w:val="00CA7635"/>
    <w:rsid w:val="00CB2EAE"/>
    <w:rsid w:val="00CE39ED"/>
    <w:rsid w:val="00CE610E"/>
    <w:rsid w:val="00CF04F2"/>
    <w:rsid w:val="00CF3FD1"/>
    <w:rsid w:val="00D00312"/>
    <w:rsid w:val="00D10479"/>
    <w:rsid w:val="00D13F21"/>
    <w:rsid w:val="00D15257"/>
    <w:rsid w:val="00D15E6A"/>
    <w:rsid w:val="00D26EAF"/>
    <w:rsid w:val="00D27FC6"/>
    <w:rsid w:val="00D31B05"/>
    <w:rsid w:val="00D408CB"/>
    <w:rsid w:val="00D44D19"/>
    <w:rsid w:val="00D51820"/>
    <w:rsid w:val="00D639B5"/>
    <w:rsid w:val="00D66713"/>
    <w:rsid w:val="00D87702"/>
    <w:rsid w:val="00DA7991"/>
    <w:rsid w:val="00DB43B9"/>
    <w:rsid w:val="00DC4320"/>
    <w:rsid w:val="00DD059B"/>
    <w:rsid w:val="00DD3DA4"/>
    <w:rsid w:val="00DD4F9B"/>
    <w:rsid w:val="00DE307E"/>
    <w:rsid w:val="00DF669A"/>
    <w:rsid w:val="00E04940"/>
    <w:rsid w:val="00E11F37"/>
    <w:rsid w:val="00E17D88"/>
    <w:rsid w:val="00E21F65"/>
    <w:rsid w:val="00E27963"/>
    <w:rsid w:val="00E41743"/>
    <w:rsid w:val="00E52881"/>
    <w:rsid w:val="00E57169"/>
    <w:rsid w:val="00E63D57"/>
    <w:rsid w:val="00E871F8"/>
    <w:rsid w:val="00EB2277"/>
    <w:rsid w:val="00EB43FB"/>
    <w:rsid w:val="00EB4514"/>
    <w:rsid w:val="00EE628E"/>
    <w:rsid w:val="00EE6690"/>
    <w:rsid w:val="00EF43E5"/>
    <w:rsid w:val="00F0226E"/>
    <w:rsid w:val="00F130BD"/>
    <w:rsid w:val="00F13E8E"/>
    <w:rsid w:val="00F207AE"/>
    <w:rsid w:val="00F37F3D"/>
    <w:rsid w:val="00F60108"/>
    <w:rsid w:val="00F91F37"/>
    <w:rsid w:val="00F947DD"/>
    <w:rsid w:val="00F9776A"/>
    <w:rsid w:val="00FB0DA3"/>
    <w:rsid w:val="00FE3A54"/>
    <w:rsid w:val="00FE737B"/>
    <w:rsid w:val="00FE7B6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C87466"/>
  <w15:chartTrackingRefBased/>
  <w15:docId w15:val="{2AB4ED0E-363E-45DD-ADAF-51CE937B3D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3">
    <w:name w:val="heading 3"/>
    <w:basedOn w:val="Normal"/>
    <w:next w:val="Normal"/>
    <w:link w:val="Ttulo3Car"/>
    <w:uiPriority w:val="9"/>
    <w:rsid w:val="009E7438"/>
    <w:pPr>
      <w:spacing w:before="200" w:after="0" w:line="360" w:lineRule="auto"/>
      <w:ind w:left="-15"/>
      <w:outlineLvl w:val="2"/>
    </w:pPr>
    <w:rPr>
      <w:rFonts w:ascii="Open Sans" w:eastAsia="Times New Roman" w:hAnsi="Open Sans" w:cs="Open Sans"/>
      <w:b/>
      <w:color w:val="8C7252"/>
      <w:sz w:val="24"/>
      <w:szCs w:val="24"/>
      <w:lang w:val="en"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F0226E"/>
    <w:rPr>
      <w:color w:val="0563C1" w:themeColor="hyperlink"/>
      <w:u w:val="single"/>
    </w:rPr>
  </w:style>
  <w:style w:type="character" w:customStyle="1" w:styleId="Mencinsinresolver1">
    <w:name w:val="Mención sin resolver1"/>
    <w:basedOn w:val="Fuentedeprrafopredeter"/>
    <w:uiPriority w:val="99"/>
    <w:semiHidden/>
    <w:unhideWhenUsed/>
    <w:rsid w:val="00F0226E"/>
    <w:rPr>
      <w:color w:val="605E5C"/>
      <w:shd w:val="clear" w:color="auto" w:fill="E1DFDD"/>
    </w:rPr>
  </w:style>
  <w:style w:type="paragraph" w:styleId="Descripcin">
    <w:name w:val="caption"/>
    <w:basedOn w:val="Normal"/>
    <w:next w:val="Normal"/>
    <w:uiPriority w:val="35"/>
    <w:unhideWhenUsed/>
    <w:qFormat/>
    <w:rsid w:val="00DC4320"/>
    <w:pPr>
      <w:spacing w:after="200" w:line="240" w:lineRule="auto"/>
    </w:pPr>
    <w:rPr>
      <w:i/>
      <w:iCs/>
      <w:color w:val="44546A" w:themeColor="text2"/>
      <w:sz w:val="18"/>
      <w:szCs w:val="18"/>
    </w:rPr>
  </w:style>
  <w:style w:type="paragraph" w:styleId="Bibliografa">
    <w:name w:val="Bibliography"/>
    <w:basedOn w:val="Normal"/>
    <w:next w:val="Normal"/>
    <w:uiPriority w:val="37"/>
    <w:unhideWhenUsed/>
    <w:rsid w:val="00B1203A"/>
    <w:pPr>
      <w:spacing w:after="0" w:line="480" w:lineRule="auto"/>
      <w:ind w:left="720" w:hanging="720"/>
    </w:pPr>
  </w:style>
  <w:style w:type="character" w:customStyle="1" w:styleId="Mencinsinresolver2">
    <w:name w:val="Mención sin resolver2"/>
    <w:basedOn w:val="Fuentedeprrafopredeter"/>
    <w:uiPriority w:val="99"/>
    <w:semiHidden/>
    <w:unhideWhenUsed/>
    <w:rsid w:val="004736FD"/>
    <w:rPr>
      <w:color w:val="605E5C"/>
      <w:shd w:val="clear" w:color="auto" w:fill="E1DFDD"/>
    </w:rPr>
  </w:style>
  <w:style w:type="character" w:styleId="Refdecomentario">
    <w:name w:val="annotation reference"/>
    <w:basedOn w:val="Fuentedeprrafopredeter"/>
    <w:uiPriority w:val="99"/>
    <w:semiHidden/>
    <w:unhideWhenUsed/>
    <w:rsid w:val="006A27D6"/>
    <w:rPr>
      <w:sz w:val="16"/>
      <w:szCs w:val="16"/>
    </w:rPr>
  </w:style>
  <w:style w:type="paragraph" w:styleId="Textocomentario">
    <w:name w:val="annotation text"/>
    <w:basedOn w:val="Normal"/>
    <w:link w:val="TextocomentarioCar"/>
    <w:uiPriority w:val="99"/>
    <w:unhideWhenUsed/>
    <w:rsid w:val="006A27D6"/>
    <w:pPr>
      <w:spacing w:line="240" w:lineRule="auto"/>
    </w:pPr>
    <w:rPr>
      <w:sz w:val="20"/>
      <w:szCs w:val="20"/>
    </w:rPr>
  </w:style>
  <w:style w:type="character" w:customStyle="1" w:styleId="TextocomentarioCar">
    <w:name w:val="Texto comentario Car"/>
    <w:basedOn w:val="Fuentedeprrafopredeter"/>
    <w:link w:val="Textocomentario"/>
    <w:uiPriority w:val="99"/>
    <w:rsid w:val="006A27D6"/>
    <w:rPr>
      <w:sz w:val="20"/>
      <w:szCs w:val="20"/>
    </w:rPr>
  </w:style>
  <w:style w:type="paragraph" w:styleId="Asuntodelcomentario">
    <w:name w:val="annotation subject"/>
    <w:basedOn w:val="Textocomentario"/>
    <w:next w:val="Textocomentario"/>
    <w:link w:val="AsuntodelcomentarioCar"/>
    <w:uiPriority w:val="99"/>
    <w:semiHidden/>
    <w:unhideWhenUsed/>
    <w:rsid w:val="006A27D6"/>
    <w:rPr>
      <w:b/>
      <w:bCs/>
    </w:rPr>
  </w:style>
  <w:style w:type="character" w:customStyle="1" w:styleId="AsuntodelcomentarioCar">
    <w:name w:val="Asunto del comentario Car"/>
    <w:basedOn w:val="TextocomentarioCar"/>
    <w:link w:val="Asuntodelcomentario"/>
    <w:uiPriority w:val="99"/>
    <w:semiHidden/>
    <w:rsid w:val="006A27D6"/>
    <w:rPr>
      <w:b/>
      <w:bCs/>
      <w:sz w:val="20"/>
      <w:szCs w:val="20"/>
    </w:rPr>
  </w:style>
  <w:style w:type="character" w:styleId="Mencinsinresolver">
    <w:name w:val="Unresolved Mention"/>
    <w:basedOn w:val="Fuentedeprrafopredeter"/>
    <w:uiPriority w:val="99"/>
    <w:semiHidden/>
    <w:unhideWhenUsed/>
    <w:rsid w:val="003E4C37"/>
    <w:rPr>
      <w:color w:val="605E5C"/>
      <w:shd w:val="clear" w:color="auto" w:fill="E1DFDD"/>
    </w:rPr>
  </w:style>
  <w:style w:type="character" w:styleId="Hipervnculovisitado">
    <w:name w:val="FollowedHyperlink"/>
    <w:basedOn w:val="Fuentedeprrafopredeter"/>
    <w:uiPriority w:val="99"/>
    <w:semiHidden/>
    <w:unhideWhenUsed/>
    <w:rsid w:val="00F130BD"/>
    <w:rPr>
      <w:color w:val="954F72" w:themeColor="followedHyperlink"/>
      <w:u w:val="single"/>
    </w:rPr>
  </w:style>
  <w:style w:type="table" w:styleId="Tabladelista6concolores">
    <w:name w:val="List Table 6 Colorful"/>
    <w:basedOn w:val="Tablanormal"/>
    <w:uiPriority w:val="51"/>
    <w:rsid w:val="009E2B2A"/>
    <w:pPr>
      <w:suppressAutoHyphens/>
      <w:spacing w:after="0" w:line="240" w:lineRule="auto"/>
    </w:pPr>
    <w:rPr>
      <w:color w:val="000000" w:themeColor="text1"/>
      <w:lang w:val="en-US"/>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Prrafodelista">
    <w:name w:val="List Paragraph"/>
    <w:basedOn w:val="Normal"/>
    <w:uiPriority w:val="34"/>
    <w:qFormat/>
    <w:rsid w:val="005C3561"/>
    <w:pPr>
      <w:ind w:left="720"/>
      <w:contextualSpacing/>
    </w:pPr>
  </w:style>
  <w:style w:type="table" w:styleId="Tablanormal2">
    <w:name w:val="Plain Table 2"/>
    <w:basedOn w:val="Tablanormal"/>
    <w:uiPriority w:val="99"/>
    <w:rsid w:val="005C3561"/>
    <w:pPr>
      <w:suppressAutoHyphens/>
      <w:spacing w:after="0" w:line="240" w:lineRule="auto"/>
    </w:pPr>
    <w:rPr>
      <w:lang w:val="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000000" w:themeColor="text1"/>
        </w:tcBorders>
      </w:tcPr>
    </w:tblStylePr>
    <w:tblStylePr w:type="lastRow">
      <w:rPr>
        <w:b/>
        <w:bCs/>
      </w:rPr>
      <w:tblPr/>
      <w:tcPr>
        <w:tcBorders>
          <w:top w:val="single" w:sz="4" w:space="0" w:color="000000" w:themeColor="text1"/>
        </w:tcBorders>
      </w:tcPr>
    </w:tblStylePr>
    <w:tblStylePr w:type="firstCol">
      <w:rPr>
        <w:b/>
        <w:bCs/>
      </w:rPr>
    </w:tblStylePr>
    <w:tblStylePr w:type="lastCol">
      <w:rPr>
        <w:b/>
        <w:bCs/>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character" w:styleId="Fuerte">
    <w:name w:val="Strong"/>
    <w:uiPriority w:val="22"/>
    <w:qFormat/>
    <w:rsid w:val="007667F3"/>
    <w:rPr>
      <w:b/>
      <w:bCs/>
    </w:rPr>
  </w:style>
  <w:style w:type="character" w:customStyle="1" w:styleId="NormalWebCar">
    <w:name w:val="Normal (Web) Car"/>
    <w:basedOn w:val="Fuentedeprrafopredeter"/>
    <w:link w:val="NormalWeb"/>
    <w:uiPriority w:val="99"/>
    <w:qFormat/>
    <w:rsid w:val="007667F3"/>
    <w:rPr>
      <w:rFonts w:ascii="Times New Roman" w:hAnsi="Times New Roman" w:cs="Times New Roman"/>
      <w:sz w:val="24"/>
      <w:szCs w:val="24"/>
    </w:rPr>
  </w:style>
  <w:style w:type="paragraph" w:styleId="NormalWeb">
    <w:name w:val="Normal (Web)"/>
    <w:basedOn w:val="Normal"/>
    <w:link w:val="NormalWebCar"/>
    <w:uiPriority w:val="99"/>
    <w:unhideWhenUsed/>
    <w:qFormat/>
    <w:rsid w:val="007667F3"/>
    <w:pPr>
      <w:suppressAutoHyphens/>
      <w:spacing w:after="0" w:line="240" w:lineRule="auto"/>
    </w:pPr>
    <w:rPr>
      <w:rFonts w:ascii="Times New Roman" w:hAnsi="Times New Roman" w:cs="Times New Roman"/>
      <w:sz w:val="24"/>
      <w:szCs w:val="24"/>
    </w:rPr>
  </w:style>
  <w:style w:type="paragraph" w:styleId="Encabezado">
    <w:name w:val="header"/>
    <w:basedOn w:val="Normal"/>
    <w:link w:val="EncabezadoCar"/>
    <w:uiPriority w:val="99"/>
    <w:unhideWhenUsed/>
    <w:rsid w:val="009E743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E7438"/>
  </w:style>
  <w:style w:type="paragraph" w:styleId="Piedepgina">
    <w:name w:val="footer"/>
    <w:basedOn w:val="Normal"/>
    <w:link w:val="PiedepginaCar"/>
    <w:uiPriority w:val="99"/>
    <w:unhideWhenUsed/>
    <w:rsid w:val="009E743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E7438"/>
  </w:style>
  <w:style w:type="character" w:customStyle="1" w:styleId="Ttulo3Car">
    <w:name w:val="Título 3 Car"/>
    <w:basedOn w:val="Fuentedeprrafopredeter"/>
    <w:link w:val="Ttulo3"/>
    <w:uiPriority w:val="9"/>
    <w:rsid w:val="009E7438"/>
    <w:rPr>
      <w:rFonts w:ascii="Open Sans" w:eastAsia="Times New Roman" w:hAnsi="Open Sans" w:cs="Open Sans"/>
      <w:b/>
      <w:color w:val="8C7252"/>
      <w:sz w:val="24"/>
      <w:szCs w:val="24"/>
      <w:lang w:val="en"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3351791">
      <w:bodyDiv w:val="1"/>
      <w:marLeft w:val="0"/>
      <w:marRight w:val="0"/>
      <w:marTop w:val="0"/>
      <w:marBottom w:val="0"/>
      <w:divBdr>
        <w:top w:val="none" w:sz="0" w:space="0" w:color="auto"/>
        <w:left w:val="none" w:sz="0" w:space="0" w:color="auto"/>
        <w:bottom w:val="none" w:sz="0" w:space="0" w:color="auto"/>
        <w:right w:val="none" w:sz="0" w:space="0" w:color="auto"/>
      </w:divBdr>
      <w:divsChild>
        <w:div w:id="1766072397">
          <w:marLeft w:val="480"/>
          <w:marRight w:val="0"/>
          <w:marTop w:val="0"/>
          <w:marBottom w:val="0"/>
          <w:divBdr>
            <w:top w:val="none" w:sz="0" w:space="0" w:color="auto"/>
            <w:left w:val="none" w:sz="0" w:space="0" w:color="auto"/>
            <w:bottom w:val="none" w:sz="0" w:space="0" w:color="auto"/>
            <w:right w:val="none" w:sz="0" w:space="0" w:color="auto"/>
          </w:divBdr>
          <w:divsChild>
            <w:div w:id="11672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ticalderon777@gmail.com" TargetMode="External"/><Relationship Id="rId13" Type="http://schemas.openxmlformats.org/officeDocument/2006/relationships/image" Target="media/image4.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sirilo_sc@uagro.mx" TargetMode="External"/><Relationship Id="rId14" Type="http://schemas.openxmlformats.org/officeDocument/2006/relationships/image" Target="media/image5.jpeg"/></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8D36ED-59A5-463C-9032-ECBFA43E83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210</TotalTime>
  <Pages>20</Pages>
  <Words>19281</Words>
  <Characters>106051</Characters>
  <Application>Microsoft Office Word</Application>
  <DocSecurity>0</DocSecurity>
  <Lines>883</Lines>
  <Paragraphs>250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125082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Sirilo Suastegui Cruz</dc:creator>
  <cp:keywords/>
  <dc:description/>
  <cp:lastModifiedBy>Alicia Santillán</cp:lastModifiedBy>
  <cp:revision>29</cp:revision>
  <dcterms:created xsi:type="dcterms:W3CDTF">2022-11-01T21:40:00Z</dcterms:created>
  <dcterms:modified xsi:type="dcterms:W3CDTF">2026-04-09T22:27:00Z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zotero-version="7.0.30"&gt;&lt;session id="O4rsMbpo"/&gt;&lt;style id="http://www.zotero.org/styles/apa" locale="es-ES" hasBibliography="1" bibliographyStyleHasBeenSet="1"/&gt;&lt;prefs&gt;&lt;pref name="fieldType" value="Field"/&gt;&lt;pref name="automaticJourn</vt:lpwstr>
  </property>
  <property fmtid="{D5CDD505-2E9C-101B-9397-08002B2CF9AE}" pid="3" name="ZOTERO_PREF_2">
    <vt:lpwstr>alAbbreviations" value="true"/&gt;&lt;/prefs&gt;&lt;/data&gt;</vt:lpwstr>
  </property>
</Properties>
</file>