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E6C5" w14:textId="153F4241" w:rsidR="00597DFC" w:rsidRPr="002753CF" w:rsidRDefault="002753CF" w:rsidP="005D6CE6">
      <w:pPr>
        <w:spacing w:before="120" w:line="360" w:lineRule="auto"/>
        <w:ind w:right="-61"/>
        <w:jc w:val="right"/>
        <w:rPr>
          <w:b/>
          <w:bCs/>
          <w:i/>
          <w:iCs/>
          <w:color w:val="000000" w:themeColor="text1"/>
          <w:lang w:val="es-MX"/>
        </w:rPr>
      </w:pPr>
      <w:r w:rsidRPr="002753CF">
        <w:rPr>
          <w:b/>
          <w:bCs/>
          <w:i/>
          <w:iCs/>
          <w:color w:val="000000" w:themeColor="text1"/>
          <w:lang w:val="es-MX"/>
        </w:rPr>
        <w:t>https://doi.org/10.23913/ride.v16i32.2897</w:t>
      </w:r>
    </w:p>
    <w:p w14:paraId="729374BE" w14:textId="10FF7885" w:rsidR="0087087F" w:rsidRPr="0087087F" w:rsidRDefault="0087087F" w:rsidP="005D6CE6">
      <w:pPr>
        <w:spacing w:before="120" w:line="360" w:lineRule="auto"/>
        <w:ind w:right="-61"/>
        <w:jc w:val="right"/>
        <w:rPr>
          <w:rFonts w:eastAsiaTheme="majorEastAsia" w:cs="Times New Roman"/>
          <w:b/>
          <w:bCs/>
          <w:color w:val="365F91" w:themeColor="accent1" w:themeShade="BF"/>
          <w:sz w:val="28"/>
          <w:szCs w:val="28"/>
          <w:lang w:val="es-MX"/>
        </w:rPr>
      </w:pPr>
      <w:r w:rsidRPr="00A034EA">
        <w:rPr>
          <w:b/>
          <w:bCs/>
          <w:i/>
          <w:iCs/>
          <w:color w:val="000000" w:themeColor="text1"/>
          <w:lang w:val="es-MX"/>
        </w:rPr>
        <w:t>Artículos científicos</w:t>
      </w:r>
    </w:p>
    <w:p w14:paraId="63E7A737" w14:textId="63B96A9D" w:rsidR="0075621D" w:rsidRPr="0087087F" w:rsidRDefault="0075621D" w:rsidP="0087087F">
      <w:pPr>
        <w:spacing w:before="120"/>
        <w:ind w:right="-61"/>
        <w:jc w:val="right"/>
        <w:rPr>
          <w:rFonts w:asciiTheme="majorHAnsi" w:eastAsiaTheme="majorEastAsia" w:hAnsiTheme="majorHAnsi" w:cstheme="majorHAnsi"/>
          <w:b/>
          <w:bCs/>
          <w:color w:val="000000" w:themeColor="text1"/>
          <w:sz w:val="32"/>
          <w:szCs w:val="32"/>
          <w:lang w:val="es-MX"/>
        </w:rPr>
      </w:pPr>
      <w:r w:rsidRPr="0087087F">
        <w:rPr>
          <w:rFonts w:asciiTheme="majorHAnsi" w:eastAsiaTheme="majorEastAsia" w:hAnsiTheme="majorHAnsi" w:cstheme="majorHAnsi"/>
          <w:b/>
          <w:bCs/>
          <w:color w:val="000000" w:themeColor="text1"/>
          <w:sz w:val="32"/>
          <w:szCs w:val="32"/>
          <w:lang w:val="es-MX"/>
        </w:rPr>
        <w:t xml:space="preserve">Análisis Cognitivo y Evaluación de Habilidades Académicas y Psicosociales después de la Intervención </w:t>
      </w:r>
      <w:proofErr w:type="spellStart"/>
      <w:r w:rsidRPr="0087087F">
        <w:rPr>
          <w:rFonts w:asciiTheme="majorHAnsi" w:eastAsiaTheme="majorEastAsia" w:hAnsiTheme="majorHAnsi" w:cstheme="majorHAnsi"/>
          <w:b/>
          <w:bCs/>
          <w:color w:val="000000" w:themeColor="text1"/>
          <w:sz w:val="32"/>
          <w:szCs w:val="32"/>
          <w:lang w:val="es-MX"/>
        </w:rPr>
        <w:t>P</w:t>
      </w:r>
      <w:r w:rsidR="0072565C" w:rsidRPr="0087087F">
        <w:rPr>
          <w:rFonts w:asciiTheme="majorHAnsi" w:eastAsiaTheme="majorEastAsia" w:hAnsiTheme="majorHAnsi" w:cstheme="majorHAnsi"/>
          <w:b/>
          <w:bCs/>
          <w:color w:val="000000" w:themeColor="text1"/>
          <w:sz w:val="32"/>
          <w:szCs w:val="32"/>
          <w:lang w:val="es-MX"/>
        </w:rPr>
        <w:t>eraj</w:t>
      </w:r>
      <w:proofErr w:type="spellEnd"/>
      <w:r w:rsidRPr="0087087F">
        <w:rPr>
          <w:rFonts w:asciiTheme="majorHAnsi" w:eastAsiaTheme="majorEastAsia" w:hAnsiTheme="majorHAnsi" w:cstheme="majorHAnsi"/>
          <w:b/>
          <w:bCs/>
          <w:color w:val="000000" w:themeColor="text1"/>
          <w:sz w:val="32"/>
          <w:szCs w:val="32"/>
          <w:lang w:val="es-MX"/>
        </w:rPr>
        <w:t>: CASO UPT</w:t>
      </w:r>
    </w:p>
    <w:p w14:paraId="349226A3" w14:textId="48078BC8" w:rsidR="00942FE5" w:rsidRPr="0087087F" w:rsidRDefault="0075621D" w:rsidP="0087087F">
      <w:pPr>
        <w:spacing w:before="125"/>
        <w:jc w:val="right"/>
        <w:rPr>
          <w:rFonts w:asciiTheme="majorHAnsi" w:hAnsiTheme="majorHAnsi" w:cstheme="majorHAnsi"/>
          <w:b/>
          <w:i/>
          <w:iCs/>
          <w:color w:val="000000" w:themeColor="text1"/>
          <w:sz w:val="28"/>
        </w:rPr>
      </w:pPr>
      <w:r w:rsidRPr="0087087F">
        <w:rPr>
          <w:rFonts w:asciiTheme="majorHAnsi" w:hAnsiTheme="majorHAnsi" w:cstheme="majorHAnsi"/>
          <w:b/>
          <w:i/>
          <w:iCs/>
          <w:color w:val="000000" w:themeColor="text1"/>
          <w:sz w:val="28"/>
        </w:rPr>
        <w:t xml:space="preserve">Cognitive Analysis and Evaluation of Academic and Psychosocial Skills After the </w:t>
      </w:r>
      <w:proofErr w:type="spellStart"/>
      <w:r w:rsidRPr="0087087F">
        <w:rPr>
          <w:rFonts w:asciiTheme="majorHAnsi" w:hAnsiTheme="majorHAnsi" w:cstheme="majorHAnsi"/>
          <w:b/>
          <w:i/>
          <w:iCs/>
          <w:color w:val="000000" w:themeColor="text1"/>
          <w:sz w:val="28"/>
        </w:rPr>
        <w:t>PERAj</w:t>
      </w:r>
      <w:proofErr w:type="spellEnd"/>
      <w:r w:rsidRPr="0087087F">
        <w:rPr>
          <w:rFonts w:asciiTheme="majorHAnsi" w:hAnsiTheme="majorHAnsi" w:cstheme="majorHAnsi"/>
          <w:b/>
          <w:i/>
          <w:iCs/>
          <w:color w:val="000000" w:themeColor="text1"/>
          <w:sz w:val="28"/>
        </w:rPr>
        <w:t xml:space="preserve"> Intervention: The UPT Case Study</w:t>
      </w:r>
    </w:p>
    <w:p w14:paraId="749D4389" w14:textId="16CDEE9E" w:rsidR="0087087F" w:rsidRPr="0087087F" w:rsidRDefault="0087087F" w:rsidP="0087087F">
      <w:pPr>
        <w:spacing w:before="125" w:after="0"/>
        <w:jc w:val="right"/>
        <w:rPr>
          <w:rFonts w:asciiTheme="majorHAnsi" w:hAnsiTheme="majorHAnsi" w:cstheme="majorHAnsi"/>
          <w:b/>
          <w:i/>
          <w:iCs/>
          <w:color w:val="000000" w:themeColor="text1"/>
          <w:sz w:val="28"/>
          <w:lang w:val="es-MX"/>
        </w:rPr>
      </w:pPr>
      <w:proofErr w:type="spellStart"/>
      <w:r w:rsidRPr="0087087F">
        <w:rPr>
          <w:rFonts w:asciiTheme="majorHAnsi" w:hAnsiTheme="majorHAnsi" w:cstheme="majorHAnsi"/>
          <w:b/>
          <w:i/>
          <w:iCs/>
          <w:color w:val="000000" w:themeColor="text1"/>
          <w:sz w:val="28"/>
          <w:lang w:val="es-MX"/>
        </w:rPr>
        <w:t>Análise</w:t>
      </w:r>
      <w:proofErr w:type="spellEnd"/>
      <w:r w:rsidRPr="0087087F">
        <w:rPr>
          <w:rFonts w:asciiTheme="majorHAnsi" w:hAnsiTheme="majorHAnsi" w:cstheme="majorHAnsi"/>
          <w:b/>
          <w:i/>
          <w:iCs/>
          <w:color w:val="000000" w:themeColor="text1"/>
          <w:sz w:val="28"/>
          <w:lang w:val="es-MX"/>
        </w:rPr>
        <w:t xml:space="preserve"> cognitiva e </w:t>
      </w:r>
      <w:proofErr w:type="spellStart"/>
      <w:r w:rsidRPr="0087087F">
        <w:rPr>
          <w:rFonts w:asciiTheme="majorHAnsi" w:hAnsiTheme="majorHAnsi" w:cstheme="majorHAnsi"/>
          <w:b/>
          <w:i/>
          <w:iCs/>
          <w:color w:val="000000" w:themeColor="text1"/>
          <w:sz w:val="28"/>
          <w:lang w:val="es-MX"/>
        </w:rPr>
        <w:t>avaliação</w:t>
      </w:r>
      <w:proofErr w:type="spellEnd"/>
      <w:r w:rsidRPr="0087087F">
        <w:rPr>
          <w:rFonts w:asciiTheme="majorHAnsi" w:hAnsiTheme="majorHAnsi" w:cstheme="majorHAnsi"/>
          <w:b/>
          <w:i/>
          <w:iCs/>
          <w:color w:val="000000" w:themeColor="text1"/>
          <w:sz w:val="28"/>
          <w:lang w:val="es-MX"/>
        </w:rPr>
        <w:t xml:space="preserve"> das habilidades </w:t>
      </w:r>
      <w:proofErr w:type="spellStart"/>
      <w:r w:rsidRPr="0087087F">
        <w:rPr>
          <w:rFonts w:asciiTheme="majorHAnsi" w:hAnsiTheme="majorHAnsi" w:cstheme="majorHAnsi"/>
          <w:b/>
          <w:i/>
          <w:iCs/>
          <w:color w:val="000000" w:themeColor="text1"/>
          <w:sz w:val="28"/>
          <w:lang w:val="es-MX"/>
        </w:rPr>
        <w:t>acadêmicas</w:t>
      </w:r>
      <w:proofErr w:type="spellEnd"/>
      <w:r w:rsidRPr="0087087F">
        <w:rPr>
          <w:rFonts w:asciiTheme="majorHAnsi" w:hAnsiTheme="majorHAnsi" w:cstheme="majorHAnsi"/>
          <w:b/>
          <w:i/>
          <w:iCs/>
          <w:color w:val="000000" w:themeColor="text1"/>
          <w:sz w:val="28"/>
          <w:lang w:val="es-MX"/>
        </w:rPr>
        <w:t xml:space="preserve"> e </w:t>
      </w:r>
      <w:proofErr w:type="spellStart"/>
      <w:r w:rsidRPr="0087087F">
        <w:rPr>
          <w:rFonts w:asciiTheme="majorHAnsi" w:hAnsiTheme="majorHAnsi" w:cstheme="majorHAnsi"/>
          <w:b/>
          <w:i/>
          <w:iCs/>
          <w:color w:val="000000" w:themeColor="text1"/>
          <w:sz w:val="28"/>
          <w:lang w:val="es-MX"/>
        </w:rPr>
        <w:t>psicossociais</w:t>
      </w:r>
      <w:proofErr w:type="spellEnd"/>
      <w:r w:rsidRPr="0087087F">
        <w:rPr>
          <w:rFonts w:asciiTheme="majorHAnsi" w:hAnsiTheme="majorHAnsi" w:cstheme="majorHAnsi"/>
          <w:b/>
          <w:i/>
          <w:iCs/>
          <w:color w:val="000000" w:themeColor="text1"/>
          <w:sz w:val="28"/>
          <w:lang w:val="es-MX"/>
        </w:rPr>
        <w:t xml:space="preserve"> </w:t>
      </w:r>
      <w:proofErr w:type="spellStart"/>
      <w:r w:rsidRPr="0087087F">
        <w:rPr>
          <w:rFonts w:asciiTheme="majorHAnsi" w:hAnsiTheme="majorHAnsi" w:cstheme="majorHAnsi"/>
          <w:b/>
          <w:i/>
          <w:iCs/>
          <w:color w:val="000000" w:themeColor="text1"/>
          <w:sz w:val="28"/>
          <w:lang w:val="es-MX"/>
        </w:rPr>
        <w:t>após</w:t>
      </w:r>
      <w:proofErr w:type="spellEnd"/>
      <w:r w:rsidRPr="0087087F">
        <w:rPr>
          <w:rFonts w:asciiTheme="majorHAnsi" w:hAnsiTheme="majorHAnsi" w:cstheme="majorHAnsi"/>
          <w:b/>
          <w:i/>
          <w:iCs/>
          <w:color w:val="000000" w:themeColor="text1"/>
          <w:sz w:val="28"/>
          <w:lang w:val="es-MX"/>
        </w:rPr>
        <w:t xml:space="preserve"> a </w:t>
      </w:r>
      <w:proofErr w:type="spellStart"/>
      <w:r w:rsidRPr="0087087F">
        <w:rPr>
          <w:rFonts w:asciiTheme="majorHAnsi" w:hAnsiTheme="majorHAnsi" w:cstheme="majorHAnsi"/>
          <w:b/>
          <w:i/>
          <w:iCs/>
          <w:color w:val="000000" w:themeColor="text1"/>
          <w:sz w:val="28"/>
          <w:lang w:val="es-MX"/>
        </w:rPr>
        <w:t>intervenção</w:t>
      </w:r>
      <w:proofErr w:type="spellEnd"/>
      <w:r w:rsidRPr="0087087F">
        <w:rPr>
          <w:rFonts w:asciiTheme="majorHAnsi" w:hAnsiTheme="majorHAnsi" w:cstheme="majorHAnsi"/>
          <w:b/>
          <w:i/>
          <w:iCs/>
          <w:color w:val="000000" w:themeColor="text1"/>
          <w:sz w:val="28"/>
          <w:lang w:val="es-MX"/>
        </w:rPr>
        <w:t xml:space="preserve"> </w:t>
      </w:r>
      <w:proofErr w:type="spellStart"/>
      <w:r w:rsidRPr="0087087F">
        <w:rPr>
          <w:rFonts w:asciiTheme="majorHAnsi" w:hAnsiTheme="majorHAnsi" w:cstheme="majorHAnsi"/>
          <w:b/>
          <w:i/>
          <w:iCs/>
          <w:color w:val="000000" w:themeColor="text1"/>
          <w:sz w:val="28"/>
          <w:lang w:val="es-MX"/>
        </w:rPr>
        <w:t>Peraj</w:t>
      </w:r>
      <w:proofErr w:type="spellEnd"/>
      <w:r w:rsidRPr="0087087F">
        <w:rPr>
          <w:rFonts w:asciiTheme="majorHAnsi" w:hAnsiTheme="majorHAnsi" w:cstheme="majorHAnsi"/>
          <w:b/>
          <w:i/>
          <w:iCs/>
          <w:color w:val="000000" w:themeColor="text1"/>
          <w:sz w:val="28"/>
          <w:lang w:val="es-MX"/>
        </w:rPr>
        <w:t xml:space="preserve">: </w:t>
      </w:r>
      <w:proofErr w:type="spellStart"/>
      <w:r w:rsidRPr="0087087F">
        <w:rPr>
          <w:rFonts w:asciiTheme="majorHAnsi" w:hAnsiTheme="majorHAnsi" w:cstheme="majorHAnsi"/>
          <w:b/>
          <w:i/>
          <w:iCs/>
          <w:color w:val="000000" w:themeColor="text1"/>
          <w:sz w:val="28"/>
          <w:lang w:val="es-MX"/>
        </w:rPr>
        <w:t>estudo</w:t>
      </w:r>
      <w:proofErr w:type="spellEnd"/>
      <w:r w:rsidRPr="0087087F">
        <w:rPr>
          <w:rFonts w:asciiTheme="majorHAnsi" w:hAnsiTheme="majorHAnsi" w:cstheme="majorHAnsi"/>
          <w:b/>
          <w:i/>
          <w:iCs/>
          <w:color w:val="000000" w:themeColor="text1"/>
          <w:sz w:val="28"/>
          <w:lang w:val="es-MX"/>
        </w:rPr>
        <w:t xml:space="preserve"> de caso da UPT</w:t>
      </w:r>
    </w:p>
    <w:p w14:paraId="7FBEA073" w14:textId="77777777" w:rsidR="0087087F" w:rsidRPr="0087087F" w:rsidRDefault="0087087F" w:rsidP="0087087F">
      <w:pPr>
        <w:spacing w:after="0"/>
        <w:ind w:right="49"/>
        <w:jc w:val="right"/>
        <w:rPr>
          <w:rFonts w:cs="Times New Roman"/>
          <w:lang w:val="es-MX"/>
        </w:rPr>
      </w:pPr>
    </w:p>
    <w:p w14:paraId="05CC58F4" w14:textId="372ACB1B" w:rsidR="00000007" w:rsidRPr="0087087F" w:rsidRDefault="00396A9A" w:rsidP="0087087F">
      <w:pPr>
        <w:spacing w:after="0"/>
        <w:ind w:right="49"/>
        <w:jc w:val="right"/>
        <w:rPr>
          <w:rFonts w:asciiTheme="majorHAnsi" w:hAnsiTheme="majorHAnsi" w:cstheme="majorHAnsi"/>
          <w:b/>
          <w:bCs/>
          <w:lang w:val="es-MX"/>
        </w:rPr>
      </w:pPr>
      <w:r w:rsidRPr="0087087F">
        <w:rPr>
          <w:rFonts w:asciiTheme="majorHAnsi" w:hAnsiTheme="majorHAnsi" w:cstheme="majorHAnsi"/>
          <w:b/>
          <w:bCs/>
          <w:lang w:val="es-MX"/>
        </w:rPr>
        <w:t>Mariza</w:t>
      </w:r>
      <w:r w:rsidRPr="0087087F">
        <w:rPr>
          <w:rFonts w:asciiTheme="majorHAnsi" w:hAnsiTheme="majorHAnsi" w:cstheme="majorHAnsi"/>
          <w:b/>
          <w:bCs/>
          <w:spacing w:val="-3"/>
          <w:lang w:val="es-MX"/>
        </w:rPr>
        <w:t xml:space="preserve"> </w:t>
      </w:r>
      <w:proofErr w:type="spellStart"/>
      <w:r w:rsidRPr="0087087F">
        <w:rPr>
          <w:rFonts w:asciiTheme="majorHAnsi" w:hAnsiTheme="majorHAnsi" w:cstheme="majorHAnsi"/>
          <w:b/>
          <w:bCs/>
          <w:lang w:val="es-MX"/>
        </w:rPr>
        <w:t>Raluy</w:t>
      </w:r>
      <w:proofErr w:type="spellEnd"/>
      <w:r w:rsidRPr="0087087F">
        <w:rPr>
          <w:rFonts w:asciiTheme="majorHAnsi" w:hAnsiTheme="majorHAnsi" w:cstheme="majorHAnsi"/>
          <w:b/>
          <w:bCs/>
          <w:spacing w:val="-2"/>
          <w:lang w:val="es-MX"/>
        </w:rPr>
        <w:t xml:space="preserve"> Herrero</w:t>
      </w:r>
    </w:p>
    <w:p w14:paraId="0B7D3A06" w14:textId="77777777" w:rsidR="00000007" w:rsidRPr="0087087F" w:rsidRDefault="00396A9A" w:rsidP="0087087F">
      <w:pPr>
        <w:spacing w:before="41" w:after="0"/>
        <w:ind w:right="49"/>
        <w:jc w:val="right"/>
        <w:rPr>
          <w:rFonts w:cs="Times New Roman"/>
          <w:lang w:val="es-MX"/>
        </w:rPr>
      </w:pPr>
      <w:r w:rsidRPr="0087087F">
        <w:rPr>
          <w:rFonts w:cs="Times New Roman"/>
          <w:lang w:val="es-MX"/>
        </w:rPr>
        <w:t>Universidad</w:t>
      </w:r>
      <w:r w:rsidRPr="0087087F">
        <w:rPr>
          <w:rFonts w:cs="Times New Roman"/>
          <w:spacing w:val="-4"/>
          <w:lang w:val="es-MX"/>
        </w:rPr>
        <w:t xml:space="preserve"> </w:t>
      </w:r>
      <w:r w:rsidRPr="0087087F">
        <w:rPr>
          <w:rFonts w:cs="Times New Roman"/>
          <w:lang w:val="es-MX"/>
        </w:rPr>
        <w:t>Politécnica</w:t>
      </w:r>
      <w:r w:rsidRPr="0087087F">
        <w:rPr>
          <w:rFonts w:cs="Times New Roman"/>
          <w:spacing w:val="-2"/>
          <w:lang w:val="es-MX"/>
        </w:rPr>
        <w:t xml:space="preserve"> </w:t>
      </w:r>
      <w:r w:rsidRPr="0087087F">
        <w:rPr>
          <w:rFonts w:cs="Times New Roman"/>
          <w:lang w:val="es-MX"/>
        </w:rPr>
        <w:t>de</w:t>
      </w:r>
      <w:r w:rsidRPr="0087087F">
        <w:rPr>
          <w:rFonts w:cs="Times New Roman"/>
          <w:spacing w:val="-2"/>
          <w:lang w:val="es-MX"/>
        </w:rPr>
        <w:t xml:space="preserve"> </w:t>
      </w:r>
      <w:r w:rsidRPr="0087087F">
        <w:rPr>
          <w:rFonts w:cs="Times New Roman"/>
          <w:lang w:val="es-MX"/>
        </w:rPr>
        <w:t>Tulancingo,</w:t>
      </w:r>
      <w:r w:rsidRPr="0087087F">
        <w:rPr>
          <w:rFonts w:cs="Times New Roman"/>
          <w:spacing w:val="-1"/>
          <w:lang w:val="es-MX"/>
        </w:rPr>
        <w:t xml:space="preserve"> </w:t>
      </w:r>
      <w:r w:rsidRPr="0087087F">
        <w:rPr>
          <w:rFonts w:cs="Times New Roman"/>
          <w:spacing w:val="-2"/>
          <w:lang w:val="es-MX"/>
        </w:rPr>
        <w:t>México</w:t>
      </w:r>
    </w:p>
    <w:p w14:paraId="5E27A031" w14:textId="77777777" w:rsidR="00000007" w:rsidRPr="0087087F" w:rsidRDefault="002753CF" w:rsidP="0087087F">
      <w:pPr>
        <w:spacing w:before="38" w:after="0"/>
        <w:ind w:right="49"/>
        <w:jc w:val="right"/>
        <w:rPr>
          <w:rFonts w:asciiTheme="majorHAnsi" w:hAnsiTheme="majorHAnsi" w:cstheme="majorHAnsi"/>
          <w:lang w:val="es-MX"/>
        </w:rPr>
      </w:pPr>
      <w:hyperlink>
        <w:r w:rsidR="00396A9A" w:rsidRPr="0087087F">
          <w:rPr>
            <w:rFonts w:asciiTheme="majorHAnsi" w:hAnsiTheme="majorHAnsi" w:cstheme="majorHAnsi"/>
            <w:color w:val="FF0000"/>
            <w:spacing w:val="-2"/>
            <w:lang w:val="es-MX"/>
          </w:rPr>
          <w:t>mariza.raluy@upt.edu.mx</w:t>
        </w:r>
      </w:hyperlink>
    </w:p>
    <w:p w14:paraId="3139517E" w14:textId="77777777" w:rsidR="00000007" w:rsidRPr="0087087F" w:rsidRDefault="00396A9A" w:rsidP="0087087F">
      <w:pPr>
        <w:spacing w:before="41" w:after="0"/>
        <w:ind w:right="49"/>
        <w:jc w:val="right"/>
        <w:rPr>
          <w:rFonts w:cs="Times New Roman"/>
          <w:lang w:val="es-MX"/>
        </w:rPr>
      </w:pPr>
      <w:r w:rsidRPr="0087087F">
        <w:rPr>
          <w:rFonts w:cs="Times New Roman"/>
          <w:spacing w:val="-2"/>
          <w:lang w:val="es-MX"/>
        </w:rPr>
        <w:t>https://orcid.org/</w:t>
      </w:r>
      <w:hyperlink>
        <w:r w:rsidRPr="0087087F">
          <w:rPr>
            <w:rFonts w:cs="Times New Roman"/>
            <w:spacing w:val="-2"/>
            <w:lang w:val="es-MX"/>
          </w:rPr>
          <w:t>0000-0001-8516-</w:t>
        </w:r>
        <w:r w:rsidRPr="0087087F">
          <w:rPr>
            <w:rFonts w:cs="Times New Roman"/>
            <w:spacing w:val="-4"/>
            <w:lang w:val="es-MX"/>
          </w:rPr>
          <w:t>1337</w:t>
        </w:r>
      </w:hyperlink>
    </w:p>
    <w:p w14:paraId="7EF81281" w14:textId="77777777" w:rsidR="00000007" w:rsidRPr="0087087F" w:rsidRDefault="002753CF" w:rsidP="008C253E">
      <w:pPr>
        <w:spacing w:after="0"/>
        <w:ind w:right="49"/>
        <w:jc w:val="right"/>
        <w:rPr>
          <w:rFonts w:cs="Times New Roman"/>
          <w:lang w:val="es-MX"/>
        </w:rPr>
      </w:pPr>
    </w:p>
    <w:p w14:paraId="0DEAE6DD" w14:textId="77777777" w:rsidR="000D0D67" w:rsidRPr="0087087F" w:rsidRDefault="00396A9A" w:rsidP="0087087F">
      <w:pPr>
        <w:spacing w:after="0"/>
        <w:ind w:right="49"/>
        <w:jc w:val="right"/>
        <w:rPr>
          <w:rFonts w:asciiTheme="majorHAnsi" w:hAnsiTheme="majorHAnsi" w:cstheme="majorHAnsi"/>
          <w:b/>
          <w:bCs/>
          <w:lang w:val="es-MX"/>
        </w:rPr>
      </w:pPr>
      <w:r w:rsidRPr="0087087F">
        <w:rPr>
          <w:rFonts w:asciiTheme="majorHAnsi" w:hAnsiTheme="majorHAnsi" w:cstheme="majorHAnsi"/>
          <w:b/>
          <w:bCs/>
          <w:lang w:val="es-MX"/>
        </w:rPr>
        <w:t>Francisca Angélica Elizalde Canales</w:t>
      </w:r>
    </w:p>
    <w:p w14:paraId="07A7537A" w14:textId="77777777" w:rsidR="000D0D67" w:rsidRPr="0087087F" w:rsidRDefault="00396A9A" w:rsidP="0087087F">
      <w:pPr>
        <w:spacing w:before="38" w:after="0"/>
        <w:ind w:right="49"/>
        <w:jc w:val="right"/>
        <w:rPr>
          <w:rFonts w:cs="Times New Roman"/>
          <w:color w:val="FF0000"/>
          <w:spacing w:val="-2"/>
          <w:lang w:val="es-MX"/>
        </w:rPr>
      </w:pPr>
      <w:r w:rsidRPr="0087087F">
        <w:rPr>
          <w:rFonts w:cs="Times New Roman"/>
          <w:lang w:val="es-MX"/>
        </w:rPr>
        <w:t>Universidad</w:t>
      </w:r>
      <w:r w:rsidRPr="0087087F">
        <w:rPr>
          <w:rFonts w:cs="Times New Roman"/>
          <w:spacing w:val="-4"/>
          <w:lang w:val="es-MX"/>
        </w:rPr>
        <w:t xml:space="preserve"> </w:t>
      </w:r>
      <w:r w:rsidRPr="0087087F">
        <w:rPr>
          <w:rFonts w:cs="Times New Roman"/>
          <w:lang w:val="es-MX"/>
        </w:rPr>
        <w:t>Politécnica</w:t>
      </w:r>
      <w:r w:rsidRPr="0087087F">
        <w:rPr>
          <w:rFonts w:cs="Times New Roman"/>
          <w:spacing w:val="-2"/>
          <w:lang w:val="es-MX"/>
        </w:rPr>
        <w:t xml:space="preserve"> </w:t>
      </w:r>
      <w:r w:rsidRPr="0087087F">
        <w:rPr>
          <w:rFonts w:cs="Times New Roman"/>
          <w:lang w:val="es-MX"/>
        </w:rPr>
        <w:t>de</w:t>
      </w:r>
      <w:r w:rsidRPr="0087087F">
        <w:rPr>
          <w:rFonts w:cs="Times New Roman"/>
          <w:spacing w:val="-2"/>
          <w:lang w:val="es-MX"/>
        </w:rPr>
        <w:t xml:space="preserve"> </w:t>
      </w:r>
      <w:r w:rsidRPr="0087087F">
        <w:rPr>
          <w:rFonts w:cs="Times New Roman"/>
          <w:lang w:val="es-MX"/>
        </w:rPr>
        <w:t>Tulancingo,</w:t>
      </w:r>
      <w:r w:rsidRPr="0087087F">
        <w:rPr>
          <w:rFonts w:cs="Times New Roman"/>
          <w:spacing w:val="-1"/>
          <w:lang w:val="es-MX"/>
        </w:rPr>
        <w:t xml:space="preserve"> </w:t>
      </w:r>
      <w:r w:rsidRPr="0087087F">
        <w:rPr>
          <w:rFonts w:cs="Times New Roman"/>
          <w:spacing w:val="-2"/>
          <w:lang w:val="es-MX"/>
        </w:rPr>
        <w:t>México</w:t>
      </w:r>
    </w:p>
    <w:p w14:paraId="393A22B9" w14:textId="77777777" w:rsidR="000D0D67" w:rsidRPr="0087087F" w:rsidRDefault="00396A9A" w:rsidP="0087087F">
      <w:pPr>
        <w:spacing w:before="38" w:after="0"/>
        <w:ind w:right="49"/>
        <w:jc w:val="right"/>
        <w:rPr>
          <w:rFonts w:asciiTheme="majorHAnsi" w:hAnsiTheme="majorHAnsi" w:cstheme="majorHAnsi"/>
          <w:color w:val="FF0000"/>
          <w:spacing w:val="-2"/>
          <w:lang w:val="es-MX"/>
        </w:rPr>
      </w:pPr>
      <w:r w:rsidRPr="0087087F">
        <w:rPr>
          <w:rFonts w:asciiTheme="majorHAnsi" w:hAnsiTheme="majorHAnsi" w:cstheme="majorHAnsi"/>
          <w:color w:val="FF0000"/>
          <w:spacing w:val="-2"/>
          <w:lang w:val="es-MX"/>
        </w:rPr>
        <w:t>francisca.elizalde</w:t>
      </w:r>
      <w:hyperlink r:id="rId8" w:history="1">
        <w:r w:rsidRPr="0087087F">
          <w:rPr>
            <w:rFonts w:asciiTheme="majorHAnsi" w:hAnsiTheme="majorHAnsi" w:cstheme="majorHAnsi"/>
            <w:color w:val="FF0000"/>
            <w:spacing w:val="-2"/>
            <w:lang w:val="es-MX"/>
          </w:rPr>
          <w:t>@upt.edu.mx</w:t>
        </w:r>
      </w:hyperlink>
    </w:p>
    <w:p w14:paraId="0652DDEA" w14:textId="75E55CE5" w:rsidR="000D0D67" w:rsidRPr="0087087F" w:rsidRDefault="00396A9A" w:rsidP="0087087F">
      <w:pPr>
        <w:spacing w:before="41" w:after="0"/>
        <w:ind w:right="49"/>
        <w:jc w:val="right"/>
        <w:rPr>
          <w:rFonts w:cs="Times New Roman"/>
          <w:spacing w:val="-2"/>
          <w:lang w:val="es-MX"/>
        </w:rPr>
      </w:pPr>
      <w:r w:rsidRPr="0087087F">
        <w:rPr>
          <w:rFonts w:cs="Times New Roman"/>
          <w:spacing w:val="-2"/>
          <w:lang w:val="es-MX"/>
        </w:rPr>
        <w:t>https://orcid.org/</w:t>
      </w:r>
      <w:r w:rsidRPr="0087087F">
        <w:rPr>
          <w:rFonts w:cs="Times New Roman"/>
          <w:lang w:val="es-MX"/>
        </w:rPr>
        <w:t xml:space="preserve"> </w:t>
      </w:r>
      <w:hyperlink w:history="1">
        <w:r w:rsidRPr="0087087F">
          <w:rPr>
            <w:rFonts w:cs="Times New Roman"/>
            <w:spacing w:val="-2"/>
            <w:lang w:val="es-MX"/>
          </w:rPr>
          <w:t>0000-0003-4318-2126</w:t>
        </w:r>
      </w:hyperlink>
    </w:p>
    <w:p w14:paraId="7B29B633" w14:textId="77777777" w:rsidR="005D6CE6" w:rsidRPr="0087087F" w:rsidRDefault="005D6CE6" w:rsidP="0087087F">
      <w:pPr>
        <w:spacing w:before="41" w:after="0"/>
        <w:ind w:right="49"/>
        <w:jc w:val="right"/>
        <w:rPr>
          <w:rFonts w:cs="Times New Roman"/>
          <w:spacing w:val="-2"/>
          <w:lang w:val="es-MX"/>
        </w:rPr>
      </w:pPr>
    </w:p>
    <w:p w14:paraId="459FD5E8" w14:textId="77777777" w:rsidR="005D6CE6" w:rsidRPr="0087087F" w:rsidRDefault="005D6CE6" w:rsidP="0087087F">
      <w:pPr>
        <w:spacing w:after="0"/>
        <w:ind w:right="49"/>
        <w:jc w:val="right"/>
        <w:rPr>
          <w:rFonts w:asciiTheme="majorHAnsi" w:hAnsiTheme="majorHAnsi" w:cstheme="majorHAnsi"/>
          <w:b/>
          <w:bCs/>
          <w:lang w:val="es-MX"/>
        </w:rPr>
      </w:pPr>
      <w:r w:rsidRPr="0087087F">
        <w:rPr>
          <w:rFonts w:asciiTheme="majorHAnsi" w:hAnsiTheme="majorHAnsi" w:cstheme="majorHAnsi"/>
          <w:b/>
          <w:bCs/>
          <w:lang w:val="es-MX"/>
        </w:rPr>
        <w:t>María del Rosario López Torres</w:t>
      </w:r>
    </w:p>
    <w:p w14:paraId="1FDDF588" w14:textId="77777777" w:rsidR="005D6CE6" w:rsidRPr="0087087F" w:rsidRDefault="005D6CE6" w:rsidP="0087087F">
      <w:pPr>
        <w:spacing w:before="38" w:after="0"/>
        <w:ind w:right="49"/>
        <w:jc w:val="right"/>
        <w:rPr>
          <w:rFonts w:cs="Times New Roman"/>
          <w:color w:val="FF0000"/>
          <w:spacing w:val="-2"/>
          <w:lang w:val="es-MX"/>
        </w:rPr>
      </w:pPr>
      <w:r w:rsidRPr="0087087F">
        <w:rPr>
          <w:rFonts w:cs="Times New Roman"/>
          <w:lang w:val="es-MX"/>
        </w:rPr>
        <w:t>Universidad</w:t>
      </w:r>
      <w:r w:rsidRPr="0087087F">
        <w:rPr>
          <w:rFonts w:cs="Times New Roman"/>
          <w:spacing w:val="-4"/>
          <w:lang w:val="es-MX"/>
        </w:rPr>
        <w:t xml:space="preserve"> </w:t>
      </w:r>
      <w:r w:rsidRPr="0087087F">
        <w:rPr>
          <w:rFonts w:cs="Times New Roman"/>
          <w:lang w:val="es-MX"/>
        </w:rPr>
        <w:t>Politécnica</w:t>
      </w:r>
      <w:r w:rsidRPr="0087087F">
        <w:rPr>
          <w:rFonts w:cs="Times New Roman"/>
          <w:spacing w:val="-2"/>
          <w:lang w:val="es-MX"/>
        </w:rPr>
        <w:t xml:space="preserve"> </w:t>
      </w:r>
      <w:r w:rsidRPr="0087087F">
        <w:rPr>
          <w:rFonts w:cs="Times New Roman"/>
          <w:lang w:val="es-MX"/>
        </w:rPr>
        <w:t>de</w:t>
      </w:r>
      <w:r w:rsidRPr="0087087F">
        <w:rPr>
          <w:rFonts w:cs="Times New Roman"/>
          <w:spacing w:val="-2"/>
          <w:lang w:val="es-MX"/>
        </w:rPr>
        <w:t xml:space="preserve"> </w:t>
      </w:r>
      <w:r w:rsidRPr="0087087F">
        <w:rPr>
          <w:rFonts w:cs="Times New Roman"/>
          <w:lang w:val="es-MX"/>
        </w:rPr>
        <w:t>Tulancingo,</w:t>
      </w:r>
      <w:r w:rsidRPr="0087087F">
        <w:rPr>
          <w:rFonts w:cs="Times New Roman"/>
          <w:spacing w:val="-1"/>
          <w:lang w:val="es-MX"/>
        </w:rPr>
        <w:t xml:space="preserve"> </w:t>
      </w:r>
      <w:r w:rsidRPr="0087087F">
        <w:rPr>
          <w:rFonts w:cs="Times New Roman"/>
          <w:spacing w:val="-2"/>
          <w:lang w:val="es-MX"/>
        </w:rPr>
        <w:t>México</w:t>
      </w:r>
    </w:p>
    <w:p w14:paraId="21212A7D" w14:textId="77777777" w:rsidR="005D6CE6" w:rsidRPr="0087087F" w:rsidRDefault="005D6CE6" w:rsidP="0087087F">
      <w:pPr>
        <w:spacing w:before="38" w:after="0"/>
        <w:ind w:right="49"/>
        <w:jc w:val="right"/>
        <w:rPr>
          <w:rFonts w:asciiTheme="majorHAnsi" w:hAnsiTheme="majorHAnsi" w:cstheme="majorHAnsi"/>
          <w:color w:val="FF0000"/>
          <w:spacing w:val="-2"/>
          <w:lang w:val="es-MX"/>
        </w:rPr>
      </w:pPr>
      <w:r w:rsidRPr="0087087F">
        <w:rPr>
          <w:rFonts w:asciiTheme="majorHAnsi" w:hAnsiTheme="majorHAnsi" w:cstheme="majorHAnsi"/>
          <w:color w:val="FF0000"/>
          <w:spacing w:val="-2"/>
          <w:lang w:val="es-MX"/>
        </w:rPr>
        <w:t>maría.lopez</w:t>
      </w:r>
      <w:hyperlink r:id="rId9" w:history="1">
        <w:r w:rsidRPr="0087087F">
          <w:rPr>
            <w:rFonts w:asciiTheme="majorHAnsi" w:hAnsiTheme="majorHAnsi" w:cstheme="majorHAnsi"/>
            <w:color w:val="FF0000"/>
            <w:spacing w:val="-2"/>
            <w:lang w:val="es-MX"/>
          </w:rPr>
          <w:t>@upt.edu.mx</w:t>
        </w:r>
      </w:hyperlink>
    </w:p>
    <w:p w14:paraId="1067CD36" w14:textId="77777777" w:rsidR="005D6CE6" w:rsidRPr="0087087F" w:rsidRDefault="005D6CE6" w:rsidP="0087087F">
      <w:pPr>
        <w:spacing w:before="41" w:after="0"/>
        <w:ind w:right="49"/>
        <w:jc w:val="right"/>
        <w:rPr>
          <w:rFonts w:cs="Times New Roman"/>
          <w:spacing w:val="-2"/>
          <w:lang w:val="es-MX"/>
        </w:rPr>
      </w:pPr>
      <w:r w:rsidRPr="0087087F">
        <w:rPr>
          <w:rFonts w:cs="Times New Roman"/>
          <w:spacing w:val="-2"/>
          <w:lang w:val="es-MX"/>
        </w:rPr>
        <w:t xml:space="preserve">https://orcid.org/ </w:t>
      </w:r>
      <w:hyperlink r:id="rId10" w:history="1">
        <w:r w:rsidRPr="0087087F">
          <w:rPr>
            <w:rFonts w:cs="Times New Roman"/>
            <w:spacing w:val="-2"/>
            <w:lang w:val="es-MX"/>
          </w:rPr>
          <w:t>0000-0003-2337-4913</w:t>
        </w:r>
      </w:hyperlink>
    </w:p>
    <w:p w14:paraId="79385540" w14:textId="77777777" w:rsidR="005D6CE6" w:rsidRPr="0087087F" w:rsidRDefault="005D6CE6" w:rsidP="0087087F">
      <w:pPr>
        <w:spacing w:before="41" w:after="0"/>
        <w:ind w:right="49"/>
        <w:jc w:val="right"/>
        <w:rPr>
          <w:rFonts w:cs="Times New Roman"/>
          <w:spacing w:val="-2"/>
          <w:lang w:val="es-MX"/>
        </w:rPr>
      </w:pPr>
    </w:p>
    <w:p w14:paraId="345193FB" w14:textId="2921FBE5" w:rsidR="00FD1ED2" w:rsidRPr="0087087F" w:rsidRDefault="00FD1ED2" w:rsidP="0087087F">
      <w:pPr>
        <w:spacing w:after="0"/>
        <w:ind w:right="49"/>
        <w:jc w:val="right"/>
        <w:rPr>
          <w:rFonts w:asciiTheme="majorHAnsi" w:hAnsiTheme="majorHAnsi" w:cstheme="majorHAnsi"/>
          <w:b/>
          <w:bCs/>
          <w:lang w:val="es-MX"/>
        </w:rPr>
      </w:pPr>
      <w:r w:rsidRPr="0087087F">
        <w:rPr>
          <w:rFonts w:asciiTheme="majorHAnsi" w:hAnsiTheme="majorHAnsi" w:cstheme="majorHAnsi"/>
          <w:b/>
          <w:bCs/>
          <w:lang w:val="es-MX"/>
        </w:rPr>
        <w:t xml:space="preserve">Miriam Olvera </w:t>
      </w:r>
      <w:proofErr w:type="spellStart"/>
      <w:r w:rsidRPr="0087087F">
        <w:rPr>
          <w:rFonts w:asciiTheme="majorHAnsi" w:hAnsiTheme="majorHAnsi" w:cstheme="majorHAnsi"/>
          <w:b/>
          <w:bCs/>
          <w:lang w:val="es-MX"/>
        </w:rPr>
        <w:t>Cueyar</w:t>
      </w:r>
      <w:proofErr w:type="spellEnd"/>
    </w:p>
    <w:p w14:paraId="782C74C0" w14:textId="3B011A0F" w:rsidR="005D6CE6" w:rsidRPr="0087087F" w:rsidRDefault="005D6CE6" w:rsidP="0087087F">
      <w:pPr>
        <w:spacing w:before="38" w:after="0"/>
        <w:ind w:right="49"/>
        <w:jc w:val="right"/>
        <w:rPr>
          <w:rFonts w:cs="Times New Roman"/>
          <w:spacing w:val="-2"/>
          <w:lang w:val="es-MX"/>
        </w:rPr>
      </w:pPr>
      <w:r w:rsidRPr="0087087F">
        <w:rPr>
          <w:rFonts w:cs="Times New Roman"/>
          <w:lang w:val="es-MX"/>
        </w:rPr>
        <w:t>Universidad</w:t>
      </w:r>
      <w:r w:rsidRPr="0087087F">
        <w:rPr>
          <w:rFonts w:cs="Times New Roman"/>
          <w:spacing w:val="-4"/>
          <w:lang w:val="es-MX"/>
        </w:rPr>
        <w:t xml:space="preserve"> </w:t>
      </w:r>
      <w:r w:rsidRPr="0087087F">
        <w:rPr>
          <w:rFonts w:cs="Times New Roman"/>
          <w:lang w:val="es-MX"/>
        </w:rPr>
        <w:t>Politécnica</w:t>
      </w:r>
      <w:r w:rsidRPr="0087087F">
        <w:rPr>
          <w:rFonts w:cs="Times New Roman"/>
          <w:spacing w:val="-2"/>
          <w:lang w:val="es-MX"/>
        </w:rPr>
        <w:t xml:space="preserve"> </w:t>
      </w:r>
      <w:r w:rsidRPr="0087087F">
        <w:rPr>
          <w:rFonts w:cs="Times New Roman"/>
          <w:lang w:val="es-MX"/>
        </w:rPr>
        <w:t>de</w:t>
      </w:r>
      <w:r w:rsidRPr="0087087F">
        <w:rPr>
          <w:rFonts w:cs="Times New Roman"/>
          <w:spacing w:val="-2"/>
          <w:lang w:val="es-MX"/>
        </w:rPr>
        <w:t xml:space="preserve"> </w:t>
      </w:r>
      <w:r w:rsidRPr="0087087F">
        <w:rPr>
          <w:rFonts w:cs="Times New Roman"/>
          <w:lang w:val="es-MX"/>
        </w:rPr>
        <w:t>Tulancingo,</w:t>
      </w:r>
      <w:r w:rsidRPr="0087087F">
        <w:rPr>
          <w:rFonts w:cs="Times New Roman"/>
          <w:spacing w:val="-1"/>
          <w:lang w:val="es-MX"/>
        </w:rPr>
        <w:t xml:space="preserve"> </w:t>
      </w:r>
      <w:r w:rsidRPr="0087087F">
        <w:rPr>
          <w:rFonts w:cs="Times New Roman"/>
          <w:spacing w:val="-2"/>
          <w:lang w:val="es-MX"/>
        </w:rPr>
        <w:t>México</w:t>
      </w:r>
    </w:p>
    <w:p w14:paraId="5C87EE5F" w14:textId="4520FA23" w:rsidR="005D6CE6" w:rsidRPr="0087087F" w:rsidRDefault="00B530E0" w:rsidP="0087087F">
      <w:pPr>
        <w:spacing w:before="38" w:after="0"/>
        <w:ind w:right="49"/>
        <w:jc w:val="right"/>
        <w:rPr>
          <w:rFonts w:asciiTheme="majorHAnsi" w:hAnsiTheme="majorHAnsi" w:cstheme="majorHAnsi"/>
          <w:color w:val="FF0000"/>
          <w:spacing w:val="-2"/>
          <w:lang w:val="es-MX"/>
        </w:rPr>
      </w:pPr>
      <w:r w:rsidRPr="0087087F">
        <w:rPr>
          <w:rFonts w:asciiTheme="majorHAnsi" w:hAnsiTheme="majorHAnsi" w:cstheme="majorHAnsi"/>
          <w:color w:val="FF0000"/>
          <w:spacing w:val="-2"/>
          <w:lang w:val="es-MX"/>
        </w:rPr>
        <w:t>m</w:t>
      </w:r>
      <w:r w:rsidR="00FD1ED2" w:rsidRPr="0087087F">
        <w:rPr>
          <w:rFonts w:asciiTheme="majorHAnsi" w:hAnsiTheme="majorHAnsi" w:cstheme="majorHAnsi"/>
          <w:color w:val="FF0000"/>
          <w:spacing w:val="-2"/>
          <w:lang w:val="es-MX"/>
        </w:rPr>
        <w:t>iriam.olvera</w:t>
      </w:r>
      <w:hyperlink r:id="rId11" w:history="1">
        <w:r w:rsidR="005D6CE6" w:rsidRPr="0087087F">
          <w:rPr>
            <w:rFonts w:asciiTheme="majorHAnsi" w:hAnsiTheme="majorHAnsi" w:cstheme="majorHAnsi"/>
            <w:color w:val="FF0000"/>
            <w:spacing w:val="-2"/>
            <w:lang w:val="es-MX"/>
          </w:rPr>
          <w:t>@upt.edu.mx</w:t>
        </w:r>
      </w:hyperlink>
    </w:p>
    <w:p w14:paraId="70F01699" w14:textId="56C2EB90" w:rsidR="005D6CE6" w:rsidRPr="0087087F" w:rsidRDefault="005D6CE6" w:rsidP="0087087F">
      <w:pPr>
        <w:spacing w:before="41" w:after="0"/>
        <w:ind w:right="49"/>
        <w:jc w:val="right"/>
        <w:rPr>
          <w:rFonts w:cs="Times New Roman"/>
          <w:spacing w:val="-2"/>
          <w:lang w:val="es-MX"/>
        </w:rPr>
      </w:pPr>
      <w:r w:rsidRPr="0087087F">
        <w:rPr>
          <w:rFonts w:cs="Times New Roman"/>
          <w:spacing w:val="-2"/>
          <w:lang w:val="es-MX"/>
        </w:rPr>
        <w:t>https://orcid.org/</w:t>
      </w:r>
      <w:hyperlink r:id="rId12" w:history="1">
        <w:r w:rsidR="00B87C1B" w:rsidRPr="0087087F">
          <w:rPr>
            <w:rFonts w:cs="Times New Roman"/>
            <w:spacing w:val="-2"/>
            <w:lang w:val="es-MX"/>
          </w:rPr>
          <w:t>0000-0002-4276-504X</w:t>
        </w:r>
      </w:hyperlink>
    </w:p>
    <w:p w14:paraId="023E6AA7" w14:textId="77777777" w:rsidR="00000007" w:rsidRPr="0087087F" w:rsidRDefault="002753CF" w:rsidP="003B654C">
      <w:pPr>
        <w:spacing w:line="360" w:lineRule="auto"/>
        <w:jc w:val="right"/>
        <w:rPr>
          <w:rFonts w:cs="Times New Roman"/>
          <w:lang w:val="es-MX"/>
        </w:rPr>
      </w:pPr>
    </w:p>
    <w:p w14:paraId="34181128" w14:textId="2A2255B3" w:rsidR="00D7079E" w:rsidRPr="0087087F" w:rsidRDefault="00D7079E" w:rsidP="003B654C">
      <w:pPr>
        <w:spacing w:line="360" w:lineRule="auto"/>
        <w:jc w:val="right"/>
        <w:rPr>
          <w:rFonts w:cs="Times New Roman"/>
          <w:lang w:val="es-MX"/>
        </w:rPr>
        <w:sectPr w:rsidR="00D7079E" w:rsidRPr="0087087F" w:rsidSect="002753CF">
          <w:headerReference w:type="default" r:id="rId13"/>
          <w:footerReference w:type="default" r:id="rId14"/>
          <w:type w:val="continuous"/>
          <w:pgSz w:w="12240" w:h="15840"/>
          <w:pgMar w:top="1417" w:right="1701" w:bottom="851" w:left="1701" w:header="142" w:footer="0" w:gutter="0"/>
          <w:pgNumType w:start="1"/>
          <w:cols w:space="720"/>
          <w:docGrid w:linePitch="360"/>
        </w:sectPr>
      </w:pPr>
    </w:p>
    <w:p w14:paraId="1A56F962" w14:textId="77777777" w:rsidR="00000007" w:rsidRPr="0087087F" w:rsidRDefault="00396A9A" w:rsidP="0087087F">
      <w:pPr>
        <w:spacing w:after="0" w:line="360" w:lineRule="auto"/>
        <w:jc w:val="both"/>
        <w:rPr>
          <w:rFonts w:asciiTheme="majorHAnsi" w:hAnsiTheme="majorHAnsi" w:cstheme="majorHAnsi"/>
          <w:b/>
          <w:bCs/>
          <w:spacing w:val="-2"/>
          <w:sz w:val="28"/>
          <w:szCs w:val="28"/>
          <w:lang w:val="es-MX"/>
        </w:rPr>
      </w:pPr>
      <w:r w:rsidRPr="0087087F">
        <w:rPr>
          <w:rFonts w:asciiTheme="majorHAnsi" w:hAnsiTheme="majorHAnsi" w:cstheme="majorHAnsi"/>
          <w:b/>
          <w:bCs/>
          <w:spacing w:val="-2"/>
          <w:sz w:val="28"/>
          <w:szCs w:val="28"/>
          <w:lang w:val="es-MX"/>
        </w:rPr>
        <w:lastRenderedPageBreak/>
        <w:t>Resumen</w:t>
      </w:r>
    </w:p>
    <w:p w14:paraId="64CF4B25" w14:textId="68EFF8B9" w:rsidR="00D35E90" w:rsidRPr="0087087F" w:rsidRDefault="00D35E90" w:rsidP="0087087F">
      <w:pPr>
        <w:spacing w:after="0" w:line="360" w:lineRule="auto"/>
        <w:jc w:val="both"/>
        <w:rPr>
          <w:szCs w:val="24"/>
          <w:lang w:val="es-MX"/>
        </w:rPr>
      </w:pPr>
      <w:r w:rsidRPr="0087087F">
        <w:rPr>
          <w:lang w:val="es-MX"/>
        </w:rPr>
        <w:t xml:space="preserve">El programa </w:t>
      </w:r>
      <w:proofErr w:type="spellStart"/>
      <w:r w:rsidRPr="0087087F">
        <w:rPr>
          <w:lang w:val="es-MX"/>
        </w:rPr>
        <w:t>Peraj</w:t>
      </w:r>
      <w:proofErr w:type="spellEnd"/>
      <w:r w:rsidRPr="0087087F">
        <w:rPr>
          <w:lang w:val="es-MX"/>
        </w:rPr>
        <w:t xml:space="preserve"> se establece como una intervención de orientación cuyo objetivo es promover el acompañamiento académico y el apoyo emocional a estudiantes de quinto y sexto grado de educación primaria, mediante la participación de alumnos de la Universidad Politécnica de Tulancingo. Este programa forma parte de una iniciativa de alcance nacional enfocada en fortalecer el desarrollo integral de niños en situación de vulnerabilidad a través del vínculo mentor–estudiante, implementada en diversas instituciones de educación superior en México. No obstante, es importante precisar su contexto institucional específico para comprender con mayor claridad su aplicación y alcances dentro de la universidad.</w:t>
      </w:r>
    </w:p>
    <w:p w14:paraId="41F275B3" w14:textId="3E913C9E" w:rsidR="0096503B" w:rsidRPr="0087087F" w:rsidRDefault="0096503B" w:rsidP="0087087F">
      <w:pPr>
        <w:spacing w:after="0" w:line="360" w:lineRule="auto"/>
        <w:jc w:val="both"/>
        <w:rPr>
          <w:szCs w:val="24"/>
          <w:lang w:val="es-MX"/>
        </w:rPr>
      </w:pPr>
      <w:r w:rsidRPr="0087087F">
        <w:rPr>
          <w:szCs w:val="24"/>
          <w:lang w:val="es-MX"/>
        </w:rPr>
        <w:t>Este modelo busca generar un impacto positivo en la trayectoria educativa de los estudiantes</w:t>
      </w:r>
      <w:r w:rsidR="003525DD" w:rsidRPr="0087087F">
        <w:rPr>
          <w:szCs w:val="24"/>
          <w:lang w:val="es-MX"/>
        </w:rPr>
        <w:t>, cuyo</w:t>
      </w:r>
      <w:r w:rsidRPr="0087087F">
        <w:rPr>
          <w:szCs w:val="24"/>
          <w:lang w:val="es-MX"/>
        </w:rPr>
        <w:t xml:space="preserve"> objetivo fue evaluar el perfil de desarrollo cognitivo y el nivel de habilidades académicas en un grupo de niños y niñas que permanecieron en el programa durante el ciclo escolar 2024-2025.</w:t>
      </w:r>
    </w:p>
    <w:p w14:paraId="62C71E79" w14:textId="1BFD237D" w:rsidR="00E9721E" w:rsidRPr="0087087F" w:rsidRDefault="0096503B" w:rsidP="0087087F">
      <w:pPr>
        <w:spacing w:after="0" w:line="360" w:lineRule="auto"/>
        <w:jc w:val="both"/>
        <w:rPr>
          <w:szCs w:val="24"/>
          <w:lang w:val="es-MX"/>
        </w:rPr>
      </w:pPr>
      <w:r w:rsidRPr="0087087F">
        <w:rPr>
          <w:szCs w:val="24"/>
          <w:lang w:val="es-MX"/>
        </w:rPr>
        <w:t xml:space="preserve">Se empleó un diseño cuantitativo, transversal y descriptivo. La muestra estuvo conformada por 11 estudiantes cuyas edades oscilaban entre 10 y 12 años. Para esta investigación se aplicó la Escala de Inteligencia de Reynolds (RIAS), </w:t>
      </w:r>
      <w:r w:rsidR="00E9721E" w:rsidRPr="0087087F">
        <w:rPr>
          <w:szCs w:val="24"/>
          <w:lang w:val="es-MX"/>
        </w:rPr>
        <w:t>mediante la cual</w:t>
      </w:r>
      <w:r w:rsidRPr="0087087F">
        <w:rPr>
          <w:szCs w:val="24"/>
          <w:lang w:val="es-MX"/>
        </w:rPr>
        <w:t xml:space="preserve"> se obtuvieron los índices de </w:t>
      </w:r>
      <w:r w:rsidR="00E206EB" w:rsidRPr="0087087F">
        <w:rPr>
          <w:szCs w:val="24"/>
          <w:lang w:val="es-MX"/>
        </w:rPr>
        <w:t xml:space="preserve">Inteligencia General </w:t>
      </w:r>
      <w:r w:rsidRPr="0087087F">
        <w:rPr>
          <w:szCs w:val="24"/>
          <w:lang w:val="es-MX"/>
        </w:rPr>
        <w:t xml:space="preserve">(IG), </w:t>
      </w:r>
      <w:r w:rsidR="00927AE1" w:rsidRPr="0087087F">
        <w:rPr>
          <w:lang w:val="es-MX"/>
        </w:rPr>
        <w:t>mostrando que los resultados descriptivos de los participantes se ubicaron en el rango normativo (IG media = 103.4, DE = 6.94), de acuerdo con los criterios estandarizados del instrumento, lo que sugiere un nivel de desarrollo cognitivo acorde con su grupo de edad.</w:t>
      </w:r>
    </w:p>
    <w:p w14:paraId="0176E3BC" w14:textId="7BC59F78" w:rsidR="008273B3" w:rsidRPr="0087087F" w:rsidRDefault="0096503B" w:rsidP="0087087F">
      <w:pPr>
        <w:spacing w:after="0" w:line="360" w:lineRule="auto"/>
        <w:jc w:val="both"/>
        <w:rPr>
          <w:szCs w:val="24"/>
          <w:lang w:val="es-MX"/>
        </w:rPr>
      </w:pPr>
      <w:r w:rsidRPr="0087087F">
        <w:rPr>
          <w:szCs w:val="24"/>
          <w:lang w:val="es-MX"/>
        </w:rPr>
        <w:t xml:space="preserve">Además, se utilizó </w:t>
      </w:r>
      <w:r w:rsidR="008273B3" w:rsidRPr="0087087F">
        <w:rPr>
          <w:szCs w:val="24"/>
          <w:lang w:val="es-MX"/>
        </w:rPr>
        <w:t>la escala</w:t>
      </w:r>
      <w:r w:rsidR="005D6CE6" w:rsidRPr="0087087F">
        <w:rPr>
          <w:szCs w:val="24"/>
          <w:lang w:val="es-MX"/>
        </w:rPr>
        <w:t xml:space="preserve"> para medir</w:t>
      </w:r>
      <w:r w:rsidRPr="0087087F">
        <w:rPr>
          <w:szCs w:val="24"/>
          <w:lang w:val="es-MX"/>
        </w:rPr>
        <w:t xml:space="preserve"> aptitudes </w:t>
      </w:r>
      <w:r w:rsidR="00927AE1" w:rsidRPr="0087087F">
        <w:rPr>
          <w:szCs w:val="24"/>
          <w:lang w:val="es-MX"/>
        </w:rPr>
        <w:t>lógico-</w:t>
      </w:r>
      <w:r w:rsidRPr="0087087F">
        <w:rPr>
          <w:szCs w:val="24"/>
          <w:lang w:val="es-MX"/>
        </w:rPr>
        <w:t xml:space="preserve">matemáticas, obteniéndose una puntuación media de 11.27/20 (DE = 3.79). Se encontró una correlación positiva y fuerte entre la </w:t>
      </w:r>
      <w:r w:rsidR="00E206EB" w:rsidRPr="0087087F">
        <w:rPr>
          <w:szCs w:val="24"/>
          <w:lang w:val="es-MX"/>
        </w:rPr>
        <w:t xml:space="preserve">IG </w:t>
      </w:r>
      <w:r w:rsidRPr="0087087F">
        <w:rPr>
          <w:szCs w:val="24"/>
          <w:lang w:val="es-MX"/>
        </w:rPr>
        <w:t>y las aptitudes lógico-matemáticas (r = .75, p &lt; .008).</w:t>
      </w:r>
      <w:r w:rsidR="00A92FF2" w:rsidRPr="0087087F">
        <w:rPr>
          <w:szCs w:val="24"/>
          <w:lang w:val="es-MX"/>
        </w:rPr>
        <w:t xml:space="preserve"> </w:t>
      </w:r>
      <w:r w:rsidR="00E9721E" w:rsidRPr="0087087F">
        <w:rPr>
          <w:szCs w:val="24"/>
          <w:lang w:val="es-MX"/>
        </w:rPr>
        <w:t xml:space="preserve">Los resultados </w:t>
      </w:r>
      <w:r w:rsidR="0090057F" w:rsidRPr="0087087F">
        <w:rPr>
          <w:szCs w:val="24"/>
          <w:lang w:val="es-MX"/>
        </w:rPr>
        <w:t xml:space="preserve">indican </w:t>
      </w:r>
      <w:r w:rsidR="0090057F" w:rsidRPr="0087087F">
        <w:rPr>
          <w:lang w:val="es-MX"/>
        </w:rPr>
        <w:t>que</w:t>
      </w:r>
      <w:r w:rsidR="008273B3" w:rsidRPr="0087087F">
        <w:rPr>
          <w:lang w:val="es-MX"/>
        </w:rPr>
        <w:t xml:space="preserve"> </w:t>
      </w:r>
      <w:r w:rsidR="0090057F" w:rsidRPr="0087087F">
        <w:rPr>
          <w:lang w:val="es-MX"/>
        </w:rPr>
        <w:t xml:space="preserve">el modelo de acompañamiento </w:t>
      </w:r>
      <w:proofErr w:type="spellStart"/>
      <w:r w:rsidR="0090057F" w:rsidRPr="0087087F">
        <w:rPr>
          <w:lang w:val="es-MX"/>
        </w:rPr>
        <w:t>Peraj</w:t>
      </w:r>
      <w:proofErr w:type="spellEnd"/>
      <w:r w:rsidR="0090057F" w:rsidRPr="0087087F">
        <w:rPr>
          <w:lang w:val="es-MX"/>
        </w:rPr>
        <w:t xml:space="preserve"> se asocia con el desarrollo de habilidades cognitivo-académicas en los estudiantes, lo que podría reflejarse en un mejor rendimiento académico; sin embargo, el diseño transversal no permite establecer causalidad</w:t>
      </w:r>
      <w:r w:rsidR="002753CF">
        <w:rPr>
          <w:lang w:val="es-MX"/>
        </w:rPr>
        <w:t>.</w:t>
      </w:r>
    </w:p>
    <w:p w14:paraId="27AD6E04" w14:textId="232D5C1A" w:rsidR="00A0348D" w:rsidRPr="0087087F" w:rsidRDefault="00396A9A" w:rsidP="0087087F">
      <w:pPr>
        <w:spacing w:after="0" w:line="360" w:lineRule="auto"/>
        <w:jc w:val="both"/>
        <w:rPr>
          <w:rFonts w:cs="Times New Roman"/>
          <w:szCs w:val="24"/>
          <w:lang w:val="es-MX"/>
        </w:rPr>
      </w:pPr>
      <w:r w:rsidRPr="0087087F">
        <w:rPr>
          <w:rFonts w:asciiTheme="majorHAnsi" w:hAnsiTheme="majorHAnsi" w:cstheme="majorHAnsi"/>
          <w:b/>
          <w:bCs/>
          <w:spacing w:val="-2"/>
          <w:sz w:val="28"/>
          <w:szCs w:val="28"/>
          <w:lang w:val="es-MX"/>
        </w:rPr>
        <w:t>Palabras clave:</w:t>
      </w:r>
      <w:r w:rsidRPr="0087087F">
        <w:rPr>
          <w:rFonts w:cs="Times New Roman"/>
          <w:b/>
          <w:spacing w:val="-10"/>
          <w:szCs w:val="24"/>
          <w:lang w:val="es-MX"/>
        </w:rPr>
        <w:t xml:space="preserve"> </w:t>
      </w:r>
      <w:r w:rsidR="008273B3" w:rsidRPr="0087087F">
        <w:rPr>
          <w:lang w:val="es-MX"/>
        </w:rPr>
        <w:t xml:space="preserve">aptitudes matemáticas, desarrollo psicosocial, inteligencia </w:t>
      </w:r>
      <w:r w:rsidR="00E206EB" w:rsidRPr="0087087F">
        <w:rPr>
          <w:lang w:val="es-MX"/>
        </w:rPr>
        <w:t>general</w:t>
      </w:r>
      <w:r w:rsidR="008273B3" w:rsidRPr="0087087F">
        <w:rPr>
          <w:lang w:val="es-MX"/>
        </w:rPr>
        <w:t xml:space="preserve">, mentoría, </w:t>
      </w:r>
      <w:proofErr w:type="spellStart"/>
      <w:r w:rsidR="008273B3" w:rsidRPr="0087087F">
        <w:rPr>
          <w:lang w:val="es-MX"/>
        </w:rPr>
        <w:t>Peraj</w:t>
      </w:r>
      <w:proofErr w:type="spellEnd"/>
      <w:r w:rsidR="008273B3" w:rsidRPr="0087087F">
        <w:rPr>
          <w:lang w:val="es-MX"/>
        </w:rPr>
        <w:t>.</w:t>
      </w:r>
    </w:p>
    <w:p w14:paraId="5A2B0843" w14:textId="77777777" w:rsidR="0087087F" w:rsidRDefault="0087087F" w:rsidP="0087087F">
      <w:pPr>
        <w:spacing w:after="0" w:line="360" w:lineRule="auto"/>
        <w:jc w:val="both"/>
        <w:rPr>
          <w:rFonts w:asciiTheme="majorHAnsi" w:hAnsiTheme="majorHAnsi" w:cstheme="majorHAnsi"/>
          <w:b/>
          <w:bCs/>
          <w:spacing w:val="-2"/>
          <w:sz w:val="28"/>
          <w:szCs w:val="28"/>
          <w:lang w:val="es-MX"/>
        </w:rPr>
      </w:pPr>
    </w:p>
    <w:p w14:paraId="739C3821" w14:textId="77777777" w:rsidR="002753CF" w:rsidRDefault="002753CF" w:rsidP="0087087F">
      <w:pPr>
        <w:spacing w:after="0" w:line="360" w:lineRule="auto"/>
        <w:jc w:val="both"/>
        <w:rPr>
          <w:rFonts w:asciiTheme="majorHAnsi" w:hAnsiTheme="majorHAnsi" w:cstheme="majorHAnsi"/>
          <w:b/>
          <w:bCs/>
          <w:spacing w:val="-2"/>
          <w:sz w:val="28"/>
          <w:szCs w:val="28"/>
          <w:lang w:val="es-MX"/>
        </w:rPr>
      </w:pPr>
    </w:p>
    <w:p w14:paraId="79A5583D" w14:textId="77777777" w:rsidR="002753CF" w:rsidRPr="0087087F" w:rsidRDefault="002753CF" w:rsidP="0087087F">
      <w:pPr>
        <w:spacing w:after="0" w:line="360" w:lineRule="auto"/>
        <w:jc w:val="both"/>
        <w:rPr>
          <w:rFonts w:asciiTheme="majorHAnsi" w:hAnsiTheme="majorHAnsi" w:cstheme="majorHAnsi"/>
          <w:b/>
          <w:bCs/>
          <w:spacing w:val="-2"/>
          <w:sz w:val="28"/>
          <w:szCs w:val="28"/>
          <w:lang w:val="es-MX"/>
        </w:rPr>
      </w:pPr>
    </w:p>
    <w:p w14:paraId="43624F38" w14:textId="53435BF1" w:rsidR="00000007" w:rsidRPr="00A034EA" w:rsidRDefault="00396A9A" w:rsidP="0087087F">
      <w:pPr>
        <w:spacing w:after="0" w:line="360" w:lineRule="auto"/>
        <w:jc w:val="both"/>
        <w:rPr>
          <w:rFonts w:asciiTheme="majorHAnsi" w:hAnsiTheme="majorHAnsi" w:cstheme="majorHAnsi"/>
          <w:b/>
          <w:bCs/>
          <w:spacing w:val="-2"/>
          <w:sz w:val="28"/>
          <w:szCs w:val="28"/>
        </w:rPr>
      </w:pPr>
      <w:r w:rsidRPr="00A034EA">
        <w:rPr>
          <w:rFonts w:asciiTheme="majorHAnsi" w:hAnsiTheme="majorHAnsi" w:cstheme="majorHAnsi"/>
          <w:b/>
          <w:bCs/>
          <w:spacing w:val="-2"/>
          <w:sz w:val="28"/>
          <w:szCs w:val="28"/>
        </w:rPr>
        <w:lastRenderedPageBreak/>
        <w:t>Abstract</w:t>
      </w:r>
    </w:p>
    <w:p w14:paraId="54881F59" w14:textId="77777777" w:rsidR="00C948AE" w:rsidRPr="0087087F" w:rsidRDefault="00C948AE" w:rsidP="0087087F">
      <w:pPr>
        <w:spacing w:after="0" w:line="360" w:lineRule="auto"/>
        <w:jc w:val="both"/>
        <w:rPr>
          <w:szCs w:val="24"/>
        </w:rPr>
      </w:pPr>
      <w:r w:rsidRPr="0087087F">
        <w:rPr>
          <w:szCs w:val="24"/>
        </w:rPr>
        <w:t xml:space="preserve">The </w:t>
      </w:r>
      <w:proofErr w:type="spellStart"/>
      <w:r w:rsidRPr="0087087F">
        <w:rPr>
          <w:szCs w:val="24"/>
        </w:rPr>
        <w:t>Peraj</w:t>
      </w:r>
      <w:proofErr w:type="spellEnd"/>
      <w:r w:rsidRPr="0087087F">
        <w:rPr>
          <w:szCs w:val="24"/>
        </w:rPr>
        <w:t xml:space="preserve"> program is established as a guidance-based intervention aimed at promoting academic support and emotional assistance for fifth- and sixth-grade elementary school students, through the participation of students from the Universidad </w:t>
      </w:r>
      <w:proofErr w:type="spellStart"/>
      <w:r w:rsidRPr="0087087F">
        <w:rPr>
          <w:szCs w:val="24"/>
        </w:rPr>
        <w:t>Politécnica</w:t>
      </w:r>
      <w:proofErr w:type="spellEnd"/>
      <w:r w:rsidRPr="0087087F">
        <w:rPr>
          <w:szCs w:val="24"/>
        </w:rPr>
        <w:t xml:space="preserve"> de </w:t>
      </w:r>
      <w:proofErr w:type="spellStart"/>
      <w:r w:rsidRPr="0087087F">
        <w:rPr>
          <w:szCs w:val="24"/>
        </w:rPr>
        <w:t>Tulancingo</w:t>
      </w:r>
      <w:proofErr w:type="spellEnd"/>
      <w:r w:rsidRPr="0087087F">
        <w:rPr>
          <w:szCs w:val="24"/>
        </w:rPr>
        <w:t>. This program is part of a national initiative focused on strengthening the comprehensive development of children in vulnerable situations through the mentor–mentee relationship, implemented across various higher education institutions in Mexico. However, it is important to specify its institutional context in order to better understand its application and scope within the university.</w:t>
      </w:r>
    </w:p>
    <w:p w14:paraId="05276F47" w14:textId="77777777" w:rsidR="00C948AE" w:rsidRPr="0087087F" w:rsidRDefault="00C948AE" w:rsidP="0087087F">
      <w:pPr>
        <w:spacing w:after="0" w:line="360" w:lineRule="auto"/>
        <w:jc w:val="both"/>
        <w:rPr>
          <w:szCs w:val="24"/>
        </w:rPr>
      </w:pPr>
      <w:r w:rsidRPr="0087087F">
        <w:rPr>
          <w:szCs w:val="24"/>
        </w:rPr>
        <w:t>This model seeks to generate a positive impact on students’ educational trajectories, and its objective was to evaluate the cognitive development profile and the level of academic skills in a group of children who remained in the program during the 2024–2025 school year.</w:t>
      </w:r>
    </w:p>
    <w:p w14:paraId="54E4B761" w14:textId="77777777" w:rsidR="00C948AE" w:rsidRPr="0087087F" w:rsidRDefault="00C948AE" w:rsidP="0087087F">
      <w:pPr>
        <w:spacing w:after="0" w:line="360" w:lineRule="auto"/>
        <w:jc w:val="both"/>
        <w:rPr>
          <w:szCs w:val="24"/>
        </w:rPr>
      </w:pPr>
      <w:r w:rsidRPr="0087087F">
        <w:rPr>
          <w:szCs w:val="24"/>
        </w:rPr>
        <w:t>A quantitative, cross-sectional, and descriptive design was employed. The sample consisted of 11 students aged between 10 and 12 years. For this study, the Reynolds Intellectual Assessment Scales (RIAS) was administered, from which the General Intelligence Index (GI) was obtained. The descriptive results showed that participants’ scores fell within the normative range (GI mean = 103.4, SD = 6.94), according to the standardized criteria of the instrument, suggesting a level of cognitive development consistent with their age group.</w:t>
      </w:r>
    </w:p>
    <w:p w14:paraId="17459939" w14:textId="52D76C26" w:rsidR="00C948AE" w:rsidRPr="0087087F" w:rsidRDefault="00C948AE" w:rsidP="0087087F">
      <w:pPr>
        <w:spacing w:after="0" w:line="360" w:lineRule="auto"/>
        <w:jc w:val="both"/>
        <w:rPr>
          <w:szCs w:val="24"/>
        </w:rPr>
      </w:pPr>
      <w:r w:rsidRPr="0087087F">
        <w:rPr>
          <w:szCs w:val="24"/>
        </w:rPr>
        <w:t xml:space="preserve">Additionally, the scale was used to assess logical-mathematical aptitude, yielding a mean score of 11.27/20 (SD = 3.79). A strong positive correlation was found between GI and logical-mathematical aptitude (r = .75, p &lt; .008). The results indicate that the </w:t>
      </w:r>
      <w:proofErr w:type="spellStart"/>
      <w:r w:rsidRPr="0087087F">
        <w:rPr>
          <w:szCs w:val="24"/>
        </w:rPr>
        <w:t>Peraj</w:t>
      </w:r>
      <w:proofErr w:type="spellEnd"/>
      <w:r w:rsidRPr="0087087F">
        <w:rPr>
          <w:szCs w:val="24"/>
        </w:rPr>
        <w:t xml:space="preserve"> mentoring model is associated with the development of cognitive-academic skills in students, which may be reflected in improved academic performance; however, the cross-sectional design does not allow for establishing causality.</w:t>
      </w:r>
    </w:p>
    <w:p w14:paraId="5E514C89" w14:textId="77777777" w:rsidR="00CE7AEB" w:rsidRPr="0087087F" w:rsidRDefault="00E206EB" w:rsidP="0087087F">
      <w:pPr>
        <w:pStyle w:val="NormalWeb"/>
        <w:spacing w:before="0" w:beforeAutospacing="0" w:after="0" w:afterAutospacing="0" w:line="360" w:lineRule="auto"/>
        <w:rPr>
          <w:lang w:val="en-US"/>
        </w:rPr>
      </w:pPr>
      <w:r w:rsidRPr="0087087F">
        <w:rPr>
          <w:rFonts w:asciiTheme="majorHAnsi" w:hAnsiTheme="majorHAnsi" w:cstheme="majorHAnsi"/>
          <w:b/>
          <w:bCs/>
          <w:spacing w:val="-2"/>
          <w:sz w:val="28"/>
          <w:szCs w:val="28"/>
          <w:lang w:val="en-US" w:eastAsia="en-US"/>
        </w:rPr>
        <w:t>Keywords:</w:t>
      </w:r>
      <w:r w:rsidRPr="0087087F">
        <w:rPr>
          <w:lang w:val="en-US"/>
        </w:rPr>
        <w:t xml:space="preserve"> </w:t>
      </w:r>
      <w:r w:rsidR="00CE7AEB" w:rsidRPr="0087087F">
        <w:rPr>
          <w:lang w:val="en-US"/>
        </w:rPr>
        <w:t xml:space="preserve">mathematical aptitude, psychosocial development, general intelligence, mentoring, </w:t>
      </w:r>
      <w:proofErr w:type="spellStart"/>
      <w:r w:rsidR="00CE7AEB" w:rsidRPr="0087087F">
        <w:rPr>
          <w:lang w:val="en-US"/>
        </w:rPr>
        <w:t>Peraj</w:t>
      </w:r>
      <w:proofErr w:type="spellEnd"/>
      <w:r w:rsidR="00CE7AEB" w:rsidRPr="0087087F">
        <w:rPr>
          <w:lang w:val="en-US"/>
        </w:rPr>
        <w:t>.</w:t>
      </w:r>
    </w:p>
    <w:p w14:paraId="14839F43" w14:textId="77777777" w:rsidR="0087087F" w:rsidRDefault="0087087F" w:rsidP="0087087F">
      <w:pPr>
        <w:spacing w:after="0" w:line="360" w:lineRule="auto"/>
        <w:jc w:val="both"/>
        <w:rPr>
          <w:rFonts w:asciiTheme="majorHAnsi" w:hAnsiTheme="majorHAnsi" w:cstheme="majorHAnsi"/>
          <w:b/>
          <w:bCs/>
          <w:spacing w:val="-2"/>
          <w:szCs w:val="24"/>
        </w:rPr>
      </w:pPr>
    </w:p>
    <w:p w14:paraId="74E6B488" w14:textId="77777777" w:rsidR="002753CF" w:rsidRDefault="002753CF" w:rsidP="0087087F">
      <w:pPr>
        <w:spacing w:after="0" w:line="360" w:lineRule="auto"/>
        <w:jc w:val="both"/>
        <w:rPr>
          <w:rFonts w:asciiTheme="majorHAnsi" w:hAnsiTheme="majorHAnsi" w:cstheme="majorHAnsi"/>
          <w:b/>
          <w:bCs/>
          <w:spacing w:val="-2"/>
          <w:szCs w:val="24"/>
        </w:rPr>
      </w:pPr>
    </w:p>
    <w:p w14:paraId="50E2F850" w14:textId="77777777" w:rsidR="002753CF" w:rsidRDefault="002753CF" w:rsidP="0087087F">
      <w:pPr>
        <w:spacing w:after="0" w:line="360" w:lineRule="auto"/>
        <w:jc w:val="both"/>
        <w:rPr>
          <w:rFonts w:asciiTheme="majorHAnsi" w:hAnsiTheme="majorHAnsi" w:cstheme="majorHAnsi"/>
          <w:b/>
          <w:bCs/>
          <w:spacing w:val="-2"/>
          <w:szCs w:val="24"/>
        </w:rPr>
      </w:pPr>
    </w:p>
    <w:p w14:paraId="41FD5AC8" w14:textId="77777777" w:rsidR="002753CF" w:rsidRPr="0087087F" w:rsidRDefault="002753CF" w:rsidP="0087087F">
      <w:pPr>
        <w:spacing w:after="0" w:line="360" w:lineRule="auto"/>
        <w:jc w:val="both"/>
        <w:rPr>
          <w:rFonts w:asciiTheme="majorHAnsi" w:hAnsiTheme="majorHAnsi" w:cstheme="majorHAnsi"/>
          <w:b/>
          <w:bCs/>
          <w:spacing w:val="-2"/>
          <w:szCs w:val="24"/>
        </w:rPr>
      </w:pPr>
    </w:p>
    <w:p w14:paraId="2677BDE0" w14:textId="6E642F9D" w:rsidR="00FD3D9B" w:rsidRPr="0087087F" w:rsidRDefault="00396A9A" w:rsidP="0087087F">
      <w:pPr>
        <w:spacing w:after="0" w:line="360" w:lineRule="auto"/>
        <w:jc w:val="both"/>
        <w:rPr>
          <w:rFonts w:asciiTheme="majorHAnsi" w:hAnsiTheme="majorHAnsi" w:cstheme="majorHAnsi"/>
          <w:b/>
          <w:bCs/>
          <w:spacing w:val="-2"/>
          <w:sz w:val="28"/>
          <w:szCs w:val="28"/>
        </w:rPr>
      </w:pPr>
      <w:proofErr w:type="spellStart"/>
      <w:r w:rsidRPr="0087087F">
        <w:rPr>
          <w:rFonts w:asciiTheme="majorHAnsi" w:hAnsiTheme="majorHAnsi" w:cstheme="majorHAnsi"/>
          <w:b/>
          <w:bCs/>
          <w:spacing w:val="-2"/>
          <w:sz w:val="28"/>
          <w:szCs w:val="28"/>
        </w:rPr>
        <w:lastRenderedPageBreak/>
        <w:t>Resumo</w:t>
      </w:r>
      <w:proofErr w:type="spellEnd"/>
    </w:p>
    <w:p w14:paraId="5FE24EFA" w14:textId="77B99AE2" w:rsidR="0042041D" w:rsidRPr="0087087F" w:rsidRDefault="0042041D" w:rsidP="0087087F">
      <w:pPr>
        <w:spacing w:after="0" w:line="360" w:lineRule="auto"/>
        <w:jc w:val="both"/>
        <w:rPr>
          <w:szCs w:val="24"/>
          <w:lang w:val="es-MX"/>
        </w:rPr>
      </w:pPr>
      <w:r w:rsidRPr="0087087F">
        <w:rPr>
          <w:szCs w:val="24"/>
          <w:lang w:val="es-MX"/>
        </w:rPr>
        <w:t xml:space="preserve">O programa </w:t>
      </w:r>
      <w:proofErr w:type="spellStart"/>
      <w:r w:rsidRPr="0087087F">
        <w:rPr>
          <w:szCs w:val="24"/>
          <w:lang w:val="es-MX"/>
        </w:rPr>
        <w:t>Peraj</w:t>
      </w:r>
      <w:proofErr w:type="spellEnd"/>
      <w:r w:rsidRPr="0087087F">
        <w:rPr>
          <w:szCs w:val="24"/>
          <w:lang w:val="es-MX"/>
        </w:rPr>
        <w:t xml:space="preserve"> </w:t>
      </w:r>
      <w:proofErr w:type="spellStart"/>
      <w:r w:rsidRPr="0087087F">
        <w:rPr>
          <w:szCs w:val="24"/>
          <w:lang w:val="es-MX"/>
        </w:rPr>
        <w:t>estabelece</w:t>
      </w:r>
      <w:proofErr w:type="spellEnd"/>
      <w:r w:rsidRPr="0087087F">
        <w:rPr>
          <w:szCs w:val="24"/>
          <w:lang w:val="es-MX"/>
        </w:rPr>
        <w:t xml:space="preserve">-se </w:t>
      </w:r>
      <w:proofErr w:type="spellStart"/>
      <w:r w:rsidRPr="0087087F">
        <w:rPr>
          <w:szCs w:val="24"/>
          <w:lang w:val="es-MX"/>
        </w:rPr>
        <w:t>como</w:t>
      </w:r>
      <w:proofErr w:type="spellEnd"/>
      <w:r w:rsidRPr="0087087F">
        <w:rPr>
          <w:szCs w:val="24"/>
          <w:lang w:val="es-MX"/>
        </w:rPr>
        <w:t xml:space="preserve"> </w:t>
      </w:r>
      <w:proofErr w:type="spellStart"/>
      <w:r w:rsidRPr="0087087F">
        <w:rPr>
          <w:szCs w:val="24"/>
          <w:lang w:val="es-MX"/>
        </w:rPr>
        <w:t>uma</w:t>
      </w:r>
      <w:proofErr w:type="spellEnd"/>
      <w:r w:rsidRPr="0087087F">
        <w:rPr>
          <w:szCs w:val="24"/>
          <w:lang w:val="es-MX"/>
        </w:rPr>
        <w:t xml:space="preserve"> </w:t>
      </w:r>
      <w:proofErr w:type="spellStart"/>
      <w:r w:rsidRPr="0087087F">
        <w:rPr>
          <w:szCs w:val="24"/>
          <w:lang w:val="es-MX"/>
        </w:rPr>
        <w:t>intervenção</w:t>
      </w:r>
      <w:proofErr w:type="spellEnd"/>
      <w:r w:rsidRPr="0087087F">
        <w:rPr>
          <w:szCs w:val="24"/>
          <w:lang w:val="es-MX"/>
        </w:rPr>
        <w:t xml:space="preserve"> de </w:t>
      </w:r>
      <w:proofErr w:type="spellStart"/>
      <w:r w:rsidRPr="0087087F">
        <w:rPr>
          <w:szCs w:val="24"/>
          <w:lang w:val="es-MX"/>
        </w:rPr>
        <w:t>orientação</w:t>
      </w:r>
      <w:proofErr w:type="spellEnd"/>
      <w:r w:rsidRPr="0087087F">
        <w:rPr>
          <w:szCs w:val="24"/>
          <w:lang w:val="es-MX"/>
        </w:rPr>
        <w:t xml:space="preserve"> </w:t>
      </w:r>
      <w:proofErr w:type="spellStart"/>
      <w:r w:rsidRPr="0087087F">
        <w:rPr>
          <w:szCs w:val="24"/>
          <w:lang w:val="es-MX"/>
        </w:rPr>
        <w:t>cujo</w:t>
      </w:r>
      <w:proofErr w:type="spellEnd"/>
      <w:r w:rsidRPr="0087087F">
        <w:rPr>
          <w:szCs w:val="24"/>
          <w:lang w:val="es-MX"/>
        </w:rPr>
        <w:t xml:space="preserve"> objetivo é promover o </w:t>
      </w:r>
      <w:proofErr w:type="spellStart"/>
      <w:r w:rsidRPr="0087087F">
        <w:rPr>
          <w:szCs w:val="24"/>
          <w:lang w:val="es-MX"/>
        </w:rPr>
        <w:t>acompanhamento</w:t>
      </w:r>
      <w:proofErr w:type="spellEnd"/>
      <w:r w:rsidRPr="0087087F">
        <w:rPr>
          <w:szCs w:val="24"/>
          <w:lang w:val="es-MX"/>
        </w:rPr>
        <w:t xml:space="preserve"> </w:t>
      </w:r>
      <w:proofErr w:type="spellStart"/>
      <w:r w:rsidRPr="0087087F">
        <w:rPr>
          <w:szCs w:val="24"/>
          <w:lang w:val="es-MX"/>
        </w:rPr>
        <w:t>acadêmico</w:t>
      </w:r>
      <w:proofErr w:type="spellEnd"/>
      <w:r w:rsidRPr="0087087F">
        <w:rPr>
          <w:szCs w:val="24"/>
          <w:lang w:val="es-MX"/>
        </w:rPr>
        <w:t xml:space="preserve"> e o </w:t>
      </w:r>
      <w:proofErr w:type="spellStart"/>
      <w:r w:rsidRPr="0087087F">
        <w:rPr>
          <w:szCs w:val="24"/>
          <w:lang w:val="es-MX"/>
        </w:rPr>
        <w:t>apoio</w:t>
      </w:r>
      <w:proofErr w:type="spellEnd"/>
      <w:r w:rsidRPr="0087087F">
        <w:rPr>
          <w:szCs w:val="24"/>
          <w:lang w:val="es-MX"/>
        </w:rPr>
        <w:t xml:space="preserve"> emocional a </w:t>
      </w:r>
      <w:proofErr w:type="spellStart"/>
      <w:r w:rsidRPr="0087087F">
        <w:rPr>
          <w:szCs w:val="24"/>
          <w:lang w:val="es-MX"/>
        </w:rPr>
        <w:t>estudantes</w:t>
      </w:r>
      <w:proofErr w:type="spellEnd"/>
      <w:r w:rsidRPr="0087087F">
        <w:rPr>
          <w:szCs w:val="24"/>
          <w:lang w:val="es-MX"/>
        </w:rPr>
        <w:t xml:space="preserve"> do quinto </w:t>
      </w:r>
      <w:proofErr w:type="spellStart"/>
      <w:r w:rsidRPr="0087087F">
        <w:rPr>
          <w:szCs w:val="24"/>
          <w:lang w:val="es-MX"/>
        </w:rPr>
        <w:t>e</w:t>
      </w:r>
      <w:proofErr w:type="spellEnd"/>
      <w:r w:rsidRPr="0087087F">
        <w:rPr>
          <w:szCs w:val="24"/>
          <w:lang w:val="es-MX"/>
        </w:rPr>
        <w:t xml:space="preserve"> sexto ano do </w:t>
      </w:r>
      <w:proofErr w:type="spellStart"/>
      <w:r w:rsidRPr="0087087F">
        <w:rPr>
          <w:szCs w:val="24"/>
          <w:lang w:val="es-MX"/>
        </w:rPr>
        <w:t>ensino</w:t>
      </w:r>
      <w:proofErr w:type="spellEnd"/>
      <w:r w:rsidRPr="0087087F">
        <w:rPr>
          <w:szCs w:val="24"/>
          <w:lang w:val="es-MX"/>
        </w:rPr>
        <w:t xml:space="preserve"> fundamental, por </w:t>
      </w:r>
      <w:proofErr w:type="spellStart"/>
      <w:r w:rsidRPr="0087087F">
        <w:rPr>
          <w:szCs w:val="24"/>
          <w:lang w:val="es-MX"/>
        </w:rPr>
        <w:t>meio</w:t>
      </w:r>
      <w:proofErr w:type="spellEnd"/>
      <w:r w:rsidRPr="0087087F">
        <w:rPr>
          <w:szCs w:val="24"/>
          <w:lang w:val="es-MX"/>
        </w:rPr>
        <w:t xml:space="preserve"> da </w:t>
      </w:r>
      <w:proofErr w:type="spellStart"/>
      <w:r w:rsidRPr="0087087F">
        <w:rPr>
          <w:szCs w:val="24"/>
          <w:lang w:val="es-MX"/>
        </w:rPr>
        <w:t>participação</w:t>
      </w:r>
      <w:proofErr w:type="spellEnd"/>
      <w:r w:rsidRPr="0087087F">
        <w:rPr>
          <w:szCs w:val="24"/>
          <w:lang w:val="es-MX"/>
        </w:rPr>
        <w:t xml:space="preserve"> de </w:t>
      </w:r>
      <w:proofErr w:type="spellStart"/>
      <w:r w:rsidRPr="0087087F">
        <w:rPr>
          <w:szCs w:val="24"/>
          <w:lang w:val="es-MX"/>
        </w:rPr>
        <w:t>alunos</w:t>
      </w:r>
      <w:proofErr w:type="spellEnd"/>
      <w:r w:rsidRPr="0087087F">
        <w:rPr>
          <w:szCs w:val="24"/>
          <w:lang w:val="es-MX"/>
        </w:rPr>
        <w:t xml:space="preserve"> da Universidad Politécnica de Tulancingo. Este programa faz parte de </w:t>
      </w:r>
      <w:proofErr w:type="spellStart"/>
      <w:r w:rsidRPr="0087087F">
        <w:rPr>
          <w:szCs w:val="24"/>
          <w:lang w:val="es-MX"/>
        </w:rPr>
        <w:t>uma</w:t>
      </w:r>
      <w:proofErr w:type="spellEnd"/>
      <w:r w:rsidRPr="0087087F">
        <w:rPr>
          <w:szCs w:val="24"/>
          <w:lang w:val="es-MX"/>
        </w:rPr>
        <w:t xml:space="preserve"> iniciativa de alcance nacional </w:t>
      </w:r>
      <w:proofErr w:type="spellStart"/>
      <w:r w:rsidRPr="0087087F">
        <w:rPr>
          <w:szCs w:val="24"/>
          <w:lang w:val="es-MX"/>
        </w:rPr>
        <w:t>voltada</w:t>
      </w:r>
      <w:proofErr w:type="spellEnd"/>
      <w:r w:rsidRPr="0087087F">
        <w:rPr>
          <w:szCs w:val="24"/>
          <w:lang w:val="es-MX"/>
        </w:rPr>
        <w:t xml:space="preserve"> </w:t>
      </w:r>
      <w:proofErr w:type="spellStart"/>
      <w:r w:rsidRPr="0087087F">
        <w:rPr>
          <w:szCs w:val="24"/>
          <w:lang w:val="es-MX"/>
        </w:rPr>
        <w:t>ao</w:t>
      </w:r>
      <w:proofErr w:type="spellEnd"/>
      <w:r w:rsidRPr="0087087F">
        <w:rPr>
          <w:szCs w:val="24"/>
          <w:lang w:val="es-MX"/>
        </w:rPr>
        <w:t xml:space="preserve"> </w:t>
      </w:r>
      <w:proofErr w:type="spellStart"/>
      <w:r w:rsidRPr="0087087F">
        <w:rPr>
          <w:szCs w:val="24"/>
          <w:lang w:val="es-MX"/>
        </w:rPr>
        <w:t>fortalecimento</w:t>
      </w:r>
      <w:proofErr w:type="spellEnd"/>
      <w:r w:rsidRPr="0087087F">
        <w:rPr>
          <w:szCs w:val="24"/>
          <w:lang w:val="es-MX"/>
        </w:rPr>
        <w:t xml:space="preserve"> do </w:t>
      </w:r>
      <w:proofErr w:type="spellStart"/>
      <w:r w:rsidRPr="0087087F">
        <w:rPr>
          <w:szCs w:val="24"/>
          <w:lang w:val="es-MX"/>
        </w:rPr>
        <w:t>desenvolvimento</w:t>
      </w:r>
      <w:proofErr w:type="spellEnd"/>
      <w:r w:rsidRPr="0087087F">
        <w:rPr>
          <w:szCs w:val="24"/>
          <w:lang w:val="es-MX"/>
        </w:rPr>
        <w:t xml:space="preserve"> integral de </w:t>
      </w:r>
      <w:proofErr w:type="spellStart"/>
      <w:r w:rsidRPr="0087087F">
        <w:rPr>
          <w:szCs w:val="24"/>
          <w:lang w:val="es-MX"/>
        </w:rPr>
        <w:t>crianças</w:t>
      </w:r>
      <w:proofErr w:type="spellEnd"/>
      <w:r w:rsidRPr="0087087F">
        <w:rPr>
          <w:szCs w:val="24"/>
          <w:lang w:val="es-MX"/>
        </w:rPr>
        <w:t xml:space="preserve"> em </w:t>
      </w:r>
      <w:proofErr w:type="spellStart"/>
      <w:r w:rsidRPr="0087087F">
        <w:rPr>
          <w:szCs w:val="24"/>
          <w:lang w:val="es-MX"/>
        </w:rPr>
        <w:t>situação</w:t>
      </w:r>
      <w:proofErr w:type="spellEnd"/>
      <w:r w:rsidRPr="0087087F">
        <w:rPr>
          <w:szCs w:val="24"/>
          <w:lang w:val="es-MX"/>
        </w:rPr>
        <w:t xml:space="preserve"> de </w:t>
      </w:r>
      <w:proofErr w:type="spellStart"/>
      <w:r w:rsidRPr="0087087F">
        <w:rPr>
          <w:szCs w:val="24"/>
          <w:lang w:val="es-MX"/>
        </w:rPr>
        <w:t>vulnerabilidade</w:t>
      </w:r>
      <w:proofErr w:type="spellEnd"/>
      <w:r w:rsidRPr="0087087F">
        <w:rPr>
          <w:szCs w:val="24"/>
          <w:lang w:val="es-MX"/>
        </w:rPr>
        <w:t xml:space="preserve">, por </w:t>
      </w:r>
      <w:proofErr w:type="spellStart"/>
      <w:r w:rsidRPr="0087087F">
        <w:rPr>
          <w:szCs w:val="24"/>
          <w:lang w:val="es-MX"/>
        </w:rPr>
        <w:t>meio</w:t>
      </w:r>
      <w:proofErr w:type="spellEnd"/>
      <w:r w:rsidRPr="0087087F">
        <w:rPr>
          <w:szCs w:val="24"/>
          <w:lang w:val="es-MX"/>
        </w:rPr>
        <w:t xml:space="preserve"> do vínculo mentor–aluno, </w:t>
      </w:r>
      <w:proofErr w:type="spellStart"/>
      <w:r w:rsidRPr="0087087F">
        <w:rPr>
          <w:szCs w:val="24"/>
          <w:lang w:val="es-MX"/>
        </w:rPr>
        <w:t>sendo</w:t>
      </w:r>
      <w:proofErr w:type="spellEnd"/>
      <w:r w:rsidRPr="0087087F">
        <w:rPr>
          <w:szCs w:val="24"/>
          <w:lang w:val="es-MX"/>
        </w:rPr>
        <w:t xml:space="preserve"> implementado em diversas </w:t>
      </w:r>
      <w:proofErr w:type="spellStart"/>
      <w:r w:rsidRPr="0087087F">
        <w:rPr>
          <w:szCs w:val="24"/>
          <w:lang w:val="es-MX"/>
        </w:rPr>
        <w:t>instituições</w:t>
      </w:r>
      <w:proofErr w:type="spellEnd"/>
      <w:r w:rsidRPr="0087087F">
        <w:rPr>
          <w:szCs w:val="24"/>
          <w:lang w:val="es-MX"/>
        </w:rPr>
        <w:t xml:space="preserve"> de </w:t>
      </w:r>
      <w:proofErr w:type="spellStart"/>
      <w:r w:rsidRPr="0087087F">
        <w:rPr>
          <w:szCs w:val="24"/>
          <w:lang w:val="es-MX"/>
        </w:rPr>
        <w:t>ensino</w:t>
      </w:r>
      <w:proofErr w:type="spellEnd"/>
      <w:r w:rsidRPr="0087087F">
        <w:rPr>
          <w:szCs w:val="24"/>
          <w:lang w:val="es-MX"/>
        </w:rPr>
        <w:t xml:space="preserve"> superior no México. No </w:t>
      </w:r>
      <w:proofErr w:type="spellStart"/>
      <w:r w:rsidRPr="0087087F">
        <w:rPr>
          <w:szCs w:val="24"/>
          <w:lang w:val="es-MX"/>
        </w:rPr>
        <w:t>entanto</w:t>
      </w:r>
      <w:proofErr w:type="spellEnd"/>
      <w:r w:rsidRPr="0087087F">
        <w:rPr>
          <w:szCs w:val="24"/>
          <w:lang w:val="es-MX"/>
        </w:rPr>
        <w:t xml:space="preserve">, </w:t>
      </w:r>
      <w:proofErr w:type="spellStart"/>
      <w:r w:rsidRPr="0087087F">
        <w:rPr>
          <w:szCs w:val="24"/>
          <w:lang w:val="es-MX"/>
        </w:rPr>
        <w:t>é</w:t>
      </w:r>
      <w:proofErr w:type="spellEnd"/>
      <w:r w:rsidRPr="0087087F">
        <w:rPr>
          <w:szCs w:val="24"/>
          <w:lang w:val="es-MX"/>
        </w:rPr>
        <w:t xml:space="preserve"> importante especificar </w:t>
      </w:r>
      <w:proofErr w:type="spellStart"/>
      <w:r w:rsidRPr="0087087F">
        <w:rPr>
          <w:szCs w:val="24"/>
          <w:lang w:val="es-MX"/>
        </w:rPr>
        <w:t>seu</w:t>
      </w:r>
      <w:proofErr w:type="spellEnd"/>
      <w:r w:rsidRPr="0087087F">
        <w:rPr>
          <w:szCs w:val="24"/>
          <w:lang w:val="es-MX"/>
        </w:rPr>
        <w:t xml:space="preserve"> contexto institucional para </w:t>
      </w:r>
      <w:proofErr w:type="spellStart"/>
      <w:r w:rsidRPr="0087087F">
        <w:rPr>
          <w:szCs w:val="24"/>
          <w:lang w:val="es-MX"/>
        </w:rPr>
        <w:t>compreender</w:t>
      </w:r>
      <w:proofErr w:type="spellEnd"/>
      <w:r w:rsidRPr="0087087F">
        <w:rPr>
          <w:szCs w:val="24"/>
          <w:lang w:val="es-MX"/>
        </w:rPr>
        <w:t xml:space="preserve"> </w:t>
      </w:r>
      <w:proofErr w:type="spellStart"/>
      <w:r w:rsidRPr="0087087F">
        <w:rPr>
          <w:szCs w:val="24"/>
          <w:lang w:val="es-MX"/>
        </w:rPr>
        <w:t>com</w:t>
      </w:r>
      <w:proofErr w:type="spellEnd"/>
      <w:r w:rsidRPr="0087087F">
        <w:rPr>
          <w:szCs w:val="24"/>
          <w:lang w:val="es-MX"/>
        </w:rPr>
        <w:t xml:space="preserve"> </w:t>
      </w:r>
      <w:proofErr w:type="spellStart"/>
      <w:r w:rsidRPr="0087087F">
        <w:rPr>
          <w:szCs w:val="24"/>
          <w:lang w:val="es-MX"/>
        </w:rPr>
        <w:t>maior</w:t>
      </w:r>
      <w:proofErr w:type="spellEnd"/>
      <w:r w:rsidRPr="0087087F">
        <w:rPr>
          <w:szCs w:val="24"/>
          <w:lang w:val="es-MX"/>
        </w:rPr>
        <w:t xml:space="preserve"> clareza </w:t>
      </w:r>
      <w:proofErr w:type="spellStart"/>
      <w:r w:rsidRPr="0087087F">
        <w:rPr>
          <w:szCs w:val="24"/>
          <w:lang w:val="es-MX"/>
        </w:rPr>
        <w:t>sua</w:t>
      </w:r>
      <w:proofErr w:type="spellEnd"/>
      <w:r w:rsidRPr="0087087F">
        <w:rPr>
          <w:szCs w:val="24"/>
          <w:lang w:val="es-MX"/>
        </w:rPr>
        <w:t xml:space="preserve"> </w:t>
      </w:r>
      <w:proofErr w:type="spellStart"/>
      <w:r w:rsidRPr="0087087F">
        <w:rPr>
          <w:szCs w:val="24"/>
          <w:lang w:val="es-MX"/>
        </w:rPr>
        <w:t>aplicação</w:t>
      </w:r>
      <w:proofErr w:type="spellEnd"/>
      <w:r w:rsidRPr="0087087F">
        <w:rPr>
          <w:szCs w:val="24"/>
          <w:lang w:val="es-MX"/>
        </w:rPr>
        <w:t xml:space="preserve"> e alcance dentro da </w:t>
      </w:r>
      <w:proofErr w:type="spellStart"/>
      <w:r w:rsidRPr="0087087F">
        <w:rPr>
          <w:szCs w:val="24"/>
          <w:lang w:val="es-MX"/>
        </w:rPr>
        <w:t>universidade</w:t>
      </w:r>
      <w:proofErr w:type="spellEnd"/>
      <w:r w:rsidRPr="0087087F">
        <w:rPr>
          <w:szCs w:val="24"/>
          <w:lang w:val="es-MX"/>
        </w:rPr>
        <w:t>.</w:t>
      </w:r>
    </w:p>
    <w:p w14:paraId="07FCB4F9" w14:textId="77777777" w:rsidR="0042041D" w:rsidRPr="0087087F" w:rsidRDefault="0042041D" w:rsidP="0087087F">
      <w:pPr>
        <w:spacing w:after="0" w:line="360" w:lineRule="auto"/>
        <w:jc w:val="both"/>
        <w:rPr>
          <w:szCs w:val="24"/>
          <w:lang w:val="es-MX"/>
        </w:rPr>
      </w:pPr>
      <w:r w:rsidRPr="0087087F">
        <w:rPr>
          <w:szCs w:val="24"/>
          <w:lang w:val="es-MX"/>
        </w:rPr>
        <w:t xml:space="preserve">Este modelo busca </w:t>
      </w:r>
      <w:proofErr w:type="spellStart"/>
      <w:r w:rsidRPr="0087087F">
        <w:rPr>
          <w:szCs w:val="24"/>
          <w:lang w:val="es-MX"/>
        </w:rPr>
        <w:t>gerar</w:t>
      </w:r>
      <w:proofErr w:type="spellEnd"/>
      <w:r w:rsidRPr="0087087F">
        <w:rPr>
          <w:szCs w:val="24"/>
          <w:lang w:val="es-MX"/>
        </w:rPr>
        <w:t xml:space="preserve"> </w:t>
      </w:r>
      <w:proofErr w:type="spellStart"/>
      <w:r w:rsidRPr="0087087F">
        <w:rPr>
          <w:szCs w:val="24"/>
          <w:lang w:val="es-MX"/>
        </w:rPr>
        <w:t>um</w:t>
      </w:r>
      <w:proofErr w:type="spellEnd"/>
      <w:r w:rsidRPr="0087087F">
        <w:rPr>
          <w:szCs w:val="24"/>
          <w:lang w:val="es-MX"/>
        </w:rPr>
        <w:t xml:space="preserve"> impacto positivo </w:t>
      </w:r>
      <w:proofErr w:type="spellStart"/>
      <w:r w:rsidRPr="0087087F">
        <w:rPr>
          <w:szCs w:val="24"/>
          <w:lang w:val="es-MX"/>
        </w:rPr>
        <w:t>na</w:t>
      </w:r>
      <w:proofErr w:type="spellEnd"/>
      <w:r w:rsidRPr="0087087F">
        <w:rPr>
          <w:szCs w:val="24"/>
          <w:lang w:val="es-MX"/>
        </w:rPr>
        <w:t xml:space="preserve"> </w:t>
      </w:r>
      <w:proofErr w:type="spellStart"/>
      <w:r w:rsidRPr="0087087F">
        <w:rPr>
          <w:szCs w:val="24"/>
          <w:lang w:val="es-MX"/>
        </w:rPr>
        <w:t>trajetória</w:t>
      </w:r>
      <w:proofErr w:type="spellEnd"/>
      <w:r w:rsidRPr="0087087F">
        <w:rPr>
          <w:szCs w:val="24"/>
          <w:lang w:val="es-MX"/>
        </w:rPr>
        <w:t xml:space="preserve"> educacional dos </w:t>
      </w:r>
      <w:proofErr w:type="spellStart"/>
      <w:r w:rsidRPr="0087087F">
        <w:rPr>
          <w:szCs w:val="24"/>
          <w:lang w:val="es-MX"/>
        </w:rPr>
        <w:t>estudantes</w:t>
      </w:r>
      <w:proofErr w:type="spellEnd"/>
      <w:r w:rsidRPr="0087087F">
        <w:rPr>
          <w:szCs w:val="24"/>
          <w:lang w:val="es-MX"/>
        </w:rPr>
        <w:t xml:space="preserve">, </w:t>
      </w:r>
      <w:proofErr w:type="spellStart"/>
      <w:r w:rsidRPr="0087087F">
        <w:rPr>
          <w:szCs w:val="24"/>
          <w:lang w:val="es-MX"/>
        </w:rPr>
        <w:t>tendo</w:t>
      </w:r>
      <w:proofErr w:type="spellEnd"/>
      <w:r w:rsidRPr="0087087F">
        <w:rPr>
          <w:szCs w:val="24"/>
          <w:lang w:val="es-MX"/>
        </w:rPr>
        <w:t xml:space="preserve"> como objetivo avaliar o perfil de </w:t>
      </w:r>
      <w:proofErr w:type="spellStart"/>
      <w:r w:rsidRPr="0087087F">
        <w:rPr>
          <w:szCs w:val="24"/>
          <w:lang w:val="es-MX"/>
        </w:rPr>
        <w:t>desenvolvimento</w:t>
      </w:r>
      <w:proofErr w:type="spellEnd"/>
      <w:r w:rsidRPr="0087087F">
        <w:rPr>
          <w:szCs w:val="24"/>
          <w:lang w:val="es-MX"/>
        </w:rPr>
        <w:t xml:space="preserve"> cognitivo e o </w:t>
      </w:r>
      <w:proofErr w:type="spellStart"/>
      <w:r w:rsidRPr="0087087F">
        <w:rPr>
          <w:szCs w:val="24"/>
          <w:lang w:val="es-MX"/>
        </w:rPr>
        <w:t>nível</w:t>
      </w:r>
      <w:proofErr w:type="spellEnd"/>
      <w:r w:rsidRPr="0087087F">
        <w:rPr>
          <w:szCs w:val="24"/>
          <w:lang w:val="es-MX"/>
        </w:rPr>
        <w:t xml:space="preserve"> de habilidades </w:t>
      </w:r>
      <w:proofErr w:type="spellStart"/>
      <w:r w:rsidRPr="0087087F">
        <w:rPr>
          <w:szCs w:val="24"/>
          <w:lang w:val="es-MX"/>
        </w:rPr>
        <w:t>acadêmicas</w:t>
      </w:r>
      <w:proofErr w:type="spellEnd"/>
      <w:r w:rsidRPr="0087087F">
        <w:rPr>
          <w:szCs w:val="24"/>
          <w:lang w:val="es-MX"/>
        </w:rPr>
        <w:t xml:space="preserve"> em </w:t>
      </w:r>
      <w:proofErr w:type="spellStart"/>
      <w:r w:rsidRPr="0087087F">
        <w:rPr>
          <w:szCs w:val="24"/>
          <w:lang w:val="es-MX"/>
        </w:rPr>
        <w:t>um</w:t>
      </w:r>
      <w:proofErr w:type="spellEnd"/>
      <w:r w:rsidRPr="0087087F">
        <w:rPr>
          <w:szCs w:val="24"/>
          <w:lang w:val="es-MX"/>
        </w:rPr>
        <w:t xml:space="preserve"> grupo de </w:t>
      </w:r>
      <w:proofErr w:type="spellStart"/>
      <w:r w:rsidRPr="0087087F">
        <w:rPr>
          <w:szCs w:val="24"/>
          <w:lang w:val="es-MX"/>
        </w:rPr>
        <w:t>crianças</w:t>
      </w:r>
      <w:proofErr w:type="spellEnd"/>
      <w:r w:rsidRPr="0087087F">
        <w:rPr>
          <w:szCs w:val="24"/>
          <w:lang w:val="es-MX"/>
        </w:rPr>
        <w:t xml:space="preserve"> que </w:t>
      </w:r>
      <w:proofErr w:type="spellStart"/>
      <w:r w:rsidRPr="0087087F">
        <w:rPr>
          <w:szCs w:val="24"/>
          <w:lang w:val="es-MX"/>
        </w:rPr>
        <w:t>permaneceram</w:t>
      </w:r>
      <w:proofErr w:type="spellEnd"/>
      <w:r w:rsidRPr="0087087F">
        <w:rPr>
          <w:szCs w:val="24"/>
          <w:lang w:val="es-MX"/>
        </w:rPr>
        <w:t xml:space="preserve"> no programa durante o ano </w:t>
      </w:r>
      <w:proofErr w:type="spellStart"/>
      <w:r w:rsidRPr="0087087F">
        <w:rPr>
          <w:szCs w:val="24"/>
          <w:lang w:val="es-MX"/>
        </w:rPr>
        <w:t>letivo</w:t>
      </w:r>
      <w:proofErr w:type="spellEnd"/>
      <w:r w:rsidRPr="0087087F">
        <w:rPr>
          <w:szCs w:val="24"/>
          <w:lang w:val="es-MX"/>
        </w:rPr>
        <w:t xml:space="preserve"> de 2024–2025.</w:t>
      </w:r>
    </w:p>
    <w:p w14:paraId="04B77A5E" w14:textId="77777777" w:rsidR="0042041D" w:rsidRPr="0087087F" w:rsidRDefault="0042041D" w:rsidP="0087087F">
      <w:pPr>
        <w:spacing w:after="0" w:line="360" w:lineRule="auto"/>
        <w:jc w:val="both"/>
        <w:rPr>
          <w:szCs w:val="24"/>
          <w:lang w:val="es-MX"/>
        </w:rPr>
      </w:pPr>
      <w:proofErr w:type="spellStart"/>
      <w:r w:rsidRPr="0087087F">
        <w:rPr>
          <w:szCs w:val="24"/>
          <w:lang w:val="es-MX"/>
        </w:rPr>
        <w:t>Foi</w:t>
      </w:r>
      <w:proofErr w:type="spellEnd"/>
      <w:r w:rsidRPr="0087087F">
        <w:rPr>
          <w:szCs w:val="24"/>
          <w:lang w:val="es-MX"/>
        </w:rPr>
        <w:t xml:space="preserve"> </w:t>
      </w:r>
      <w:proofErr w:type="spellStart"/>
      <w:r w:rsidRPr="0087087F">
        <w:rPr>
          <w:szCs w:val="24"/>
          <w:lang w:val="es-MX"/>
        </w:rPr>
        <w:t>empregado</w:t>
      </w:r>
      <w:proofErr w:type="spellEnd"/>
      <w:r w:rsidRPr="0087087F">
        <w:rPr>
          <w:szCs w:val="24"/>
          <w:lang w:val="es-MX"/>
        </w:rPr>
        <w:t xml:space="preserve"> </w:t>
      </w:r>
      <w:proofErr w:type="spellStart"/>
      <w:r w:rsidRPr="0087087F">
        <w:rPr>
          <w:szCs w:val="24"/>
          <w:lang w:val="es-MX"/>
        </w:rPr>
        <w:t>um</w:t>
      </w:r>
      <w:proofErr w:type="spellEnd"/>
      <w:r w:rsidRPr="0087087F">
        <w:rPr>
          <w:szCs w:val="24"/>
          <w:lang w:val="es-MX"/>
        </w:rPr>
        <w:t xml:space="preserve"> delineamento </w:t>
      </w:r>
      <w:proofErr w:type="spellStart"/>
      <w:r w:rsidRPr="0087087F">
        <w:rPr>
          <w:szCs w:val="24"/>
          <w:lang w:val="es-MX"/>
        </w:rPr>
        <w:t>quantitativo</w:t>
      </w:r>
      <w:proofErr w:type="spellEnd"/>
      <w:r w:rsidRPr="0087087F">
        <w:rPr>
          <w:szCs w:val="24"/>
          <w:lang w:val="es-MX"/>
        </w:rPr>
        <w:t xml:space="preserve">, transversal e </w:t>
      </w:r>
      <w:proofErr w:type="spellStart"/>
      <w:r w:rsidRPr="0087087F">
        <w:rPr>
          <w:szCs w:val="24"/>
          <w:lang w:val="es-MX"/>
        </w:rPr>
        <w:t>descritivo</w:t>
      </w:r>
      <w:proofErr w:type="spellEnd"/>
      <w:r w:rsidRPr="0087087F">
        <w:rPr>
          <w:szCs w:val="24"/>
          <w:lang w:val="es-MX"/>
        </w:rPr>
        <w:t xml:space="preserve">. A </w:t>
      </w:r>
      <w:proofErr w:type="spellStart"/>
      <w:r w:rsidRPr="0087087F">
        <w:rPr>
          <w:szCs w:val="24"/>
          <w:lang w:val="es-MX"/>
        </w:rPr>
        <w:t>amostra</w:t>
      </w:r>
      <w:proofErr w:type="spellEnd"/>
      <w:r w:rsidRPr="0087087F">
        <w:rPr>
          <w:szCs w:val="24"/>
          <w:lang w:val="es-MX"/>
        </w:rPr>
        <w:t xml:space="preserve"> </w:t>
      </w:r>
      <w:proofErr w:type="spellStart"/>
      <w:r w:rsidRPr="0087087F">
        <w:rPr>
          <w:szCs w:val="24"/>
          <w:lang w:val="es-MX"/>
        </w:rPr>
        <w:t>foi</w:t>
      </w:r>
      <w:proofErr w:type="spellEnd"/>
      <w:r w:rsidRPr="0087087F">
        <w:rPr>
          <w:szCs w:val="24"/>
          <w:lang w:val="es-MX"/>
        </w:rPr>
        <w:t xml:space="preserve"> composta por 11 </w:t>
      </w:r>
      <w:proofErr w:type="spellStart"/>
      <w:r w:rsidRPr="0087087F">
        <w:rPr>
          <w:szCs w:val="24"/>
          <w:lang w:val="es-MX"/>
        </w:rPr>
        <w:t>estudantes</w:t>
      </w:r>
      <w:proofErr w:type="spellEnd"/>
      <w:r w:rsidRPr="0087087F">
        <w:rPr>
          <w:szCs w:val="24"/>
          <w:lang w:val="es-MX"/>
        </w:rPr>
        <w:t xml:space="preserve"> </w:t>
      </w:r>
      <w:proofErr w:type="spellStart"/>
      <w:r w:rsidRPr="0087087F">
        <w:rPr>
          <w:szCs w:val="24"/>
          <w:lang w:val="es-MX"/>
        </w:rPr>
        <w:t>com</w:t>
      </w:r>
      <w:proofErr w:type="spellEnd"/>
      <w:r w:rsidRPr="0087087F">
        <w:rPr>
          <w:szCs w:val="24"/>
          <w:lang w:val="es-MX"/>
        </w:rPr>
        <w:t xml:space="preserve"> </w:t>
      </w:r>
      <w:proofErr w:type="spellStart"/>
      <w:r w:rsidRPr="0087087F">
        <w:rPr>
          <w:szCs w:val="24"/>
          <w:lang w:val="es-MX"/>
        </w:rPr>
        <w:t>idades</w:t>
      </w:r>
      <w:proofErr w:type="spellEnd"/>
      <w:r w:rsidRPr="0087087F">
        <w:rPr>
          <w:szCs w:val="24"/>
          <w:lang w:val="es-MX"/>
        </w:rPr>
        <w:t xml:space="preserve"> entre 10 e 12 </w:t>
      </w:r>
      <w:proofErr w:type="spellStart"/>
      <w:r w:rsidRPr="0087087F">
        <w:rPr>
          <w:szCs w:val="24"/>
          <w:lang w:val="es-MX"/>
        </w:rPr>
        <w:t>anos</w:t>
      </w:r>
      <w:proofErr w:type="spellEnd"/>
      <w:r w:rsidRPr="0087087F">
        <w:rPr>
          <w:szCs w:val="24"/>
          <w:lang w:val="es-MX"/>
        </w:rPr>
        <w:t xml:space="preserve">. Para esta pesquisa, </w:t>
      </w:r>
      <w:proofErr w:type="spellStart"/>
      <w:r w:rsidRPr="0087087F">
        <w:rPr>
          <w:szCs w:val="24"/>
          <w:lang w:val="es-MX"/>
        </w:rPr>
        <w:t>foi</w:t>
      </w:r>
      <w:proofErr w:type="spellEnd"/>
      <w:r w:rsidRPr="0087087F">
        <w:rPr>
          <w:szCs w:val="24"/>
          <w:lang w:val="es-MX"/>
        </w:rPr>
        <w:t xml:space="preserve"> aplicada a Escala de </w:t>
      </w:r>
      <w:proofErr w:type="spellStart"/>
      <w:r w:rsidRPr="0087087F">
        <w:rPr>
          <w:szCs w:val="24"/>
          <w:lang w:val="es-MX"/>
        </w:rPr>
        <w:t>Inteligência</w:t>
      </w:r>
      <w:proofErr w:type="spellEnd"/>
      <w:r w:rsidRPr="0087087F">
        <w:rPr>
          <w:szCs w:val="24"/>
          <w:lang w:val="es-MX"/>
        </w:rPr>
        <w:t xml:space="preserve"> de Reynolds (RIAS), por </w:t>
      </w:r>
      <w:proofErr w:type="spellStart"/>
      <w:r w:rsidRPr="0087087F">
        <w:rPr>
          <w:szCs w:val="24"/>
          <w:lang w:val="es-MX"/>
        </w:rPr>
        <w:t>meio</w:t>
      </w:r>
      <w:proofErr w:type="spellEnd"/>
      <w:r w:rsidRPr="0087087F">
        <w:rPr>
          <w:szCs w:val="24"/>
          <w:lang w:val="es-MX"/>
        </w:rPr>
        <w:t xml:space="preserve"> da </w:t>
      </w:r>
      <w:proofErr w:type="spellStart"/>
      <w:r w:rsidRPr="0087087F">
        <w:rPr>
          <w:szCs w:val="24"/>
          <w:lang w:val="es-MX"/>
        </w:rPr>
        <w:t>qual</w:t>
      </w:r>
      <w:proofErr w:type="spellEnd"/>
      <w:r w:rsidRPr="0087087F">
        <w:rPr>
          <w:szCs w:val="24"/>
          <w:lang w:val="es-MX"/>
        </w:rPr>
        <w:t xml:space="preserve"> </w:t>
      </w:r>
      <w:proofErr w:type="spellStart"/>
      <w:r w:rsidRPr="0087087F">
        <w:rPr>
          <w:szCs w:val="24"/>
          <w:lang w:val="es-MX"/>
        </w:rPr>
        <w:t>foram</w:t>
      </w:r>
      <w:proofErr w:type="spellEnd"/>
      <w:r w:rsidRPr="0087087F">
        <w:rPr>
          <w:szCs w:val="24"/>
          <w:lang w:val="es-MX"/>
        </w:rPr>
        <w:t xml:space="preserve"> </w:t>
      </w:r>
      <w:proofErr w:type="spellStart"/>
      <w:r w:rsidRPr="0087087F">
        <w:rPr>
          <w:szCs w:val="24"/>
          <w:lang w:val="es-MX"/>
        </w:rPr>
        <w:t>obtidos</w:t>
      </w:r>
      <w:proofErr w:type="spellEnd"/>
      <w:r w:rsidRPr="0087087F">
        <w:rPr>
          <w:szCs w:val="24"/>
          <w:lang w:val="es-MX"/>
        </w:rPr>
        <w:t xml:space="preserve"> os índices de </w:t>
      </w:r>
      <w:proofErr w:type="spellStart"/>
      <w:r w:rsidRPr="0087087F">
        <w:rPr>
          <w:szCs w:val="24"/>
          <w:lang w:val="es-MX"/>
        </w:rPr>
        <w:t>Inteligência</w:t>
      </w:r>
      <w:proofErr w:type="spellEnd"/>
      <w:r w:rsidRPr="0087087F">
        <w:rPr>
          <w:szCs w:val="24"/>
          <w:lang w:val="es-MX"/>
        </w:rPr>
        <w:t xml:space="preserve"> </w:t>
      </w:r>
      <w:proofErr w:type="spellStart"/>
      <w:r w:rsidRPr="0087087F">
        <w:rPr>
          <w:szCs w:val="24"/>
          <w:lang w:val="es-MX"/>
        </w:rPr>
        <w:t>Geral</w:t>
      </w:r>
      <w:proofErr w:type="spellEnd"/>
      <w:r w:rsidRPr="0087087F">
        <w:rPr>
          <w:szCs w:val="24"/>
          <w:lang w:val="es-MX"/>
        </w:rPr>
        <w:t xml:space="preserve"> (IG). Os resultados </w:t>
      </w:r>
      <w:proofErr w:type="spellStart"/>
      <w:r w:rsidRPr="0087087F">
        <w:rPr>
          <w:szCs w:val="24"/>
          <w:lang w:val="es-MX"/>
        </w:rPr>
        <w:t>descritivos</w:t>
      </w:r>
      <w:proofErr w:type="spellEnd"/>
      <w:r w:rsidRPr="0087087F">
        <w:rPr>
          <w:szCs w:val="24"/>
          <w:lang w:val="es-MX"/>
        </w:rPr>
        <w:t xml:space="preserve"> </w:t>
      </w:r>
      <w:proofErr w:type="spellStart"/>
      <w:r w:rsidRPr="0087087F">
        <w:rPr>
          <w:szCs w:val="24"/>
          <w:lang w:val="es-MX"/>
        </w:rPr>
        <w:t>indicaram</w:t>
      </w:r>
      <w:proofErr w:type="spellEnd"/>
      <w:r w:rsidRPr="0087087F">
        <w:rPr>
          <w:szCs w:val="24"/>
          <w:lang w:val="es-MX"/>
        </w:rPr>
        <w:t xml:space="preserve"> que as </w:t>
      </w:r>
      <w:proofErr w:type="spellStart"/>
      <w:r w:rsidRPr="0087087F">
        <w:rPr>
          <w:szCs w:val="24"/>
          <w:lang w:val="es-MX"/>
        </w:rPr>
        <w:t>pontuações</w:t>
      </w:r>
      <w:proofErr w:type="spellEnd"/>
      <w:r w:rsidRPr="0087087F">
        <w:rPr>
          <w:szCs w:val="24"/>
          <w:lang w:val="es-MX"/>
        </w:rPr>
        <w:t xml:space="preserve"> dos participantes </w:t>
      </w:r>
      <w:proofErr w:type="spellStart"/>
      <w:r w:rsidRPr="0087087F">
        <w:rPr>
          <w:szCs w:val="24"/>
          <w:lang w:val="es-MX"/>
        </w:rPr>
        <w:t>situaram</w:t>
      </w:r>
      <w:proofErr w:type="spellEnd"/>
      <w:r w:rsidRPr="0087087F">
        <w:rPr>
          <w:szCs w:val="24"/>
          <w:lang w:val="es-MX"/>
        </w:rPr>
        <w:t xml:space="preserve">-se dentro do intervalo normativo (IG </w:t>
      </w:r>
      <w:proofErr w:type="spellStart"/>
      <w:r w:rsidRPr="0087087F">
        <w:rPr>
          <w:szCs w:val="24"/>
          <w:lang w:val="es-MX"/>
        </w:rPr>
        <w:t>média</w:t>
      </w:r>
      <w:proofErr w:type="spellEnd"/>
      <w:r w:rsidRPr="0087087F">
        <w:rPr>
          <w:szCs w:val="24"/>
          <w:lang w:val="es-MX"/>
        </w:rPr>
        <w:t xml:space="preserve"> = 103,4; DP = 6,94), de </w:t>
      </w:r>
      <w:proofErr w:type="spellStart"/>
      <w:r w:rsidRPr="0087087F">
        <w:rPr>
          <w:szCs w:val="24"/>
          <w:lang w:val="es-MX"/>
        </w:rPr>
        <w:t>acordo</w:t>
      </w:r>
      <w:proofErr w:type="spellEnd"/>
      <w:r w:rsidRPr="0087087F">
        <w:rPr>
          <w:szCs w:val="24"/>
          <w:lang w:val="es-MX"/>
        </w:rPr>
        <w:t xml:space="preserve"> </w:t>
      </w:r>
      <w:proofErr w:type="spellStart"/>
      <w:r w:rsidRPr="0087087F">
        <w:rPr>
          <w:szCs w:val="24"/>
          <w:lang w:val="es-MX"/>
        </w:rPr>
        <w:t>com</w:t>
      </w:r>
      <w:proofErr w:type="spellEnd"/>
      <w:r w:rsidRPr="0087087F">
        <w:rPr>
          <w:szCs w:val="24"/>
          <w:lang w:val="es-MX"/>
        </w:rPr>
        <w:t xml:space="preserve"> os </w:t>
      </w:r>
      <w:proofErr w:type="spellStart"/>
      <w:r w:rsidRPr="0087087F">
        <w:rPr>
          <w:szCs w:val="24"/>
          <w:lang w:val="es-MX"/>
        </w:rPr>
        <w:t>critérios</w:t>
      </w:r>
      <w:proofErr w:type="spellEnd"/>
      <w:r w:rsidRPr="0087087F">
        <w:rPr>
          <w:szCs w:val="24"/>
          <w:lang w:val="es-MX"/>
        </w:rPr>
        <w:t xml:space="preserve"> </w:t>
      </w:r>
      <w:proofErr w:type="spellStart"/>
      <w:r w:rsidRPr="0087087F">
        <w:rPr>
          <w:szCs w:val="24"/>
          <w:lang w:val="es-MX"/>
        </w:rPr>
        <w:t>padronizados</w:t>
      </w:r>
      <w:proofErr w:type="spellEnd"/>
      <w:r w:rsidRPr="0087087F">
        <w:rPr>
          <w:szCs w:val="24"/>
          <w:lang w:val="es-MX"/>
        </w:rPr>
        <w:t xml:space="preserve"> do instrumento, </w:t>
      </w:r>
      <w:proofErr w:type="spellStart"/>
      <w:r w:rsidRPr="0087087F">
        <w:rPr>
          <w:szCs w:val="24"/>
          <w:lang w:val="es-MX"/>
        </w:rPr>
        <w:t>sugerindo</w:t>
      </w:r>
      <w:proofErr w:type="spellEnd"/>
      <w:r w:rsidRPr="0087087F">
        <w:rPr>
          <w:szCs w:val="24"/>
          <w:lang w:val="es-MX"/>
        </w:rPr>
        <w:t xml:space="preserve"> </w:t>
      </w:r>
      <w:proofErr w:type="spellStart"/>
      <w:r w:rsidRPr="0087087F">
        <w:rPr>
          <w:szCs w:val="24"/>
          <w:lang w:val="es-MX"/>
        </w:rPr>
        <w:t>um</w:t>
      </w:r>
      <w:proofErr w:type="spellEnd"/>
      <w:r w:rsidRPr="0087087F">
        <w:rPr>
          <w:szCs w:val="24"/>
          <w:lang w:val="es-MX"/>
        </w:rPr>
        <w:t xml:space="preserve"> </w:t>
      </w:r>
      <w:proofErr w:type="spellStart"/>
      <w:r w:rsidRPr="0087087F">
        <w:rPr>
          <w:szCs w:val="24"/>
          <w:lang w:val="es-MX"/>
        </w:rPr>
        <w:t>nível</w:t>
      </w:r>
      <w:proofErr w:type="spellEnd"/>
      <w:r w:rsidRPr="0087087F">
        <w:rPr>
          <w:szCs w:val="24"/>
          <w:lang w:val="es-MX"/>
        </w:rPr>
        <w:t xml:space="preserve"> de </w:t>
      </w:r>
      <w:proofErr w:type="spellStart"/>
      <w:r w:rsidRPr="0087087F">
        <w:rPr>
          <w:szCs w:val="24"/>
          <w:lang w:val="es-MX"/>
        </w:rPr>
        <w:t>desenvolvimento</w:t>
      </w:r>
      <w:proofErr w:type="spellEnd"/>
      <w:r w:rsidRPr="0087087F">
        <w:rPr>
          <w:szCs w:val="24"/>
          <w:lang w:val="es-MX"/>
        </w:rPr>
        <w:t xml:space="preserve"> cognitivo </w:t>
      </w:r>
      <w:proofErr w:type="spellStart"/>
      <w:r w:rsidRPr="0087087F">
        <w:rPr>
          <w:szCs w:val="24"/>
          <w:lang w:val="es-MX"/>
        </w:rPr>
        <w:t>compatível</w:t>
      </w:r>
      <w:proofErr w:type="spellEnd"/>
      <w:r w:rsidRPr="0087087F">
        <w:rPr>
          <w:szCs w:val="24"/>
          <w:lang w:val="es-MX"/>
        </w:rPr>
        <w:t xml:space="preserve"> </w:t>
      </w:r>
      <w:proofErr w:type="spellStart"/>
      <w:r w:rsidRPr="0087087F">
        <w:rPr>
          <w:szCs w:val="24"/>
          <w:lang w:val="es-MX"/>
        </w:rPr>
        <w:t>com</w:t>
      </w:r>
      <w:proofErr w:type="spellEnd"/>
      <w:r w:rsidRPr="0087087F">
        <w:rPr>
          <w:szCs w:val="24"/>
          <w:lang w:val="es-MX"/>
        </w:rPr>
        <w:t xml:space="preserve"> </w:t>
      </w:r>
      <w:proofErr w:type="spellStart"/>
      <w:r w:rsidRPr="0087087F">
        <w:rPr>
          <w:szCs w:val="24"/>
          <w:lang w:val="es-MX"/>
        </w:rPr>
        <w:t>sua</w:t>
      </w:r>
      <w:proofErr w:type="spellEnd"/>
      <w:r w:rsidRPr="0087087F">
        <w:rPr>
          <w:szCs w:val="24"/>
          <w:lang w:val="es-MX"/>
        </w:rPr>
        <w:t xml:space="preserve"> </w:t>
      </w:r>
      <w:proofErr w:type="spellStart"/>
      <w:r w:rsidRPr="0087087F">
        <w:rPr>
          <w:szCs w:val="24"/>
          <w:lang w:val="es-MX"/>
        </w:rPr>
        <w:t>faixa</w:t>
      </w:r>
      <w:proofErr w:type="spellEnd"/>
      <w:r w:rsidRPr="0087087F">
        <w:rPr>
          <w:szCs w:val="24"/>
          <w:lang w:val="es-MX"/>
        </w:rPr>
        <w:t xml:space="preserve"> </w:t>
      </w:r>
      <w:proofErr w:type="spellStart"/>
      <w:r w:rsidRPr="0087087F">
        <w:rPr>
          <w:szCs w:val="24"/>
          <w:lang w:val="es-MX"/>
        </w:rPr>
        <w:t>etária</w:t>
      </w:r>
      <w:proofErr w:type="spellEnd"/>
      <w:r w:rsidRPr="0087087F">
        <w:rPr>
          <w:szCs w:val="24"/>
          <w:lang w:val="es-MX"/>
        </w:rPr>
        <w:t>.</w:t>
      </w:r>
    </w:p>
    <w:p w14:paraId="0DDE2DAF" w14:textId="77777777" w:rsidR="0042041D" w:rsidRPr="0087087F" w:rsidRDefault="0042041D" w:rsidP="0087087F">
      <w:pPr>
        <w:spacing w:after="0" w:line="360" w:lineRule="auto"/>
        <w:jc w:val="both"/>
        <w:rPr>
          <w:szCs w:val="24"/>
          <w:lang w:val="es-MX"/>
        </w:rPr>
      </w:pPr>
      <w:proofErr w:type="spellStart"/>
      <w:r w:rsidRPr="0087087F">
        <w:rPr>
          <w:szCs w:val="24"/>
          <w:lang w:val="es-MX"/>
        </w:rPr>
        <w:t>Além</w:t>
      </w:r>
      <w:proofErr w:type="spellEnd"/>
      <w:r w:rsidRPr="0087087F">
        <w:rPr>
          <w:szCs w:val="24"/>
          <w:lang w:val="es-MX"/>
        </w:rPr>
        <w:t xml:space="preserve"> </w:t>
      </w:r>
      <w:proofErr w:type="spellStart"/>
      <w:r w:rsidRPr="0087087F">
        <w:rPr>
          <w:szCs w:val="24"/>
          <w:lang w:val="es-MX"/>
        </w:rPr>
        <w:t>disso</w:t>
      </w:r>
      <w:proofErr w:type="spellEnd"/>
      <w:r w:rsidRPr="0087087F">
        <w:rPr>
          <w:szCs w:val="24"/>
          <w:lang w:val="es-MX"/>
        </w:rPr>
        <w:t xml:space="preserve">, a escala </w:t>
      </w:r>
      <w:proofErr w:type="spellStart"/>
      <w:r w:rsidRPr="0087087F">
        <w:rPr>
          <w:szCs w:val="24"/>
          <w:lang w:val="es-MX"/>
        </w:rPr>
        <w:t>foi</w:t>
      </w:r>
      <w:proofErr w:type="spellEnd"/>
      <w:r w:rsidRPr="0087087F">
        <w:rPr>
          <w:szCs w:val="24"/>
          <w:lang w:val="es-MX"/>
        </w:rPr>
        <w:t xml:space="preserve"> utilizada para avaliar </w:t>
      </w:r>
      <w:proofErr w:type="spellStart"/>
      <w:r w:rsidRPr="0087087F">
        <w:rPr>
          <w:szCs w:val="24"/>
          <w:lang w:val="es-MX"/>
        </w:rPr>
        <w:t>aptidões</w:t>
      </w:r>
      <w:proofErr w:type="spellEnd"/>
      <w:r w:rsidRPr="0087087F">
        <w:rPr>
          <w:szCs w:val="24"/>
          <w:lang w:val="es-MX"/>
        </w:rPr>
        <w:t xml:space="preserve"> lógico-matemáticas, </w:t>
      </w:r>
      <w:proofErr w:type="spellStart"/>
      <w:r w:rsidRPr="0087087F">
        <w:rPr>
          <w:szCs w:val="24"/>
          <w:lang w:val="es-MX"/>
        </w:rPr>
        <w:t>obtendo</w:t>
      </w:r>
      <w:proofErr w:type="spellEnd"/>
      <w:r w:rsidRPr="0087087F">
        <w:rPr>
          <w:szCs w:val="24"/>
          <w:lang w:val="es-MX"/>
        </w:rPr>
        <w:t xml:space="preserve">-se </w:t>
      </w:r>
      <w:proofErr w:type="spellStart"/>
      <w:r w:rsidRPr="0087087F">
        <w:rPr>
          <w:szCs w:val="24"/>
          <w:lang w:val="es-MX"/>
        </w:rPr>
        <w:t>uma</w:t>
      </w:r>
      <w:proofErr w:type="spellEnd"/>
      <w:r w:rsidRPr="0087087F">
        <w:rPr>
          <w:szCs w:val="24"/>
          <w:lang w:val="es-MX"/>
        </w:rPr>
        <w:t xml:space="preserve"> </w:t>
      </w:r>
      <w:proofErr w:type="spellStart"/>
      <w:r w:rsidRPr="0087087F">
        <w:rPr>
          <w:szCs w:val="24"/>
          <w:lang w:val="es-MX"/>
        </w:rPr>
        <w:t>pontuação</w:t>
      </w:r>
      <w:proofErr w:type="spellEnd"/>
      <w:r w:rsidRPr="0087087F">
        <w:rPr>
          <w:szCs w:val="24"/>
          <w:lang w:val="es-MX"/>
        </w:rPr>
        <w:t xml:space="preserve"> </w:t>
      </w:r>
      <w:proofErr w:type="spellStart"/>
      <w:r w:rsidRPr="0087087F">
        <w:rPr>
          <w:szCs w:val="24"/>
          <w:lang w:val="es-MX"/>
        </w:rPr>
        <w:t>média</w:t>
      </w:r>
      <w:proofErr w:type="spellEnd"/>
      <w:r w:rsidRPr="0087087F">
        <w:rPr>
          <w:szCs w:val="24"/>
          <w:lang w:val="es-MX"/>
        </w:rPr>
        <w:t xml:space="preserve"> de 11,27/20 (DP = 3,79). </w:t>
      </w:r>
      <w:proofErr w:type="spellStart"/>
      <w:r w:rsidRPr="0087087F">
        <w:rPr>
          <w:szCs w:val="24"/>
          <w:lang w:val="es-MX"/>
        </w:rPr>
        <w:t>Foi</w:t>
      </w:r>
      <w:proofErr w:type="spellEnd"/>
      <w:r w:rsidRPr="0087087F">
        <w:rPr>
          <w:szCs w:val="24"/>
          <w:lang w:val="es-MX"/>
        </w:rPr>
        <w:t xml:space="preserve"> encontrada </w:t>
      </w:r>
      <w:proofErr w:type="spellStart"/>
      <w:r w:rsidRPr="0087087F">
        <w:rPr>
          <w:szCs w:val="24"/>
          <w:lang w:val="es-MX"/>
        </w:rPr>
        <w:t>uma</w:t>
      </w:r>
      <w:proofErr w:type="spellEnd"/>
      <w:r w:rsidRPr="0087087F">
        <w:rPr>
          <w:szCs w:val="24"/>
          <w:lang w:val="es-MX"/>
        </w:rPr>
        <w:t xml:space="preserve"> </w:t>
      </w:r>
      <w:proofErr w:type="spellStart"/>
      <w:r w:rsidRPr="0087087F">
        <w:rPr>
          <w:szCs w:val="24"/>
          <w:lang w:val="es-MX"/>
        </w:rPr>
        <w:t>correlação</w:t>
      </w:r>
      <w:proofErr w:type="spellEnd"/>
      <w:r w:rsidRPr="0087087F">
        <w:rPr>
          <w:szCs w:val="24"/>
          <w:lang w:val="es-MX"/>
        </w:rPr>
        <w:t xml:space="preserve"> positiva e </w:t>
      </w:r>
      <w:proofErr w:type="spellStart"/>
      <w:r w:rsidRPr="0087087F">
        <w:rPr>
          <w:szCs w:val="24"/>
          <w:lang w:val="es-MX"/>
        </w:rPr>
        <w:t>forte</w:t>
      </w:r>
      <w:proofErr w:type="spellEnd"/>
      <w:r w:rsidRPr="0087087F">
        <w:rPr>
          <w:szCs w:val="24"/>
          <w:lang w:val="es-MX"/>
        </w:rPr>
        <w:t xml:space="preserve"> entre a IG e as </w:t>
      </w:r>
      <w:proofErr w:type="spellStart"/>
      <w:r w:rsidRPr="0087087F">
        <w:rPr>
          <w:szCs w:val="24"/>
          <w:lang w:val="es-MX"/>
        </w:rPr>
        <w:t>aptidões</w:t>
      </w:r>
      <w:proofErr w:type="spellEnd"/>
      <w:r w:rsidRPr="0087087F">
        <w:rPr>
          <w:szCs w:val="24"/>
          <w:lang w:val="es-MX"/>
        </w:rPr>
        <w:t xml:space="preserve"> lógico-matemáticas (r = .75, p &lt; .008). Os resultados </w:t>
      </w:r>
      <w:proofErr w:type="spellStart"/>
      <w:r w:rsidRPr="0087087F">
        <w:rPr>
          <w:szCs w:val="24"/>
          <w:lang w:val="es-MX"/>
        </w:rPr>
        <w:t>indicam</w:t>
      </w:r>
      <w:proofErr w:type="spellEnd"/>
      <w:r w:rsidRPr="0087087F">
        <w:rPr>
          <w:szCs w:val="24"/>
          <w:lang w:val="es-MX"/>
        </w:rPr>
        <w:t xml:space="preserve"> que o modelo de </w:t>
      </w:r>
      <w:proofErr w:type="spellStart"/>
      <w:r w:rsidRPr="0087087F">
        <w:rPr>
          <w:szCs w:val="24"/>
          <w:lang w:val="es-MX"/>
        </w:rPr>
        <w:t>acompanhamento</w:t>
      </w:r>
      <w:proofErr w:type="spellEnd"/>
      <w:r w:rsidRPr="0087087F">
        <w:rPr>
          <w:szCs w:val="24"/>
          <w:lang w:val="es-MX"/>
        </w:rPr>
        <w:t xml:space="preserve"> </w:t>
      </w:r>
      <w:proofErr w:type="spellStart"/>
      <w:r w:rsidRPr="0087087F">
        <w:rPr>
          <w:szCs w:val="24"/>
          <w:lang w:val="es-MX"/>
        </w:rPr>
        <w:t>Peraj</w:t>
      </w:r>
      <w:proofErr w:type="spellEnd"/>
      <w:r w:rsidRPr="0087087F">
        <w:rPr>
          <w:szCs w:val="24"/>
          <w:lang w:val="es-MX"/>
        </w:rPr>
        <w:t xml:space="preserve"> está </w:t>
      </w:r>
      <w:proofErr w:type="spellStart"/>
      <w:r w:rsidRPr="0087087F">
        <w:rPr>
          <w:szCs w:val="24"/>
          <w:lang w:val="es-MX"/>
        </w:rPr>
        <w:t>associado</w:t>
      </w:r>
      <w:proofErr w:type="spellEnd"/>
      <w:r w:rsidRPr="0087087F">
        <w:rPr>
          <w:szCs w:val="24"/>
          <w:lang w:val="es-MX"/>
        </w:rPr>
        <w:t xml:space="preserve"> </w:t>
      </w:r>
      <w:proofErr w:type="spellStart"/>
      <w:r w:rsidRPr="0087087F">
        <w:rPr>
          <w:szCs w:val="24"/>
          <w:lang w:val="es-MX"/>
        </w:rPr>
        <w:t>ao</w:t>
      </w:r>
      <w:proofErr w:type="spellEnd"/>
      <w:r w:rsidRPr="0087087F">
        <w:rPr>
          <w:szCs w:val="24"/>
          <w:lang w:val="es-MX"/>
        </w:rPr>
        <w:t xml:space="preserve"> </w:t>
      </w:r>
      <w:proofErr w:type="spellStart"/>
      <w:r w:rsidRPr="0087087F">
        <w:rPr>
          <w:szCs w:val="24"/>
          <w:lang w:val="es-MX"/>
        </w:rPr>
        <w:t>desenvolvimento</w:t>
      </w:r>
      <w:proofErr w:type="spellEnd"/>
      <w:r w:rsidRPr="0087087F">
        <w:rPr>
          <w:szCs w:val="24"/>
          <w:lang w:val="es-MX"/>
        </w:rPr>
        <w:t xml:space="preserve"> de habilidades cognitivo-</w:t>
      </w:r>
      <w:proofErr w:type="spellStart"/>
      <w:r w:rsidRPr="0087087F">
        <w:rPr>
          <w:szCs w:val="24"/>
          <w:lang w:val="es-MX"/>
        </w:rPr>
        <w:t>acadêmicas</w:t>
      </w:r>
      <w:proofErr w:type="spellEnd"/>
      <w:r w:rsidRPr="0087087F">
        <w:rPr>
          <w:szCs w:val="24"/>
          <w:lang w:val="es-MX"/>
        </w:rPr>
        <w:t xml:space="preserve"> nos </w:t>
      </w:r>
      <w:proofErr w:type="spellStart"/>
      <w:r w:rsidRPr="0087087F">
        <w:rPr>
          <w:szCs w:val="24"/>
          <w:lang w:val="es-MX"/>
        </w:rPr>
        <w:t>estudantes</w:t>
      </w:r>
      <w:proofErr w:type="spellEnd"/>
      <w:r w:rsidRPr="0087087F">
        <w:rPr>
          <w:szCs w:val="24"/>
          <w:lang w:val="es-MX"/>
        </w:rPr>
        <w:t xml:space="preserve">, o que pode </w:t>
      </w:r>
      <w:proofErr w:type="spellStart"/>
      <w:r w:rsidRPr="0087087F">
        <w:rPr>
          <w:szCs w:val="24"/>
          <w:lang w:val="es-MX"/>
        </w:rPr>
        <w:t>refletir</w:t>
      </w:r>
      <w:proofErr w:type="spellEnd"/>
      <w:r w:rsidRPr="0087087F">
        <w:rPr>
          <w:szCs w:val="24"/>
          <w:lang w:val="es-MX"/>
        </w:rPr>
        <w:t xml:space="preserve">-se em </w:t>
      </w:r>
      <w:proofErr w:type="spellStart"/>
      <w:r w:rsidRPr="0087087F">
        <w:rPr>
          <w:szCs w:val="24"/>
          <w:lang w:val="es-MX"/>
        </w:rPr>
        <w:t>um</w:t>
      </w:r>
      <w:proofErr w:type="spellEnd"/>
      <w:r w:rsidRPr="0087087F">
        <w:rPr>
          <w:szCs w:val="24"/>
          <w:lang w:val="es-MX"/>
        </w:rPr>
        <w:t xml:space="preserve"> </w:t>
      </w:r>
      <w:proofErr w:type="spellStart"/>
      <w:r w:rsidRPr="0087087F">
        <w:rPr>
          <w:szCs w:val="24"/>
          <w:lang w:val="es-MX"/>
        </w:rPr>
        <w:t>melhor</w:t>
      </w:r>
      <w:proofErr w:type="spellEnd"/>
      <w:r w:rsidRPr="0087087F">
        <w:rPr>
          <w:szCs w:val="24"/>
          <w:lang w:val="es-MX"/>
        </w:rPr>
        <w:t xml:space="preserve"> </w:t>
      </w:r>
      <w:proofErr w:type="spellStart"/>
      <w:r w:rsidRPr="0087087F">
        <w:rPr>
          <w:szCs w:val="24"/>
          <w:lang w:val="es-MX"/>
        </w:rPr>
        <w:t>desempenho</w:t>
      </w:r>
      <w:proofErr w:type="spellEnd"/>
      <w:r w:rsidRPr="0087087F">
        <w:rPr>
          <w:szCs w:val="24"/>
          <w:lang w:val="es-MX"/>
        </w:rPr>
        <w:t xml:space="preserve"> </w:t>
      </w:r>
      <w:proofErr w:type="spellStart"/>
      <w:r w:rsidRPr="0087087F">
        <w:rPr>
          <w:szCs w:val="24"/>
          <w:lang w:val="es-MX"/>
        </w:rPr>
        <w:t>acadêmico</w:t>
      </w:r>
      <w:proofErr w:type="spellEnd"/>
      <w:r w:rsidRPr="0087087F">
        <w:rPr>
          <w:szCs w:val="24"/>
          <w:lang w:val="es-MX"/>
        </w:rPr>
        <w:t xml:space="preserve">; no </w:t>
      </w:r>
      <w:proofErr w:type="spellStart"/>
      <w:r w:rsidRPr="0087087F">
        <w:rPr>
          <w:szCs w:val="24"/>
          <w:lang w:val="es-MX"/>
        </w:rPr>
        <w:t>entanto</w:t>
      </w:r>
      <w:proofErr w:type="spellEnd"/>
      <w:r w:rsidRPr="0087087F">
        <w:rPr>
          <w:szCs w:val="24"/>
          <w:lang w:val="es-MX"/>
        </w:rPr>
        <w:t xml:space="preserve">, o delineamento transversal </w:t>
      </w:r>
      <w:proofErr w:type="spellStart"/>
      <w:r w:rsidRPr="0087087F">
        <w:rPr>
          <w:szCs w:val="24"/>
          <w:lang w:val="es-MX"/>
        </w:rPr>
        <w:t>não</w:t>
      </w:r>
      <w:proofErr w:type="spellEnd"/>
      <w:r w:rsidRPr="0087087F">
        <w:rPr>
          <w:szCs w:val="24"/>
          <w:lang w:val="es-MX"/>
        </w:rPr>
        <w:t xml:space="preserve"> permite </w:t>
      </w:r>
      <w:proofErr w:type="spellStart"/>
      <w:r w:rsidRPr="0087087F">
        <w:rPr>
          <w:szCs w:val="24"/>
          <w:lang w:val="es-MX"/>
        </w:rPr>
        <w:t>estabelecer</w:t>
      </w:r>
      <w:proofErr w:type="spellEnd"/>
      <w:r w:rsidRPr="0087087F">
        <w:rPr>
          <w:szCs w:val="24"/>
          <w:lang w:val="es-MX"/>
        </w:rPr>
        <w:t xml:space="preserve"> </w:t>
      </w:r>
      <w:proofErr w:type="spellStart"/>
      <w:r w:rsidRPr="0087087F">
        <w:rPr>
          <w:szCs w:val="24"/>
          <w:lang w:val="es-MX"/>
        </w:rPr>
        <w:t>causalidade</w:t>
      </w:r>
      <w:proofErr w:type="spellEnd"/>
      <w:r w:rsidRPr="0087087F">
        <w:rPr>
          <w:szCs w:val="24"/>
          <w:lang w:val="es-MX"/>
        </w:rPr>
        <w:t>.</w:t>
      </w:r>
    </w:p>
    <w:p w14:paraId="6C5324C6" w14:textId="77777777" w:rsidR="00CE7AEB" w:rsidRPr="0087087F" w:rsidRDefault="00E206EB" w:rsidP="0087087F">
      <w:pPr>
        <w:pStyle w:val="NormalWeb"/>
        <w:spacing w:before="0" w:beforeAutospacing="0" w:after="0" w:afterAutospacing="0" w:line="360" w:lineRule="auto"/>
      </w:pPr>
      <w:proofErr w:type="spellStart"/>
      <w:r w:rsidRPr="00A034EA">
        <w:rPr>
          <w:rFonts w:asciiTheme="majorHAnsi" w:hAnsiTheme="majorHAnsi" w:cstheme="majorHAnsi"/>
          <w:b/>
          <w:bCs/>
          <w:spacing w:val="-2"/>
          <w:sz w:val="28"/>
          <w:szCs w:val="28"/>
          <w:lang w:eastAsia="en-US"/>
        </w:rPr>
        <w:t>Palavras</w:t>
      </w:r>
      <w:proofErr w:type="spellEnd"/>
      <w:r w:rsidRPr="00A034EA">
        <w:rPr>
          <w:rFonts w:asciiTheme="majorHAnsi" w:hAnsiTheme="majorHAnsi" w:cstheme="majorHAnsi"/>
          <w:b/>
          <w:bCs/>
          <w:spacing w:val="-2"/>
          <w:sz w:val="28"/>
          <w:szCs w:val="28"/>
          <w:lang w:eastAsia="en-US"/>
        </w:rPr>
        <w:t>-chave:</w:t>
      </w:r>
      <w:r w:rsidRPr="0087087F">
        <w:t xml:space="preserve"> </w:t>
      </w:r>
      <w:proofErr w:type="spellStart"/>
      <w:r w:rsidR="00CE7AEB" w:rsidRPr="0087087F">
        <w:t>aptidão</w:t>
      </w:r>
      <w:proofErr w:type="spellEnd"/>
      <w:r w:rsidR="00CE7AEB" w:rsidRPr="0087087F">
        <w:t xml:space="preserve"> matemática, </w:t>
      </w:r>
      <w:proofErr w:type="spellStart"/>
      <w:r w:rsidR="00CE7AEB" w:rsidRPr="0087087F">
        <w:t>desenvolvimento</w:t>
      </w:r>
      <w:proofErr w:type="spellEnd"/>
      <w:r w:rsidR="00CE7AEB" w:rsidRPr="0087087F">
        <w:t xml:space="preserve"> </w:t>
      </w:r>
      <w:proofErr w:type="spellStart"/>
      <w:r w:rsidR="00CE7AEB" w:rsidRPr="0087087F">
        <w:t>psicossocial</w:t>
      </w:r>
      <w:proofErr w:type="spellEnd"/>
      <w:r w:rsidR="00CE7AEB" w:rsidRPr="0087087F">
        <w:t xml:space="preserve">, </w:t>
      </w:r>
      <w:proofErr w:type="spellStart"/>
      <w:r w:rsidR="00CE7AEB" w:rsidRPr="0087087F">
        <w:t>inteligência</w:t>
      </w:r>
      <w:proofErr w:type="spellEnd"/>
      <w:r w:rsidR="00CE7AEB" w:rsidRPr="0087087F">
        <w:t xml:space="preserve"> </w:t>
      </w:r>
      <w:proofErr w:type="spellStart"/>
      <w:r w:rsidR="00CE7AEB" w:rsidRPr="0087087F">
        <w:t>geral</w:t>
      </w:r>
      <w:proofErr w:type="spellEnd"/>
      <w:r w:rsidR="00CE7AEB" w:rsidRPr="0087087F">
        <w:t xml:space="preserve">, </w:t>
      </w:r>
      <w:proofErr w:type="spellStart"/>
      <w:r w:rsidR="00CE7AEB" w:rsidRPr="0087087F">
        <w:t>mentoria</w:t>
      </w:r>
      <w:proofErr w:type="spellEnd"/>
      <w:r w:rsidR="00CE7AEB" w:rsidRPr="0087087F">
        <w:t xml:space="preserve">, </w:t>
      </w:r>
      <w:proofErr w:type="spellStart"/>
      <w:r w:rsidR="00CE7AEB" w:rsidRPr="0087087F">
        <w:t>Peraj</w:t>
      </w:r>
      <w:proofErr w:type="spellEnd"/>
      <w:r w:rsidR="00CE7AEB" w:rsidRPr="0087087F">
        <w:t>.</w:t>
      </w:r>
    </w:p>
    <w:p w14:paraId="3D738EFF" w14:textId="42F4EE9E" w:rsidR="0087087F" w:rsidRPr="0087087F" w:rsidRDefault="0087087F" w:rsidP="0087087F">
      <w:pPr>
        <w:shd w:val="clear" w:color="auto" w:fill="FFFFFF"/>
        <w:tabs>
          <w:tab w:val="left" w:pos="8647"/>
        </w:tabs>
        <w:spacing w:after="0" w:line="240" w:lineRule="auto"/>
        <w:rPr>
          <w:rFonts w:eastAsiaTheme="minorEastAsia" w:cs="Consolas"/>
          <w:color w:val="000000"/>
          <w:szCs w:val="20"/>
          <w:lang w:val="es-ES" w:eastAsia="es-ES"/>
        </w:rPr>
      </w:pPr>
      <w:r w:rsidRPr="0087087F">
        <w:rPr>
          <w:rFonts w:eastAsiaTheme="minorEastAsia" w:cs="Consolas"/>
          <w:b/>
          <w:color w:val="000000"/>
          <w:szCs w:val="20"/>
          <w:lang w:val="es-ES" w:eastAsia="es-ES"/>
        </w:rPr>
        <w:t xml:space="preserve">Fecha Recepción: </w:t>
      </w:r>
      <w:r w:rsidRPr="0087087F">
        <w:rPr>
          <w:rFonts w:eastAsiaTheme="minorEastAsia" w:cs="Consolas"/>
          <w:color w:val="000000"/>
          <w:szCs w:val="20"/>
          <w:lang w:val="es-ES" w:eastAsia="es-ES"/>
        </w:rPr>
        <w:t xml:space="preserve">Junio 2025                                        </w:t>
      </w:r>
      <w:r w:rsidRPr="0087087F">
        <w:rPr>
          <w:rFonts w:eastAsiaTheme="minorEastAsia" w:cs="Consolas"/>
          <w:b/>
          <w:color w:val="000000"/>
          <w:szCs w:val="20"/>
          <w:lang w:val="es-ES" w:eastAsia="es-ES"/>
        </w:rPr>
        <w:t xml:space="preserve">Fecha Aceptación: </w:t>
      </w:r>
      <w:r w:rsidRPr="0087087F">
        <w:rPr>
          <w:rFonts w:eastAsiaTheme="minorEastAsia" w:cs="Consolas"/>
          <w:color w:val="000000"/>
          <w:szCs w:val="20"/>
          <w:lang w:val="es-ES" w:eastAsia="es-ES"/>
        </w:rPr>
        <w:t>Febrero 2026</w:t>
      </w:r>
    </w:p>
    <w:p w14:paraId="1541A894" w14:textId="77777777" w:rsidR="0087087F" w:rsidRPr="0087087F" w:rsidRDefault="002753CF" w:rsidP="0087087F">
      <w:pPr>
        <w:widowControl w:val="0"/>
        <w:spacing w:after="100" w:afterAutospacing="1" w:line="360" w:lineRule="auto"/>
        <w:ind w:right="38"/>
        <w:contextualSpacing/>
        <w:jc w:val="both"/>
        <w:rPr>
          <w:rFonts w:cs="Times New Roman"/>
          <w:bCs/>
          <w:szCs w:val="24"/>
        </w:rPr>
      </w:pPr>
      <w:r>
        <w:rPr>
          <w:rFonts w:asciiTheme="minorHAnsi" w:hAnsiTheme="minorHAnsi" w:cs="Times New Roman"/>
          <w:noProof/>
          <w:kern w:val="2"/>
          <w:sz w:val="22"/>
          <w:lang w:val="es-MX"/>
        </w:rPr>
        <w:pict w14:anchorId="751EE63C">
          <v:rect id="_x0000_i1025" style="width:441.9pt;height:.05pt" o:hralign="center" o:hrstd="t" o:hr="t" fillcolor="#a0a0a0" stroked="f"/>
        </w:pict>
      </w:r>
    </w:p>
    <w:p w14:paraId="58B3113A" w14:textId="77777777" w:rsidR="002753CF" w:rsidRDefault="002753CF" w:rsidP="0087087F">
      <w:pPr>
        <w:spacing w:after="0" w:line="360" w:lineRule="auto"/>
        <w:jc w:val="center"/>
        <w:rPr>
          <w:rFonts w:cs="Times New Roman"/>
          <w:b/>
          <w:bCs/>
          <w:spacing w:val="-2"/>
          <w:sz w:val="32"/>
          <w:szCs w:val="32"/>
          <w:lang w:val="es-MX"/>
        </w:rPr>
      </w:pPr>
    </w:p>
    <w:p w14:paraId="3EE461DB" w14:textId="2F90950E" w:rsidR="00000007" w:rsidRPr="0087087F" w:rsidRDefault="00396A9A" w:rsidP="0087087F">
      <w:pPr>
        <w:spacing w:after="0" w:line="360" w:lineRule="auto"/>
        <w:jc w:val="center"/>
        <w:rPr>
          <w:rFonts w:cs="Times New Roman"/>
          <w:b/>
          <w:bCs/>
          <w:spacing w:val="-2"/>
          <w:sz w:val="32"/>
          <w:szCs w:val="32"/>
          <w:lang w:val="es-MX"/>
        </w:rPr>
      </w:pPr>
      <w:r w:rsidRPr="0087087F">
        <w:rPr>
          <w:rFonts w:cs="Times New Roman"/>
          <w:b/>
          <w:bCs/>
          <w:spacing w:val="-2"/>
          <w:sz w:val="32"/>
          <w:szCs w:val="32"/>
          <w:lang w:val="es-MX"/>
        </w:rPr>
        <w:lastRenderedPageBreak/>
        <w:t>Introducción</w:t>
      </w:r>
    </w:p>
    <w:p w14:paraId="5002058C" w14:textId="77777777" w:rsidR="002C5D8A" w:rsidRPr="0087087F" w:rsidRDefault="002C5D8A" w:rsidP="0087087F">
      <w:pPr>
        <w:spacing w:after="0" w:line="360" w:lineRule="auto"/>
        <w:ind w:firstLine="720"/>
        <w:jc w:val="both"/>
        <w:rPr>
          <w:lang w:val="es-MX"/>
        </w:rPr>
      </w:pPr>
      <w:r w:rsidRPr="0087087F">
        <w:rPr>
          <w:lang w:val="es-MX"/>
        </w:rPr>
        <w:t>El desarrollo cognitivo en la etapa de educación primaria es un pilar fundamental para el éxito académico y la adaptación social (</w:t>
      </w:r>
      <w:proofErr w:type="spellStart"/>
      <w:r w:rsidRPr="0087087F">
        <w:rPr>
          <w:lang w:val="es-MX"/>
        </w:rPr>
        <w:t>Vigotsky</w:t>
      </w:r>
      <w:proofErr w:type="spellEnd"/>
      <w:r w:rsidRPr="0087087F">
        <w:rPr>
          <w:lang w:val="es-MX"/>
        </w:rPr>
        <w:t xml:space="preserve">, 1978; Castillo, 2024). Durante este periodo, se consolidan habilidades como el pensamiento, el razonamiento lógico y la resolución de problemas, las cuales constituyen la base para aprendizajes más complejos. </w:t>
      </w:r>
    </w:p>
    <w:p w14:paraId="277E8C21" w14:textId="3B4A78E7" w:rsidR="002C5D8A" w:rsidRPr="0087087F" w:rsidRDefault="002C5D8A" w:rsidP="0087087F">
      <w:pPr>
        <w:spacing w:after="0" w:line="360" w:lineRule="auto"/>
        <w:ind w:firstLine="720"/>
        <w:jc w:val="both"/>
        <w:rPr>
          <w:lang w:val="es-MX"/>
        </w:rPr>
      </w:pPr>
      <w:r w:rsidRPr="0087087F">
        <w:rPr>
          <w:lang w:val="es-MX"/>
        </w:rPr>
        <w:t>En este contexto, las aptitudes matemáticas adquieren especial relevancia dentro del proceso educativo, ya que no solo implican el manejo de conceptos numéricos, sino que también favorecen el desarrollo del pensamiento lógico y la resolución de problemas en diversos ámbitos; además, actúan como un indicador de la inteligencia y del análisis (</w:t>
      </w:r>
      <w:proofErr w:type="spellStart"/>
      <w:r w:rsidRPr="0087087F">
        <w:rPr>
          <w:lang w:val="es-MX"/>
        </w:rPr>
        <w:t>Nistal</w:t>
      </w:r>
      <w:proofErr w:type="spellEnd"/>
      <w:r w:rsidRPr="0087087F">
        <w:rPr>
          <w:lang w:val="es-MX"/>
        </w:rPr>
        <w:t xml:space="preserve"> et al., 2018). Por lo tanto, el presente estudio tiene como propósito mejorar el rendimiento escolar de los estudiantes y fortalecer sus competencias específicas desde una perspectiva integral.</w:t>
      </w:r>
    </w:p>
    <w:p w14:paraId="77FE0BDB" w14:textId="2A56B538" w:rsidR="00AD7A6E" w:rsidRPr="0087087F" w:rsidRDefault="00AD7A6E" w:rsidP="0087087F">
      <w:pPr>
        <w:spacing w:after="0" w:line="360" w:lineRule="auto"/>
        <w:ind w:firstLine="720"/>
        <w:jc w:val="both"/>
        <w:rPr>
          <w:lang w:val="es-MX"/>
        </w:rPr>
      </w:pPr>
      <w:r w:rsidRPr="0087087F">
        <w:rPr>
          <w:lang w:val="es-MX"/>
        </w:rPr>
        <w:t xml:space="preserve">En este contexto, el programa </w:t>
      </w:r>
      <w:proofErr w:type="spellStart"/>
      <w:r w:rsidRPr="0087087F">
        <w:rPr>
          <w:lang w:val="es-MX"/>
        </w:rPr>
        <w:t>Peraj</w:t>
      </w:r>
      <w:proofErr w:type="spellEnd"/>
      <w:r w:rsidRPr="0087087F">
        <w:rPr>
          <w:lang w:val="es-MX"/>
        </w:rPr>
        <w:t xml:space="preserve"> es una iniciativa de alto impacto social basada en la mentoría de estudiantes universitarios, quienes apoyan a niños de educación primaria mediante un proceso estructurado y continuo orientado al fortalecimiento académico y socioemocional (</w:t>
      </w:r>
      <w:proofErr w:type="spellStart"/>
      <w:r w:rsidRPr="0087087F">
        <w:rPr>
          <w:lang w:val="es-MX"/>
        </w:rPr>
        <w:t>Peraj</w:t>
      </w:r>
      <w:proofErr w:type="spellEnd"/>
      <w:r w:rsidRPr="0087087F">
        <w:rPr>
          <w:lang w:val="es-MX"/>
        </w:rPr>
        <w:t>, 2020; Ortiz et al., 2023).</w:t>
      </w:r>
    </w:p>
    <w:p w14:paraId="73875863" w14:textId="33FC5E97" w:rsidR="00575CB6" w:rsidRPr="0087087F" w:rsidRDefault="00575CB6" w:rsidP="0087087F">
      <w:pPr>
        <w:spacing w:after="0" w:line="360" w:lineRule="auto"/>
        <w:ind w:firstLine="720"/>
        <w:jc w:val="both"/>
        <w:rPr>
          <w:lang w:val="es-MX"/>
        </w:rPr>
      </w:pPr>
      <w:r w:rsidRPr="0087087F">
        <w:rPr>
          <w:lang w:val="es-MX"/>
        </w:rPr>
        <w:t>El modelo se basa en la mentoría personalizada, en la cual se promueve el desarrollo de la autoestima, la motivación intrínseca y las herramientas necesarias para la autogestión del aprendizaje. La Universidad Politécnica de Tulancingo (UPT) forma parte activa de esta red de instituciones, implementando el programa como una estrategia de vinculación que busca reducir la deserción escolar y fomentar la interacción social.</w:t>
      </w:r>
    </w:p>
    <w:p w14:paraId="342C7FF2" w14:textId="5FEC4E86" w:rsidR="00097906" w:rsidRPr="0087087F" w:rsidRDefault="00CE3448" w:rsidP="0087087F">
      <w:pPr>
        <w:spacing w:after="0" w:line="360" w:lineRule="auto"/>
        <w:ind w:firstLine="720"/>
        <w:jc w:val="both"/>
        <w:rPr>
          <w:rFonts w:cs="Times New Roman"/>
          <w:szCs w:val="24"/>
          <w:lang w:val="es-MX"/>
        </w:rPr>
      </w:pPr>
      <w:r w:rsidRPr="0087087F">
        <w:rPr>
          <w:rFonts w:cs="Times New Roman"/>
          <w:szCs w:val="24"/>
          <w:lang w:val="es-MX"/>
        </w:rPr>
        <w:t>L</w:t>
      </w:r>
      <w:r w:rsidR="00D94668" w:rsidRPr="0087087F">
        <w:rPr>
          <w:rFonts w:cs="Times New Roman"/>
          <w:szCs w:val="24"/>
          <w:lang w:val="es-MX"/>
        </w:rPr>
        <w:t xml:space="preserve">a literatura </w:t>
      </w:r>
      <w:r w:rsidR="002E5468" w:rsidRPr="0087087F">
        <w:rPr>
          <w:rFonts w:cs="Times New Roman"/>
          <w:szCs w:val="24"/>
          <w:lang w:val="es-MX"/>
        </w:rPr>
        <w:t>reporta</w:t>
      </w:r>
      <w:r w:rsidR="00D94668" w:rsidRPr="0087087F">
        <w:rPr>
          <w:rFonts w:cs="Times New Roman"/>
          <w:szCs w:val="24"/>
          <w:lang w:val="es-MX"/>
        </w:rPr>
        <w:t xml:space="preserve"> la eficacia de los programas de mentoría, </w:t>
      </w:r>
      <w:r w:rsidRPr="0087087F">
        <w:rPr>
          <w:rFonts w:cs="Times New Roman"/>
          <w:szCs w:val="24"/>
          <w:lang w:val="es-MX"/>
        </w:rPr>
        <w:t xml:space="preserve">sin embargo, </w:t>
      </w:r>
      <w:r w:rsidR="00D94668" w:rsidRPr="0087087F">
        <w:rPr>
          <w:rFonts w:cs="Times New Roman"/>
          <w:szCs w:val="24"/>
          <w:lang w:val="es-MX"/>
        </w:rPr>
        <w:t>es necesario realizar una cuantificación precisa de los beneficios en poblaciones específicas y bajo modelos de intervención concretos como el de la UPT. Este estudio busca avanzar en esta dirección, empleando una aproximación empírica. El propósito no es validar un instrumento, sino cuantificar y describir el perfil de habilidades cognitivas y académicas de los niños que han sido beneficiarios de la intervención</w:t>
      </w:r>
      <w:r w:rsidRPr="0087087F">
        <w:rPr>
          <w:rFonts w:cs="Times New Roman"/>
          <w:szCs w:val="24"/>
          <w:lang w:val="es-MX"/>
        </w:rPr>
        <w:t xml:space="preserve"> del programa</w:t>
      </w:r>
      <w:r w:rsidR="00D94668" w:rsidRPr="0087087F">
        <w:rPr>
          <w:rFonts w:cs="Times New Roman"/>
          <w:szCs w:val="24"/>
          <w:lang w:val="es-MX"/>
        </w:rPr>
        <w:t xml:space="preserve">. </w:t>
      </w:r>
    </w:p>
    <w:p w14:paraId="0F7A9CDD" w14:textId="0696C4AB" w:rsidR="002E5468" w:rsidRPr="0087087F" w:rsidRDefault="002E5468" w:rsidP="0087087F">
      <w:pPr>
        <w:spacing w:after="0" w:line="360" w:lineRule="auto"/>
        <w:ind w:firstLine="720"/>
        <w:jc w:val="both"/>
        <w:rPr>
          <w:lang w:val="es-MX"/>
        </w:rPr>
      </w:pPr>
      <w:r w:rsidRPr="0087087F">
        <w:rPr>
          <w:lang w:val="es-MX"/>
        </w:rPr>
        <w:t xml:space="preserve">Al conocer el nivel actual de su inteligencia general (IG) mediante la aplicación de los índices y subpruebas de la escala RIAS, así como su rendimiento en las aptitudes matemáticas, es posible evaluar el impacto que el programa </w:t>
      </w:r>
      <w:proofErr w:type="spellStart"/>
      <w:r w:rsidRPr="0087087F">
        <w:rPr>
          <w:lang w:val="es-MX"/>
        </w:rPr>
        <w:t>Peraj</w:t>
      </w:r>
      <w:proofErr w:type="spellEnd"/>
      <w:r w:rsidRPr="0087087F">
        <w:rPr>
          <w:lang w:val="es-MX"/>
        </w:rPr>
        <w:t xml:space="preserve"> ha tenido en la consolidación de sus habilidades fundamentales</w:t>
      </w:r>
      <w:r w:rsidR="00AE244C" w:rsidRPr="0087087F">
        <w:rPr>
          <w:lang w:val="es-MX"/>
        </w:rPr>
        <w:t xml:space="preserve"> (Reynolds &amp; </w:t>
      </w:r>
      <w:proofErr w:type="spellStart"/>
      <w:r w:rsidR="00AE244C" w:rsidRPr="0087087F">
        <w:rPr>
          <w:lang w:val="es-MX"/>
        </w:rPr>
        <w:t>Kamphaus</w:t>
      </w:r>
      <w:proofErr w:type="spellEnd"/>
      <w:r w:rsidR="00AE244C" w:rsidRPr="0087087F">
        <w:rPr>
          <w:lang w:val="es-MX"/>
        </w:rPr>
        <w:t xml:space="preserve">, 2003; </w:t>
      </w:r>
      <w:proofErr w:type="spellStart"/>
      <w:r w:rsidR="00AE244C" w:rsidRPr="0087087F">
        <w:rPr>
          <w:lang w:val="es-MX"/>
        </w:rPr>
        <w:t>Tabiani</w:t>
      </w:r>
      <w:proofErr w:type="spellEnd"/>
      <w:r w:rsidR="00AE244C" w:rsidRPr="0087087F">
        <w:rPr>
          <w:lang w:val="es-MX"/>
        </w:rPr>
        <w:t xml:space="preserve"> </w:t>
      </w:r>
      <w:proofErr w:type="spellStart"/>
      <w:r w:rsidR="00AE244C" w:rsidRPr="0087087F">
        <w:rPr>
          <w:lang w:val="es-MX"/>
        </w:rPr>
        <w:t>Nian</w:t>
      </w:r>
      <w:proofErr w:type="spellEnd"/>
      <w:r w:rsidR="00AE244C" w:rsidRPr="0087087F">
        <w:rPr>
          <w:lang w:val="es-MX"/>
        </w:rPr>
        <w:t xml:space="preserve"> et al., 2024)</w:t>
      </w:r>
      <w:r w:rsidRPr="0087087F">
        <w:rPr>
          <w:lang w:val="es-MX"/>
        </w:rPr>
        <w:t>.</w:t>
      </w:r>
    </w:p>
    <w:p w14:paraId="6BADD379" w14:textId="3E1F4126" w:rsidR="00B27102" w:rsidRDefault="008C5E49" w:rsidP="0087087F">
      <w:pPr>
        <w:spacing w:after="0" w:line="360" w:lineRule="auto"/>
        <w:ind w:firstLine="720"/>
        <w:jc w:val="both"/>
        <w:rPr>
          <w:lang w:val="es-MX"/>
        </w:rPr>
      </w:pPr>
      <w:r w:rsidRPr="0087087F">
        <w:rPr>
          <w:lang w:val="es-MX"/>
        </w:rPr>
        <w:lastRenderedPageBreak/>
        <w:t xml:space="preserve">De acuerdo con lo anterior, el objetivo de esta investigación es: 1) establecer el perfil cognitivo (IG) de los estudiantes de primaria participantes en el programa </w:t>
      </w:r>
      <w:proofErr w:type="spellStart"/>
      <w:r w:rsidRPr="0087087F">
        <w:rPr>
          <w:lang w:val="es-MX"/>
        </w:rPr>
        <w:t>Peraj</w:t>
      </w:r>
      <w:proofErr w:type="spellEnd"/>
      <w:r w:rsidRPr="0087087F">
        <w:rPr>
          <w:lang w:val="es-MX"/>
        </w:rPr>
        <w:t xml:space="preserve"> en la Universidad Politécnica de Tulancingo; y 2) determinar el nivel de las aptitudes matemáticas de la población, analizando la relación entre las variables cognitivas y el rendimiento académico.</w:t>
      </w:r>
    </w:p>
    <w:p w14:paraId="08F594B3" w14:textId="77777777" w:rsidR="002753CF" w:rsidRPr="0087087F" w:rsidRDefault="002753CF" w:rsidP="0087087F">
      <w:pPr>
        <w:spacing w:after="0" w:line="360" w:lineRule="auto"/>
        <w:ind w:firstLine="720"/>
        <w:jc w:val="both"/>
        <w:rPr>
          <w:rFonts w:cs="Times New Roman"/>
          <w:szCs w:val="24"/>
          <w:lang w:val="es-MX"/>
        </w:rPr>
      </w:pPr>
    </w:p>
    <w:p w14:paraId="26C4A8D6" w14:textId="42CEB673" w:rsidR="00CC43F6" w:rsidRPr="0087087F" w:rsidRDefault="00CC43F6" w:rsidP="0087087F">
      <w:pPr>
        <w:spacing w:after="0" w:line="360" w:lineRule="auto"/>
        <w:jc w:val="center"/>
        <w:rPr>
          <w:rFonts w:cs="Times New Roman"/>
          <w:b/>
          <w:bCs/>
          <w:sz w:val="28"/>
          <w:szCs w:val="28"/>
          <w:lang w:val="es-MX"/>
        </w:rPr>
      </w:pPr>
      <w:r w:rsidRPr="0087087F">
        <w:rPr>
          <w:rFonts w:cs="Times New Roman"/>
          <w:b/>
          <w:bCs/>
          <w:sz w:val="28"/>
          <w:szCs w:val="28"/>
          <w:lang w:val="es-MX"/>
        </w:rPr>
        <w:t>Marco Teórico</w:t>
      </w:r>
    </w:p>
    <w:p w14:paraId="1F21C8F1" w14:textId="77777777" w:rsidR="008C5E49" w:rsidRPr="0087087F" w:rsidRDefault="008C5E49" w:rsidP="0087087F">
      <w:pPr>
        <w:spacing w:after="0" w:line="360" w:lineRule="auto"/>
        <w:ind w:firstLine="720"/>
        <w:jc w:val="both"/>
        <w:rPr>
          <w:lang w:val="es-MX"/>
        </w:rPr>
      </w:pPr>
      <w:r w:rsidRPr="0087087F">
        <w:rPr>
          <w:lang w:val="es-MX"/>
        </w:rPr>
        <w:t xml:space="preserve">Los estudiantes de 10 a 12 años se encuentran en un periodo crítico del desarrollo cognitivo, asociado con la transición hacia las operaciones formales según la teoría de Piaget (Piaget, 1964). No obstante, es importante considerar que este proceso no ocurre de manera uniforme en todos los estudiantes. Durante esta etapa, se fortalecen habilidades como el pensamiento abstracto, el razonamiento hipotético-deductivo y el procesamiento de la información, las cuales inciden en el rendimiento académico. </w:t>
      </w:r>
    </w:p>
    <w:p w14:paraId="25E0F975" w14:textId="056E5AFF" w:rsidR="008C5E49" w:rsidRPr="0087087F" w:rsidRDefault="008C5E49" w:rsidP="0087087F">
      <w:pPr>
        <w:spacing w:after="0" w:line="360" w:lineRule="auto"/>
        <w:ind w:firstLine="720"/>
        <w:jc w:val="both"/>
        <w:rPr>
          <w:rFonts w:cs="Times New Roman"/>
          <w:szCs w:val="24"/>
          <w:lang w:val="es-MX"/>
        </w:rPr>
      </w:pPr>
      <w:r w:rsidRPr="0087087F">
        <w:rPr>
          <w:lang w:val="es-MX"/>
        </w:rPr>
        <w:t xml:space="preserve">En particular, las habilidades matemáticas adquieren mayor complejidad, ya que requieren no solo la memorización de procedimientos, sino también el uso de la lógica, el razonamiento cuantitativo y la capacidad de abstracción para la resolución de problemas (Montañez Romero &amp; Beltrán de la Rosa, 2022). El desarrollo cognitivo constituye la base necesaria para la adquisición de habilidades académicas, al proporcionar los procesos mentales que permiten a los estudiantes comprender y construir nuevos aprendizajes de manera efectiva. En este sentido, programas de intervención como </w:t>
      </w:r>
      <w:proofErr w:type="spellStart"/>
      <w:r w:rsidRPr="0087087F">
        <w:rPr>
          <w:lang w:val="es-MX"/>
        </w:rPr>
        <w:t>Peraj</w:t>
      </w:r>
      <w:proofErr w:type="spellEnd"/>
      <w:r w:rsidRPr="0087087F">
        <w:rPr>
          <w:lang w:val="es-MX"/>
        </w:rPr>
        <w:t xml:space="preserve"> pueden contribuir al fortalecimiento de estas habilidades mediante estrategias de mentoría que favorecen el desarrollo integral del estudiante.</w:t>
      </w:r>
    </w:p>
    <w:p w14:paraId="66922368" w14:textId="21D4AB81" w:rsidR="00A97856" w:rsidRPr="0087087F" w:rsidRDefault="00A97856" w:rsidP="0087087F">
      <w:pPr>
        <w:spacing w:after="0" w:line="360" w:lineRule="auto"/>
        <w:ind w:firstLine="720"/>
        <w:jc w:val="both"/>
        <w:rPr>
          <w:rFonts w:cs="Times New Roman"/>
          <w:szCs w:val="24"/>
          <w:lang w:val="es-MX"/>
        </w:rPr>
      </w:pPr>
      <w:r w:rsidRPr="0087087F">
        <w:rPr>
          <w:lang w:val="es-MX"/>
        </w:rPr>
        <w:t xml:space="preserve">El estudio de la inteligencia, entendida como la capacidad general para aprender, razonar y adaptarse a nuevas situaciones (Romero &amp; De la Rosa, 2022), es fundamental para evaluar el potencial de aprendizaje de un estudiante. La escala RIAS es una herramienta psicométrica diseñada bajo modelos factoriales que permite la evaluación rápida y precisa de la inteligencia general (IG) en niños, adolescentes y adultos (Reynolds &amp; </w:t>
      </w:r>
      <w:proofErr w:type="spellStart"/>
      <w:r w:rsidRPr="0087087F">
        <w:rPr>
          <w:lang w:val="es-MX"/>
        </w:rPr>
        <w:t>Kamphaus</w:t>
      </w:r>
      <w:proofErr w:type="spellEnd"/>
      <w:r w:rsidRPr="0087087F">
        <w:rPr>
          <w:lang w:val="es-MX"/>
        </w:rPr>
        <w:t xml:space="preserve">, 2003). El uso de RIAS en el presente estudio permite establecer un perfil cognitivo de los participantes en </w:t>
      </w:r>
      <w:proofErr w:type="spellStart"/>
      <w:r w:rsidRPr="0087087F">
        <w:rPr>
          <w:lang w:val="es-MX"/>
        </w:rPr>
        <w:t>Peraj</w:t>
      </w:r>
      <w:proofErr w:type="spellEnd"/>
      <w:r w:rsidRPr="0087087F">
        <w:rPr>
          <w:lang w:val="es-MX"/>
        </w:rPr>
        <w:t>, a partir de la medición de sus habilidades intelectuales.</w:t>
      </w:r>
    </w:p>
    <w:p w14:paraId="382840AF" w14:textId="43DA4C9B" w:rsidR="00A97856" w:rsidRDefault="00FB6DE8" w:rsidP="0087087F">
      <w:pPr>
        <w:spacing w:after="0" w:line="360" w:lineRule="auto"/>
        <w:ind w:firstLine="720"/>
        <w:jc w:val="both"/>
        <w:rPr>
          <w:lang w:val="es-MX"/>
        </w:rPr>
      </w:pPr>
      <w:r w:rsidRPr="0087087F">
        <w:rPr>
          <w:lang w:val="es-MX"/>
        </w:rPr>
        <w:t xml:space="preserve">El desarrollo de las habilidades académicas está influido por diversos factores psicosociales que pueden ser abordados mediante modelos de mentoría (Dirección General de Orientación y Atención Educativa, 2010). En este sentido, el mentor universitario no </w:t>
      </w:r>
      <w:r w:rsidRPr="0087087F">
        <w:rPr>
          <w:lang w:val="es-MX"/>
        </w:rPr>
        <w:lastRenderedPageBreak/>
        <w:t>solo brinda apoyo en las actividades académicas, sino que actúa como un modelo de referencia, fortaleciendo la confianza del niño en sus capacidades y promoviendo una actitud positiva hacia la educación. Diversas investigaciones señalan que las intervenciones de mentoría estructuradas se asocian con mejoras en habilidades cognitivas, así como con la disminución de la ansiedad ante el rendimiento escolar y un mayor compromiso con el aprendizaje (</w:t>
      </w:r>
      <w:proofErr w:type="spellStart"/>
      <w:r w:rsidRPr="0087087F">
        <w:rPr>
          <w:lang w:val="es-MX"/>
        </w:rPr>
        <w:t>Balsamo</w:t>
      </w:r>
      <w:proofErr w:type="spellEnd"/>
      <w:r w:rsidRPr="0087087F">
        <w:rPr>
          <w:lang w:val="es-MX"/>
        </w:rPr>
        <w:t xml:space="preserve"> et al., 2019). Por lo tanto, el programa </w:t>
      </w:r>
      <w:proofErr w:type="spellStart"/>
      <w:r w:rsidRPr="0087087F">
        <w:rPr>
          <w:lang w:val="es-MX"/>
        </w:rPr>
        <w:t>Peraj</w:t>
      </w:r>
      <w:proofErr w:type="spellEnd"/>
      <w:r w:rsidRPr="0087087F">
        <w:rPr>
          <w:lang w:val="es-MX"/>
        </w:rPr>
        <w:t xml:space="preserve"> se reconoce como un factor de enriquecimiento escolar que puede influir en el desarrollo cognitivo y académico de sus participantes.</w:t>
      </w:r>
    </w:p>
    <w:p w14:paraId="565CF13D" w14:textId="77777777" w:rsidR="0087087F" w:rsidRPr="0087087F" w:rsidRDefault="0087087F" w:rsidP="0087087F">
      <w:pPr>
        <w:spacing w:after="0" w:line="360" w:lineRule="auto"/>
        <w:ind w:firstLine="720"/>
        <w:jc w:val="both"/>
        <w:rPr>
          <w:rFonts w:cs="Times New Roman"/>
          <w:szCs w:val="24"/>
          <w:lang w:val="es-MX"/>
        </w:rPr>
      </w:pPr>
    </w:p>
    <w:p w14:paraId="0CE41B02" w14:textId="26ED5CD2" w:rsidR="00000007" w:rsidRPr="0087087F" w:rsidRDefault="00396A9A" w:rsidP="0087087F">
      <w:pPr>
        <w:spacing w:after="0" w:line="360" w:lineRule="auto"/>
        <w:jc w:val="center"/>
        <w:rPr>
          <w:rFonts w:cs="Times New Roman"/>
          <w:b/>
          <w:bCs/>
          <w:spacing w:val="-2"/>
          <w:sz w:val="32"/>
          <w:szCs w:val="32"/>
          <w:lang w:val="es-MX"/>
        </w:rPr>
      </w:pPr>
      <w:r w:rsidRPr="0087087F">
        <w:rPr>
          <w:rFonts w:cs="Times New Roman"/>
          <w:b/>
          <w:bCs/>
          <w:spacing w:val="-2"/>
          <w:sz w:val="32"/>
          <w:szCs w:val="32"/>
          <w:lang w:val="es-MX"/>
        </w:rPr>
        <w:t>Metodología</w:t>
      </w:r>
    </w:p>
    <w:p w14:paraId="4058BD2D" w14:textId="62552E25" w:rsidR="004E14DE" w:rsidRPr="0087087F" w:rsidRDefault="004B0E8F" w:rsidP="0087087F">
      <w:pPr>
        <w:spacing w:after="0" w:line="360" w:lineRule="auto"/>
        <w:ind w:firstLine="720"/>
        <w:jc w:val="both"/>
        <w:rPr>
          <w:rFonts w:cs="Times New Roman"/>
          <w:szCs w:val="24"/>
          <w:lang w:val="es-MX"/>
        </w:rPr>
      </w:pPr>
      <w:r w:rsidRPr="0087087F">
        <w:rPr>
          <w:lang w:val="es-MX"/>
        </w:rPr>
        <w:t>La presente investigación se enmarca en un enfoque cuantitativo, con un diseño no experimental y transversal, de alcance descriptivo-correlacional. La recolección de datos se realizó en un único momento. Asimismo, el estudio busca caracterizar el perfil de las habilidades cognitivas y académicas de la población, así como analizar la relación entre la inteligencia general (IG) y el rendimiento en aptitudes matemáticas.</w:t>
      </w:r>
    </w:p>
    <w:p w14:paraId="39EF76E0" w14:textId="46AC6C60" w:rsidR="004B0E8F" w:rsidRPr="0087087F" w:rsidRDefault="004B0E8F" w:rsidP="0087087F">
      <w:pPr>
        <w:spacing w:after="0" w:line="360" w:lineRule="auto"/>
        <w:ind w:firstLine="720"/>
        <w:jc w:val="both"/>
        <w:rPr>
          <w:rFonts w:cs="Times New Roman"/>
          <w:szCs w:val="24"/>
          <w:lang w:val="es-MX"/>
        </w:rPr>
      </w:pPr>
      <w:r w:rsidRPr="0087087F">
        <w:rPr>
          <w:lang w:val="es-MX"/>
        </w:rPr>
        <w:t xml:space="preserve">Se utilizó un muestreo por conveniencia, debido a la accesibilidad de la población participante en el programa </w:t>
      </w:r>
      <w:proofErr w:type="spellStart"/>
      <w:r w:rsidRPr="0087087F">
        <w:rPr>
          <w:lang w:val="es-MX"/>
        </w:rPr>
        <w:t>Peraj</w:t>
      </w:r>
      <w:proofErr w:type="spellEnd"/>
      <w:r w:rsidRPr="0087087F">
        <w:rPr>
          <w:lang w:val="es-MX"/>
        </w:rPr>
        <w:t xml:space="preserve">. Se seleccionaron estudiantes que cumplían con los siguientes criterios: 1) ser estudiante regular de quinto o sexto grado de primaria; 2) estar inscrito y haber participado en el programa </w:t>
      </w:r>
      <w:proofErr w:type="spellStart"/>
      <w:r w:rsidRPr="0087087F">
        <w:rPr>
          <w:lang w:val="es-MX"/>
        </w:rPr>
        <w:t>Peraj</w:t>
      </w:r>
      <w:proofErr w:type="spellEnd"/>
      <w:r w:rsidRPr="0087087F">
        <w:rPr>
          <w:lang w:val="es-MX"/>
        </w:rPr>
        <w:t xml:space="preserve"> de la Universidad Politécnica de Tulancingo durante un periodo mínimo de un año, considerando como participación el cumplimiento de las actividades establecidas dentro del programa; y 3) contar con el consentimiento informado por escrito, firmado por sus padres o tutores, conforme a los lineamientos institucionales para la participación en la evaluación.</w:t>
      </w:r>
    </w:p>
    <w:p w14:paraId="6BBF335D" w14:textId="53D2DAC1" w:rsidR="00DE2430" w:rsidRPr="0087087F" w:rsidRDefault="00DE2430" w:rsidP="0087087F">
      <w:pPr>
        <w:spacing w:after="0" w:line="360" w:lineRule="auto"/>
        <w:ind w:firstLine="720"/>
        <w:jc w:val="both"/>
        <w:rPr>
          <w:rFonts w:cs="Times New Roman"/>
          <w:szCs w:val="24"/>
          <w:lang w:val="es-MX"/>
        </w:rPr>
      </w:pPr>
      <w:r w:rsidRPr="0087087F">
        <w:rPr>
          <w:lang w:val="es-MX"/>
        </w:rPr>
        <w:t>La muestra final estuvo compuesta por 11 estudiantes (n = 11) de una escuela pública del estado de Hidalgo. Las edades de los participantes oscilaron entre 10 y 12 años (M = 10.5; DE = 0.73).</w:t>
      </w:r>
    </w:p>
    <w:p w14:paraId="1F959849" w14:textId="77777777" w:rsidR="00DE2430" w:rsidRPr="0087087F" w:rsidRDefault="00DE2430" w:rsidP="0087087F">
      <w:pPr>
        <w:spacing w:after="0" w:line="360" w:lineRule="auto"/>
        <w:jc w:val="both"/>
        <w:rPr>
          <w:lang w:val="es-MX"/>
        </w:rPr>
      </w:pPr>
      <w:r w:rsidRPr="0087087F">
        <w:rPr>
          <w:lang w:val="es-MX"/>
        </w:rPr>
        <w:t xml:space="preserve">Para la recolección de información se utilizaron dos instrumentos. En primer lugar, la escala RIAS (Reynolds &amp; </w:t>
      </w:r>
      <w:proofErr w:type="spellStart"/>
      <w:r w:rsidRPr="0087087F">
        <w:rPr>
          <w:lang w:val="es-MX"/>
        </w:rPr>
        <w:t>Kamphaus</w:t>
      </w:r>
      <w:proofErr w:type="spellEnd"/>
      <w:r w:rsidRPr="0087087F">
        <w:rPr>
          <w:lang w:val="es-MX"/>
        </w:rPr>
        <w:t xml:space="preserve">, 2003), una prueba estandarizada para la evaluación de la inteligencia general y la memoria en niños, adolescentes y adultos. En el presente estudio se aplicaron subpruebas específicas con el propósito de obtener el índice de inteligencia general (IG), que es la puntuación compuesta que representa la capacidad intelectual global del individuo; esta selección se realizó con base en los objetivos del </w:t>
      </w:r>
      <w:r w:rsidRPr="0087087F">
        <w:rPr>
          <w:lang w:val="es-MX"/>
        </w:rPr>
        <w:lastRenderedPageBreak/>
        <w:t>estudio y en la viabilidad de aplicación. El instrumento fue elegido por su brevedad y por la fiabilidad reportada en diversos estudios.</w:t>
      </w:r>
    </w:p>
    <w:p w14:paraId="6E27D07B" w14:textId="68D14CA8" w:rsidR="00B0141A" w:rsidRPr="0087087F" w:rsidRDefault="00DE2430" w:rsidP="0087087F">
      <w:pPr>
        <w:spacing w:after="0" w:line="360" w:lineRule="auto"/>
        <w:jc w:val="both"/>
        <w:rPr>
          <w:lang w:val="es-MX"/>
        </w:rPr>
      </w:pPr>
      <w:r w:rsidRPr="0087087F">
        <w:rPr>
          <w:lang w:val="es-MX"/>
        </w:rPr>
        <w:t>En segundo lugar, se empleó un test de aptitudes matemáticas diseñado para evaluar las habilidades requeridas en el currículo de quinto y sexto grado de primaria. Dicho instrumento fue elaborado en función de los contenidos escolares correspondientes, por lo que se recomienda considerar evidencia de validez y confiabilidad para su adecuada interpretación.</w:t>
      </w:r>
    </w:p>
    <w:p w14:paraId="323E9686" w14:textId="238C9BCD" w:rsidR="00B0141A" w:rsidRPr="0087087F" w:rsidRDefault="00B0141A" w:rsidP="0087087F">
      <w:pPr>
        <w:spacing w:after="0" w:line="360" w:lineRule="auto"/>
        <w:ind w:firstLine="720"/>
        <w:jc w:val="both"/>
        <w:rPr>
          <w:rFonts w:cs="Times New Roman"/>
          <w:szCs w:val="24"/>
          <w:lang w:val="es-MX"/>
        </w:rPr>
      </w:pPr>
      <w:r w:rsidRPr="0087087F">
        <w:rPr>
          <w:lang w:val="es-MX"/>
        </w:rPr>
        <w:t>La prueba constó de 20 ítems que cubren las áreas de: operaciones básicas (suma, resta, multiplicación y división), razonamiento numérico, resolución de problemas verbales, series numéricas y comprensión de fracciones y porcentajes. La puntuación total se emplea como indicador del nivel de aptitudes matemáticas de los participantes, con un puntaje máximo de 20. Asimismo, es importante considerar la evaluación de sus propiedades psicométricas, tales como la validez de contenido y la confiabilidad (por ejemplo, mediante el coeficiente alfa de Cronbach), para garantizar la precisión de los resultados.</w:t>
      </w:r>
    </w:p>
    <w:p w14:paraId="70140856" w14:textId="17D0D8E7" w:rsidR="004C0DEE" w:rsidRPr="0087087F" w:rsidRDefault="004C0DEE" w:rsidP="0087087F">
      <w:pPr>
        <w:spacing w:after="0" w:line="360" w:lineRule="auto"/>
        <w:ind w:firstLine="720"/>
        <w:jc w:val="both"/>
        <w:rPr>
          <w:lang w:val="es-MX"/>
        </w:rPr>
      </w:pPr>
      <w:r w:rsidRPr="0087087F">
        <w:rPr>
          <w:lang w:val="es-MX"/>
        </w:rPr>
        <w:t>Una vez obtenido el consentimiento informado por escrito de los padres o tutores, las evaluaciones se realizaron de forma individual por evaluadores capacitados en el área psicológica de la Universidad Politécnica de Tulancingo. La aplicación se llevó a cabo en una sesión única con una duración aproximada de 60 a 75 minutos por participante, en un espacio tranquilo y libre de distracciones. Se garantizó el anonimato y la confidencialidad de los resultados, cumpliendo con los lineamientos éticos de la investigación psicológica y con la aprobación de la instancia institucional correspondiente.</w:t>
      </w:r>
    </w:p>
    <w:p w14:paraId="421DCE6A" w14:textId="284ACD33" w:rsidR="00737F70" w:rsidRDefault="00737F70" w:rsidP="0087087F">
      <w:pPr>
        <w:spacing w:after="0" w:line="360" w:lineRule="auto"/>
        <w:ind w:firstLine="720"/>
        <w:jc w:val="both"/>
        <w:rPr>
          <w:lang w:val="es-MX"/>
        </w:rPr>
      </w:pPr>
      <w:r w:rsidRPr="0087087F">
        <w:rPr>
          <w:lang w:val="es-MX"/>
        </w:rPr>
        <w:t xml:space="preserve">Los datos recolectados fueron analizados mediante el software estadístico para ciencias sociales SPSS (IBM SPSS </w:t>
      </w:r>
      <w:proofErr w:type="spellStart"/>
      <w:r w:rsidRPr="0087087F">
        <w:rPr>
          <w:lang w:val="es-MX"/>
        </w:rPr>
        <w:t>Statistics</w:t>
      </w:r>
      <w:proofErr w:type="spellEnd"/>
      <w:r w:rsidRPr="0087087F">
        <w:rPr>
          <w:lang w:val="es-MX"/>
        </w:rPr>
        <w:t>). En un primer momento, se calcularon estadísticos descriptivos, incluyendo la media (M), la desviación estándar (DE) y los valores mínimo y máximo del índice de inteligencia general (IG) del RIAS y de la puntuación total del test de aptitudes matemáticas. Posteriormente, se realizó un análisis correlacional utilizando la correlación de Pearson (r), con el propósito de identificar la relación lineal entre el IG y el desempeño en aptitudes matemáticas. Previo a este análisis, se verificaron los supuestos de normalidad y linealidad de los datos.</w:t>
      </w:r>
    </w:p>
    <w:p w14:paraId="239F0072" w14:textId="77777777" w:rsidR="0087087F" w:rsidRDefault="0087087F" w:rsidP="0087087F">
      <w:pPr>
        <w:spacing w:after="0" w:line="360" w:lineRule="auto"/>
        <w:ind w:firstLine="720"/>
        <w:jc w:val="both"/>
        <w:rPr>
          <w:rFonts w:cs="Times New Roman"/>
          <w:szCs w:val="24"/>
          <w:lang w:val="es-MX"/>
        </w:rPr>
      </w:pPr>
    </w:p>
    <w:p w14:paraId="17362267" w14:textId="77777777" w:rsidR="002753CF" w:rsidRDefault="002753CF" w:rsidP="0087087F">
      <w:pPr>
        <w:spacing w:after="0" w:line="360" w:lineRule="auto"/>
        <w:ind w:firstLine="720"/>
        <w:jc w:val="both"/>
        <w:rPr>
          <w:rFonts w:cs="Times New Roman"/>
          <w:szCs w:val="24"/>
          <w:lang w:val="es-MX"/>
        </w:rPr>
      </w:pPr>
    </w:p>
    <w:p w14:paraId="32C5CF91" w14:textId="77777777" w:rsidR="002753CF" w:rsidRPr="0087087F" w:rsidRDefault="002753CF" w:rsidP="0087087F">
      <w:pPr>
        <w:spacing w:after="0" w:line="360" w:lineRule="auto"/>
        <w:ind w:firstLine="720"/>
        <w:jc w:val="both"/>
        <w:rPr>
          <w:rFonts w:cs="Times New Roman"/>
          <w:szCs w:val="24"/>
          <w:lang w:val="es-MX"/>
        </w:rPr>
      </w:pPr>
    </w:p>
    <w:p w14:paraId="00938018" w14:textId="798C08C2" w:rsidR="00747B51" w:rsidRPr="0087087F" w:rsidRDefault="00747B51" w:rsidP="002753CF">
      <w:pPr>
        <w:spacing w:after="0" w:line="360" w:lineRule="auto"/>
        <w:jc w:val="center"/>
        <w:outlineLvl w:val="1"/>
        <w:rPr>
          <w:rFonts w:cs="Times New Roman"/>
          <w:b/>
          <w:bCs/>
          <w:color w:val="1B1C1D"/>
          <w:sz w:val="32"/>
          <w:szCs w:val="32"/>
          <w:lang w:val="es-MX" w:eastAsia="es-MX"/>
        </w:rPr>
      </w:pPr>
      <w:r w:rsidRPr="0087087F">
        <w:rPr>
          <w:rFonts w:cs="Times New Roman"/>
          <w:b/>
          <w:bCs/>
          <w:color w:val="1B1C1D"/>
          <w:sz w:val="32"/>
          <w:szCs w:val="32"/>
          <w:lang w:val="es-MX" w:eastAsia="es-MX"/>
        </w:rPr>
        <w:lastRenderedPageBreak/>
        <w:t>Resultados</w:t>
      </w:r>
    </w:p>
    <w:p w14:paraId="0445A5B9" w14:textId="77777777" w:rsidR="005924E4" w:rsidRPr="0087087F" w:rsidRDefault="005924E4" w:rsidP="0087087F">
      <w:pPr>
        <w:spacing w:after="0" w:line="360" w:lineRule="auto"/>
        <w:ind w:firstLine="720"/>
        <w:jc w:val="both"/>
        <w:rPr>
          <w:lang w:val="es-MX"/>
        </w:rPr>
      </w:pPr>
      <w:r w:rsidRPr="0087087F">
        <w:rPr>
          <w:lang w:val="es-MX"/>
        </w:rPr>
        <w:t xml:space="preserve">Los resultados permiten identificar el nivel cognitivo y el desempeño matemático de los participantes. La Tabla 1 presenta los estadísticos descriptivos de las variables de estudio. El índice de inteligencia general (IG) mostró una media de 103.40 (DE = 6.94), ubicándose dentro del rango promedio normativo (M = 100 ± 15) para la población general, lo que sugiere un desarrollo cognitivo adecuado en los participantes del programa </w:t>
      </w:r>
      <w:proofErr w:type="spellStart"/>
      <w:r w:rsidRPr="0087087F">
        <w:rPr>
          <w:lang w:val="es-MX"/>
        </w:rPr>
        <w:t>Peraj</w:t>
      </w:r>
      <w:proofErr w:type="spellEnd"/>
      <w:r w:rsidRPr="0087087F">
        <w:rPr>
          <w:lang w:val="es-MX"/>
        </w:rPr>
        <w:t>.</w:t>
      </w:r>
    </w:p>
    <w:p w14:paraId="2430B5A1" w14:textId="6FDD86F6" w:rsidR="005924E4" w:rsidRDefault="005924E4" w:rsidP="0087087F">
      <w:pPr>
        <w:spacing w:after="0" w:line="360" w:lineRule="auto"/>
        <w:ind w:firstLine="720"/>
        <w:jc w:val="both"/>
        <w:rPr>
          <w:lang w:val="es-MX"/>
        </w:rPr>
      </w:pPr>
      <w:r w:rsidRPr="0087087F">
        <w:rPr>
          <w:lang w:val="es-MX"/>
        </w:rPr>
        <w:t xml:space="preserve">En cuanto al rendimiento académico, la puntuación media en el test de aptitudes matemáticas fue de 11.27 sobre un máximo de 20 puntos </w:t>
      </w:r>
      <w:r w:rsidR="00216823" w:rsidRPr="0087087F">
        <w:rPr>
          <w:lang w:val="es-MX"/>
        </w:rPr>
        <w:t xml:space="preserve">posibles </w:t>
      </w:r>
      <w:r w:rsidRPr="0087087F">
        <w:rPr>
          <w:lang w:val="es-MX"/>
        </w:rPr>
        <w:t>(DE = 3.79).</w:t>
      </w:r>
    </w:p>
    <w:p w14:paraId="6A35D2B7" w14:textId="77777777" w:rsidR="0087087F" w:rsidRPr="0087087F" w:rsidRDefault="0087087F" w:rsidP="0087087F">
      <w:pPr>
        <w:spacing w:after="0" w:line="360" w:lineRule="auto"/>
        <w:ind w:firstLine="720"/>
        <w:jc w:val="both"/>
        <w:rPr>
          <w:rFonts w:cs="Times New Roman"/>
          <w:b/>
          <w:bCs/>
          <w:color w:val="1B1C1D"/>
          <w:szCs w:val="24"/>
          <w:lang w:val="es-MX" w:eastAsia="es-MX"/>
        </w:rPr>
      </w:pPr>
    </w:p>
    <w:p w14:paraId="33A18491" w14:textId="026D1B6C" w:rsidR="0072565C" w:rsidRPr="0087087F" w:rsidRDefault="0072565C" w:rsidP="0087087F">
      <w:pPr>
        <w:spacing w:after="0" w:line="240" w:lineRule="auto"/>
        <w:jc w:val="center"/>
        <w:rPr>
          <w:rFonts w:cs="Times New Roman"/>
          <w:szCs w:val="24"/>
          <w:lang w:val="es-MX" w:eastAsia="es-MX"/>
        </w:rPr>
      </w:pPr>
      <w:r w:rsidRPr="0087087F">
        <w:rPr>
          <w:rFonts w:cs="Times New Roman"/>
          <w:b/>
          <w:bCs/>
          <w:color w:val="1B1C1D"/>
          <w:sz w:val="22"/>
          <w:bdr w:val="none" w:sz="0" w:space="0" w:color="auto" w:frame="1"/>
          <w:lang w:val="es-MX" w:eastAsia="es-MX"/>
        </w:rPr>
        <w:t>Tabla</w:t>
      </w:r>
      <w:r w:rsidRPr="0087087F">
        <w:rPr>
          <w:rFonts w:cs="Times New Roman"/>
          <w:b/>
          <w:bCs/>
          <w:szCs w:val="24"/>
          <w:lang w:val="es-MX" w:eastAsia="es-MX"/>
        </w:rPr>
        <w:t xml:space="preserve"> 1. </w:t>
      </w:r>
      <w:r w:rsidRPr="0087087F">
        <w:rPr>
          <w:rFonts w:cs="Times New Roman"/>
          <w:szCs w:val="24"/>
          <w:lang w:val="es-MX" w:eastAsia="es-MX"/>
        </w:rPr>
        <w:t>Estadísticos Descriptivos del Perfil Cognitivo y Académico (N</w:t>
      </w:r>
      <w:r w:rsidR="008F46D9" w:rsidRPr="0087087F">
        <w:rPr>
          <w:rFonts w:cs="Times New Roman"/>
          <w:szCs w:val="24"/>
          <w:lang w:val="es-MX" w:eastAsia="es-MX"/>
        </w:rPr>
        <w:t xml:space="preserve"> </w:t>
      </w:r>
      <w:r w:rsidRPr="0087087F">
        <w:rPr>
          <w:rFonts w:cs="Times New Roman"/>
          <w:szCs w:val="24"/>
          <w:lang w:val="es-MX" w:eastAsia="es-MX"/>
        </w:rPr>
        <w:t>=</w:t>
      </w:r>
      <w:r w:rsidR="008F46D9" w:rsidRPr="0087087F">
        <w:rPr>
          <w:rFonts w:cs="Times New Roman"/>
          <w:szCs w:val="24"/>
          <w:lang w:val="es-MX" w:eastAsia="es-MX"/>
        </w:rPr>
        <w:t xml:space="preserve"> </w:t>
      </w:r>
      <w:r w:rsidRPr="0087087F">
        <w:rPr>
          <w:rFonts w:cs="Times New Roman"/>
          <w:szCs w:val="24"/>
          <w:lang w:val="es-MX" w:eastAsia="es-MX"/>
        </w:rPr>
        <w:t>11)</w:t>
      </w:r>
    </w:p>
    <w:p w14:paraId="3D2E8C53" w14:textId="77777777" w:rsidR="00AD6403" w:rsidRPr="0087087F" w:rsidRDefault="00AD6403" w:rsidP="00F76914">
      <w:pPr>
        <w:spacing w:after="0" w:line="240" w:lineRule="auto"/>
        <w:rPr>
          <w:rFonts w:cs="Times New Roman"/>
          <w:szCs w:val="24"/>
          <w:lang w:val="es-MX" w:eastAsia="es-MX"/>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6"/>
        <w:gridCol w:w="650"/>
        <w:gridCol w:w="1180"/>
        <w:gridCol w:w="1901"/>
        <w:gridCol w:w="1184"/>
        <w:gridCol w:w="1239"/>
      </w:tblGrid>
      <w:tr w:rsidR="00B14DB6" w:rsidRPr="0087087F" w14:paraId="54615648" w14:textId="77777777" w:rsidTr="0087087F">
        <w:trPr>
          <w:tblHeader/>
          <w:tblCellSpacing w:w="15" w:type="dxa"/>
        </w:trPr>
        <w:tc>
          <w:tcPr>
            <w:tcW w:w="0" w:type="auto"/>
            <w:tcMar>
              <w:top w:w="120" w:type="dxa"/>
              <w:left w:w="180" w:type="dxa"/>
              <w:bottom w:w="120" w:type="dxa"/>
              <w:right w:w="180" w:type="dxa"/>
            </w:tcMar>
            <w:vAlign w:val="center"/>
            <w:hideMark/>
          </w:tcPr>
          <w:p w14:paraId="7E44FB48" w14:textId="77777777" w:rsidR="0072565C" w:rsidRPr="0087087F" w:rsidRDefault="0072565C" w:rsidP="0072565C">
            <w:pPr>
              <w:spacing w:after="0" w:line="240" w:lineRule="auto"/>
              <w:rPr>
                <w:rFonts w:cs="Times New Roman"/>
                <w:color w:val="1B1C1D"/>
                <w:szCs w:val="24"/>
                <w:lang w:val="es-MX" w:eastAsia="es-MX"/>
              </w:rPr>
            </w:pPr>
            <w:r w:rsidRPr="0087087F">
              <w:rPr>
                <w:rFonts w:cs="Times New Roman"/>
                <w:color w:val="1B1C1D"/>
                <w:szCs w:val="24"/>
                <w:bdr w:val="none" w:sz="0" w:space="0" w:color="auto" w:frame="1"/>
                <w:lang w:val="es-MX" w:eastAsia="es-MX"/>
              </w:rPr>
              <w:t>Variable</w:t>
            </w:r>
          </w:p>
        </w:tc>
        <w:tc>
          <w:tcPr>
            <w:tcW w:w="0" w:type="auto"/>
            <w:tcMar>
              <w:top w:w="120" w:type="dxa"/>
              <w:left w:w="180" w:type="dxa"/>
              <w:bottom w:w="120" w:type="dxa"/>
              <w:right w:w="180" w:type="dxa"/>
            </w:tcMar>
            <w:vAlign w:val="center"/>
            <w:hideMark/>
          </w:tcPr>
          <w:p w14:paraId="3769037A" w14:textId="77777777" w:rsidR="0072565C" w:rsidRPr="0087087F" w:rsidRDefault="0072565C" w:rsidP="0072565C">
            <w:pPr>
              <w:spacing w:after="0" w:line="240" w:lineRule="auto"/>
              <w:rPr>
                <w:rFonts w:cs="Times New Roman"/>
                <w:color w:val="1B1C1D"/>
                <w:szCs w:val="24"/>
                <w:lang w:val="es-MX" w:eastAsia="es-MX"/>
              </w:rPr>
            </w:pPr>
            <w:r w:rsidRPr="0087087F">
              <w:rPr>
                <w:rFonts w:cs="Times New Roman"/>
                <w:color w:val="1B1C1D"/>
                <w:szCs w:val="24"/>
                <w:bdr w:val="none" w:sz="0" w:space="0" w:color="auto" w:frame="1"/>
                <w:lang w:val="es-MX" w:eastAsia="es-MX"/>
              </w:rPr>
              <w:t>N</w:t>
            </w:r>
          </w:p>
        </w:tc>
        <w:tc>
          <w:tcPr>
            <w:tcW w:w="0" w:type="auto"/>
            <w:tcMar>
              <w:top w:w="120" w:type="dxa"/>
              <w:left w:w="180" w:type="dxa"/>
              <w:bottom w:w="120" w:type="dxa"/>
              <w:right w:w="180" w:type="dxa"/>
            </w:tcMar>
            <w:vAlign w:val="center"/>
            <w:hideMark/>
          </w:tcPr>
          <w:p w14:paraId="52B71EC9" w14:textId="77777777" w:rsidR="0072565C" w:rsidRPr="0087087F" w:rsidRDefault="0072565C" w:rsidP="0072565C">
            <w:pPr>
              <w:spacing w:after="0" w:line="240" w:lineRule="auto"/>
              <w:rPr>
                <w:rFonts w:cs="Times New Roman"/>
                <w:color w:val="1B1C1D"/>
                <w:szCs w:val="24"/>
                <w:lang w:val="es-MX" w:eastAsia="es-MX"/>
              </w:rPr>
            </w:pPr>
            <w:r w:rsidRPr="0087087F">
              <w:rPr>
                <w:rFonts w:cs="Times New Roman"/>
                <w:color w:val="1B1C1D"/>
                <w:szCs w:val="24"/>
                <w:bdr w:val="none" w:sz="0" w:space="0" w:color="auto" w:frame="1"/>
                <w:lang w:val="es-MX" w:eastAsia="es-MX"/>
              </w:rPr>
              <w:t>Media (M)</w:t>
            </w:r>
          </w:p>
        </w:tc>
        <w:tc>
          <w:tcPr>
            <w:tcW w:w="0" w:type="auto"/>
            <w:tcMar>
              <w:top w:w="120" w:type="dxa"/>
              <w:left w:w="180" w:type="dxa"/>
              <w:bottom w:w="120" w:type="dxa"/>
              <w:right w:w="180" w:type="dxa"/>
            </w:tcMar>
            <w:vAlign w:val="center"/>
            <w:hideMark/>
          </w:tcPr>
          <w:p w14:paraId="5624D917" w14:textId="77777777" w:rsidR="0072565C" w:rsidRPr="0087087F" w:rsidRDefault="0072565C" w:rsidP="0072565C">
            <w:pPr>
              <w:spacing w:after="0" w:line="240" w:lineRule="auto"/>
              <w:rPr>
                <w:rFonts w:cs="Times New Roman"/>
                <w:color w:val="1B1C1D"/>
                <w:szCs w:val="24"/>
                <w:lang w:val="es-MX" w:eastAsia="es-MX"/>
              </w:rPr>
            </w:pPr>
            <w:r w:rsidRPr="0087087F">
              <w:rPr>
                <w:rFonts w:cs="Times New Roman"/>
                <w:color w:val="1B1C1D"/>
                <w:szCs w:val="24"/>
                <w:bdr w:val="none" w:sz="0" w:space="0" w:color="auto" w:frame="1"/>
                <w:lang w:val="es-MX" w:eastAsia="es-MX"/>
              </w:rPr>
              <w:t>Desviación Estándar (DE)</w:t>
            </w:r>
          </w:p>
        </w:tc>
        <w:tc>
          <w:tcPr>
            <w:tcW w:w="0" w:type="auto"/>
            <w:tcMar>
              <w:top w:w="120" w:type="dxa"/>
              <w:left w:w="180" w:type="dxa"/>
              <w:bottom w:w="120" w:type="dxa"/>
              <w:right w:w="180" w:type="dxa"/>
            </w:tcMar>
            <w:vAlign w:val="center"/>
            <w:hideMark/>
          </w:tcPr>
          <w:p w14:paraId="5EA9198D" w14:textId="77777777" w:rsidR="0072565C" w:rsidRPr="0087087F" w:rsidRDefault="0072565C" w:rsidP="0072565C">
            <w:pPr>
              <w:spacing w:after="0" w:line="240" w:lineRule="auto"/>
              <w:rPr>
                <w:rFonts w:cs="Times New Roman"/>
                <w:color w:val="1B1C1D"/>
                <w:szCs w:val="24"/>
                <w:lang w:val="es-MX" w:eastAsia="es-MX"/>
              </w:rPr>
            </w:pPr>
            <w:r w:rsidRPr="0087087F">
              <w:rPr>
                <w:rFonts w:cs="Times New Roman"/>
                <w:color w:val="1B1C1D"/>
                <w:szCs w:val="24"/>
                <w:bdr w:val="none" w:sz="0" w:space="0" w:color="auto" w:frame="1"/>
                <w:lang w:val="es-MX" w:eastAsia="es-MX"/>
              </w:rPr>
              <w:t>Mínimo</w:t>
            </w:r>
          </w:p>
        </w:tc>
        <w:tc>
          <w:tcPr>
            <w:tcW w:w="867" w:type="dxa"/>
            <w:tcMar>
              <w:top w:w="120" w:type="dxa"/>
              <w:left w:w="180" w:type="dxa"/>
              <w:bottom w:w="120" w:type="dxa"/>
              <w:right w:w="180" w:type="dxa"/>
            </w:tcMar>
            <w:vAlign w:val="center"/>
            <w:hideMark/>
          </w:tcPr>
          <w:p w14:paraId="18461A08" w14:textId="77777777" w:rsidR="0072565C" w:rsidRPr="0087087F" w:rsidRDefault="0072565C" w:rsidP="0072565C">
            <w:pPr>
              <w:spacing w:after="0" w:line="240" w:lineRule="auto"/>
              <w:rPr>
                <w:rFonts w:cs="Times New Roman"/>
                <w:color w:val="1B1C1D"/>
                <w:szCs w:val="24"/>
                <w:lang w:val="es-MX" w:eastAsia="es-MX"/>
              </w:rPr>
            </w:pPr>
            <w:r w:rsidRPr="0087087F">
              <w:rPr>
                <w:rFonts w:cs="Times New Roman"/>
                <w:color w:val="1B1C1D"/>
                <w:szCs w:val="24"/>
                <w:bdr w:val="none" w:sz="0" w:space="0" w:color="auto" w:frame="1"/>
                <w:lang w:val="es-MX" w:eastAsia="es-MX"/>
              </w:rPr>
              <w:t>Máximo</w:t>
            </w:r>
          </w:p>
        </w:tc>
      </w:tr>
      <w:tr w:rsidR="00B14DB6" w:rsidRPr="0087087F" w14:paraId="7D7BC199" w14:textId="77777777" w:rsidTr="0087087F">
        <w:trPr>
          <w:tblCellSpacing w:w="15" w:type="dxa"/>
        </w:trPr>
        <w:tc>
          <w:tcPr>
            <w:tcW w:w="0" w:type="auto"/>
            <w:tcMar>
              <w:top w:w="120" w:type="dxa"/>
              <w:left w:w="180" w:type="dxa"/>
              <w:bottom w:w="120" w:type="dxa"/>
              <w:right w:w="180" w:type="dxa"/>
            </w:tcMar>
            <w:vAlign w:val="center"/>
            <w:hideMark/>
          </w:tcPr>
          <w:p w14:paraId="62721BE1" w14:textId="77777777" w:rsidR="00FD3D9B" w:rsidRPr="0087087F" w:rsidRDefault="0072565C" w:rsidP="0072565C">
            <w:pPr>
              <w:spacing w:after="0" w:line="240" w:lineRule="auto"/>
              <w:rPr>
                <w:rFonts w:cs="Times New Roman"/>
                <w:color w:val="1B1C1D"/>
                <w:szCs w:val="24"/>
                <w:bdr w:val="none" w:sz="0" w:space="0" w:color="auto" w:frame="1"/>
                <w:lang w:val="es-MX" w:eastAsia="es-MX"/>
              </w:rPr>
            </w:pPr>
            <w:r w:rsidRPr="0087087F">
              <w:rPr>
                <w:rFonts w:cs="Times New Roman"/>
                <w:color w:val="1B1C1D"/>
                <w:szCs w:val="24"/>
                <w:bdr w:val="none" w:sz="0" w:space="0" w:color="auto" w:frame="1"/>
                <w:lang w:val="es-MX" w:eastAsia="es-MX"/>
              </w:rPr>
              <w:t xml:space="preserve">Inteligencia General </w:t>
            </w:r>
          </w:p>
          <w:p w14:paraId="3537FCE5" w14:textId="2EAE08E2" w:rsidR="0072565C" w:rsidRPr="0087087F" w:rsidRDefault="00FD3D9B" w:rsidP="0072565C">
            <w:pPr>
              <w:spacing w:after="0" w:line="240" w:lineRule="auto"/>
              <w:rPr>
                <w:rFonts w:cs="Times New Roman"/>
                <w:color w:val="1B1C1D"/>
                <w:szCs w:val="24"/>
                <w:lang w:val="es-MX" w:eastAsia="es-MX"/>
              </w:rPr>
            </w:pPr>
            <w:r w:rsidRPr="0087087F">
              <w:rPr>
                <w:rFonts w:cs="Times New Roman"/>
                <w:color w:val="1B1C1D"/>
                <w:szCs w:val="24"/>
                <w:bdr w:val="none" w:sz="0" w:space="0" w:color="auto" w:frame="1"/>
                <w:lang w:val="es-MX" w:eastAsia="es-MX"/>
              </w:rPr>
              <w:t>(</w:t>
            </w:r>
            <w:r w:rsidR="0072565C" w:rsidRPr="0087087F">
              <w:rPr>
                <w:rFonts w:cs="Times New Roman"/>
                <w:color w:val="1B1C1D"/>
                <w:szCs w:val="24"/>
                <w:bdr w:val="none" w:sz="0" w:space="0" w:color="auto" w:frame="1"/>
                <w:lang w:val="es-MX" w:eastAsia="es-MX"/>
              </w:rPr>
              <w:t>IG</w:t>
            </w:r>
            <w:r w:rsidRPr="0087087F">
              <w:rPr>
                <w:rFonts w:cs="Times New Roman"/>
                <w:color w:val="1B1C1D"/>
                <w:szCs w:val="24"/>
                <w:bdr w:val="none" w:sz="0" w:space="0" w:color="auto" w:frame="1"/>
                <w:lang w:val="es-MX" w:eastAsia="es-MX"/>
              </w:rPr>
              <w:t xml:space="preserve">) </w:t>
            </w:r>
            <w:r w:rsidR="0072565C" w:rsidRPr="0087087F">
              <w:rPr>
                <w:rFonts w:cs="Times New Roman"/>
                <w:color w:val="1B1C1D"/>
                <w:szCs w:val="24"/>
                <w:bdr w:val="none" w:sz="0" w:space="0" w:color="auto" w:frame="1"/>
                <w:lang w:val="es-MX" w:eastAsia="es-MX"/>
              </w:rPr>
              <w:t>RIAS</w:t>
            </w:r>
          </w:p>
        </w:tc>
        <w:tc>
          <w:tcPr>
            <w:tcW w:w="0" w:type="auto"/>
            <w:tcMar>
              <w:top w:w="120" w:type="dxa"/>
              <w:left w:w="180" w:type="dxa"/>
              <w:bottom w:w="120" w:type="dxa"/>
              <w:right w:w="180" w:type="dxa"/>
            </w:tcMar>
            <w:vAlign w:val="center"/>
            <w:hideMark/>
          </w:tcPr>
          <w:p w14:paraId="3FEDB6E2" w14:textId="77777777" w:rsidR="0072565C" w:rsidRPr="0087087F" w:rsidRDefault="0072565C" w:rsidP="00AE77DC">
            <w:pPr>
              <w:spacing w:after="0" w:line="240" w:lineRule="auto"/>
              <w:jc w:val="center"/>
              <w:rPr>
                <w:rFonts w:cs="Times New Roman"/>
                <w:color w:val="1B1C1D"/>
                <w:szCs w:val="24"/>
                <w:lang w:val="es-MX" w:eastAsia="es-MX"/>
              </w:rPr>
            </w:pPr>
            <w:r w:rsidRPr="0087087F">
              <w:rPr>
                <w:rFonts w:cs="Times New Roman"/>
                <w:color w:val="1B1C1D"/>
                <w:szCs w:val="24"/>
                <w:lang w:val="es-MX" w:eastAsia="es-MX"/>
              </w:rPr>
              <w:t>11</w:t>
            </w:r>
          </w:p>
        </w:tc>
        <w:tc>
          <w:tcPr>
            <w:tcW w:w="0" w:type="auto"/>
            <w:tcMar>
              <w:top w:w="120" w:type="dxa"/>
              <w:left w:w="180" w:type="dxa"/>
              <w:bottom w:w="120" w:type="dxa"/>
              <w:right w:w="180" w:type="dxa"/>
            </w:tcMar>
            <w:vAlign w:val="center"/>
            <w:hideMark/>
          </w:tcPr>
          <w:p w14:paraId="1D8DBFD7" w14:textId="47FA0343" w:rsidR="0072565C" w:rsidRPr="0087087F" w:rsidRDefault="0072565C" w:rsidP="00AE77DC">
            <w:pPr>
              <w:spacing w:after="0" w:line="240" w:lineRule="auto"/>
              <w:jc w:val="center"/>
              <w:rPr>
                <w:rFonts w:cs="Times New Roman"/>
                <w:color w:val="1B1C1D"/>
                <w:szCs w:val="24"/>
                <w:lang w:val="es-MX" w:eastAsia="es-MX"/>
              </w:rPr>
            </w:pPr>
            <w:r w:rsidRPr="0087087F">
              <w:rPr>
                <w:rFonts w:cs="Times New Roman"/>
                <w:color w:val="1B1C1D"/>
                <w:szCs w:val="24"/>
                <w:bdr w:val="none" w:sz="0" w:space="0" w:color="auto" w:frame="1"/>
                <w:lang w:val="es-MX" w:eastAsia="es-MX"/>
              </w:rPr>
              <w:t>103.40</w:t>
            </w:r>
          </w:p>
        </w:tc>
        <w:tc>
          <w:tcPr>
            <w:tcW w:w="0" w:type="auto"/>
            <w:tcMar>
              <w:top w:w="120" w:type="dxa"/>
              <w:left w:w="180" w:type="dxa"/>
              <w:bottom w:w="120" w:type="dxa"/>
              <w:right w:w="180" w:type="dxa"/>
            </w:tcMar>
            <w:vAlign w:val="center"/>
            <w:hideMark/>
          </w:tcPr>
          <w:p w14:paraId="6205565F" w14:textId="0FA5262C" w:rsidR="0072565C" w:rsidRPr="0087087F" w:rsidRDefault="0072565C" w:rsidP="00AE77DC">
            <w:pPr>
              <w:spacing w:after="0" w:line="240" w:lineRule="auto"/>
              <w:jc w:val="center"/>
              <w:rPr>
                <w:rFonts w:cs="Times New Roman"/>
                <w:color w:val="1B1C1D"/>
                <w:szCs w:val="24"/>
                <w:lang w:val="es-MX" w:eastAsia="es-MX"/>
              </w:rPr>
            </w:pPr>
            <w:r w:rsidRPr="0087087F">
              <w:rPr>
                <w:rFonts w:cs="Times New Roman"/>
                <w:color w:val="1B1C1D"/>
                <w:szCs w:val="24"/>
                <w:bdr w:val="none" w:sz="0" w:space="0" w:color="auto" w:frame="1"/>
                <w:lang w:val="es-MX" w:eastAsia="es-MX"/>
              </w:rPr>
              <w:t>6.94</w:t>
            </w:r>
          </w:p>
        </w:tc>
        <w:tc>
          <w:tcPr>
            <w:tcW w:w="0" w:type="auto"/>
            <w:tcMar>
              <w:top w:w="120" w:type="dxa"/>
              <w:left w:w="180" w:type="dxa"/>
              <w:bottom w:w="120" w:type="dxa"/>
              <w:right w:w="180" w:type="dxa"/>
            </w:tcMar>
            <w:vAlign w:val="center"/>
            <w:hideMark/>
          </w:tcPr>
          <w:p w14:paraId="01CF6E5B" w14:textId="77777777" w:rsidR="0072565C" w:rsidRPr="0087087F" w:rsidRDefault="0072565C" w:rsidP="00AE77DC">
            <w:pPr>
              <w:spacing w:after="0" w:line="240" w:lineRule="auto"/>
              <w:jc w:val="center"/>
              <w:rPr>
                <w:rFonts w:cs="Times New Roman"/>
                <w:color w:val="1B1C1D"/>
                <w:szCs w:val="24"/>
                <w:lang w:val="es-MX" w:eastAsia="es-MX"/>
              </w:rPr>
            </w:pPr>
            <w:r w:rsidRPr="0087087F">
              <w:rPr>
                <w:rFonts w:cs="Times New Roman"/>
                <w:color w:val="1B1C1D"/>
                <w:szCs w:val="24"/>
                <w:lang w:val="es-MX" w:eastAsia="es-MX"/>
              </w:rPr>
              <w:t>95</w:t>
            </w:r>
          </w:p>
        </w:tc>
        <w:tc>
          <w:tcPr>
            <w:tcW w:w="867" w:type="dxa"/>
            <w:tcMar>
              <w:top w:w="120" w:type="dxa"/>
              <w:left w:w="180" w:type="dxa"/>
              <w:bottom w:w="120" w:type="dxa"/>
              <w:right w:w="180" w:type="dxa"/>
            </w:tcMar>
            <w:vAlign w:val="center"/>
            <w:hideMark/>
          </w:tcPr>
          <w:p w14:paraId="0DC9457F" w14:textId="77777777" w:rsidR="0072565C" w:rsidRPr="0087087F" w:rsidRDefault="0072565C" w:rsidP="00AE77DC">
            <w:pPr>
              <w:spacing w:after="0" w:line="240" w:lineRule="auto"/>
              <w:jc w:val="center"/>
              <w:rPr>
                <w:rFonts w:cs="Times New Roman"/>
                <w:color w:val="1B1C1D"/>
                <w:szCs w:val="24"/>
                <w:lang w:val="es-MX" w:eastAsia="es-MX"/>
              </w:rPr>
            </w:pPr>
            <w:r w:rsidRPr="0087087F">
              <w:rPr>
                <w:rFonts w:cs="Times New Roman"/>
                <w:color w:val="1B1C1D"/>
                <w:szCs w:val="24"/>
                <w:lang w:val="es-MX" w:eastAsia="es-MX"/>
              </w:rPr>
              <w:t>115</w:t>
            </w:r>
          </w:p>
        </w:tc>
      </w:tr>
      <w:tr w:rsidR="00B14DB6" w:rsidRPr="0087087F" w14:paraId="5D6B12D1" w14:textId="77777777" w:rsidTr="0087087F">
        <w:trPr>
          <w:tblCellSpacing w:w="15" w:type="dxa"/>
        </w:trPr>
        <w:tc>
          <w:tcPr>
            <w:tcW w:w="0" w:type="auto"/>
            <w:tcMar>
              <w:top w:w="120" w:type="dxa"/>
              <w:left w:w="180" w:type="dxa"/>
              <w:bottom w:w="120" w:type="dxa"/>
              <w:right w:w="180" w:type="dxa"/>
            </w:tcMar>
            <w:vAlign w:val="center"/>
            <w:hideMark/>
          </w:tcPr>
          <w:p w14:paraId="0FBEFEB9" w14:textId="77777777" w:rsidR="0072565C" w:rsidRPr="0087087F" w:rsidRDefault="0072565C" w:rsidP="0072565C">
            <w:pPr>
              <w:spacing w:after="0" w:line="240" w:lineRule="auto"/>
              <w:rPr>
                <w:rFonts w:cs="Times New Roman"/>
                <w:color w:val="1B1C1D"/>
                <w:szCs w:val="24"/>
                <w:lang w:val="es-MX" w:eastAsia="es-MX"/>
              </w:rPr>
            </w:pPr>
            <w:r w:rsidRPr="0087087F">
              <w:rPr>
                <w:rFonts w:cs="Times New Roman"/>
                <w:color w:val="1B1C1D"/>
                <w:szCs w:val="24"/>
                <w:bdr w:val="none" w:sz="0" w:space="0" w:color="auto" w:frame="1"/>
                <w:lang w:val="es-MX" w:eastAsia="es-MX"/>
              </w:rPr>
              <w:t>Aptitudes Matemáticas (Puntuación Bruta)</w:t>
            </w:r>
          </w:p>
        </w:tc>
        <w:tc>
          <w:tcPr>
            <w:tcW w:w="0" w:type="auto"/>
            <w:tcMar>
              <w:top w:w="120" w:type="dxa"/>
              <w:left w:w="180" w:type="dxa"/>
              <w:bottom w:w="120" w:type="dxa"/>
              <w:right w:w="180" w:type="dxa"/>
            </w:tcMar>
            <w:vAlign w:val="center"/>
            <w:hideMark/>
          </w:tcPr>
          <w:p w14:paraId="2D3EC7AA" w14:textId="77777777" w:rsidR="0072565C" w:rsidRPr="0087087F" w:rsidRDefault="0072565C" w:rsidP="00AE77DC">
            <w:pPr>
              <w:spacing w:after="0" w:line="240" w:lineRule="auto"/>
              <w:jc w:val="center"/>
              <w:rPr>
                <w:rFonts w:cs="Times New Roman"/>
                <w:color w:val="1B1C1D"/>
                <w:szCs w:val="24"/>
                <w:lang w:val="es-MX" w:eastAsia="es-MX"/>
              </w:rPr>
            </w:pPr>
            <w:r w:rsidRPr="0087087F">
              <w:rPr>
                <w:rFonts w:cs="Times New Roman"/>
                <w:color w:val="1B1C1D"/>
                <w:szCs w:val="24"/>
                <w:lang w:val="es-MX" w:eastAsia="es-MX"/>
              </w:rPr>
              <w:t>11</w:t>
            </w:r>
          </w:p>
        </w:tc>
        <w:tc>
          <w:tcPr>
            <w:tcW w:w="0" w:type="auto"/>
            <w:tcMar>
              <w:top w:w="120" w:type="dxa"/>
              <w:left w:w="180" w:type="dxa"/>
              <w:bottom w:w="120" w:type="dxa"/>
              <w:right w:w="180" w:type="dxa"/>
            </w:tcMar>
            <w:vAlign w:val="center"/>
            <w:hideMark/>
          </w:tcPr>
          <w:p w14:paraId="5C7E9109" w14:textId="5D5C0764" w:rsidR="0072565C" w:rsidRPr="0087087F" w:rsidRDefault="0072565C" w:rsidP="00AE77DC">
            <w:pPr>
              <w:spacing w:after="0" w:line="240" w:lineRule="auto"/>
              <w:jc w:val="center"/>
              <w:rPr>
                <w:rFonts w:cs="Times New Roman"/>
                <w:color w:val="1B1C1D"/>
                <w:szCs w:val="24"/>
                <w:lang w:val="es-MX" w:eastAsia="es-MX"/>
              </w:rPr>
            </w:pPr>
            <w:r w:rsidRPr="0087087F">
              <w:rPr>
                <w:rFonts w:cs="Times New Roman"/>
                <w:color w:val="1B1C1D"/>
                <w:szCs w:val="24"/>
                <w:bdr w:val="none" w:sz="0" w:space="0" w:color="auto" w:frame="1"/>
                <w:lang w:val="es-MX" w:eastAsia="es-MX"/>
              </w:rPr>
              <w:t>11.27</w:t>
            </w:r>
          </w:p>
        </w:tc>
        <w:tc>
          <w:tcPr>
            <w:tcW w:w="0" w:type="auto"/>
            <w:tcMar>
              <w:top w:w="120" w:type="dxa"/>
              <w:left w:w="180" w:type="dxa"/>
              <w:bottom w:w="120" w:type="dxa"/>
              <w:right w:w="180" w:type="dxa"/>
            </w:tcMar>
            <w:vAlign w:val="center"/>
            <w:hideMark/>
          </w:tcPr>
          <w:p w14:paraId="7E8EDCA9" w14:textId="5FA50266" w:rsidR="0072565C" w:rsidRPr="0087087F" w:rsidRDefault="0072565C" w:rsidP="00AE77DC">
            <w:pPr>
              <w:spacing w:after="0" w:line="240" w:lineRule="auto"/>
              <w:jc w:val="center"/>
              <w:rPr>
                <w:rFonts w:cs="Times New Roman"/>
                <w:color w:val="1B1C1D"/>
                <w:szCs w:val="24"/>
                <w:lang w:val="es-MX" w:eastAsia="es-MX"/>
              </w:rPr>
            </w:pPr>
            <w:r w:rsidRPr="0087087F">
              <w:rPr>
                <w:rFonts w:cs="Times New Roman"/>
                <w:color w:val="1B1C1D"/>
                <w:szCs w:val="24"/>
                <w:bdr w:val="none" w:sz="0" w:space="0" w:color="auto" w:frame="1"/>
                <w:lang w:val="es-MX" w:eastAsia="es-MX"/>
              </w:rPr>
              <w:t>3.79</w:t>
            </w:r>
          </w:p>
        </w:tc>
        <w:tc>
          <w:tcPr>
            <w:tcW w:w="0" w:type="auto"/>
            <w:tcMar>
              <w:top w:w="120" w:type="dxa"/>
              <w:left w:w="180" w:type="dxa"/>
              <w:bottom w:w="120" w:type="dxa"/>
              <w:right w:w="180" w:type="dxa"/>
            </w:tcMar>
            <w:vAlign w:val="center"/>
            <w:hideMark/>
          </w:tcPr>
          <w:p w14:paraId="49B429CB" w14:textId="77777777" w:rsidR="0072565C" w:rsidRPr="0087087F" w:rsidRDefault="0072565C" w:rsidP="00AE77DC">
            <w:pPr>
              <w:spacing w:after="0" w:line="240" w:lineRule="auto"/>
              <w:jc w:val="center"/>
              <w:rPr>
                <w:rFonts w:cs="Times New Roman"/>
                <w:color w:val="1B1C1D"/>
                <w:szCs w:val="24"/>
                <w:lang w:val="es-MX" w:eastAsia="es-MX"/>
              </w:rPr>
            </w:pPr>
            <w:r w:rsidRPr="0087087F">
              <w:rPr>
                <w:rFonts w:cs="Times New Roman"/>
                <w:color w:val="1B1C1D"/>
                <w:szCs w:val="24"/>
                <w:lang w:val="es-MX" w:eastAsia="es-MX"/>
              </w:rPr>
              <w:t>4</w:t>
            </w:r>
          </w:p>
        </w:tc>
        <w:tc>
          <w:tcPr>
            <w:tcW w:w="867" w:type="dxa"/>
            <w:tcMar>
              <w:top w:w="120" w:type="dxa"/>
              <w:left w:w="180" w:type="dxa"/>
              <w:bottom w:w="120" w:type="dxa"/>
              <w:right w:w="180" w:type="dxa"/>
            </w:tcMar>
            <w:vAlign w:val="center"/>
            <w:hideMark/>
          </w:tcPr>
          <w:p w14:paraId="1FB427E4" w14:textId="77777777" w:rsidR="0072565C" w:rsidRPr="0087087F" w:rsidRDefault="0072565C" w:rsidP="00AE77DC">
            <w:pPr>
              <w:spacing w:after="0" w:line="240" w:lineRule="auto"/>
              <w:jc w:val="center"/>
              <w:rPr>
                <w:rFonts w:cs="Times New Roman"/>
                <w:color w:val="1B1C1D"/>
                <w:szCs w:val="24"/>
                <w:lang w:val="es-MX" w:eastAsia="es-MX"/>
              </w:rPr>
            </w:pPr>
            <w:r w:rsidRPr="0087087F">
              <w:rPr>
                <w:rFonts w:cs="Times New Roman"/>
                <w:color w:val="1B1C1D"/>
                <w:szCs w:val="24"/>
                <w:lang w:val="es-MX" w:eastAsia="es-MX"/>
              </w:rPr>
              <w:t>17</w:t>
            </w:r>
          </w:p>
        </w:tc>
      </w:tr>
    </w:tbl>
    <w:p w14:paraId="2BF8DEA5" w14:textId="036A2A2B" w:rsidR="00DF71FF" w:rsidRPr="0087087F" w:rsidRDefault="00DF71FF" w:rsidP="0087087F">
      <w:pPr>
        <w:spacing w:after="0" w:line="360" w:lineRule="auto"/>
        <w:jc w:val="center"/>
        <w:rPr>
          <w:rFonts w:cs="Times New Roman"/>
          <w:szCs w:val="24"/>
          <w:lang w:val="es-MX" w:eastAsia="es-MX"/>
        </w:rPr>
      </w:pPr>
      <w:r w:rsidRPr="0087087F">
        <w:rPr>
          <w:rFonts w:cs="Times New Roman"/>
          <w:szCs w:val="24"/>
          <w:lang w:val="es-MX" w:eastAsia="es-MX"/>
        </w:rPr>
        <w:t>Nota: Elaboración propia</w:t>
      </w:r>
    </w:p>
    <w:p w14:paraId="2AE35E28" w14:textId="6F9FED95" w:rsidR="0087087F" w:rsidRDefault="008F46D9" w:rsidP="0087087F">
      <w:pPr>
        <w:spacing w:after="0" w:line="360" w:lineRule="auto"/>
        <w:ind w:firstLine="720"/>
        <w:jc w:val="both"/>
        <w:rPr>
          <w:lang w:val="es-MX"/>
        </w:rPr>
      </w:pPr>
      <w:r w:rsidRPr="0087087F">
        <w:rPr>
          <w:lang w:val="es-MX"/>
        </w:rPr>
        <w:t xml:space="preserve">Para cumplir con el segundo objetivo, se realizó una correlación de Pearson entre las variables. Los resultados (Tabla 2) indicaron una correlación positiva entre la inteligencia general y las aptitudes matemáticas. El coeficiente de correlación obtenido fue de r = </w:t>
      </w:r>
      <w:r w:rsidR="00EE1E02" w:rsidRPr="0087087F">
        <w:rPr>
          <w:lang w:val="es-MX"/>
        </w:rPr>
        <w:t>0</w:t>
      </w:r>
      <w:r w:rsidRPr="0087087F">
        <w:rPr>
          <w:lang w:val="es-MX"/>
        </w:rPr>
        <w:t>.75, el cual resultó estadísticamente significativo (p = .008). De acuerdo con los criterios de interpretación del tamaño del efecto, este valor puede considerarse alto. Este hallazgo sugiere que los estudiantes con un mayor IG tienden a obtener puntuaciones más altas en el test de aptitudes matemáticas.</w:t>
      </w:r>
    </w:p>
    <w:p w14:paraId="3F83C11B" w14:textId="77777777" w:rsidR="0087087F" w:rsidRPr="0087087F" w:rsidRDefault="0087087F" w:rsidP="0087087F">
      <w:pPr>
        <w:spacing w:after="0" w:line="360" w:lineRule="auto"/>
        <w:jc w:val="both"/>
        <w:rPr>
          <w:lang w:val="es-MX"/>
        </w:rPr>
      </w:pPr>
    </w:p>
    <w:p w14:paraId="0ECF632D" w14:textId="17CB139B" w:rsidR="0090462E" w:rsidRPr="0087087F" w:rsidRDefault="0090462E" w:rsidP="0087087F">
      <w:pPr>
        <w:spacing w:after="0" w:line="240" w:lineRule="auto"/>
        <w:jc w:val="center"/>
        <w:rPr>
          <w:rFonts w:cs="Times New Roman"/>
          <w:b/>
          <w:bCs/>
          <w:color w:val="1B1C1D"/>
          <w:sz w:val="20"/>
          <w:szCs w:val="20"/>
          <w:bdr w:val="none" w:sz="0" w:space="0" w:color="auto" w:frame="1"/>
          <w:lang w:val="es-MX" w:eastAsia="es-MX"/>
        </w:rPr>
      </w:pPr>
      <w:r w:rsidRPr="0087087F">
        <w:rPr>
          <w:rFonts w:cs="Times New Roman"/>
          <w:b/>
          <w:bCs/>
          <w:sz w:val="22"/>
          <w:lang w:val="es-MX" w:eastAsia="es-MX"/>
        </w:rPr>
        <w:t>Tabla 2.</w:t>
      </w:r>
      <w:r w:rsidRPr="0087087F">
        <w:rPr>
          <w:rFonts w:cs="Times New Roman"/>
          <w:sz w:val="22"/>
          <w:lang w:val="es-MX" w:eastAsia="es-MX"/>
        </w:rPr>
        <w:t xml:space="preserve"> Correlación de Pearson entre Inteligencia General (IG) y Aptitudes Matemáticas (N</w:t>
      </w:r>
      <w:r w:rsidRPr="0087087F">
        <w:rPr>
          <w:rFonts w:cs="Times New Roman"/>
          <w:b/>
          <w:bCs/>
          <w:color w:val="1B1C1D"/>
          <w:sz w:val="20"/>
          <w:szCs w:val="20"/>
          <w:bdr w:val="none" w:sz="0" w:space="0" w:color="auto" w:frame="1"/>
          <w:lang w:val="es-MX" w:eastAsia="es-MX"/>
        </w:rPr>
        <w:t>=11)</w:t>
      </w:r>
    </w:p>
    <w:tbl>
      <w:tblPr>
        <w:tblpPr w:leftFromText="141" w:rightFromText="141" w:vertAnchor="text" w:horzAnchor="margin" w:tblpXSpec="center" w:tblpY="260"/>
        <w:tblW w:w="7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9"/>
        <w:gridCol w:w="1843"/>
        <w:gridCol w:w="2896"/>
      </w:tblGrid>
      <w:tr w:rsidR="004672D9" w:rsidRPr="0087087F" w14:paraId="40050CC0" w14:textId="77777777" w:rsidTr="0087087F">
        <w:trPr>
          <w:trHeight w:val="315"/>
        </w:trPr>
        <w:tc>
          <w:tcPr>
            <w:tcW w:w="3119" w:type="dxa"/>
            <w:tcMar>
              <w:top w:w="30" w:type="dxa"/>
              <w:left w:w="45" w:type="dxa"/>
              <w:bottom w:w="30" w:type="dxa"/>
              <w:right w:w="45" w:type="dxa"/>
            </w:tcMar>
            <w:vAlign w:val="bottom"/>
            <w:hideMark/>
          </w:tcPr>
          <w:p w14:paraId="5FF9AF55" w14:textId="77777777" w:rsidR="004672D9" w:rsidRPr="0087087F" w:rsidRDefault="004672D9" w:rsidP="00F76914">
            <w:pPr>
              <w:spacing w:after="0" w:line="240" w:lineRule="auto"/>
              <w:jc w:val="center"/>
              <w:rPr>
                <w:rFonts w:cs="Times New Roman"/>
                <w:color w:val="1B1C1D"/>
                <w:szCs w:val="24"/>
                <w:bdr w:val="none" w:sz="0" w:space="0" w:color="auto" w:frame="1"/>
                <w:lang w:val="es-MX" w:eastAsia="es-MX"/>
              </w:rPr>
            </w:pPr>
            <w:r w:rsidRPr="0087087F">
              <w:rPr>
                <w:rFonts w:cs="Times New Roman"/>
                <w:color w:val="1B1C1D"/>
                <w:szCs w:val="24"/>
                <w:bdr w:val="none" w:sz="0" w:space="0" w:color="auto" w:frame="1"/>
                <w:lang w:val="es-MX" w:eastAsia="es-MX"/>
              </w:rPr>
              <w:t>Correlación</w:t>
            </w:r>
          </w:p>
        </w:tc>
        <w:tc>
          <w:tcPr>
            <w:tcW w:w="1843" w:type="dxa"/>
            <w:tcMar>
              <w:top w:w="30" w:type="dxa"/>
              <w:left w:w="45" w:type="dxa"/>
              <w:bottom w:w="30" w:type="dxa"/>
              <w:right w:w="45" w:type="dxa"/>
            </w:tcMar>
            <w:vAlign w:val="bottom"/>
            <w:hideMark/>
          </w:tcPr>
          <w:p w14:paraId="08C82813" w14:textId="77777777" w:rsidR="004672D9" w:rsidRPr="0087087F" w:rsidRDefault="004672D9" w:rsidP="00F76914">
            <w:pPr>
              <w:spacing w:after="0" w:line="240" w:lineRule="auto"/>
              <w:jc w:val="center"/>
              <w:rPr>
                <w:rFonts w:cs="Times New Roman"/>
                <w:color w:val="1B1C1D"/>
                <w:szCs w:val="24"/>
                <w:bdr w:val="none" w:sz="0" w:space="0" w:color="auto" w:frame="1"/>
                <w:lang w:val="es-MX" w:eastAsia="es-MX"/>
              </w:rPr>
            </w:pPr>
            <w:r w:rsidRPr="0087087F">
              <w:rPr>
                <w:rFonts w:cs="Times New Roman"/>
                <w:color w:val="1B1C1D"/>
                <w:szCs w:val="24"/>
                <w:bdr w:val="none" w:sz="0" w:space="0" w:color="auto" w:frame="1"/>
                <w:lang w:val="es-MX" w:eastAsia="es-MX"/>
              </w:rPr>
              <w:t>IG de RIAS</w:t>
            </w:r>
          </w:p>
        </w:tc>
        <w:tc>
          <w:tcPr>
            <w:tcW w:w="2896" w:type="dxa"/>
            <w:tcMar>
              <w:top w:w="30" w:type="dxa"/>
              <w:left w:w="0" w:type="dxa"/>
              <w:bottom w:w="30" w:type="dxa"/>
              <w:right w:w="0" w:type="dxa"/>
            </w:tcMar>
            <w:vAlign w:val="bottom"/>
            <w:hideMark/>
          </w:tcPr>
          <w:p w14:paraId="01B60C5D" w14:textId="77777777" w:rsidR="004672D9" w:rsidRPr="0087087F" w:rsidRDefault="004672D9" w:rsidP="00F76914">
            <w:pPr>
              <w:spacing w:after="0" w:line="240" w:lineRule="auto"/>
              <w:jc w:val="center"/>
              <w:rPr>
                <w:rFonts w:cs="Times New Roman"/>
                <w:color w:val="1B1C1D"/>
                <w:szCs w:val="24"/>
                <w:bdr w:val="none" w:sz="0" w:space="0" w:color="auto" w:frame="1"/>
                <w:lang w:val="es-MX" w:eastAsia="es-MX"/>
              </w:rPr>
            </w:pPr>
            <w:r w:rsidRPr="0087087F">
              <w:rPr>
                <w:rFonts w:cs="Times New Roman"/>
                <w:color w:val="1B1C1D"/>
                <w:szCs w:val="24"/>
                <w:bdr w:val="none" w:sz="0" w:space="0" w:color="auto" w:frame="1"/>
                <w:lang w:val="es-MX" w:eastAsia="es-MX"/>
              </w:rPr>
              <w:t>Puntuación Matemáticas</w:t>
            </w:r>
          </w:p>
        </w:tc>
      </w:tr>
      <w:tr w:rsidR="004672D9" w:rsidRPr="0087087F" w14:paraId="20851441" w14:textId="77777777" w:rsidTr="0087087F">
        <w:trPr>
          <w:trHeight w:val="315"/>
        </w:trPr>
        <w:tc>
          <w:tcPr>
            <w:tcW w:w="3119" w:type="dxa"/>
            <w:tcMar>
              <w:top w:w="30" w:type="dxa"/>
              <w:left w:w="45" w:type="dxa"/>
              <w:bottom w:w="30" w:type="dxa"/>
              <w:right w:w="45" w:type="dxa"/>
            </w:tcMar>
            <w:vAlign w:val="bottom"/>
            <w:hideMark/>
          </w:tcPr>
          <w:p w14:paraId="1CC6E7BD" w14:textId="77777777" w:rsidR="004672D9" w:rsidRPr="0087087F" w:rsidRDefault="004672D9" w:rsidP="009D6678">
            <w:pPr>
              <w:spacing w:after="0" w:line="240" w:lineRule="auto"/>
              <w:rPr>
                <w:rFonts w:cs="Times New Roman"/>
                <w:color w:val="1B1C1D"/>
                <w:szCs w:val="24"/>
                <w:bdr w:val="none" w:sz="0" w:space="0" w:color="auto" w:frame="1"/>
                <w:lang w:val="es-MX" w:eastAsia="es-MX"/>
              </w:rPr>
            </w:pPr>
            <w:r w:rsidRPr="0087087F">
              <w:rPr>
                <w:rFonts w:cs="Times New Roman"/>
                <w:color w:val="1B1C1D"/>
                <w:szCs w:val="24"/>
                <w:bdr w:val="none" w:sz="0" w:space="0" w:color="auto" w:frame="1"/>
                <w:lang w:val="es-MX" w:eastAsia="es-MX"/>
              </w:rPr>
              <w:t>IG de RIAS</w:t>
            </w:r>
          </w:p>
        </w:tc>
        <w:tc>
          <w:tcPr>
            <w:tcW w:w="1843" w:type="dxa"/>
            <w:tcMar>
              <w:top w:w="30" w:type="dxa"/>
              <w:left w:w="45" w:type="dxa"/>
              <w:bottom w:w="30" w:type="dxa"/>
              <w:right w:w="45" w:type="dxa"/>
            </w:tcMar>
            <w:vAlign w:val="bottom"/>
            <w:hideMark/>
          </w:tcPr>
          <w:p w14:paraId="15B4FACE" w14:textId="77777777" w:rsidR="004672D9" w:rsidRPr="0087087F" w:rsidRDefault="004672D9" w:rsidP="00F76914">
            <w:pPr>
              <w:spacing w:after="0" w:line="240" w:lineRule="auto"/>
              <w:jc w:val="center"/>
              <w:rPr>
                <w:rFonts w:cs="Times New Roman"/>
                <w:color w:val="1B1C1D"/>
                <w:szCs w:val="24"/>
                <w:bdr w:val="none" w:sz="0" w:space="0" w:color="auto" w:frame="1"/>
                <w:lang w:val="es-MX" w:eastAsia="es-MX"/>
              </w:rPr>
            </w:pPr>
            <w:r w:rsidRPr="0087087F">
              <w:rPr>
                <w:rFonts w:cs="Times New Roman"/>
                <w:color w:val="1B1C1D"/>
                <w:szCs w:val="24"/>
                <w:bdr w:val="none" w:sz="0" w:space="0" w:color="auto" w:frame="1"/>
                <w:lang w:val="es-MX" w:eastAsia="es-MX"/>
              </w:rPr>
              <w:t>1</w:t>
            </w:r>
          </w:p>
        </w:tc>
        <w:tc>
          <w:tcPr>
            <w:tcW w:w="2896" w:type="dxa"/>
            <w:tcMar>
              <w:top w:w="30" w:type="dxa"/>
              <w:left w:w="45" w:type="dxa"/>
              <w:bottom w:w="30" w:type="dxa"/>
              <w:right w:w="45" w:type="dxa"/>
            </w:tcMar>
            <w:vAlign w:val="bottom"/>
            <w:hideMark/>
          </w:tcPr>
          <w:p w14:paraId="5B066CB4" w14:textId="77777777" w:rsidR="004672D9" w:rsidRPr="0087087F" w:rsidRDefault="004672D9" w:rsidP="00F76914">
            <w:pPr>
              <w:spacing w:after="0" w:line="240" w:lineRule="auto"/>
              <w:jc w:val="center"/>
              <w:rPr>
                <w:rFonts w:cs="Times New Roman"/>
                <w:color w:val="1B1C1D"/>
                <w:szCs w:val="24"/>
                <w:bdr w:val="none" w:sz="0" w:space="0" w:color="auto" w:frame="1"/>
                <w:lang w:val="es-MX" w:eastAsia="es-MX"/>
              </w:rPr>
            </w:pPr>
            <w:r w:rsidRPr="0087087F">
              <w:rPr>
                <w:rFonts w:cs="Times New Roman"/>
                <w:color w:val="1B1C1D"/>
                <w:szCs w:val="24"/>
                <w:bdr w:val="none" w:sz="0" w:space="0" w:color="auto" w:frame="1"/>
                <w:lang w:val="es-MX" w:eastAsia="es-MX"/>
              </w:rPr>
              <w:t>0.75</w:t>
            </w:r>
            <w:r w:rsidRPr="0087087F">
              <w:rPr>
                <w:rFonts w:ascii="Cambria Math" w:hAnsi="Cambria Math" w:cs="Cambria Math"/>
                <w:color w:val="1B1C1D"/>
                <w:szCs w:val="24"/>
                <w:bdr w:val="none" w:sz="0" w:space="0" w:color="auto" w:frame="1"/>
                <w:lang w:val="es-MX" w:eastAsia="es-MX"/>
              </w:rPr>
              <w:t>∗∗</w:t>
            </w:r>
          </w:p>
        </w:tc>
      </w:tr>
      <w:tr w:rsidR="004672D9" w:rsidRPr="0087087F" w14:paraId="7F0ED8A9" w14:textId="77777777" w:rsidTr="0087087F">
        <w:trPr>
          <w:trHeight w:val="315"/>
        </w:trPr>
        <w:tc>
          <w:tcPr>
            <w:tcW w:w="3119" w:type="dxa"/>
            <w:tcMar>
              <w:top w:w="30" w:type="dxa"/>
              <w:left w:w="45" w:type="dxa"/>
              <w:bottom w:w="30" w:type="dxa"/>
              <w:right w:w="45" w:type="dxa"/>
            </w:tcMar>
            <w:vAlign w:val="bottom"/>
            <w:hideMark/>
          </w:tcPr>
          <w:p w14:paraId="2C66B371" w14:textId="77777777" w:rsidR="004672D9" w:rsidRPr="0087087F" w:rsidRDefault="004672D9" w:rsidP="009D6678">
            <w:pPr>
              <w:spacing w:after="0" w:line="240" w:lineRule="auto"/>
              <w:rPr>
                <w:rFonts w:cs="Times New Roman"/>
                <w:color w:val="1B1C1D"/>
                <w:szCs w:val="24"/>
                <w:bdr w:val="none" w:sz="0" w:space="0" w:color="auto" w:frame="1"/>
                <w:lang w:val="es-MX" w:eastAsia="es-MX"/>
              </w:rPr>
            </w:pPr>
            <w:r w:rsidRPr="0087087F">
              <w:rPr>
                <w:rFonts w:cs="Times New Roman"/>
                <w:color w:val="1B1C1D"/>
                <w:szCs w:val="24"/>
                <w:bdr w:val="none" w:sz="0" w:space="0" w:color="auto" w:frame="1"/>
                <w:lang w:val="es-MX" w:eastAsia="es-MX"/>
              </w:rPr>
              <w:t>Puntuación Matemáticas</w:t>
            </w:r>
          </w:p>
        </w:tc>
        <w:tc>
          <w:tcPr>
            <w:tcW w:w="1843" w:type="dxa"/>
            <w:tcMar>
              <w:top w:w="30" w:type="dxa"/>
              <w:left w:w="45" w:type="dxa"/>
              <w:bottom w:w="30" w:type="dxa"/>
              <w:right w:w="45" w:type="dxa"/>
            </w:tcMar>
            <w:vAlign w:val="bottom"/>
            <w:hideMark/>
          </w:tcPr>
          <w:p w14:paraId="7AFEC7DF" w14:textId="77777777" w:rsidR="004672D9" w:rsidRPr="0087087F" w:rsidRDefault="004672D9" w:rsidP="00F76914">
            <w:pPr>
              <w:spacing w:after="0" w:line="240" w:lineRule="auto"/>
              <w:jc w:val="center"/>
              <w:rPr>
                <w:rFonts w:cs="Times New Roman"/>
                <w:color w:val="1B1C1D"/>
                <w:szCs w:val="24"/>
                <w:bdr w:val="none" w:sz="0" w:space="0" w:color="auto" w:frame="1"/>
                <w:lang w:val="es-MX" w:eastAsia="es-MX"/>
              </w:rPr>
            </w:pPr>
            <w:r w:rsidRPr="0087087F">
              <w:rPr>
                <w:rFonts w:cs="Times New Roman"/>
                <w:color w:val="1B1C1D"/>
                <w:szCs w:val="24"/>
                <w:bdr w:val="none" w:sz="0" w:space="0" w:color="auto" w:frame="1"/>
                <w:lang w:val="es-MX" w:eastAsia="es-MX"/>
              </w:rPr>
              <w:t>0.75</w:t>
            </w:r>
            <w:r w:rsidRPr="0087087F">
              <w:rPr>
                <w:rFonts w:ascii="Cambria Math" w:hAnsi="Cambria Math" w:cs="Cambria Math"/>
                <w:color w:val="1B1C1D"/>
                <w:szCs w:val="24"/>
                <w:bdr w:val="none" w:sz="0" w:space="0" w:color="auto" w:frame="1"/>
                <w:lang w:val="es-MX" w:eastAsia="es-MX"/>
              </w:rPr>
              <w:t>∗∗</w:t>
            </w:r>
          </w:p>
        </w:tc>
        <w:tc>
          <w:tcPr>
            <w:tcW w:w="2896" w:type="dxa"/>
            <w:tcMar>
              <w:top w:w="30" w:type="dxa"/>
              <w:left w:w="45" w:type="dxa"/>
              <w:bottom w:w="30" w:type="dxa"/>
              <w:right w:w="45" w:type="dxa"/>
            </w:tcMar>
            <w:vAlign w:val="bottom"/>
            <w:hideMark/>
          </w:tcPr>
          <w:p w14:paraId="1B469D57" w14:textId="77777777" w:rsidR="004672D9" w:rsidRPr="0087087F" w:rsidRDefault="004672D9" w:rsidP="00F76914">
            <w:pPr>
              <w:spacing w:after="0" w:line="240" w:lineRule="auto"/>
              <w:jc w:val="center"/>
              <w:rPr>
                <w:rFonts w:cs="Times New Roman"/>
                <w:color w:val="1B1C1D"/>
                <w:szCs w:val="24"/>
                <w:bdr w:val="none" w:sz="0" w:space="0" w:color="auto" w:frame="1"/>
                <w:lang w:val="es-MX" w:eastAsia="es-MX"/>
              </w:rPr>
            </w:pPr>
            <w:r w:rsidRPr="0087087F">
              <w:rPr>
                <w:rFonts w:cs="Times New Roman"/>
                <w:color w:val="1B1C1D"/>
                <w:szCs w:val="24"/>
                <w:bdr w:val="none" w:sz="0" w:space="0" w:color="auto" w:frame="1"/>
                <w:lang w:val="es-MX" w:eastAsia="es-MX"/>
              </w:rPr>
              <w:t>1</w:t>
            </w:r>
          </w:p>
        </w:tc>
      </w:tr>
      <w:tr w:rsidR="004672D9" w:rsidRPr="0087087F" w14:paraId="5A96D001" w14:textId="77777777" w:rsidTr="0087087F">
        <w:trPr>
          <w:trHeight w:val="315"/>
        </w:trPr>
        <w:tc>
          <w:tcPr>
            <w:tcW w:w="3119" w:type="dxa"/>
            <w:tcMar>
              <w:top w:w="30" w:type="dxa"/>
              <w:left w:w="45" w:type="dxa"/>
              <w:bottom w:w="30" w:type="dxa"/>
              <w:right w:w="45" w:type="dxa"/>
            </w:tcMar>
            <w:vAlign w:val="bottom"/>
            <w:hideMark/>
          </w:tcPr>
          <w:p w14:paraId="779AC53A" w14:textId="773BCEE1" w:rsidR="004672D9" w:rsidRPr="0087087F" w:rsidRDefault="004672D9" w:rsidP="009D6678">
            <w:pPr>
              <w:spacing w:after="0" w:line="240" w:lineRule="auto"/>
              <w:rPr>
                <w:rFonts w:cs="Times New Roman"/>
                <w:color w:val="1B1C1D"/>
                <w:szCs w:val="24"/>
                <w:bdr w:val="none" w:sz="0" w:space="0" w:color="auto" w:frame="1"/>
                <w:lang w:val="es-MX" w:eastAsia="es-MX"/>
              </w:rPr>
            </w:pPr>
            <w:r w:rsidRPr="0087087F">
              <w:rPr>
                <w:rFonts w:cs="Times New Roman"/>
                <w:color w:val="1B1C1D"/>
                <w:szCs w:val="24"/>
                <w:bdr w:val="none" w:sz="0" w:space="0" w:color="auto" w:frame="1"/>
                <w:lang w:val="es-MX" w:eastAsia="es-MX"/>
              </w:rPr>
              <w:t>Nota: p</w:t>
            </w:r>
            <w:r w:rsidR="00FD3D9B" w:rsidRPr="0087087F">
              <w:rPr>
                <w:rFonts w:cs="Times New Roman"/>
                <w:color w:val="1B1C1D"/>
                <w:szCs w:val="24"/>
                <w:bdr w:val="none" w:sz="0" w:space="0" w:color="auto" w:frame="1"/>
                <w:lang w:val="es-MX" w:eastAsia="es-MX"/>
              </w:rPr>
              <w:t xml:space="preserve"> </w:t>
            </w:r>
            <w:r w:rsidRPr="0087087F">
              <w:rPr>
                <w:rFonts w:cs="Times New Roman"/>
                <w:color w:val="1B1C1D"/>
                <w:szCs w:val="24"/>
                <w:bdr w:val="none" w:sz="0" w:space="0" w:color="auto" w:frame="1"/>
                <w:lang w:val="es-MX" w:eastAsia="es-MX"/>
              </w:rPr>
              <w:t>&lt;</w:t>
            </w:r>
            <w:r w:rsidR="00FD3D9B" w:rsidRPr="0087087F">
              <w:rPr>
                <w:rFonts w:cs="Times New Roman"/>
                <w:color w:val="1B1C1D"/>
                <w:szCs w:val="24"/>
                <w:bdr w:val="none" w:sz="0" w:space="0" w:color="auto" w:frame="1"/>
                <w:lang w:val="es-MX" w:eastAsia="es-MX"/>
              </w:rPr>
              <w:t xml:space="preserve"> </w:t>
            </w:r>
            <w:r w:rsidRPr="0087087F">
              <w:rPr>
                <w:rFonts w:cs="Times New Roman"/>
                <w:color w:val="1B1C1D"/>
                <w:szCs w:val="24"/>
                <w:bdr w:val="none" w:sz="0" w:space="0" w:color="auto" w:frame="1"/>
                <w:lang w:val="es-MX" w:eastAsia="es-MX"/>
              </w:rPr>
              <w:t>.01.</w:t>
            </w:r>
          </w:p>
        </w:tc>
        <w:tc>
          <w:tcPr>
            <w:tcW w:w="1843" w:type="dxa"/>
            <w:tcMar>
              <w:top w:w="30" w:type="dxa"/>
              <w:left w:w="45" w:type="dxa"/>
              <w:bottom w:w="30" w:type="dxa"/>
              <w:right w:w="45" w:type="dxa"/>
            </w:tcMar>
            <w:vAlign w:val="bottom"/>
            <w:hideMark/>
          </w:tcPr>
          <w:p w14:paraId="078D2966" w14:textId="77777777" w:rsidR="004672D9" w:rsidRPr="0087087F" w:rsidRDefault="004672D9" w:rsidP="00F76914">
            <w:pPr>
              <w:spacing w:after="0" w:line="240" w:lineRule="auto"/>
              <w:rPr>
                <w:rFonts w:cs="Times New Roman"/>
                <w:color w:val="1B1C1D"/>
                <w:szCs w:val="24"/>
                <w:bdr w:val="none" w:sz="0" w:space="0" w:color="auto" w:frame="1"/>
                <w:lang w:val="es-MX" w:eastAsia="es-MX"/>
              </w:rPr>
            </w:pPr>
          </w:p>
        </w:tc>
        <w:tc>
          <w:tcPr>
            <w:tcW w:w="2896" w:type="dxa"/>
            <w:tcMar>
              <w:top w:w="30" w:type="dxa"/>
              <w:left w:w="45" w:type="dxa"/>
              <w:bottom w:w="30" w:type="dxa"/>
              <w:right w:w="45" w:type="dxa"/>
            </w:tcMar>
            <w:vAlign w:val="bottom"/>
            <w:hideMark/>
          </w:tcPr>
          <w:p w14:paraId="4D79F41D" w14:textId="77777777" w:rsidR="004672D9" w:rsidRPr="0087087F" w:rsidRDefault="004672D9" w:rsidP="00F76914">
            <w:pPr>
              <w:spacing w:after="0" w:line="240" w:lineRule="auto"/>
              <w:rPr>
                <w:rFonts w:cs="Times New Roman"/>
                <w:color w:val="1B1C1D"/>
                <w:szCs w:val="24"/>
                <w:bdr w:val="none" w:sz="0" w:space="0" w:color="auto" w:frame="1"/>
                <w:lang w:val="es-MX" w:eastAsia="es-MX"/>
              </w:rPr>
            </w:pPr>
          </w:p>
        </w:tc>
      </w:tr>
    </w:tbl>
    <w:p w14:paraId="14B82A7F" w14:textId="6E0A6914" w:rsidR="004672D9" w:rsidRPr="0087087F" w:rsidRDefault="004672D9" w:rsidP="00F76914">
      <w:pPr>
        <w:spacing w:after="0" w:line="240" w:lineRule="auto"/>
        <w:rPr>
          <w:rFonts w:cs="Times New Roman"/>
          <w:b/>
          <w:bCs/>
          <w:color w:val="1B1C1D"/>
          <w:sz w:val="22"/>
          <w:bdr w:val="none" w:sz="0" w:space="0" w:color="auto" w:frame="1"/>
          <w:lang w:val="es-MX" w:eastAsia="es-MX"/>
        </w:rPr>
      </w:pPr>
    </w:p>
    <w:p w14:paraId="07B4DAE9" w14:textId="77777777" w:rsidR="00AD6403" w:rsidRPr="0087087F" w:rsidRDefault="00AD6403" w:rsidP="00F76914">
      <w:pPr>
        <w:spacing w:after="0" w:line="240" w:lineRule="auto"/>
        <w:rPr>
          <w:rFonts w:cs="Times New Roman"/>
          <w:sz w:val="22"/>
          <w:lang w:val="es-MX" w:eastAsia="es-MX"/>
        </w:rPr>
      </w:pPr>
    </w:p>
    <w:p w14:paraId="3C7FA115" w14:textId="6FB38ECD" w:rsidR="00DF71FF" w:rsidRDefault="00DF71FF" w:rsidP="0087087F">
      <w:pPr>
        <w:spacing w:after="0" w:line="240" w:lineRule="auto"/>
        <w:jc w:val="center"/>
        <w:rPr>
          <w:rFonts w:cs="Times New Roman"/>
          <w:szCs w:val="24"/>
          <w:lang w:val="es-MX" w:eastAsia="es-MX"/>
        </w:rPr>
      </w:pPr>
      <w:r w:rsidRPr="0087087F">
        <w:rPr>
          <w:rFonts w:cs="Times New Roman"/>
          <w:szCs w:val="24"/>
          <w:lang w:val="es-MX" w:eastAsia="es-MX"/>
        </w:rPr>
        <w:t>Nota: Elaboración propia</w:t>
      </w:r>
    </w:p>
    <w:p w14:paraId="6AF62AA1" w14:textId="24712EC1" w:rsidR="00747B51" w:rsidRPr="0087087F" w:rsidRDefault="00747B51" w:rsidP="0087087F">
      <w:pPr>
        <w:spacing w:after="0" w:line="360" w:lineRule="auto"/>
        <w:jc w:val="center"/>
        <w:outlineLvl w:val="1"/>
        <w:rPr>
          <w:rFonts w:cs="Times New Roman"/>
          <w:b/>
          <w:bCs/>
          <w:color w:val="1B1C1D"/>
          <w:sz w:val="32"/>
          <w:szCs w:val="32"/>
          <w:lang w:val="es-MX" w:eastAsia="es-MX"/>
        </w:rPr>
      </w:pPr>
      <w:r w:rsidRPr="0087087F">
        <w:rPr>
          <w:rFonts w:cs="Times New Roman"/>
          <w:b/>
          <w:bCs/>
          <w:color w:val="1B1C1D"/>
          <w:sz w:val="32"/>
          <w:szCs w:val="32"/>
          <w:lang w:val="es-MX" w:eastAsia="es-MX"/>
        </w:rPr>
        <w:lastRenderedPageBreak/>
        <w:t>Discusión</w:t>
      </w:r>
    </w:p>
    <w:p w14:paraId="325077CD" w14:textId="1D79F3F0" w:rsidR="00DC7806" w:rsidRPr="0087087F" w:rsidRDefault="00DC7806" w:rsidP="0087087F">
      <w:pPr>
        <w:spacing w:after="0" w:line="360" w:lineRule="auto"/>
        <w:ind w:firstLine="720"/>
        <w:jc w:val="both"/>
        <w:rPr>
          <w:lang w:val="es-MX"/>
        </w:rPr>
      </w:pPr>
      <w:r w:rsidRPr="0087087F">
        <w:rPr>
          <w:lang w:val="es-MX"/>
        </w:rPr>
        <w:t xml:space="preserve">La presente investigación tuvo como propósito evaluar la inteligencia general y el nivel de aptitudes matemáticas en un grupo de estudiantes de educación primaria beneficiarios del programa de mentoría </w:t>
      </w:r>
      <w:proofErr w:type="spellStart"/>
      <w:r w:rsidRPr="0087087F">
        <w:rPr>
          <w:lang w:val="es-MX"/>
        </w:rPr>
        <w:t>Peraj</w:t>
      </w:r>
      <w:proofErr w:type="spellEnd"/>
      <w:r w:rsidRPr="0087087F">
        <w:rPr>
          <w:lang w:val="es-MX"/>
        </w:rPr>
        <w:t>. El estudio se orientó a la caracterización y al análisis descriptivo-correlacional de estas variables. En este sentido, coincide con lo reportado en la literatura (Montañez Romero &amp; Beltrán de la Rosa, 2022), al centrarse en la evaluación de habilidades en una población escolar.</w:t>
      </w:r>
    </w:p>
    <w:p w14:paraId="463979EE" w14:textId="3347C5C0" w:rsidR="00DC7806" w:rsidRPr="0087087F" w:rsidRDefault="00DC7806" w:rsidP="0087087F">
      <w:pPr>
        <w:spacing w:after="0" w:line="360" w:lineRule="auto"/>
        <w:ind w:firstLine="720"/>
        <w:jc w:val="both"/>
        <w:rPr>
          <w:lang w:val="es-MX"/>
        </w:rPr>
      </w:pPr>
      <w:r w:rsidRPr="0087087F">
        <w:rPr>
          <w:lang w:val="es-MX"/>
        </w:rPr>
        <w:t xml:space="preserve">Los resultados indican que, en promedio, el grupo de estudiantes de </w:t>
      </w:r>
      <w:proofErr w:type="spellStart"/>
      <w:r w:rsidRPr="0087087F">
        <w:rPr>
          <w:lang w:val="es-MX"/>
        </w:rPr>
        <w:t>Peraj</w:t>
      </w:r>
      <w:proofErr w:type="spellEnd"/>
      <w:r w:rsidRPr="0087087F">
        <w:rPr>
          <w:lang w:val="es-MX"/>
        </w:rPr>
        <w:t xml:space="preserve"> presenta un IG de 103.40 (DE = 6.94), lo cual se sitúa en el rango promedio. Este valor es consistente con la media de la población general de su edad. Asimismo, sugiere que el modelo de acompañamiento se asocia con un nivel de funcionamiento cognitivo dentro de los parámetros esperados, un factor relevante para el desempeño escolar y la adaptación a las demandas académicas (Reynolds &amp; </w:t>
      </w:r>
      <w:proofErr w:type="spellStart"/>
      <w:r w:rsidRPr="0087087F">
        <w:rPr>
          <w:lang w:val="es-MX"/>
        </w:rPr>
        <w:t>Kamphaus</w:t>
      </w:r>
      <w:proofErr w:type="spellEnd"/>
      <w:r w:rsidRPr="0087087F">
        <w:rPr>
          <w:lang w:val="es-MX"/>
        </w:rPr>
        <w:t xml:space="preserve">, 2003; </w:t>
      </w:r>
      <w:proofErr w:type="spellStart"/>
      <w:r w:rsidRPr="0087087F">
        <w:rPr>
          <w:lang w:val="es-MX"/>
        </w:rPr>
        <w:t>Tabiani</w:t>
      </w:r>
      <w:proofErr w:type="spellEnd"/>
      <w:r w:rsidRPr="0087087F">
        <w:rPr>
          <w:lang w:val="es-MX"/>
        </w:rPr>
        <w:t>, 2024).</w:t>
      </w:r>
    </w:p>
    <w:p w14:paraId="47705929" w14:textId="637A1311" w:rsidR="00614BFB" w:rsidRPr="0087087F" w:rsidRDefault="00614BFB" w:rsidP="0087087F">
      <w:pPr>
        <w:spacing w:after="0" w:line="360" w:lineRule="auto"/>
        <w:ind w:firstLine="720"/>
        <w:jc w:val="both"/>
        <w:rPr>
          <w:lang w:val="es-MX"/>
        </w:rPr>
      </w:pPr>
      <w:r w:rsidRPr="0087087F">
        <w:rPr>
          <w:lang w:val="es-MX"/>
        </w:rPr>
        <w:t xml:space="preserve">En el ámbito de las aptitudes académicas, el rendimiento medio en el test de aptitudes matemáticas fue de 11.27/20. Aunque esta puntuación representa un nivel de dominio intermedio-bajo de las habilidades evaluadas, es importante interpretarla en el contexto del desarrollo integral promovido por </w:t>
      </w:r>
      <w:proofErr w:type="spellStart"/>
      <w:r w:rsidRPr="0087087F">
        <w:rPr>
          <w:lang w:val="es-MX"/>
        </w:rPr>
        <w:t>Peraj</w:t>
      </w:r>
      <w:proofErr w:type="spellEnd"/>
      <w:r w:rsidRPr="0087087F">
        <w:rPr>
          <w:lang w:val="es-MX"/>
        </w:rPr>
        <w:t xml:space="preserve">, el cual no se limita a la instrucción directa de contenidos, sino que también considera el fortalecimiento de habilidades emocionales y cognitivas que subyacen al aprendizaje (Dirección General de Orientación y Atención Educativa, UNAM, 2010; </w:t>
      </w:r>
      <w:proofErr w:type="spellStart"/>
      <w:r w:rsidRPr="0087087F">
        <w:rPr>
          <w:lang w:val="es-MX"/>
        </w:rPr>
        <w:t>Peraj</w:t>
      </w:r>
      <w:proofErr w:type="spellEnd"/>
      <w:r w:rsidRPr="0087087F">
        <w:rPr>
          <w:lang w:val="es-MX"/>
        </w:rPr>
        <w:t>, 2020).</w:t>
      </w:r>
    </w:p>
    <w:p w14:paraId="57E82334" w14:textId="5D3A557B" w:rsidR="001C17C5" w:rsidRPr="0087087F" w:rsidRDefault="00614BFB" w:rsidP="0087087F">
      <w:pPr>
        <w:spacing w:after="0" w:line="360" w:lineRule="auto"/>
        <w:ind w:firstLine="720"/>
        <w:jc w:val="both"/>
        <w:rPr>
          <w:lang w:val="es-MX"/>
        </w:rPr>
      </w:pPr>
      <w:r w:rsidRPr="0087087F">
        <w:rPr>
          <w:lang w:val="es-MX"/>
        </w:rPr>
        <w:t xml:space="preserve">Uno de los hallazgos relevantes del estudio es la correlación positiva entre la inteligencia general y las aptitudes matemáticas, con un coeficiente de r = .75 (p &lt; .008), el cual es estadísticamente significativo y de magnitud alta. Esta correlación es consistente con la relación teórica entre la capacidad intelectual y el rendimiento académico reportada en la literatura (Watts &amp; Joyner, 2022). En el contexto de </w:t>
      </w:r>
      <w:proofErr w:type="spellStart"/>
      <w:r w:rsidRPr="0087087F">
        <w:rPr>
          <w:lang w:val="es-MX"/>
        </w:rPr>
        <w:t>Peraj</w:t>
      </w:r>
      <w:proofErr w:type="spellEnd"/>
      <w:r w:rsidRPr="0087087F">
        <w:rPr>
          <w:lang w:val="es-MX"/>
        </w:rPr>
        <w:t>, este resultado adquiere relevancia al evidenciar la asociación entre ambas variables en la población estudiada.</w:t>
      </w:r>
    </w:p>
    <w:p w14:paraId="47498CD1" w14:textId="19F9FB62" w:rsidR="00614BFB" w:rsidRPr="0087087F" w:rsidRDefault="001C17C5" w:rsidP="0087087F">
      <w:pPr>
        <w:spacing w:after="0" w:line="360" w:lineRule="auto"/>
        <w:ind w:firstLine="720"/>
        <w:jc w:val="both"/>
        <w:rPr>
          <w:lang w:val="es-MX"/>
        </w:rPr>
      </w:pPr>
      <w:r w:rsidRPr="0087087F">
        <w:rPr>
          <w:lang w:val="es-MX"/>
        </w:rPr>
        <w:t>Los resultados permiten caracterizar el perfil de los participantes, al evidenciar que sus capacidades cognitivas —particularmente el índice de inteligencia— se asocian con el desempeño en una habilidad académica fundamental como las matemáticas, lo que sugiere una adecuada organización de sus recursos intelectuales y su aplicación en el aprendizaje (</w:t>
      </w:r>
      <w:proofErr w:type="spellStart"/>
      <w:r w:rsidRPr="0087087F">
        <w:rPr>
          <w:lang w:val="es-MX"/>
        </w:rPr>
        <w:t>Balsamo</w:t>
      </w:r>
      <w:proofErr w:type="spellEnd"/>
      <w:r w:rsidRPr="0087087F">
        <w:rPr>
          <w:lang w:val="es-MX"/>
        </w:rPr>
        <w:t xml:space="preserve"> et al., 2019). Asimismo, la mentoría ofrecida por el programa </w:t>
      </w:r>
      <w:proofErr w:type="spellStart"/>
      <w:r w:rsidRPr="0087087F">
        <w:rPr>
          <w:lang w:val="es-MX"/>
        </w:rPr>
        <w:t>Peraj</w:t>
      </w:r>
      <w:proofErr w:type="spellEnd"/>
      <w:r w:rsidRPr="0087087F">
        <w:rPr>
          <w:lang w:val="es-MX"/>
        </w:rPr>
        <w:t xml:space="preserve"> puede contribuir al fortalecimiento del razonamiento lógico y de otros procesos cognitivos relevantes, lo que resulta consistente con la relación observada entre la inteligencia y el </w:t>
      </w:r>
      <w:r w:rsidRPr="0087087F">
        <w:rPr>
          <w:lang w:val="es-MX"/>
        </w:rPr>
        <w:lastRenderedPageBreak/>
        <w:t>rendimiento académico, y respalda la pertinencia de implementar intervenciones que integren apoyo cognitivo y psicosocial (</w:t>
      </w:r>
      <w:proofErr w:type="spellStart"/>
      <w:r w:rsidRPr="0087087F">
        <w:rPr>
          <w:lang w:val="es-MX"/>
        </w:rPr>
        <w:t>Balsamo</w:t>
      </w:r>
      <w:proofErr w:type="spellEnd"/>
      <w:r w:rsidRPr="0087087F">
        <w:rPr>
          <w:lang w:val="es-MX"/>
        </w:rPr>
        <w:t xml:space="preserve"> et al., 2019; </w:t>
      </w:r>
      <w:proofErr w:type="spellStart"/>
      <w:r w:rsidRPr="0087087F">
        <w:rPr>
          <w:lang w:val="es-MX"/>
        </w:rPr>
        <w:t>Peraj</w:t>
      </w:r>
      <w:proofErr w:type="spellEnd"/>
      <w:r w:rsidRPr="0087087F">
        <w:rPr>
          <w:lang w:val="es-MX"/>
        </w:rPr>
        <w:t>, 2020).</w:t>
      </w:r>
    </w:p>
    <w:p w14:paraId="6CDC84A2" w14:textId="3C0A93DA" w:rsidR="001C17C5" w:rsidRPr="0087087F" w:rsidRDefault="001C17C5" w:rsidP="0087087F">
      <w:pPr>
        <w:spacing w:after="0" w:line="360" w:lineRule="auto"/>
        <w:ind w:firstLine="720"/>
        <w:jc w:val="both"/>
        <w:rPr>
          <w:lang w:val="es-MX"/>
        </w:rPr>
      </w:pPr>
      <w:r w:rsidRPr="0087087F">
        <w:rPr>
          <w:lang w:val="es-MX"/>
        </w:rPr>
        <w:t xml:space="preserve">Es crucial reconocer que la principal limitación de este estudio es el tamaño reducido de la muestra (N = 11) y el diseño transversal, el cual no permite establecer relaciones causales ni generalizar los resultados más allá del contexto específico de la Universidad Politécnica de Tulancingo. Además, la ausencia de un grupo control o de comparación limita la capacidad de atribuir los resultados directamente a la intervención de </w:t>
      </w:r>
      <w:proofErr w:type="spellStart"/>
      <w:r w:rsidRPr="0087087F">
        <w:rPr>
          <w:lang w:val="es-MX"/>
        </w:rPr>
        <w:t>Peraj</w:t>
      </w:r>
      <w:proofErr w:type="spellEnd"/>
      <w:r w:rsidRPr="0087087F">
        <w:rPr>
          <w:lang w:val="es-MX"/>
        </w:rPr>
        <w:t>. Asimismo, el uso de un muestreo por conveniencia puede introducir sesgos que afectan la representatividad de la muestra.</w:t>
      </w:r>
    </w:p>
    <w:p w14:paraId="08B06C9D" w14:textId="185E1872" w:rsidR="009D611C" w:rsidRDefault="009D611C" w:rsidP="0087087F">
      <w:pPr>
        <w:spacing w:after="0" w:line="360" w:lineRule="auto"/>
        <w:ind w:firstLine="720"/>
        <w:jc w:val="both"/>
        <w:rPr>
          <w:lang w:val="es-MX"/>
        </w:rPr>
      </w:pPr>
      <w:r w:rsidRPr="0087087F">
        <w:rPr>
          <w:lang w:val="es-MX"/>
        </w:rPr>
        <w:t>A futuro, se recomiendan investigaciones que adopten un diseño longitudinal (</w:t>
      </w:r>
      <w:proofErr w:type="spellStart"/>
      <w:r w:rsidRPr="0087087F">
        <w:rPr>
          <w:lang w:val="es-MX"/>
        </w:rPr>
        <w:t>pre-post</w:t>
      </w:r>
      <w:proofErr w:type="spellEnd"/>
      <w:r w:rsidRPr="0087087F">
        <w:rPr>
          <w:lang w:val="es-MX"/>
        </w:rPr>
        <w:t xml:space="preserve">) que incluya un grupo control, lo que permitirá confirmar la hipótesis de que la intervención </w:t>
      </w:r>
      <w:proofErr w:type="spellStart"/>
      <w:r w:rsidRPr="0087087F">
        <w:rPr>
          <w:lang w:val="es-MX"/>
        </w:rPr>
        <w:t>Peraj</w:t>
      </w:r>
      <w:proofErr w:type="spellEnd"/>
      <w:r w:rsidRPr="0087087F">
        <w:rPr>
          <w:lang w:val="es-MX"/>
        </w:rPr>
        <w:t xml:space="preserve"> produce una mejora significativa en las habilidades cognitivas y psicosociales (medición del perfil afectivo y motivacional) en comparación con estudiantes que no participan en el programa</w:t>
      </w:r>
      <w:r w:rsidR="00A431EE" w:rsidRPr="0087087F">
        <w:rPr>
          <w:lang w:val="es-MX"/>
        </w:rPr>
        <w:t xml:space="preserve"> (</w:t>
      </w:r>
      <w:proofErr w:type="spellStart"/>
      <w:r w:rsidR="00A431EE" w:rsidRPr="0087087F">
        <w:rPr>
          <w:lang w:val="es-MX"/>
        </w:rPr>
        <w:t>Peraj</w:t>
      </w:r>
      <w:proofErr w:type="spellEnd"/>
      <w:r w:rsidR="00A431EE" w:rsidRPr="0087087F">
        <w:rPr>
          <w:lang w:val="es-MX"/>
        </w:rPr>
        <w:t>, 2020)</w:t>
      </w:r>
      <w:r w:rsidRPr="0087087F">
        <w:rPr>
          <w:lang w:val="es-MX"/>
        </w:rPr>
        <w:t>.</w:t>
      </w:r>
    </w:p>
    <w:p w14:paraId="2F316564" w14:textId="77777777" w:rsidR="0087087F" w:rsidRPr="0087087F" w:rsidRDefault="0087087F" w:rsidP="0087087F">
      <w:pPr>
        <w:spacing w:after="0" w:line="360" w:lineRule="auto"/>
        <w:ind w:firstLine="720"/>
        <w:jc w:val="both"/>
        <w:rPr>
          <w:lang w:val="es-MX"/>
        </w:rPr>
      </w:pPr>
    </w:p>
    <w:p w14:paraId="1E008731" w14:textId="70645731" w:rsidR="00E46792" w:rsidRPr="0087087F" w:rsidRDefault="009D611C" w:rsidP="0087087F">
      <w:pPr>
        <w:spacing w:after="0" w:line="360" w:lineRule="auto"/>
        <w:jc w:val="center"/>
        <w:rPr>
          <w:rFonts w:cs="Times New Roman"/>
          <w:b/>
          <w:bCs/>
          <w:color w:val="1B1C1D"/>
          <w:sz w:val="32"/>
          <w:szCs w:val="32"/>
          <w:lang w:val="es-MX" w:eastAsia="es-MX"/>
        </w:rPr>
      </w:pPr>
      <w:r w:rsidRPr="0087087F">
        <w:rPr>
          <w:rFonts w:cs="Times New Roman"/>
          <w:b/>
          <w:bCs/>
          <w:color w:val="1B1C1D"/>
          <w:sz w:val="32"/>
          <w:szCs w:val="32"/>
          <w:lang w:val="es-MX" w:eastAsia="es-MX"/>
        </w:rPr>
        <w:t>Conclusiones</w:t>
      </w:r>
    </w:p>
    <w:p w14:paraId="085DE62E" w14:textId="160A1B52" w:rsidR="00161808" w:rsidRPr="0087087F" w:rsidRDefault="00161808" w:rsidP="0087087F">
      <w:pPr>
        <w:spacing w:after="0" w:line="360" w:lineRule="auto"/>
        <w:ind w:right="261" w:firstLine="720"/>
        <w:jc w:val="both"/>
        <w:rPr>
          <w:lang w:val="es-MX"/>
        </w:rPr>
      </w:pPr>
      <w:r w:rsidRPr="0087087F">
        <w:rPr>
          <w:lang w:val="es-MX"/>
        </w:rPr>
        <w:t xml:space="preserve">Con base en los resultados descriptivos y correlacionales, se concluye que el perfil cognitivo de los beneficiarios del programa </w:t>
      </w:r>
      <w:proofErr w:type="spellStart"/>
      <w:r w:rsidRPr="0087087F">
        <w:rPr>
          <w:lang w:val="es-MX"/>
        </w:rPr>
        <w:t>Peraj</w:t>
      </w:r>
      <w:proofErr w:type="spellEnd"/>
      <w:r w:rsidRPr="0087087F">
        <w:rPr>
          <w:lang w:val="es-MX"/>
        </w:rPr>
        <w:t xml:space="preserve"> se ubica dentro del rango promedio normativo, evidenciado por un índice de IG de 103.40. Asimismo, se identificó una asociación positiva y de magnitud alta entre la IG y las aptitudes matemáticas (r = .75). Estos resultados sugieren que la capacidad intelectual se relaciona con el desempeño en habilidades académicas, lo cual es consistente con la literatura en el área.</w:t>
      </w:r>
    </w:p>
    <w:p w14:paraId="1CC6D077" w14:textId="3D152368" w:rsidR="00DE3F03" w:rsidRDefault="00DE3F03" w:rsidP="0087087F">
      <w:pPr>
        <w:spacing w:after="0" w:line="360" w:lineRule="auto"/>
        <w:ind w:right="261" w:firstLine="720"/>
        <w:jc w:val="both"/>
        <w:rPr>
          <w:lang w:val="es-MX"/>
        </w:rPr>
      </w:pPr>
      <w:r w:rsidRPr="0087087F">
        <w:rPr>
          <w:lang w:val="es-MX"/>
        </w:rPr>
        <w:t xml:space="preserve">Estos resultados resaltan la relevancia del apoyo de mentoría en el contexto educativo, particularmente en relación con el desarrollo de habilidades cognitivas y académicas. En este sentido, programas como </w:t>
      </w:r>
      <w:proofErr w:type="spellStart"/>
      <w:r w:rsidRPr="0087087F">
        <w:rPr>
          <w:lang w:val="es-MX"/>
        </w:rPr>
        <w:t>Peraj</w:t>
      </w:r>
      <w:proofErr w:type="spellEnd"/>
      <w:r w:rsidRPr="0087087F">
        <w:rPr>
          <w:lang w:val="es-MX"/>
        </w:rPr>
        <w:t xml:space="preserve"> adquieren pertinencia dentro del sistema educativo al promover espacios de acompañamiento que pueden vincular la educación básica con la educación superior. No obstante, estas implicaciones deben interpretarse con cautela, ya que los beneficios asociados a otras dimensiones, como el desarrollo socioemocional o las competencias profesionales de los mentores, no fueron evaluados directamente en el presente estudio.</w:t>
      </w:r>
    </w:p>
    <w:p w14:paraId="17006C59" w14:textId="77777777" w:rsidR="0087087F" w:rsidRDefault="0087087F" w:rsidP="0087087F">
      <w:pPr>
        <w:spacing w:after="0" w:line="360" w:lineRule="auto"/>
        <w:ind w:right="261" w:firstLine="720"/>
        <w:jc w:val="both"/>
        <w:rPr>
          <w:lang w:val="es-MX"/>
        </w:rPr>
      </w:pPr>
    </w:p>
    <w:p w14:paraId="275413F5" w14:textId="77777777" w:rsidR="002753CF" w:rsidRPr="0087087F" w:rsidRDefault="002753CF" w:rsidP="0087087F">
      <w:pPr>
        <w:spacing w:after="0" w:line="360" w:lineRule="auto"/>
        <w:ind w:right="261" w:firstLine="720"/>
        <w:jc w:val="both"/>
        <w:rPr>
          <w:lang w:val="es-MX"/>
        </w:rPr>
      </w:pPr>
    </w:p>
    <w:p w14:paraId="5C154442" w14:textId="67686CC4" w:rsidR="00E46792" w:rsidRPr="0087087F" w:rsidRDefault="00836B1D" w:rsidP="0087087F">
      <w:pPr>
        <w:spacing w:after="0" w:line="360" w:lineRule="auto"/>
        <w:jc w:val="center"/>
        <w:rPr>
          <w:rFonts w:cs="Times New Roman"/>
          <w:b/>
          <w:bCs/>
          <w:color w:val="1B1C1D"/>
          <w:sz w:val="28"/>
          <w:szCs w:val="28"/>
          <w:lang w:val="es-MX" w:eastAsia="es-MX"/>
        </w:rPr>
      </w:pPr>
      <w:r w:rsidRPr="0087087F">
        <w:rPr>
          <w:rFonts w:cs="Times New Roman"/>
          <w:b/>
          <w:bCs/>
          <w:color w:val="1B1C1D"/>
          <w:sz w:val="28"/>
          <w:szCs w:val="28"/>
          <w:lang w:val="es-MX" w:eastAsia="es-MX"/>
        </w:rPr>
        <w:lastRenderedPageBreak/>
        <w:t xml:space="preserve">Futuras </w:t>
      </w:r>
      <w:r w:rsidR="00E46792" w:rsidRPr="0087087F">
        <w:rPr>
          <w:rFonts w:cs="Times New Roman"/>
          <w:b/>
          <w:bCs/>
          <w:color w:val="1B1C1D"/>
          <w:sz w:val="28"/>
          <w:szCs w:val="28"/>
          <w:lang w:val="es-MX" w:eastAsia="es-MX"/>
        </w:rPr>
        <w:t>líneas</w:t>
      </w:r>
      <w:r w:rsidRPr="0087087F">
        <w:rPr>
          <w:rFonts w:cs="Times New Roman"/>
          <w:b/>
          <w:bCs/>
          <w:color w:val="1B1C1D"/>
          <w:sz w:val="28"/>
          <w:szCs w:val="28"/>
          <w:lang w:val="es-MX" w:eastAsia="es-MX"/>
        </w:rPr>
        <w:t xml:space="preserve"> de </w:t>
      </w:r>
      <w:r w:rsidR="00E46792" w:rsidRPr="0087087F">
        <w:rPr>
          <w:rFonts w:cs="Times New Roman"/>
          <w:b/>
          <w:bCs/>
          <w:color w:val="1B1C1D"/>
          <w:sz w:val="28"/>
          <w:szCs w:val="28"/>
          <w:lang w:val="es-MX" w:eastAsia="es-MX"/>
        </w:rPr>
        <w:t>i</w:t>
      </w:r>
      <w:r w:rsidRPr="0087087F">
        <w:rPr>
          <w:rFonts w:cs="Times New Roman"/>
          <w:b/>
          <w:bCs/>
          <w:color w:val="1B1C1D"/>
          <w:sz w:val="28"/>
          <w:szCs w:val="28"/>
          <w:lang w:val="es-MX" w:eastAsia="es-MX"/>
        </w:rPr>
        <w:t>nvestigación</w:t>
      </w:r>
    </w:p>
    <w:p w14:paraId="27ADF128" w14:textId="77777777" w:rsidR="005A6793" w:rsidRPr="0087087F" w:rsidRDefault="005A6793" w:rsidP="0087087F">
      <w:pPr>
        <w:spacing w:after="0" w:line="360" w:lineRule="auto"/>
        <w:ind w:right="261" w:firstLine="720"/>
        <w:jc w:val="both"/>
        <w:rPr>
          <w:lang w:val="es-MX"/>
        </w:rPr>
      </w:pPr>
      <w:r w:rsidRPr="0087087F">
        <w:rPr>
          <w:lang w:val="es-MX"/>
        </w:rPr>
        <w:t xml:space="preserve">A partir de los resultados del estudio, se identifican diversas líneas de investigación para futuros trabajos. En primer lugar, se recomienda el desarrollo de estudios longitudinales con mediciones </w:t>
      </w:r>
      <w:proofErr w:type="spellStart"/>
      <w:r w:rsidRPr="0087087F">
        <w:rPr>
          <w:lang w:val="es-MX"/>
        </w:rPr>
        <w:t>preintervención</w:t>
      </w:r>
      <w:proofErr w:type="spellEnd"/>
      <w:r w:rsidRPr="0087087F">
        <w:rPr>
          <w:lang w:val="es-MX"/>
        </w:rPr>
        <w:t xml:space="preserve"> y </w:t>
      </w:r>
      <w:proofErr w:type="spellStart"/>
      <w:r w:rsidRPr="0087087F">
        <w:rPr>
          <w:lang w:val="es-MX"/>
        </w:rPr>
        <w:t>postintervención</w:t>
      </w:r>
      <w:proofErr w:type="spellEnd"/>
      <w:r w:rsidRPr="0087087F">
        <w:rPr>
          <w:lang w:val="es-MX"/>
        </w:rPr>
        <w:t xml:space="preserve">, con el fin de evaluar con mayor precisión el impacto del programa </w:t>
      </w:r>
      <w:proofErr w:type="spellStart"/>
      <w:r w:rsidRPr="0087087F">
        <w:rPr>
          <w:lang w:val="es-MX"/>
        </w:rPr>
        <w:t>Peraj</w:t>
      </w:r>
      <w:proofErr w:type="spellEnd"/>
      <w:r w:rsidRPr="0087087F">
        <w:rPr>
          <w:lang w:val="es-MX"/>
        </w:rPr>
        <w:t xml:space="preserve"> en el desarrollo cognitivo y académico. </w:t>
      </w:r>
    </w:p>
    <w:p w14:paraId="4D951A88" w14:textId="65DE995A" w:rsidR="005A6793" w:rsidRPr="0087087F" w:rsidRDefault="005A6793" w:rsidP="0087087F">
      <w:pPr>
        <w:spacing w:after="0" w:line="360" w:lineRule="auto"/>
        <w:ind w:right="261" w:firstLine="720"/>
        <w:jc w:val="both"/>
        <w:rPr>
          <w:lang w:val="es-MX"/>
        </w:rPr>
      </w:pPr>
      <w:r w:rsidRPr="0087087F">
        <w:rPr>
          <w:lang w:val="es-MX"/>
        </w:rPr>
        <w:t xml:space="preserve">En segundo lugar, se sugiere la incorporación de grupos de comparación que permitan contrastar el desempeño de los participantes con estudiantes que no forman parte del programa, lo que aportaría mayor evidencia sobre sus efectos. Finalmente, se propone ampliar el análisis hacia variables socioemocionales, considerando que el acompañamiento de </w:t>
      </w:r>
      <w:proofErr w:type="spellStart"/>
      <w:r w:rsidRPr="0087087F">
        <w:rPr>
          <w:lang w:val="es-MX"/>
        </w:rPr>
        <w:t>Peraj</w:t>
      </w:r>
      <w:proofErr w:type="spellEnd"/>
      <w:r w:rsidRPr="0087087F">
        <w:rPr>
          <w:lang w:val="es-MX"/>
        </w:rPr>
        <w:t xml:space="preserve"> podría relacionarse con aspectos como la autoconfianza, la regulación emocional y la responsabilidad escolar.</w:t>
      </w:r>
    </w:p>
    <w:p w14:paraId="59A79A12" w14:textId="32882CA8" w:rsidR="00327C75" w:rsidRPr="0087087F" w:rsidRDefault="0035602E" w:rsidP="0087087F">
      <w:pPr>
        <w:spacing w:after="0" w:line="360" w:lineRule="auto"/>
        <w:ind w:right="261" w:firstLine="720"/>
        <w:jc w:val="both"/>
        <w:rPr>
          <w:lang w:val="es-MX"/>
        </w:rPr>
      </w:pPr>
      <w:r w:rsidRPr="0087087F">
        <w:rPr>
          <w:lang w:val="es-MX"/>
        </w:rPr>
        <w:t>Finalmente, se sugiere replicar el estudio con muestras más amplias y en diversos contextos educativos, como entornos urbanos y rurales o distintos niveles socioeconómicos, con el propósito de fortalecer la generalización de los hallazgos y consolidar la evidencia empírica sobre la efectividad del modelo de mentoría.</w:t>
      </w:r>
    </w:p>
    <w:p w14:paraId="7BF2F985" w14:textId="77777777" w:rsidR="001029F9" w:rsidRPr="0087087F" w:rsidRDefault="001029F9" w:rsidP="0087087F">
      <w:pPr>
        <w:spacing w:after="0" w:line="360" w:lineRule="auto"/>
        <w:ind w:right="261"/>
        <w:jc w:val="both"/>
        <w:rPr>
          <w:lang w:val="es-MX"/>
        </w:rPr>
      </w:pPr>
    </w:p>
    <w:p w14:paraId="56EC4C8D" w14:textId="06E61CF3" w:rsidR="00000007" w:rsidRPr="0087087F" w:rsidRDefault="00396A9A" w:rsidP="0087087F">
      <w:pPr>
        <w:spacing w:after="0" w:line="360" w:lineRule="auto"/>
        <w:ind w:right="261"/>
        <w:jc w:val="both"/>
        <w:rPr>
          <w:rFonts w:asciiTheme="majorHAnsi" w:hAnsiTheme="majorHAnsi" w:cstheme="majorHAnsi"/>
          <w:b/>
          <w:bCs/>
          <w:sz w:val="28"/>
          <w:szCs w:val="28"/>
          <w:lang w:val="es-MX"/>
        </w:rPr>
      </w:pPr>
      <w:r w:rsidRPr="0087087F">
        <w:rPr>
          <w:rFonts w:asciiTheme="majorHAnsi" w:hAnsiTheme="majorHAnsi" w:cstheme="majorHAnsi"/>
          <w:b/>
          <w:bCs/>
          <w:sz w:val="28"/>
          <w:szCs w:val="28"/>
          <w:lang w:val="es-MX"/>
        </w:rPr>
        <w:t>Referencias</w:t>
      </w:r>
    </w:p>
    <w:p w14:paraId="2390A87F" w14:textId="6A206EC2" w:rsidR="00CC349F" w:rsidRPr="0087087F" w:rsidRDefault="00CC349F" w:rsidP="0087087F">
      <w:pPr>
        <w:spacing w:after="0" w:line="360" w:lineRule="auto"/>
        <w:ind w:left="720" w:hanging="720"/>
        <w:jc w:val="both"/>
      </w:pPr>
      <w:r w:rsidRPr="0087087F">
        <w:rPr>
          <w:lang w:val="es-MX"/>
        </w:rPr>
        <w:t xml:space="preserve">Amador Ortiz, C. M., Flores Castañeda, A. K., &amp; Medina Lozano, A. (2023). Programa de desarrollo de habilidades del pensamiento como estrategia para disminuir el rezago educativo. </w:t>
      </w:r>
      <w:r w:rsidRPr="0087087F">
        <w:rPr>
          <w:rStyle w:val="nfasis"/>
          <w:lang w:val="es-MX"/>
        </w:rPr>
        <w:t>RIDE Revista Iberoamericana para la Investigación y el Desarrollo Educativo, 14</w:t>
      </w:r>
      <w:r w:rsidRPr="0087087F">
        <w:rPr>
          <w:lang w:val="es-MX"/>
        </w:rPr>
        <w:t xml:space="preserve">(27), e1750. </w:t>
      </w:r>
      <w:hyperlink r:id="rId15" w:tgtFrame="_new" w:history="1">
        <w:r w:rsidRPr="0087087F">
          <w:rPr>
            <w:rStyle w:val="Hipervnculo"/>
          </w:rPr>
          <w:t>https://doi.org/10.23913/ride.v14i27.1750</w:t>
        </w:r>
      </w:hyperlink>
    </w:p>
    <w:p w14:paraId="794606F4" w14:textId="4BC6C2A3" w:rsidR="0066046B" w:rsidRPr="0087087F" w:rsidRDefault="0066046B" w:rsidP="0087087F">
      <w:pPr>
        <w:spacing w:after="0" w:line="360" w:lineRule="auto"/>
        <w:ind w:left="720" w:hanging="720"/>
        <w:jc w:val="both"/>
      </w:pPr>
      <w:r w:rsidRPr="0087087F">
        <w:t xml:space="preserve">Balsamo, L. M., Mitchell, H. R., Ross, W. L., </w:t>
      </w:r>
      <w:proofErr w:type="spellStart"/>
      <w:r w:rsidRPr="0087087F">
        <w:t>Metayer</w:t>
      </w:r>
      <w:proofErr w:type="spellEnd"/>
      <w:r w:rsidRPr="0087087F">
        <w:t xml:space="preserve">, C., Hardy, K. K., &amp; </w:t>
      </w:r>
      <w:proofErr w:type="spellStart"/>
      <w:r w:rsidRPr="0087087F">
        <w:t>Kadan-Lottick</w:t>
      </w:r>
      <w:proofErr w:type="spellEnd"/>
      <w:r w:rsidRPr="0087087F">
        <w:t xml:space="preserve">, N. S. (2019). Monitoring neurocognitive functioning in childhood cancer survivors: Evaluation of </w:t>
      </w:r>
      <w:proofErr w:type="spellStart"/>
      <w:r w:rsidRPr="0087087F">
        <w:t>CogState</w:t>
      </w:r>
      <w:proofErr w:type="spellEnd"/>
      <w:r w:rsidRPr="0087087F">
        <w:t xml:space="preserve"> computerized assessment and the Behavior Rating Inventory of Executive Function (BRIEF). </w:t>
      </w:r>
      <w:r w:rsidRPr="0087087F">
        <w:rPr>
          <w:rStyle w:val="nfasis"/>
        </w:rPr>
        <w:t>BMC Psychology, 7</w:t>
      </w:r>
      <w:r w:rsidRPr="0087087F">
        <w:t xml:space="preserve">(1), 1–8. </w:t>
      </w:r>
      <w:hyperlink r:id="rId16" w:tgtFrame="_new" w:history="1">
        <w:r w:rsidRPr="0087087F">
          <w:rPr>
            <w:rStyle w:val="Hipervnculo"/>
          </w:rPr>
          <w:t>https://doi.org/10.1186/s40359-019-0302-3</w:t>
        </w:r>
      </w:hyperlink>
    </w:p>
    <w:p w14:paraId="4CD03224" w14:textId="5CE52A26" w:rsidR="0066046B" w:rsidRPr="0087087F" w:rsidRDefault="00CD08A3" w:rsidP="0087087F">
      <w:pPr>
        <w:spacing w:after="0" w:line="360" w:lineRule="auto"/>
        <w:ind w:left="720" w:hanging="720"/>
        <w:jc w:val="both"/>
        <w:rPr>
          <w:rFonts w:cs="Times New Roman"/>
          <w:szCs w:val="24"/>
        </w:rPr>
      </w:pPr>
      <w:r w:rsidRPr="0087087F">
        <w:t xml:space="preserve">Castillo, B. L. A. (2024). </w:t>
      </w:r>
      <w:r w:rsidRPr="0087087F">
        <w:rPr>
          <w:lang w:val="es-MX"/>
        </w:rPr>
        <w:t xml:space="preserve">Educación socioemocional en la enseñanza primaria: Un análisis práctico de la experiencia. </w:t>
      </w:r>
      <w:r w:rsidRPr="0087087F">
        <w:rPr>
          <w:rStyle w:val="nfasis"/>
          <w:lang w:val="es-MX"/>
        </w:rPr>
        <w:t>RIDE Revista Iberoamericana para la Investigación y el Desarrollo Educativo, 15</w:t>
      </w:r>
      <w:r w:rsidRPr="0087087F">
        <w:rPr>
          <w:lang w:val="es-MX"/>
        </w:rPr>
        <w:t xml:space="preserve">(29), e2141. </w:t>
      </w:r>
      <w:hyperlink r:id="rId17" w:tgtFrame="_new" w:history="1">
        <w:r w:rsidRPr="0087087F">
          <w:rPr>
            <w:rStyle w:val="Hipervnculo"/>
          </w:rPr>
          <w:t>https://doi.org/10.23913/ride.v15i29.2141</w:t>
        </w:r>
      </w:hyperlink>
    </w:p>
    <w:p w14:paraId="63879118" w14:textId="63EFB74A" w:rsidR="00A12F5A" w:rsidRPr="0087087F" w:rsidRDefault="00A12F5A" w:rsidP="0087087F">
      <w:pPr>
        <w:spacing w:after="0" w:line="360" w:lineRule="auto"/>
        <w:ind w:left="720" w:hanging="720"/>
        <w:jc w:val="both"/>
        <w:rPr>
          <w:lang w:val="es-MX"/>
        </w:rPr>
      </w:pPr>
      <w:r w:rsidRPr="0087087F">
        <w:rPr>
          <w:rStyle w:val="whitespace-normal"/>
        </w:rPr>
        <w:t>Cecil R. Reynolds</w:t>
      </w:r>
      <w:r w:rsidRPr="0087087F">
        <w:t xml:space="preserve">, C. R., &amp; </w:t>
      </w:r>
      <w:r w:rsidRPr="0087087F">
        <w:rPr>
          <w:rStyle w:val="whitespace-normal"/>
        </w:rPr>
        <w:t xml:space="preserve">Randy W. </w:t>
      </w:r>
      <w:proofErr w:type="spellStart"/>
      <w:r w:rsidRPr="0087087F">
        <w:rPr>
          <w:rStyle w:val="whitespace-normal"/>
        </w:rPr>
        <w:t>Kamphaus</w:t>
      </w:r>
      <w:proofErr w:type="spellEnd"/>
      <w:r w:rsidRPr="0087087F">
        <w:t xml:space="preserve">, R. W. (2003). </w:t>
      </w:r>
      <w:r w:rsidRPr="0087087F">
        <w:rPr>
          <w:rStyle w:val="nfasis"/>
        </w:rPr>
        <w:t>Reynolds Intellectual Assessment Scales (RIAS)</w:t>
      </w:r>
      <w:r w:rsidRPr="0087087F">
        <w:t xml:space="preserve">. </w:t>
      </w:r>
      <w:proofErr w:type="spellStart"/>
      <w:r w:rsidRPr="0087087F">
        <w:rPr>
          <w:lang w:val="es-MX"/>
        </w:rPr>
        <w:t>Psychological</w:t>
      </w:r>
      <w:proofErr w:type="spellEnd"/>
      <w:r w:rsidRPr="0087087F">
        <w:rPr>
          <w:lang w:val="es-MX"/>
        </w:rPr>
        <w:t xml:space="preserve"> </w:t>
      </w:r>
      <w:proofErr w:type="spellStart"/>
      <w:r w:rsidRPr="0087087F">
        <w:rPr>
          <w:lang w:val="es-MX"/>
        </w:rPr>
        <w:t>Assessment</w:t>
      </w:r>
      <w:proofErr w:type="spellEnd"/>
      <w:r w:rsidRPr="0087087F">
        <w:rPr>
          <w:lang w:val="es-MX"/>
        </w:rPr>
        <w:t xml:space="preserve"> </w:t>
      </w:r>
      <w:proofErr w:type="spellStart"/>
      <w:r w:rsidRPr="0087087F">
        <w:rPr>
          <w:lang w:val="es-MX"/>
        </w:rPr>
        <w:t>Resources</w:t>
      </w:r>
      <w:proofErr w:type="spellEnd"/>
      <w:r w:rsidRPr="0087087F">
        <w:rPr>
          <w:lang w:val="es-MX"/>
        </w:rPr>
        <w:t>.</w:t>
      </w:r>
    </w:p>
    <w:p w14:paraId="2B67D718" w14:textId="3811E0FE" w:rsidR="00C6581B" w:rsidRPr="0087087F" w:rsidRDefault="00C6581B" w:rsidP="0087087F">
      <w:pPr>
        <w:spacing w:after="0" w:line="360" w:lineRule="auto"/>
        <w:ind w:left="720" w:hanging="720"/>
        <w:jc w:val="both"/>
        <w:rPr>
          <w:rFonts w:cs="Times New Roman"/>
          <w:szCs w:val="24"/>
          <w:lang w:val="es-MX"/>
        </w:rPr>
      </w:pPr>
      <w:r w:rsidRPr="0087087F">
        <w:rPr>
          <w:lang w:val="es-MX"/>
        </w:rPr>
        <w:lastRenderedPageBreak/>
        <w:t xml:space="preserve">Dirección General de Orientación y Atención Educativa [DGOAE], Universidad Nacional Autónoma de México. (2010). </w:t>
      </w:r>
      <w:r w:rsidRPr="0087087F">
        <w:rPr>
          <w:rStyle w:val="nfasis"/>
          <w:lang w:val="es-MX"/>
        </w:rPr>
        <w:t>Manual PERAJ: Programa de tutoría entre pares</w:t>
      </w:r>
      <w:r w:rsidRPr="0087087F">
        <w:rPr>
          <w:lang w:val="es-MX"/>
        </w:rPr>
        <w:t xml:space="preserve">. </w:t>
      </w:r>
      <w:hyperlink r:id="rId18" w:tgtFrame="_new" w:history="1">
        <w:r w:rsidRPr="0087087F">
          <w:rPr>
            <w:rStyle w:val="Hipervnculo"/>
            <w:lang w:val="es-MX"/>
          </w:rPr>
          <w:t>https://www.dgoae.unam.mx/PERAJ/images/ManualPeraj.pdf</w:t>
        </w:r>
      </w:hyperlink>
    </w:p>
    <w:p w14:paraId="63113394" w14:textId="25F492E1" w:rsidR="00B02FC8" w:rsidRPr="0087087F" w:rsidRDefault="001029F9" w:rsidP="0087087F">
      <w:pPr>
        <w:spacing w:after="0" w:line="360" w:lineRule="auto"/>
        <w:ind w:left="720" w:hanging="720"/>
        <w:jc w:val="both"/>
        <w:rPr>
          <w:rFonts w:cs="Times New Roman"/>
          <w:szCs w:val="24"/>
          <w:lang w:val="es-MX"/>
        </w:rPr>
      </w:pPr>
      <w:r w:rsidRPr="0087087F">
        <w:rPr>
          <w:rFonts w:cs="Times New Roman"/>
          <w:szCs w:val="24"/>
          <w:lang w:val="es-MX"/>
        </w:rPr>
        <w:t xml:space="preserve">Montañez Romero, M. A., &amp; Beltrán de la Rosa, E. E. (2022). Validez concurrente: Escala de inteligencia Reynolds RIAS y McCarthy para la evaluación del desarrollo cognitivo en niños. Revista Iberoamericana de Diagnóstico y Evaluación – e </w:t>
      </w:r>
      <w:proofErr w:type="spellStart"/>
      <w:r w:rsidRPr="0087087F">
        <w:rPr>
          <w:rFonts w:cs="Times New Roman"/>
          <w:szCs w:val="24"/>
          <w:lang w:val="es-MX"/>
        </w:rPr>
        <w:t>Avaliação</w:t>
      </w:r>
      <w:proofErr w:type="spellEnd"/>
      <w:r w:rsidRPr="0087087F">
        <w:rPr>
          <w:rFonts w:cs="Times New Roman"/>
          <w:szCs w:val="24"/>
          <w:lang w:val="es-MX"/>
        </w:rPr>
        <w:t xml:space="preserve"> Psicológica, 62(1), 29–36. </w:t>
      </w:r>
      <w:hyperlink w:tgtFrame="_new" w:history="1">
        <w:r w:rsidRPr="0087087F">
          <w:rPr>
            <w:rFonts w:cs="Times New Roman"/>
            <w:szCs w:val="24"/>
            <w:lang w:val="es-MX"/>
          </w:rPr>
          <w:t>https://doi.org/10.21865/RIDEP62.1.03</w:t>
        </w:r>
      </w:hyperlink>
    </w:p>
    <w:p w14:paraId="2B140215" w14:textId="009CB42C" w:rsidR="001029F9" w:rsidRPr="0087087F" w:rsidRDefault="001029F9" w:rsidP="0087087F">
      <w:pPr>
        <w:spacing w:after="0" w:line="360" w:lineRule="auto"/>
        <w:ind w:left="720" w:hanging="720"/>
        <w:jc w:val="both"/>
        <w:rPr>
          <w:rFonts w:cs="Times New Roman"/>
          <w:szCs w:val="24"/>
          <w:lang w:val="es-MX"/>
        </w:rPr>
      </w:pPr>
      <w:proofErr w:type="spellStart"/>
      <w:r w:rsidRPr="0087087F">
        <w:rPr>
          <w:rFonts w:cs="Times New Roman"/>
          <w:szCs w:val="24"/>
          <w:lang w:val="es-MX"/>
        </w:rPr>
        <w:t>Nistal</w:t>
      </w:r>
      <w:proofErr w:type="spellEnd"/>
      <w:r w:rsidRPr="0087087F">
        <w:rPr>
          <w:rFonts w:cs="Times New Roman"/>
          <w:szCs w:val="24"/>
          <w:lang w:val="es-MX"/>
        </w:rPr>
        <w:t xml:space="preserve">, M. T. F., Zaragoza, F. A. P., &amp; Ávila, E. O. (2018). La validez del dibujo de la figura humana como una medida de la madurez intelectual en niños indígenas Yaquis. Revista Iberoamericana de Diagnóstico y Evaluación – e </w:t>
      </w:r>
      <w:proofErr w:type="spellStart"/>
      <w:r w:rsidRPr="0087087F">
        <w:rPr>
          <w:rFonts w:cs="Times New Roman"/>
          <w:szCs w:val="24"/>
          <w:lang w:val="es-MX"/>
        </w:rPr>
        <w:t>Avaliação</w:t>
      </w:r>
      <w:proofErr w:type="spellEnd"/>
      <w:r w:rsidRPr="0087087F">
        <w:rPr>
          <w:rFonts w:cs="Times New Roman"/>
          <w:szCs w:val="24"/>
          <w:lang w:val="es-MX"/>
        </w:rPr>
        <w:t xml:space="preserve"> Psicológica, 3(48), 41–52. </w:t>
      </w:r>
      <w:hyperlink w:tgtFrame="_new" w:history="1">
        <w:r w:rsidRPr="0087087F">
          <w:rPr>
            <w:rFonts w:cs="Times New Roman"/>
            <w:szCs w:val="24"/>
            <w:lang w:val="es-MX"/>
          </w:rPr>
          <w:t>https://doi.org/10.21865/RIDEP48.3.04</w:t>
        </w:r>
      </w:hyperlink>
    </w:p>
    <w:p w14:paraId="16B8AE30" w14:textId="5BC028C4" w:rsidR="00B02FC8" w:rsidRPr="0087087F" w:rsidRDefault="00B02FC8" w:rsidP="0087087F">
      <w:pPr>
        <w:spacing w:after="0" w:line="360" w:lineRule="auto"/>
        <w:ind w:left="720" w:hanging="720"/>
        <w:jc w:val="both"/>
        <w:rPr>
          <w:lang w:val="es-MX"/>
        </w:rPr>
      </w:pPr>
      <w:proofErr w:type="spellStart"/>
      <w:r w:rsidRPr="0087087F">
        <w:rPr>
          <w:lang w:val="es-MX"/>
        </w:rPr>
        <w:t>Peraj</w:t>
      </w:r>
      <w:proofErr w:type="spellEnd"/>
      <w:r w:rsidRPr="0087087F">
        <w:rPr>
          <w:lang w:val="es-MX"/>
        </w:rPr>
        <w:t xml:space="preserve"> México A. C. (s. f.). </w:t>
      </w:r>
      <w:r w:rsidRPr="0087087F">
        <w:rPr>
          <w:rStyle w:val="nfasis"/>
          <w:lang w:val="es-MX"/>
        </w:rPr>
        <w:t xml:space="preserve">Programa </w:t>
      </w:r>
      <w:proofErr w:type="spellStart"/>
      <w:r w:rsidRPr="0087087F">
        <w:rPr>
          <w:rStyle w:val="nfasis"/>
          <w:lang w:val="es-MX"/>
        </w:rPr>
        <w:t>Peraj</w:t>
      </w:r>
      <w:proofErr w:type="spellEnd"/>
      <w:r w:rsidRPr="0087087F">
        <w:rPr>
          <w:rStyle w:val="nfasis"/>
          <w:lang w:val="es-MX"/>
        </w:rPr>
        <w:t>: Desarrollo académico y socioemocional</w:t>
      </w:r>
      <w:r w:rsidRPr="0087087F">
        <w:rPr>
          <w:lang w:val="es-MX"/>
        </w:rPr>
        <w:t xml:space="preserve">. </w:t>
      </w:r>
      <w:hyperlink r:id="rId19" w:tgtFrame="_new" w:history="1">
        <w:r w:rsidRPr="0087087F">
          <w:rPr>
            <w:rStyle w:val="Hipervnculo"/>
            <w:lang w:val="es-MX"/>
          </w:rPr>
          <w:t>https://www.peraj.org</w:t>
        </w:r>
      </w:hyperlink>
    </w:p>
    <w:p w14:paraId="75E8D1C9" w14:textId="3A492F38" w:rsidR="00D72DE2" w:rsidRPr="0087087F" w:rsidRDefault="00D72DE2" w:rsidP="0087087F">
      <w:pPr>
        <w:spacing w:after="0" w:line="360" w:lineRule="auto"/>
        <w:ind w:left="720" w:hanging="720"/>
        <w:jc w:val="both"/>
      </w:pPr>
      <w:r w:rsidRPr="0087087F">
        <w:rPr>
          <w:lang w:val="es-MX"/>
        </w:rPr>
        <w:t xml:space="preserve">Piaget, J. (1964). Desarrollo cognitivo en la infancia: Desarrollo y aprendizaje. </w:t>
      </w:r>
      <w:r w:rsidRPr="0087087F">
        <w:rPr>
          <w:rStyle w:val="nfasis"/>
        </w:rPr>
        <w:t>Journal of Research in Science Teaching, 2</w:t>
      </w:r>
      <w:r w:rsidRPr="0087087F">
        <w:t xml:space="preserve">(3), 176–186. </w:t>
      </w:r>
      <w:hyperlink r:id="rId20" w:history="1">
        <w:r w:rsidR="00085849" w:rsidRPr="0087087F">
          <w:rPr>
            <w:rStyle w:val="Hipervnculo"/>
          </w:rPr>
          <w:t>https://doi.org/10.1002/tea.3660020306</w:t>
        </w:r>
      </w:hyperlink>
      <w:r w:rsidR="00085849" w:rsidRPr="0087087F">
        <w:t>.</w:t>
      </w:r>
    </w:p>
    <w:p w14:paraId="2A738758" w14:textId="05FFF862" w:rsidR="00B02FC8" w:rsidRPr="0087087F" w:rsidRDefault="00085849" w:rsidP="0087087F">
      <w:pPr>
        <w:spacing w:after="0" w:line="360" w:lineRule="auto"/>
        <w:ind w:left="720" w:hanging="720"/>
        <w:jc w:val="both"/>
        <w:rPr>
          <w:rFonts w:cs="Times New Roman"/>
          <w:szCs w:val="24"/>
        </w:rPr>
      </w:pPr>
      <w:r w:rsidRPr="0087087F">
        <w:t xml:space="preserve">Reynolds, C. R., &amp; </w:t>
      </w:r>
      <w:proofErr w:type="spellStart"/>
      <w:r w:rsidRPr="0087087F">
        <w:t>Kamphaus</w:t>
      </w:r>
      <w:proofErr w:type="spellEnd"/>
      <w:r w:rsidRPr="0087087F">
        <w:t xml:space="preserve">, R. W. (2003). </w:t>
      </w:r>
      <w:r w:rsidRPr="0087087F">
        <w:rPr>
          <w:rStyle w:val="nfasis"/>
        </w:rPr>
        <w:t>Reynolds Intellectual Assessment Scales (RIAS)</w:t>
      </w:r>
      <w:r w:rsidRPr="0087087F">
        <w:t>. Psychological Assessment Resources.</w:t>
      </w:r>
    </w:p>
    <w:p w14:paraId="20ECC50C" w14:textId="55522DF0" w:rsidR="001029F9" w:rsidRPr="0087087F" w:rsidRDefault="001029F9" w:rsidP="0087087F">
      <w:pPr>
        <w:spacing w:after="0" w:line="360" w:lineRule="auto"/>
        <w:ind w:left="720" w:hanging="720"/>
        <w:jc w:val="both"/>
        <w:rPr>
          <w:rFonts w:cs="Times New Roman"/>
          <w:szCs w:val="24"/>
        </w:rPr>
      </w:pPr>
      <w:proofErr w:type="spellStart"/>
      <w:r w:rsidRPr="0087087F">
        <w:rPr>
          <w:rFonts w:cs="Times New Roman"/>
          <w:szCs w:val="24"/>
        </w:rPr>
        <w:t>Tabiani</w:t>
      </w:r>
      <w:proofErr w:type="spellEnd"/>
      <w:r w:rsidRPr="0087087F">
        <w:rPr>
          <w:rFonts w:cs="Times New Roman"/>
          <w:szCs w:val="24"/>
        </w:rPr>
        <w:t xml:space="preserve"> </w:t>
      </w:r>
      <w:proofErr w:type="spellStart"/>
      <w:r w:rsidRPr="0087087F">
        <w:rPr>
          <w:rFonts w:cs="Times New Roman"/>
          <w:szCs w:val="24"/>
        </w:rPr>
        <w:t>Nian</w:t>
      </w:r>
      <w:proofErr w:type="spellEnd"/>
      <w:r w:rsidRPr="0087087F">
        <w:rPr>
          <w:rFonts w:cs="Times New Roman"/>
          <w:szCs w:val="24"/>
        </w:rPr>
        <w:t xml:space="preserve">, L., Rostami, R., &amp; </w:t>
      </w:r>
      <w:proofErr w:type="spellStart"/>
      <w:r w:rsidRPr="0087087F">
        <w:rPr>
          <w:rFonts w:cs="Times New Roman"/>
          <w:szCs w:val="24"/>
        </w:rPr>
        <w:t>Salehinejad</w:t>
      </w:r>
      <w:proofErr w:type="spellEnd"/>
      <w:r w:rsidRPr="0087087F">
        <w:rPr>
          <w:rFonts w:cs="Times New Roman"/>
          <w:szCs w:val="24"/>
        </w:rPr>
        <w:t xml:space="preserve">, M. A. (2024). The Reynolds Intellectual Assessment Scales: Measurement Invariance and Mean Comparison across United States and Iranian Children. Journal of Pediatric Neuropsychology, 10, 221–230. </w:t>
      </w:r>
      <w:hyperlink r:id="rId21" w:history="1">
        <w:r w:rsidR="00F256BE" w:rsidRPr="0087087F">
          <w:rPr>
            <w:rStyle w:val="Hipervnculo"/>
            <w:rFonts w:cs="Times New Roman"/>
            <w:szCs w:val="24"/>
          </w:rPr>
          <w:t>https://doi.org/10.1007/s40817-024-00167-7</w:t>
        </w:r>
      </w:hyperlink>
      <w:r w:rsidR="00F256BE" w:rsidRPr="0087087F">
        <w:rPr>
          <w:rFonts w:cs="Times New Roman"/>
          <w:szCs w:val="24"/>
        </w:rPr>
        <w:t>.</w:t>
      </w:r>
    </w:p>
    <w:p w14:paraId="20D5C215" w14:textId="1CB4BE93" w:rsidR="00F256BE" w:rsidRPr="0087087F" w:rsidRDefault="00F256BE" w:rsidP="0087087F">
      <w:pPr>
        <w:spacing w:after="0" w:line="360" w:lineRule="auto"/>
        <w:ind w:left="720" w:hanging="720"/>
        <w:jc w:val="both"/>
        <w:rPr>
          <w:rFonts w:cs="Times New Roman"/>
          <w:szCs w:val="24"/>
        </w:rPr>
      </w:pPr>
      <w:r w:rsidRPr="0087087F">
        <w:t xml:space="preserve">Vygotsky, L. S. (1978). </w:t>
      </w:r>
      <w:r w:rsidRPr="0087087F">
        <w:rPr>
          <w:rStyle w:val="nfasis"/>
          <w:lang w:val="es-MX"/>
        </w:rPr>
        <w:t>El desarrollo de los procesos psicológicos superiores</w:t>
      </w:r>
      <w:r w:rsidRPr="0087087F">
        <w:rPr>
          <w:lang w:val="es-MX"/>
        </w:rPr>
        <w:t xml:space="preserve"> (S. </w:t>
      </w:r>
      <w:proofErr w:type="spellStart"/>
      <w:r w:rsidRPr="0087087F">
        <w:rPr>
          <w:lang w:val="es-MX"/>
        </w:rPr>
        <w:t>Furió</w:t>
      </w:r>
      <w:proofErr w:type="spellEnd"/>
      <w:r w:rsidRPr="0087087F">
        <w:rPr>
          <w:lang w:val="es-MX"/>
        </w:rPr>
        <w:t xml:space="preserve">, Trad.). </w:t>
      </w:r>
      <w:proofErr w:type="spellStart"/>
      <w:r w:rsidRPr="0087087F">
        <w:t>Crítica</w:t>
      </w:r>
      <w:proofErr w:type="spellEnd"/>
      <w:r w:rsidRPr="0087087F">
        <w:t xml:space="preserve">. </w:t>
      </w:r>
      <w:r w:rsidRPr="0087087F">
        <w:rPr>
          <w:rFonts w:cs="Times New Roman"/>
          <w:szCs w:val="24"/>
        </w:rPr>
        <w:t>Harvard University Press.</w:t>
      </w:r>
    </w:p>
    <w:p w14:paraId="3BC78F34" w14:textId="77777777" w:rsidR="001029F9" w:rsidRDefault="001029F9" w:rsidP="0087087F">
      <w:pPr>
        <w:spacing w:after="0" w:line="360" w:lineRule="auto"/>
        <w:ind w:left="720" w:hanging="720"/>
        <w:jc w:val="both"/>
        <w:rPr>
          <w:rStyle w:val="Hipervnculo"/>
          <w:rFonts w:cs="Times New Roman"/>
          <w:szCs w:val="24"/>
          <w:lang w:val="es-MX"/>
        </w:rPr>
      </w:pPr>
      <w:r w:rsidRPr="0087087F">
        <w:rPr>
          <w:rFonts w:cs="Times New Roman"/>
          <w:szCs w:val="24"/>
        </w:rPr>
        <w:t xml:space="preserve">Watts, A. L., &amp; Joyner, K. (2022). Cognitive assessment in children post-COVID-19: New challenges and adaptations. Child Neuropsychology, 28(5), 554–570. </w:t>
      </w:r>
      <w:hyperlink r:id="rId22" w:history="1">
        <w:r w:rsidRPr="0087087F">
          <w:rPr>
            <w:rStyle w:val="Hipervnculo"/>
            <w:rFonts w:cs="Times New Roman"/>
            <w:szCs w:val="24"/>
            <w:lang w:val="es-MX"/>
          </w:rPr>
          <w:t>https://doi.org/10.1080/09297049.2022.2042741</w:t>
        </w:r>
      </w:hyperlink>
    </w:p>
    <w:p w14:paraId="73F1A814" w14:textId="77777777" w:rsidR="00A034EA" w:rsidRDefault="00A034EA" w:rsidP="0087087F">
      <w:pPr>
        <w:spacing w:after="0" w:line="360" w:lineRule="auto"/>
        <w:ind w:left="720" w:hanging="720"/>
        <w:jc w:val="both"/>
        <w:rPr>
          <w:rStyle w:val="Hipervnculo"/>
          <w:rFonts w:cs="Times New Roman"/>
          <w:szCs w:val="24"/>
          <w:lang w:val="es-MX"/>
        </w:rPr>
      </w:pPr>
    </w:p>
    <w:p w14:paraId="165A1D47" w14:textId="77777777" w:rsidR="00A034EA" w:rsidRDefault="00A034EA" w:rsidP="0087087F">
      <w:pPr>
        <w:spacing w:after="0" w:line="360" w:lineRule="auto"/>
        <w:ind w:left="720" w:hanging="720"/>
        <w:jc w:val="both"/>
        <w:rPr>
          <w:rStyle w:val="Hipervnculo"/>
          <w:rFonts w:cs="Times New Roman"/>
          <w:szCs w:val="24"/>
          <w:lang w:val="es-MX"/>
        </w:rPr>
      </w:pPr>
    </w:p>
    <w:p w14:paraId="2074AAF0" w14:textId="77777777" w:rsidR="00A034EA" w:rsidRDefault="00A034EA" w:rsidP="0087087F">
      <w:pPr>
        <w:spacing w:after="0" w:line="360" w:lineRule="auto"/>
        <w:ind w:left="720" w:hanging="720"/>
        <w:jc w:val="both"/>
        <w:rPr>
          <w:rStyle w:val="Hipervnculo"/>
          <w:rFonts w:cs="Times New Roman"/>
          <w:szCs w:val="24"/>
          <w:lang w:val="es-MX"/>
        </w:rPr>
      </w:pPr>
    </w:p>
    <w:p w14:paraId="2CDA3181" w14:textId="77777777" w:rsidR="00A034EA" w:rsidRDefault="00A034EA" w:rsidP="0087087F">
      <w:pPr>
        <w:spacing w:after="0" w:line="360" w:lineRule="auto"/>
        <w:ind w:left="720" w:hanging="720"/>
        <w:jc w:val="both"/>
        <w:rPr>
          <w:rStyle w:val="Hipervnculo"/>
          <w:rFonts w:cs="Times New Roman"/>
          <w:szCs w:val="24"/>
          <w:lang w:val="es-MX"/>
        </w:rPr>
      </w:pPr>
    </w:p>
    <w:p w14:paraId="1486CF7A" w14:textId="77777777" w:rsidR="00A034EA" w:rsidRDefault="00A034EA" w:rsidP="0087087F">
      <w:pPr>
        <w:spacing w:after="0" w:line="360" w:lineRule="auto"/>
        <w:ind w:left="720" w:hanging="720"/>
        <w:jc w:val="both"/>
        <w:rPr>
          <w:rStyle w:val="Hipervnculo"/>
          <w:rFonts w:cs="Times New Roman"/>
          <w:szCs w:val="24"/>
          <w:lang w:val="es-MX"/>
        </w:rPr>
      </w:pPr>
    </w:p>
    <w:p w14:paraId="26626260" w14:textId="77777777" w:rsidR="00A034EA" w:rsidRDefault="00A034EA" w:rsidP="0087087F">
      <w:pPr>
        <w:spacing w:after="0" w:line="360" w:lineRule="auto"/>
        <w:ind w:left="720" w:hanging="720"/>
        <w:jc w:val="both"/>
        <w:rPr>
          <w:rStyle w:val="Hipervnculo"/>
          <w:rFonts w:cs="Times New Roman"/>
          <w:szCs w:val="24"/>
          <w:lang w:val="es-MX"/>
        </w:rPr>
      </w:pPr>
    </w:p>
    <w:p w14:paraId="65B43B5F" w14:textId="77777777" w:rsidR="00A034EA" w:rsidRDefault="00A034EA" w:rsidP="0087087F">
      <w:pPr>
        <w:spacing w:after="0" w:line="360" w:lineRule="auto"/>
        <w:ind w:left="720" w:hanging="720"/>
        <w:jc w:val="both"/>
        <w:rPr>
          <w:rStyle w:val="Hipervnculo"/>
          <w:rFonts w:cs="Times New Roman"/>
          <w:szCs w:val="24"/>
          <w:lang w:val="es-MX"/>
        </w:rPr>
      </w:pPr>
    </w:p>
    <w:tbl>
      <w:tblPr>
        <w:tblW w:w="92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7"/>
        <w:gridCol w:w="6379"/>
      </w:tblGrid>
      <w:tr w:rsidR="00A034EA" w:rsidRPr="00A034EA" w14:paraId="5D6CA975" w14:textId="77777777" w:rsidTr="00A034EA">
        <w:trPr>
          <w:trHeight w:val="618"/>
          <w:jc w:val="center"/>
        </w:trPr>
        <w:tc>
          <w:tcPr>
            <w:tcW w:w="2867" w:type="dxa"/>
            <w:tcMar>
              <w:top w:w="100" w:type="dxa"/>
              <w:left w:w="100" w:type="dxa"/>
              <w:bottom w:w="100" w:type="dxa"/>
              <w:right w:w="100" w:type="dxa"/>
            </w:tcMar>
          </w:tcPr>
          <w:p w14:paraId="45B4E6B8" w14:textId="77777777" w:rsidR="00A034EA" w:rsidRPr="00A034EA" w:rsidRDefault="00A034EA" w:rsidP="00CD2F0C">
            <w:pPr>
              <w:pStyle w:val="Ttulo3"/>
              <w:widowControl w:val="0"/>
              <w:spacing w:before="0" w:line="240" w:lineRule="auto"/>
              <w:rPr>
                <w:rFonts w:ascii="Times New Roman" w:hAnsi="Times New Roman" w:cs="Times New Roman"/>
                <w:b w:val="0"/>
                <w:bCs w:val="0"/>
                <w:color w:val="000000" w:themeColor="text1"/>
                <w:szCs w:val="24"/>
                <w:lang w:val="es-MX"/>
              </w:rPr>
            </w:pPr>
            <w:r w:rsidRPr="00A034EA">
              <w:rPr>
                <w:rFonts w:ascii="Times New Roman" w:hAnsi="Times New Roman" w:cs="Times New Roman"/>
                <w:b w:val="0"/>
                <w:bCs w:val="0"/>
                <w:color w:val="000000" w:themeColor="text1"/>
                <w:szCs w:val="24"/>
                <w:lang w:val="es-MX"/>
              </w:rPr>
              <w:t>Rol de Contribución</w:t>
            </w:r>
          </w:p>
        </w:tc>
        <w:tc>
          <w:tcPr>
            <w:tcW w:w="6379" w:type="dxa"/>
          </w:tcPr>
          <w:p w14:paraId="48040626" w14:textId="77777777" w:rsidR="00A034EA" w:rsidRPr="00A034EA" w:rsidRDefault="00A034EA" w:rsidP="00A034EA">
            <w:pPr>
              <w:pStyle w:val="Ttulo3"/>
              <w:widowControl w:val="0"/>
              <w:spacing w:before="0" w:line="240" w:lineRule="auto"/>
              <w:rPr>
                <w:rFonts w:ascii="Times New Roman" w:hAnsi="Times New Roman" w:cs="Times New Roman"/>
                <w:b w:val="0"/>
                <w:bCs w:val="0"/>
                <w:color w:val="000000" w:themeColor="text1"/>
                <w:szCs w:val="24"/>
                <w:lang w:val="es-MX"/>
              </w:rPr>
            </w:pPr>
            <w:bookmarkStart w:id="0" w:name="_btsjgdfgjwkr" w:colFirst="0" w:colLast="0"/>
            <w:bookmarkEnd w:id="0"/>
            <w:r w:rsidRPr="00A034EA">
              <w:rPr>
                <w:rFonts w:ascii="Times New Roman" w:hAnsi="Times New Roman" w:cs="Times New Roman"/>
                <w:b w:val="0"/>
                <w:bCs w:val="0"/>
                <w:color w:val="000000" w:themeColor="text1"/>
                <w:szCs w:val="24"/>
                <w:lang w:val="es-MX"/>
              </w:rPr>
              <w:t>Autor (es)</w:t>
            </w:r>
          </w:p>
        </w:tc>
      </w:tr>
      <w:tr w:rsidR="00A034EA" w:rsidRPr="00A034EA" w14:paraId="10F11807" w14:textId="77777777" w:rsidTr="00A034EA">
        <w:trPr>
          <w:jc w:val="center"/>
        </w:trPr>
        <w:tc>
          <w:tcPr>
            <w:tcW w:w="2867" w:type="dxa"/>
            <w:tcMar>
              <w:top w:w="100" w:type="dxa"/>
              <w:left w:w="100" w:type="dxa"/>
              <w:bottom w:w="100" w:type="dxa"/>
              <w:right w:w="100" w:type="dxa"/>
            </w:tcMar>
          </w:tcPr>
          <w:p w14:paraId="2CADDC8D"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Conceptualización</w:t>
            </w:r>
          </w:p>
        </w:tc>
        <w:tc>
          <w:tcPr>
            <w:tcW w:w="6379" w:type="dxa"/>
          </w:tcPr>
          <w:p w14:paraId="24F2C80B"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 xml:space="preserve">Mariza </w:t>
            </w:r>
            <w:proofErr w:type="spellStart"/>
            <w:r w:rsidRPr="00A034EA">
              <w:rPr>
                <w:rFonts w:cs="Times New Roman"/>
                <w:color w:val="000000" w:themeColor="text1"/>
                <w:szCs w:val="24"/>
                <w:lang w:val="es-MX"/>
              </w:rPr>
              <w:t>Raluy</w:t>
            </w:r>
            <w:proofErr w:type="spellEnd"/>
            <w:r w:rsidRPr="00A034EA">
              <w:rPr>
                <w:rFonts w:cs="Times New Roman"/>
                <w:color w:val="000000" w:themeColor="text1"/>
                <w:szCs w:val="24"/>
                <w:lang w:val="es-MX"/>
              </w:rPr>
              <w:t xml:space="preserve"> Herrero</w:t>
            </w:r>
          </w:p>
        </w:tc>
      </w:tr>
      <w:tr w:rsidR="00A034EA" w:rsidRPr="002753CF" w14:paraId="377E17FF" w14:textId="77777777" w:rsidTr="00A034EA">
        <w:trPr>
          <w:jc w:val="center"/>
        </w:trPr>
        <w:tc>
          <w:tcPr>
            <w:tcW w:w="2867" w:type="dxa"/>
            <w:tcMar>
              <w:top w:w="100" w:type="dxa"/>
              <w:left w:w="100" w:type="dxa"/>
              <w:bottom w:w="100" w:type="dxa"/>
              <w:right w:w="100" w:type="dxa"/>
            </w:tcMar>
          </w:tcPr>
          <w:p w14:paraId="0C3389B5"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Metodología</w:t>
            </w:r>
          </w:p>
        </w:tc>
        <w:tc>
          <w:tcPr>
            <w:tcW w:w="6379" w:type="dxa"/>
          </w:tcPr>
          <w:p w14:paraId="30368AF8"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Francisca Angélica Elizalde Canales, María del Rosario López Torres (igual)</w:t>
            </w:r>
          </w:p>
        </w:tc>
      </w:tr>
      <w:tr w:rsidR="00A034EA" w:rsidRPr="002753CF" w14:paraId="7C1AD50E" w14:textId="77777777" w:rsidTr="00A034EA">
        <w:trPr>
          <w:jc w:val="center"/>
        </w:trPr>
        <w:tc>
          <w:tcPr>
            <w:tcW w:w="2867" w:type="dxa"/>
            <w:tcMar>
              <w:top w:w="100" w:type="dxa"/>
              <w:left w:w="100" w:type="dxa"/>
              <w:bottom w:w="100" w:type="dxa"/>
              <w:right w:w="100" w:type="dxa"/>
            </w:tcMar>
          </w:tcPr>
          <w:p w14:paraId="7B6B6B8C"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Software</w:t>
            </w:r>
          </w:p>
        </w:tc>
        <w:tc>
          <w:tcPr>
            <w:tcW w:w="6379" w:type="dxa"/>
          </w:tcPr>
          <w:p w14:paraId="6309D8DC" w14:textId="77777777" w:rsidR="00A034EA" w:rsidRPr="00A034EA" w:rsidRDefault="00A034EA" w:rsidP="00A034EA">
            <w:pPr>
              <w:widowControl w:val="0"/>
              <w:spacing w:after="0" w:line="240" w:lineRule="auto"/>
              <w:rPr>
                <w:rFonts w:cs="Times New Roman"/>
                <w:color w:val="000000" w:themeColor="text1"/>
                <w:szCs w:val="24"/>
                <w:lang w:val="es-MX"/>
              </w:rPr>
            </w:pPr>
          </w:p>
          <w:p w14:paraId="0BD16BA2"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María del Rosario López Torres, Francisca Angélica Elizalde Canales (igual)</w:t>
            </w:r>
          </w:p>
        </w:tc>
      </w:tr>
      <w:tr w:rsidR="00A034EA" w:rsidRPr="002753CF" w14:paraId="10BE1E8F" w14:textId="77777777" w:rsidTr="00A034EA">
        <w:trPr>
          <w:jc w:val="center"/>
        </w:trPr>
        <w:tc>
          <w:tcPr>
            <w:tcW w:w="2867" w:type="dxa"/>
            <w:tcMar>
              <w:top w:w="100" w:type="dxa"/>
              <w:left w:w="100" w:type="dxa"/>
              <w:bottom w:w="100" w:type="dxa"/>
              <w:right w:w="100" w:type="dxa"/>
            </w:tcMar>
          </w:tcPr>
          <w:p w14:paraId="2C6C6490"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Validación</w:t>
            </w:r>
          </w:p>
        </w:tc>
        <w:tc>
          <w:tcPr>
            <w:tcW w:w="6379" w:type="dxa"/>
          </w:tcPr>
          <w:p w14:paraId="555AA022"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 xml:space="preserve">Miriam Olvera </w:t>
            </w:r>
            <w:proofErr w:type="spellStart"/>
            <w:r w:rsidRPr="00A034EA">
              <w:rPr>
                <w:rFonts w:cs="Times New Roman"/>
                <w:color w:val="000000" w:themeColor="text1"/>
                <w:szCs w:val="24"/>
                <w:lang w:val="es-MX"/>
              </w:rPr>
              <w:t>Cueyar</w:t>
            </w:r>
            <w:proofErr w:type="spellEnd"/>
            <w:r w:rsidRPr="00A034EA">
              <w:rPr>
                <w:rFonts w:cs="Times New Roman"/>
                <w:color w:val="000000" w:themeColor="text1"/>
                <w:szCs w:val="24"/>
                <w:lang w:val="es-MX"/>
              </w:rPr>
              <w:t xml:space="preserve">, Mariza </w:t>
            </w:r>
            <w:proofErr w:type="spellStart"/>
            <w:r w:rsidRPr="00A034EA">
              <w:rPr>
                <w:rFonts w:cs="Times New Roman"/>
                <w:color w:val="000000" w:themeColor="text1"/>
                <w:szCs w:val="24"/>
                <w:lang w:val="es-MX"/>
              </w:rPr>
              <w:t>Raluy</w:t>
            </w:r>
            <w:proofErr w:type="spellEnd"/>
            <w:r w:rsidRPr="00A034EA">
              <w:rPr>
                <w:rFonts w:cs="Times New Roman"/>
                <w:color w:val="000000" w:themeColor="text1"/>
                <w:szCs w:val="24"/>
                <w:lang w:val="es-MX"/>
              </w:rPr>
              <w:t xml:space="preserve"> Herrero (igual)</w:t>
            </w:r>
          </w:p>
        </w:tc>
      </w:tr>
      <w:tr w:rsidR="00A034EA" w:rsidRPr="002753CF" w14:paraId="12AC9004" w14:textId="77777777" w:rsidTr="00A034EA">
        <w:trPr>
          <w:jc w:val="center"/>
        </w:trPr>
        <w:tc>
          <w:tcPr>
            <w:tcW w:w="2867" w:type="dxa"/>
            <w:tcMar>
              <w:top w:w="100" w:type="dxa"/>
              <w:left w:w="100" w:type="dxa"/>
              <w:bottom w:w="100" w:type="dxa"/>
              <w:right w:w="100" w:type="dxa"/>
            </w:tcMar>
          </w:tcPr>
          <w:p w14:paraId="68A6FE22"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Análisis Formal</w:t>
            </w:r>
          </w:p>
        </w:tc>
        <w:tc>
          <w:tcPr>
            <w:tcW w:w="6379" w:type="dxa"/>
          </w:tcPr>
          <w:p w14:paraId="6970424E"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Francisca Angélica Elizalde Canales, María del Rosario López Torres (igual)</w:t>
            </w:r>
          </w:p>
        </w:tc>
      </w:tr>
      <w:tr w:rsidR="00A034EA" w:rsidRPr="002753CF" w14:paraId="10FF7885" w14:textId="77777777" w:rsidTr="00A034EA">
        <w:trPr>
          <w:jc w:val="center"/>
        </w:trPr>
        <w:tc>
          <w:tcPr>
            <w:tcW w:w="2867" w:type="dxa"/>
            <w:tcMar>
              <w:top w:w="100" w:type="dxa"/>
              <w:left w:w="100" w:type="dxa"/>
              <w:bottom w:w="100" w:type="dxa"/>
              <w:right w:w="100" w:type="dxa"/>
            </w:tcMar>
          </w:tcPr>
          <w:p w14:paraId="011DAF97"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Investigación</w:t>
            </w:r>
          </w:p>
        </w:tc>
        <w:tc>
          <w:tcPr>
            <w:tcW w:w="6379" w:type="dxa"/>
          </w:tcPr>
          <w:p w14:paraId="6AE5E7EE"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 xml:space="preserve">Mariza </w:t>
            </w:r>
            <w:proofErr w:type="spellStart"/>
            <w:r w:rsidRPr="00A034EA">
              <w:rPr>
                <w:rFonts w:cs="Times New Roman"/>
                <w:color w:val="000000" w:themeColor="text1"/>
                <w:szCs w:val="24"/>
                <w:lang w:val="es-MX"/>
              </w:rPr>
              <w:t>Raluy</w:t>
            </w:r>
            <w:proofErr w:type="spellEnd"/>
            <w:r w:rsidRPr="00A034EA">
              <w:rPr>
                <w:rFonts w:cs="Times New Roman"/>
                <w:color w:val="000000" w:themeColor="text1"/>
                <w:szCs w:val="24"/>
                <w:lang w:val="es-MX"/>
              </w:rPr>
              <w:t xml:space="preserve"> Herrero, Francisca Angélica Elizalde Canales (igual)</w:t>
            </w:r>
          </w:p>
        </w:tc>
      </w:tr>
      <w:tr w:rsidR="00A034EA" w:rsidRPr="002753CF" w14:paraId="7E9BCC34" w14:textId="77777777" w:rsidTr="00A034EA">
        <w:trPr>
          <w:jc w:val="center"/>
        </w:trPr>
        <w:tc>
          <w:tcPr>
            <w:tcW w:w="2867" w:type="dxa"/>
            <w:tcMar>
              <w:top w:w="100" w:type="dxa"/>
              <w:left w:w="100" w:type="dxa"/>
              <w:bottom w:w="100" w:type="dxa"/>
              <w:right w:w="100" w:type="dxa"/>
            </w:tcMar>
          </w:tcPr>
          <w:p w14:paraId="33BF4A47"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Recursos</w:t>
            </w:r>
          </w:p>
        </w:tc>
        <w:tc>
          <w:tcPr>
            <w:tcW w:w="6379" w:type="dxa"/>
          </w:tcPr>
          <w:p w14:paraId="4C9155F7"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 xml:space="preserve">Miriam Olvera </w:t>
            </w:r>
            <w:proofErr w:type="spellStart"/>
            <w:r w:rsidRPr="00A034EA">
              <w:rPr>
                <w:rFonts w:cs="Times New Roman"/>
                <w:color w:val="000000" w:themeColor="text1"/>
                <w:szCs w:val="24"/>
                <w:lang w:val="es-MX"/>
              </w:rPr>
              <w:t>Cueyar</w:t>
            </w:r>
            <w:proofErr w:type="spellEnd"/>
            <w:r w:rsidRPr="00A034EA">
              <w:rPr>
                <w:rFonts w:cs="Times New Roman"/>
                <w:color w:val="000000" w:themeColor="text1"/>
                <w:szCs w:val="24"/>
                <w:lang w:val="es-MX"/>
              </w:rPr>
              <w:t xml:space="preserve"> (principal), María del Rosario López Torres, Francisca Angélica Elizalde Canales (apoya)</w:t>
            </w:r>
          </w:p>
        </w:tc>
      </w:tr>
      <w:tr w:rsidR="00A034EA" w:rsidRPr="002753CF" w14:paraId="3EB1095B" w14:textId="77777777" w:rsidTr="00A034EA">
        <w:trPr>
          <w:jc w:val="center"/>
        </w:trPr>
        <w:tc>
          <w:tcPr>
            <w:tcW w:w="2867" w:type="dxa"/>
            <w:tcMar>
              <w:top w:w="100" w:type="dxa"/>
              <w:left w:w="100" w:type="dxa"/>
              <w:bottom w:w="100" w:type="dxa"/>
              <w:right w:w="100" w:type="dxa"/>
            </w:tcMar>
          </w:tcPr>
          <w:p w14:paraId="39F5E12D"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Curación de datos</w:t>
            </w:r>
          </w:p>
        </w:tc>
        <w:tc>
          <w:tcPr>
            <w:tcW w:w="6379" w:type="dxa"/>
          </w:tcPr>
          <w:p w14:paraId="28CC3F9C"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 xml:space="preserve">Mariza </w:t>
            </w:r>
            <w:proofErr w:type="spellStart"/>
            <w:r w:rsidRPr="00A034EA">
              <w:rPr>
                <w:rFonts w:cs="Times New Roman"/>
                <w:color w:val="000000" w:themeColor="text1"/>
                <w:szCs w:val="24"/>
                <w:lang w:val="es-MX"/>
              </w:rPr>
              <w:t>Raluy</w:t>
            </w:r>
            <w:proofErr w:type="spellEnd"/>
            <w:r w:rsidRPr="00A034EA">
              <w:rPr>
                <w:rFonts w:cs="Times New Roman"/>
                <w:color w:val="000000" w:themeColor="text1"/>
                <w:szCs w:val="24"/>
                <w:lang w:val="es-MX"/>
              </w:rPr>
              <w:t xml:space="preserve"> Herrero (principal), María del Rosario López Torres (apoya)</w:t>
            </w:r>
          </w:p>
        </w:tc>
      </w:tr>
      <w:tr w:rsidR="00A034EA" w:rsidRPr="002753CF" w14:paraId="6E79E09D" w14:textId="77777777" w:rsidTr="00A034EA">
        <w:trPr>
          <w:jc w:val="center"/>
        </w:trPr>
        <w:tc>
          <w:tcPr>
            <w:tcW w:w="2867" w:type="dxa"/>
            <w:tcMar>
              <w:top w:w="100" w:type="dxa"/>
              <w:left w:w="100" w:type="dxa"/>
              <w:bottom w:w="100" w:type="dxa"/>
              <w:right w:w="100" w:type="dxa"/>
            </w:tcMar>
          </w:tcPr>
          <w:p w14:paraId="28C0BF0D"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Escritura - Preparación del borrador original</w:t>
            </w:r>
          </w:p>
        </w:tc>
        <w:tc>
          <w:tcPr>
            <w:tcW w:w="6379" w:type="dxa"/>
          </w:tcPr>
          <w:p w14:paraId="056E2B25"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 xml:space="preserve">Mariza </w:t>
            </w:r>
            <w:proofErr w:type="spellStart"/>
            <w:r w:rsidRPr="00A034EA">
              <w:rPr>
                <w:rFonts w:cs="Times New Roman"/>
                <w:color w:val="000000" w:themeColor="text1"/>
                <w:szCs w:val="24"/>
                <w:lang w:val="es-MX"/>
              </w:rPr>
              <w:t>Raluy</w:t>
            </w:r>
            <w:proofErr w:type="spellEnd"/>
            <w:r w:rsidRPr="00A034EA">
              <w:rPr>
                <w:rFonts w:cs="Times New Roman"/>
                <w:color w:val="000000" w:themeColor="text1"/>
                <w:szCs w:val="24"/>
                <w:lang w:val="es-MX"/>
              </w:rPr>
              <w:t xml:space="preserve"> Herrero (principal), Francisca Angélica Elizalde Canales, María del Rosario López Torres,  (apoyan)</w:t>
            </w:r>
          </w:p>
        </w:tc>
      </w:tr>
      <w:tr w:rsidR="00A034EA" w:rsidRPr="002753CF" w14:paraId="1760303C" w14:textId="77777777" w:rsidTr="00A034EA">
        <w:trPr>
          <w:jc w:val="center"/>
        </w:trPr>
        <w:tc>
          <w:tcPr>
            <w:tcW w:w="2867" w:type="dxa"/>
            <w:tcMar>
              <w:top w:w="100" w:type="dxa"/>
              <w:left w:w="100" w:type="dxa"/>
              <w:bottom w:w="100" w:type="dxa"/>
              <w:right w:w="100" w:type="dxa"/>
            </w:tcMar>
          </w:tcPr>
          <w:p w14:paraId="54AACD63"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Escritura - Revisión y edición</w:t>
            </w:r>
          </w:p>
        </w:tc>
        <w:tc>
          <w:tcPr>
            <w:tcW w:w="6379" w:type="dxa"/>
          </w:tcPr>
          <w:p w14:paraId="37962D9A"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 xml:space="preserve">Mariza </w:t>
            </w:r>
            <w:proofErr w:type="spellStart"/>
            <w:r w:rsidRPr="00A034EA">
              <w:rPr>
                <w:rFonts w:cs="Times New Roman"/>
                <w:color w:val="000000" w:themeColor="text1"/>
                <w:szCs w:val="24"/>
                <w:lang w:val="es-MX"/>
              </w:rPr>
              <w:t>Raluy</w:t>
            </w:r>
            <w:proofErr w:type="spellEnd"/>
            <w:r w:rsidRPr="00A034EA">
              <w:rPr>
                <w:rFonts w:cs="Times New Roman"/>
                <w:color w:val="000000" w:themeColor="text1"/>
                <w:szCs w:val="24"/>
                <w:lang w:val="es-MX"/>
              </w:rPr>
              <w:t xml:space="preserve"> Herrero (principal), Francisca Angélica Elizalde Canales, María del Rosario López Torres,  (apoyan)</w:t>
            </w:r>
          </w:p>
        </w:tc>
      </w:tr>
      <w:tr w:rsidR="00A034EA" w:rsidRPr="002753CF" w14:paraId="654C587E" w14:textId="77777777" w:rsidTr="00A034EA">
        <w:trPr>
          <w:jc w:val="center"/>
        </w:trPr>
        <w:tc>
          <w:tcPr>
            <w:tcW w:w="2867" w:type="dxa"/>
            <w:tcMar>
              <w:top w:w="100" w:type="dxa"/>
              <w:left w:w="100" w:type="dxa"/>
              <w:bottom w:w="100" w:type="dxa"/>
              <w:right w:w="100" w:type="dxa"/>
            </w:tcMar>
          </w:tcPr>
          <w:p w14:paraId="6027259E"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Visualización</w:t>
            </w:r>
          </w:p>
        </w:tc>
        <w:tc>
          <w:tcPr>
            <w:tcW w:w="6379" w:type="dxa"/>
          </w:tcPr>
          <w:p w14:paraId="58DB0499"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 xml:space="preserve">Mariza </w:t>
            </w:r>
            <w:proofErr w:type="spellStart"/>
            <w:r w:rsidRPr="00A034EA">
              <w:rPr>
                <w:rFonts w:cs="Times New Roman"/>
                <w:color w:val="000000" w:themeColor="text1"/>
                <w:szCs w:val="24"/>
                <w:lang w:val="es-MX"/>
              </w:rPr>
              <w:t>Raluy</w:t>
            </w:r>
            <w:proofErr w:type="spellEnd"/>
            <w:r w:rsidRPr="00A034EA">
              <w:rPr>
                <w:rFonts w:cs="Times New Roman"/>
                <w:color w:val="000000" w:themeColor="text1"/>
                <w:szCs w:val="24"/>
                <w:lang w:val="es-MX"/>
              </w:rPr>
              <w:t xml:space="preserve"> Herrero, (principal), Francisca Angélica Elizalde Canales, María del Rosario López Torres,  (apoyan)</w:t>
            </w:r>
          </w:p>
        </w:tc>
      </w:tr>
      <w:tr w:rsidR="00A034EA" w:rsidRPr="002753CF" w14:paraId="68C45361" w14:textId="77777777" w:rsidTr="00A034EA">
        <w:trPr>
          <w:jc w:val="center"/>
        </w:trPr>
        <w:tc>
          <w:tcPr>
            <w:tcW w:w="2867" w:type="dxa"/>
            <w:tcMar>
              <w:top w:w="100" w:type="dxa"/>
              <w:left w:w="100" w:type="dxa"/>
              <w:bottom w:w="100" w:type="dxa"/>
              <w:right w:w="100" w:type="dxa"/>
            </w:tcMar>
          </w:tcPr>
          <w:p w14:paraId="3CEBBDBA"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Supervisión</w:t>
            </w:r>
          </w:p>
        </w:tc>
        <w:tc>
          <w:tcPr>
            <w:tcW w:w="6379" w:type="dxa"/>
          </w:tcPr>
          <w:p w14:paraId="3ADA6E40"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 xml:space="preserve">Mariza </w:t>
            </w:r>
            <w:proofErr w:type="spellStart"/>
            <w:r w:rsidRPr="00A034EA">
              <w:rPr>
                <w:rFonts w:cs="Times New Roman"/>
                <w:color w:val="000000" w:themeColor="text1"/>
                <w:szCs w:val="24"/>
                <w:lang w:val="es-MX"/>
              </w:rPr>
              <w:t>Raluy</w:t>
            </w:r>
            <w:proofErr w:type="spellEnd"/>
            <w:r w:rsidRPr="00A034EA">
              <w:rPr>
                <w:rFonts w:cs="Times New Roman"/>
                <w:color w:val="000000" w:themeColor="text1"/>
                <w:szCs w:val="24"/>
                <w:lang w:val="es-MX"/>
              </w:rPr>
              <w:t xml:space="preserve"> Herrero (principal), Miriam Olvera </w:t>
            </w:r>
            <w:proofErr w:type="spellStart"/>
            <w:r w:rsidRPr="00A034EA">
              <w:rPr>
                <w:rFonts w:cs="Times New Roman"/>
                <w:color w:val="000000" w:themeColor="text1"/>
                <w:szCs w:val="24"/>
                <w:lang w:val="es-MX"/>
              </w:rPr>
              <w:t>Cueyar</w:t>
            </w:r>
            <w:proofErr w:type="spellEnd"/>
            <w:r w:rsidRPr="00A034EA">
              <w:rPr>
                <w:rFonts w:cs="Times New Roman"/>
                <w:color w:val="000000" w:themeColor="text1"/>
                <w:szCs w:val="24"/>
                <w:lang w:val="es-MX"/>
              </w:rPr>
              <w:t xml:space="preserve"> (apoya)</w:t>
            </w:r>
          </w:p>
        </w:tc>
      </w:tr>
      <w:tr w:rsidR="00A034EA" w:rsidRPr="002753CF" w14:paraId="7B1BD1B8" w14:textId="77777777" w:rsidTr="00A034EA">
        <w:trPr>
          <w:jc w:val="center"/>
        </w:trPr>
        <w:tc>
          <w:tcPr>
            <w:tcW w:w="2867" w:type="dxa"/>
            <w:tcMar>
              <w:top w:w="100" w:type="dxa"/>
              <w:left w:w="100" w:type="dxa"/>
              <w:bottom w:w="100" w:type="dxa"/>
              <w:right w:w="100" w:type="dxa"/>
            </w:tcMar>
          </w:tcPr>
          <w:p w14:paraId="4EBFB10A"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Administración de Proyectos</w:t>
            </w:r>
          </w:p>
        </w:tc>
        <w:tc>
          <w:tcPr>
            <w:tcW w:w="6379" w:type="dxa"/>
          </w:tcPr>
          <w:p w14:paraId="2AF7AFB1"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 xml:space="preserve">Mariza </w:t>
            </w:r>
            <w:proofErr w:type="spellStart"/>
            <w:r w:rsidRPr="00A034EA">
              <w:rPr>
                <w:rFonts w:cs="Times New Roman"/>
                <w:color w:val="000000" w:themeColor="text1"/>
                <w:szCs w:val="24"/>
                <w:lang w:val="es-MX"/>
              </w:rPr>
              <w:t>Raluy</w:t>
            </w:r>
            <w:proofErr w:type="spellEnd"/>
            <w:r w:rsidRPr="00A034EA">
              <w:rPr>
                <w:rFonts w:cs="Times New Roman"/>
                <w:color w:val="000000" w:themeColor="text1"/>
                <w:szCs w:val="24"/>
                <w:lang w:val="es-MX"/>
              </w:rPr>
              <w:t xml:space="preserve"> Herrero (principal), Francisca Angélica Elizalde Canales (apoya)</w:t>
            </w:r>
          </w:p>
        </w:tc>
      </w:tr>
      <w:tr w:rsidR="00A034EA" w:rsidRPr="002753CF" w14:paraId="6B6560F1" w14:textId="77777777" w:rsidTr="00A034EA">
        <w:trPr>
          <w:jc w:val="center"/>
        </w:trPr>
        <w:tc>
          <w:tcPr>
            <w:tcW w:w="2867" w:type="dxa"/>
            <w:tcMar>
              <w:top w:w="100" w:type="dxa"/>
              <w:left w:w="100" w:type="dxa"/>
              <w:bottom w:w="100" w:type="dxa"/>
              <w:right w:w="100" w:type="dxa"/>
            </w:tcMar>
          </w:tcPr>
          <w:p w14:paraId="7549776D"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Adquisición de fondos</w:t>
            </w:r>
          </w:p>
        </w:tc>
        <w:tc>
          <w:tcPr>
            <w:tcW w:w="6379" w:type="dxa"/>
          </w:tcPr>
          <w:p w14:paraId="1E778CE8" w14:textId="77777777" w:rsidR="00A034EA" w:rsidRPr="00A034EA" w:rsidRDefault="00A034EA" w:rsidP="00A034EA">
            <w:pPr>
              <w:widowControl w:val="0"/>
              <w:spacing w:after="0" w:line="240" w:lineRule="auto"/>
              <w:rPr>
                <w:rFonts w:cs="Times New Roman"/>
                <w:color w:val="000000" w:themeColor="text1"/>
                <w:szCs w:val="24"/>
                <w:lang w:val="es-MX"/>
              </w:rPr>
            </w:pPr>
            <w:r w:rsidRPr="00A034EA">
              <w:rPr>
                <w:rFonts w:cs="Times New Roman"/>
                <w:color w:val="000000" w:themeColor="text1"/>
                <w:szCs w:val="24"/>
                <w:lang w:val="es-MX"/>
              </w:rPr>
              <w:t xml:space="preserve">Mariza </w:t>
            </w:r>
            <w:proofErr w:type="spellStart"/>
            <w:r w:rsidRPr="00A034EA">
              <w:rPr>
                <w:rFonts w:cs="Times New Roman"/>
                <w:color w:val="000000" w:themeColor="text1"/>
                <w:szCs w:val="24"/>
                <w:lang w:val="es-MX"/>
              </w:rPr>
              <w:t>Raluy</w:t>
            </w:r>
            <w:proofErr w:type="spellEnd"/>
            <w:r w:rsidRPr="00A034EA">
              <w:rPr>
                <w:rFonts w:cs="Times New Roman"/>
                <w:color w:val="000000" w:themeColor="text1"/>
                <w:szCs w:val="24"/>
                <w:lang w:val="es-MX"/>
              </w:rPr>
              <w:t xml:space="preserve"> Herrero (principal), María del Rosario López Torres(apoya)</w:t>
            </w:r>
          </w:p>
        </w:tc>
      </w:tr>
    </w:tbl>
    <w:p w14:paraId="6940B41D" w14:textId="77777777" w:rsidR="00A034EA" w:rsidRPr="001029F9" w:rsidRDefault="00A034EA" w:rsidP="0087087F">
      <w:pPr>
        <w:spacing w:after="0" w:line="360" w:lineRule="auto"/>
        <w:ind w:left="720" w:hanging="720"/>
        <w:jc w:val="both"/>
        <w:rPr>
          <w:rFonts w:cs="Times New Roman"/>
          <w:szCs w:val="24"/>
          <w:lang w:val="es-MX"/>
        </w:rPr>
      </w:pPr>
    </w:p>
    <w:sectPr w:rsidR="00A034EA" w:rsidRPr="001029F9" w:rsidSect="002753CF">
      <w:pgSz w:w="12240" w:h="15840"/>
      <w:pgMar w:top="1276" w:right="1800" w:bottom="851"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34A1" w14:textId="77777777" w:rsidR="00F87507" w:rsidRDefault="00F87507" w:rsidP="00B9619F">
      <w:pPr>
        <w:spacing w:after="0" w:line="240" w:lineRule="auto"/>
      </w:pPr>
      <w:r>
        <w:separator/>
      </w:r>
    </w:p>
  </w:endnote>
  <w:endnote w:type="continuationSeparator" w:id="0">
    <w:p w14:paraId="66590B15" w14:textId="77777777" w:rsidR="00F87507" w:rsidRDefault="00F87507" w:rsidP="00B9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B557" w14:textId="77E27403" w:rsidR="0087087F" w:rsidRDefault="0087087F">
    <w:pPr>
      <w:pStyle w:val="Piedepgina"/>
    </w:pPr>
    <w:r>
      <w:t xml:space="preserve">          </w:t>
    </w:r>
    <w:r>
      <w:rPr>
        <w:noProof/>
      </w:rPr>
      <w:drawing>
        <wp:inline distT="0" distB="0" distL="0" distR="0" wp14:anchorId="4E216B09" wp14:editId="731426C9">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sz w:val="22"/>
      </w:rPr>
      <w:t>Vol. 1</w:t>
    </w:r>
    <w:r>
      <w:rPr>
        <w:rFonts w:ascii="Calibri" w:hAnsi="Calibri" w:cs="Calibri"/>
        <w:b/>
        <w:sz w:val="22"/>
      </w:rPr>
      <w:t>6</w:t>
    </w:r>
    <w:r w:rsidRPr="00590B82">
      <w:rPr>
        <w:rFonts w:ascii="Calibri" w:hAnsi="Calibri" w:cs="Calibri"/>
        <w:b/>
        <w:sz w:val="22"/>
      </w:rPr>
      <w:t xml:space="preserve"> Num. 3</w:t>
    </w:r>
    <w:r>
      <w:rPr>
        <w:rFonts w:ascii="Calibri" w:hAnsi="Calibri" w:cs="Calibri"/>
        <w:b/>
        <w:sz w:val="22"/>
      </w:rPr>
      <w:t>2</w:t>
    </w:r>
    <w:r w:rsidRPr="00590B82">
      <w:rPr>
        <w:rFonts w:ascii="Calibri" w:hAnsi="Calibri" w:cs="Calibri"/>
        <w:b/>
        <w:sz w:val="22"/>
      </w:rPr>
      <w:t xml:space="preserve"> </w:t>
    </w:r>
    <w:proofErr w:type="spellStart"/>
    <w:r w:rsidRPr="00590B82">
      <w:rPr>
        <w:rFonts w:ascii="Calibri" w:hAnsi="Calibri" w:cs="Calibri"/>
        <w:b/>
        <w:sz w:val="22"/>
      </w:rPr>
      <w:t>Enero</w:t>
    </w:r>
    <w:proofErr w:type="spellEnd"/>
    <w:r w:rsidRPr="00590B82">
      <w:rPr>
        <w:rFonts w:ascii="Calibri" w:hAnsi="Calibri" w:cs="Calibri"/>
        <w:b/>
        <w:sz w:val="22"/>
      </w:rPr>
      <w:t xml:space="preserve"> – Junio 202</w:t>
    </w:r>
    <w:r>
      <w:rPr>
        <w:rFonts w:ascii="Calibri" w:hAnsi="Calibri" w:cs="Calibri"/>
        <w:b/>
        <w:sz w:val="22"/>
      </w:rPr>
      <w:t>6</w:t>
    </w:r>
    <w:r w:rsidRPr="00590B82">
      <w:rPr>
        <w:rFonts w:ascii="Calibri" w:hAnsi="Calibri" w:cs="Calibri"/>
        <w:b/>
        <w:sz w:val="22"/>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62B32" w14:textId="77777777" w:rsidR="00F87507" w:rsidRDefault="00F87507" w:rsidP="00B9619F">
      <w:pPr>
        <w:spacing w:after="0" w:line="240" w:lineRule="auto"/>
      </w:pPr>
      <w:r>
        <w:separator/>
      </w:r>
    </w:p>
  </w:footnote>
  <w:footnote w:type="continuationSeparator" w:id="0">
    <w:p w14:paraId="67F11FE5" w14:textId="77777777" w:rsidR="00F87507" w:rsidRDefault="00F87507" w:rsidP="00B96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C700" w14:textId="714F422F" w:rsidR="00B9619F" w:rsidRDefault="00B9619F">
    <w:pPr>
      <w:pStyle w:val="Encabezado"/>
    </w:pPr>
    <w:r>
      <w:rPr>
        <w:noProof/>
        <w:sz w:val="20"/>
        <w:lang w:val="es-MX" w:eastAsia="es-MX"/>
      </w:rPr>
      <w:drawing>
        <wp:anchor distT="0" distB="0" distL="0" distR="0" simplePos="0" relativeHeight="251659264" behindDoc="1" locked="0" layoutInCell="1" allowOverlap="1" wp14:anchorId="08AAF446" wp14:editId="2169C3D3">
          <wp:simplePos x="0" y="0"/>
          <wp:positionH relativeFrom="margin">
            <wp:posOffset>0</wp:posOffset>
          </wp:positionH>
          <wp:positionV relativeFrom="page">
            <wp:posOffset>90170</wp:posOffset>
          </wp:positionV>
          <wp:extent cx="5397500" cy="47625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cstate="print"/>
                  <a:srcRect b="20635"/>
                  <a:stretch/>
                </pic:blipFill>
                <pic:spPr bwMode="auto">
                  <a:xfrm>
                    <a:off x="0" y="0"/>
                    <a:ext cx="5397500" cy="4762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12C2FD5"/>
    <w:multiLevelType w:val="multilevel"/>
    <w:tmpl w:val="6D3C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6F6B7D"/>
    <w:multiLevelType w:val="multilevel"/>
    <w:tmpl w:val="EB5A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D00C1"/>
    <w:multiLevelType w:val="multilevel"/>
    <w:tmpl w:val="429A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930001"/>
    <w:multiLevelType w:val="multilevel"/>
    <w:tmpl w:val="B4A6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14691"/>
    <w:multiLevelType w:val="multilevel"/>
    <w:tmpl w:val="F788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F430CB"/>
    <w:multiLevelType w:val="hybridMultilevel"/>
    <w:tmpl w:val="27C89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63345E"/>
    <w:multiLevelType w:val="multilevel"/>
    <w:tmpl w:val="9192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BE31CC"/>
    <w:multiLevelType w:val="multilevel"/>
    <w:tmpl w:val="37AAC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235F2B"/>
    <w:multiLevelType w:val="multilevel"/>
    <w:tmpl w:val="99C0FC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A464F7"/>
    <w:multiLevelType w:val="multilevel"/>
    <w:tmpl w:val="649A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4A4429"/>
    <w:multiLevelType w:val="multilevel"/>
    <w:tmpl w:val="15A6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5A586E"/>
    <w:multiLevelType w:val="multilevel"/>
    <w:tmpl w:val="5DB4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504686">
    <w:abstractNumId w:val="8"/>
  </w:num>
  <w:num w:numId="2" w16cid:durableId="1665815739">
    <w:abstractNumId w:val="6"/>
  </w:num>
  <w:num w:numId="3" w16cid:durableId="2042510706">
    <w:abstractNumId w:val="5"/>
  </w:num>
  <w:num w:numId="4" w16cid:durableId="213742044">
    <w:abstractNumId w:val="4"/>
  </w:num>
  <w:num w:numId="5" w16cid:durableId="714155738">
    <w:abstractNumId w:val="7"/>
  </w:num>
  <w:num w:numId="6" w16cid:durableId="1052115704">
    <w:abstractNumId w:val="3"/>
  </w:num>
  <w:num w:numId="7" w16cid:durableId="602373331">
    <w:abstractNumId w:val="2"/>
  </w:num>
  <w:num w:numId="8" w16cid:durableId="1205602969">
    <w:abstractNumId w:val="1"/>
  </w:num>
  <w:num w:numId="9" w16cid:durableId="1115172831">
    <w:abstractNumId w:val="0"/>
  </w:num>
  <w:num w:numId="10" w16cid:durableId="797377369">
    <w:abstractNumId w:val="10"/>
  </w:num>
  <w:num w:numId="11" w16cid:durableId="27029976">
    <w:abstractNumId w:val="16"/>
  </w:num>
  <w:num w:numId="12" w16cid:durableId="658465240">
    <w:abstractNumId w:val="13"/>
  </w:num>
  <w:num w:numId="13" w16cid:durableId="959412259">
    <w:abstractNumId w:val="9"/>
  </w:num>
  <w:num w:numId="14" w16cid:durableId="350885788">
    <w:abstractNumId w:val="20"/>
  </w:num>
  <w:num w:numId="15" w16cid:durableId="611792032">
    <w:abstractNumId w:val="12"/>
  </w:num>
  <w:num w:numId="16" w16cid:durableId="2093307536">
    <w:abstractNumId w:val="14"/>
  </w:num>
  <w:num w:numId="17" w16cid:durableId="524443809">
    <w:abstractNumId w:val="11"/>
  </w:num>
  <w:num w:numId="18" w16cid:durableId="303120751">
    <w:abstractNumId w:val="15"/>
  </w:num>
  <w:num w:numId="19" w16cid:durableId="1109397337">
    <w:abstractNumId w:val="18"/>
  </w:num>
  <w:num w:numId="20" w16cid:durableId="631791891">
    <w:abstractNumId w:val="19"/>
  </w:num>
  <w:num w:numId="21" w16cid:durableId="12508466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65C"/>
    <w:rsid w:val="000738FB"/>
    <w:rsid w:val="000775F2"/>
    <w:rsid w:val="00085849"/>
    <w:rsid w:val="000943A8"/>
    <w:rsid w:val="00097906"/>
    <w:rsid w:val="000B2ED6"/>
    <w:rsid w:val="000E4040"/>
    <w:rsid w:val="001029F9"/>
    <w:rsid w:val="0010330F"/>
    <w:rsid w:val="0015074B"/>
    <w:rsid w:val="00161808"/>
    <w:rsid w:val="00196C33"/>
    <w:rsid w:val="001C008B"/>
    <w:rsid w:val="001C17C5"/>
    <w:rsid w:val="001F645B"/>
    <w:rsid w:val="00216823"/>
    <w:rsid w:val="002753CF"/>
    <w:rsid w:val="0029639D"/>
    <w:rsid w:val="002B00BA"/>
    <w:rsid w:val="002C02D5"/>
    <w:rsid w:val="002C5D8A"/>
    <w:rsid w:val="002D3B65"/>
    <w:rsid w:val="002E17DC"/>
    <w:rsid w:val="002E5468"/>
    <w:rsid w:val="00300BD1"/>
    <w:rsid w:val="003067F0"/>
    <w:rsid w:val="00326F90"/>
    <w:rsid w:val="00327C75"/>
    <w:rsid w:val="0034669A"/>
    <w:rsid w:val="003525DD"/>
    <w:rsid w:val="0035602E"/>
    <w:rsid w:val="00370390"/>
    <w:rsid w:val="003816E5"/>
    <w:rsid w:val="00394B11"/>
    <w:rsid w:val="00396A9A"/>
    <w:rsid w:val="003B654C"/>
    <w:rsid w:val="003E2A0D"/>
    <w:rsid w:val="003F03DE"/>
    <w:rsid w:val="00415A6E"/>
    <w:rsid w:val="0042041D"/>
    <w:rsid w:val="004230E6"/>
    <w:rsid w:val="004239DE"/>
    <w:rsid w:val="004524D4"/>
    <w:rsid w:val="004672D9"/>
    <w:rsid w:val="00484743"/>
    <w:rsid w:val="004978BD"/>
    <w:rsid w:val="004B0E8F"/>
    <w:rsid w:val="004C0DEE"/>
    <w:rsid w:val="004E14DE"/>
    <w:rsid w:val="004F7785"/>
    <w:rsid w:val="0050491D"/>
    <w:rsid w:val="005143E0"/>
    <w:rsid w:val="00523D49"/>
    <w:rsid w:val="005437B4"/>
    <w:rsid w:val="00563C4C"/>
    <w:rsid w:val="00575CB6"/>
    <w:rsid w:val="00582332"/>
    <w:rsid w:val="00585F5A"/>
    <w:rsid w:val="005924E4"/>
    <w:rsid w:val="00597DFC"/>
    <w:rsid w:val="005A6793"/>
    <w:rsid w:val="005B23D0"/>
    <w:rsid w:val="005B292E"/>
    <w:rsid w:val="005D6CE6"/>
    <w:rsid w:val="00614BFB"/>
    <w:rsid w:val="00634F5E"/>
    <w:rsid w:val="00636880"/>
    <w:rsid w:val="0066046B"/>
    <w:rsid w:val="0067385A"/>
    <w:rsid w:val="006902F3"/>
    <w:rsid w:val="006F0DE3"/>
    <w:rsid w:val="006F5CFD"/>
    <w:rsid w:val="00700DE9"/>
    <w:rsid w:val="00706AE5"/>
    <w:rsid w:val="0072565C"/>
    <w:rsid w:val="00736B96"/>
    <w:rsid w:val="00737F70"/>
    <w:rsid w:val="00747B51"/>
    <w:rsid w:val="0075353B"/>
    <w:rsid w:val="0075621D"/>
    <w:rsid w:val="007A282D"/>
    <w:rsid w:val="007A3B09"/>
    <w:rsid w:val="007C7E2F"/>
    <w:rsid w:val="007D4A51"/>
    <w:rsid w:val="007E494D"/>
    <w:rsid w:val="0081786A"/>
    <w:rsid w:val="008273B3"/>
    <w:rsid w:val="00835903"/>
    <w:rsid w:val="00836B1D"/>
    <w:rsid w:val="0085190D"/>
    <w:rsid w:val="00866A3B"/>
    <w:rsid w:val="00870417"/>
    <w:rsid w:val="0087087F"/>
    <w:rsid w:val="00883762"/>
    <w:rsid w:val="00886570"/>
    <w:rsid w:val="008B2E97"/>
    <w:rsid w:val="008B45D7"/>
    <w:rsid w:val="008C253E"/>
    <w:rsid w:val="008C5E49"/>
    <w:rsid w:val="008F46D9"/>
    <w:rsid w:val="0090057F"/>
    <w:rsid w:val="0090462E"/>
    <w:rsid w:val="0090792D"/>
    <w:rsid w:val="00922311"/>
    <w:rsid w:val="00927AE1"/>
    <w:rsid w:val="00930120"/>
    <w:rsid w:val="009374C4"/>
    <w:rsid w:val="0096503B"/>
    <w:rsid w:val="009C0B9A"/>
    <w:rsid w:val="009D022E"/>
    <w:rsid w:val="009D06A9"/>
    <w:rsid w:val="009D611C"/>
    <w:rsid w:val="009F6444"/>
    <w:rsid w:val="00A034EA"/>
    <w:rsid w:val="00A12F5A"/>
    <w:rsid w:val="00A431EE"/>
    <w:rsid w:val="00A61526"/>
    <w:rsid w:val="00A81C2A"/>
    <w:rsid w:val="00A90D29"/>
    <w:rsid w:val="00A92FF2"/>
    <w:rsid w:val="00A949ED"/>
    <w:rsid w:val="00A97856"/>
    <w:rsid w:val="00AA1D8D"/>
    <w:rsid w:val="00AD6403"/>
    <w:rsid w:val="00AD7A6E"/>
    <w:rsid w:val="00AE244C"/>
    <w:rsid w:val="00AE77DC"/>
    <w:rsid w:val="00AF34A2"/>
    <w:rsid w:val="00B0141A"/>
    <w:rsid w:val="00B02FC8"/>
    <w:rsid w:val="00B13E9C"/>
    <w:rsid w:val="00B14DB6"/>
    <w:rsid w:val="00B27102"/>
    <w:rsid w:val="00B346D1"/>
    <w:rsid w:val="00B47730"/>
    <w:rsid w:val="00B530E0"/>
    <w:rsid w:val="00B62DF2"/>
    <w:rsid w:val="00B82065"/>
    <w:rsid w:val="00B87C1B"/>
    <w:rsid w:val="00B931AF"/>
    <w:rsid w:val="00B9619F"/>
    <w:rsid w:val="00BF50DB"/>
    <w:rsid w:val="00C542E2"/>
    <w:rsid w:val="00C64BAD"/>
    <w:rsid w:val="00C6581B"/>
    <w:rsid w:val="00C70F28"/>
    <w:rsid w:val="00C734D8"/>
    <w:rsid w:val="00C948AE"/>
    <w:rsid w:val="00CB0664"/>
    <w:rsid w:val="00CC018B"/>
    <w:rsid w:val="00CC349F"/>
    <w:rsid w:val="00CC43F6"/>
    <w:rsid w:val="00CD08A3"/>
    <w:rsid w:val="00CE3448"/>
    <w:rsid w:val="00CE7AEB"/>
    <w:rsid w:val="00D06B89"/>
    <w:rsid w:val="00D102D0"/>
    <w:rsid w:val="00D22609"/>
    <w:rsid w:val="00D35E90"/>
    <w:rsid w:val="00D47FBC"/>
    <w:rsid w:val="00D7079E"/>
    <w:rsid w:val="00D72DE2"/>
    <w:rsid w:val="00D94668"/>
    <w:rsid w:val="00DA2742"/>
    <w:rsid w:val="00DC2B01"/>
    <w:rsid w:val="00DC7806"/>
    <w:rsid w:val="00DE2430"/>
    <w:rsid w:val="00DE3F03"/>
    <w:rsid w:val="00DF71FF"/>
    <w:rsid w:val="00E12471"/>
    <w:rsid w:val="00E206EB"/>
    <w:rsid w:val="00E35EDE"/>
    <w:rsid w:val="00E46792"/>
    <w:rsid w:val="00E539DE"/>
    <w:rsid w:val="00E74C21"/>
    <w:rsid w:val="00E841CE"/>
    <w:rsid w:val="00E9645A"/>
    <w:rsid w:val="00E9721E"/>
    <w:rsid w:val="00EE1E02"/>
    <w:rsid w:val="00EE371B"/>
    <w:rsid w:val="00EF06F8"/>
    <w:rsid w:val="00F10BC8"/>
    <w:rsid w:val="00F1644B"/>
    <w:rsid w:val="00F256BE"/>
    <w:rsid w:val="00F76914"/>
    <w:rsid w:val="00F80612"/>
    <w:rsid w:val="00F85127"/>
    <w:rsid w:val="00F87507"/>
    <w:rsid w:val="00FA3C80"/>
    <w:rsid w:val="00FB3D8B"/>
    <w:rsid w:val="00FB64A6"/>
    <w:rsid w:val="00FB6DE8"/>
    <w:rsid w:val="00FC041C"/>
    <w:rsid w:val="00FC693F"/>
    <w:rsid w:val="00FC6F8E"/>
    <w:rsid w:val="00FD1ED2"/>
    <w:rsid w:val="00FD3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6598D3"/>
  <w14:defaultImageDpi w14:val="300"/>
  <w15:docId w15:val="{AC4CCF9B-D84F-4E99-9CDD-9D96E528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22311"/>
    <w:pPr>
      <w:spacing w:before="100" w:beforeAutospacing="1" w:after="100" w:afterAutospacing="1" w:line="240" w:lineRule="auto"/>
    </w:pPr>
    <w:rPr>
      <w:rFonts w:cs="Times New Roman"/>
      <w:szCs w:val="24"/>
      <w:lang w:val="es-MX" w:eastAsia="es-MX"/>
    </w:rPr>
  </w:style>
  <w:style w:type="character" w:customStyle="1" w:styleId="math-inline">
    <w:name w:val="math-inline"/>
    <w:basedOn w:val="Fuentedeprrafopredeter"/>
    <w:rsid w:val="0072565C"/>
  </w:style>
  <w:style w:type="character" w:styleId="Hipervnculo">
    <w:name w:val="Hyperlink"/>
    <w:basedOn w:val="Fuentedeprrafopredeter"/>
    <w:uiPriority w:val="99"/>
    <w:unhideWhenUsed/>
    <w:rsid w:val="00C64BAD"/>
    <w:rPr>
      <w:color w:val="0000FF" w:themeColor="hyperlink"/>
      <w:u w:val="single"/>
    </w:rPr>
  </w:style>
  <w:style w:type="character" w:styleId="Mencinsinresolver">
    <w:name w:val="Unresolved Mention"/>
    <w:basedOn w:val="Fuentedeprrafopredeter"/>
    <w:uiPriority w:val="99"/>
    <w:semiHidden/>
    <w:unhideWhenUsed/>
    <w:rsid w:val="00C64BAD"/>
    <w:rPr>
      <w:color w:val="605E5C"/>
      <w:shd w:val="clear" w:color="auto" w:fill="E1DFDD"/>
    </w:rPr>
  </w:style>
  <w:style w:type="character" w:styleId="Refdecomentario">
    <w:name w:val="annotation reference"/>
    <w:basedOn w:val="Fuentedeprrafopredeter"/>
    <w:uiPriority w:val="99"/>
    <w:semiHidden/>
    <w:unhideWhenUsed/>
    <w:rsid w:val="00B13E9C"/>
    <w:rPr>
      <w:sz w:val="16"/>
      <w:szCs w:val="16"/>
    </w:rPr>
  </w:style>
  <w:style w:type="paragraph" w:styleId="Textocomentario">
    <w:name w:val="annotation text"/>
    <w:basedOn w:val="Normal"/>
    <w:link w:val="TextocomentarioCar"/>
    <w:uiPriority w:val="99"/>
    <w:semiHidden/>
    <w:unhideWhenUsed/>
    <w:rsid w:val="00B13E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3E9C"/>
    <w:rPr>
      <w:rFonts w:ascii="Times New Roman" w:eastAsia="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B13E9C"/>
    <w:rPr>
      <w:b/>
      <w:bCs/>
    </w:rPr>
  </w:style>
  <w:style w:type="character" w:customStyle="1" w:styleId="AsuntodelcomentarioCar">
    <w:name w:val="Asunto del comentario Car"/>
    <w:basedOn w:val="TextocomentarioCar"/>
    <w:link w:val="Asuntodelcomentario"/>
    <w:uiPriority w:val="99"/>
    <w:semiHidden/>
    <w:rsid w:val="00B13E9C"/>
    <w:rPr>
      <w:rFonts w:ascii="Times New Roman" w:eastAsia="Times New Roman" w:hAnsi="Times New Roman"/>
      <w:b/>
      <w:bCs/>
      <w:sz w:val="20"/>
      <w:szCs w:val="20"/>
    </w:rPr>
  </w:style>
  <w:style w:type="character" w:customStyle="1" w:styleId="whitespace-normal">
    <w:name w:val="whitespace-normal"/>
    <w:basedOn w:val="Fuentedeprrafopredeter"/>
    <w:rsid w:val="0009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351">
      <w:bodyDiv w:val="1"/>
      <w:marLeft w:val="0"/>
      <w:marRight w:val="0"/>
      <w:marTop w:val="0"/>
      <w:marBottom w:val="0"/>
      <w:divBdr>
        <w:top w:val="none" w:sz="0" w:space="0" w:color="auto"/>
        <w:left w:val="none" w:sz="0" w:space="0" w:color="auto"/>
        <w:bottom w:val="none" w:sz="0" w:space="0" w:color="auto"/>
        <w:right w:val="none" w:sz="0" w:space="0" w:color="auto"/>
      </w:divBdr>
    </w:div>
    <w:div w:id="56831365">
      <w:bodyDiv w:val="1"/>
      <w:marLeft w:val="0"/>
      <w:marRight w:val="0"/>
      <w:marTop w:val="0"/>
      <w:marBottom w:val="0"/>
      <w:divBdr>
        <w:top w:val="none" w:sz="0" w:space="0" w:color="auto"/>
        <w:left w:val="none" w:sz="0" w:space="0" w:color="auto"/>
        <w:bottom w:val="none" w:sz="0" w:space="0" w:color="auto"/>
        <w:right w:val="none" w:sz="0" w:space="0" w:color="auto"/>
      </w:divBdr>
    </w:div>
    <w:div w:id="60832173">
      <w:bodyDiv w:val="1"/>
      <w:marLeft w:val="0"/>
      <w:marRight w:val="0"/>
      <w:marTop w:val="0"/>
      <w:marBottom w:val="0"/>
      <w:divBdr>
        <w:top w:val="none" w:sz="0" w:space="0" w:color="auto"/>
        <w:left w:val="none" w:sz="0" w:space="0" w:color="auto"/>
        <w:bottom w:val="none" w:sz="0" w:space="0" w:color="auto"/>
        <w:right w:val="none" w:sz="0" w:space="0" w:color="auto"/>
      </w:divBdr>
    </w:div>
    <w:div w:id="128129567">
      <w:bodyDiv w:val="1"/>
      <w:marLeft w:val="0"/>
      <w:marRight w:val="0"/>
      <w:marTop w:val="0"/>
      <w:marBottom w:val="0"/>
      <w:divBdr>
        <w:top w:val="none" w:sz="0" w:space="0" w:color="auto"/>
        <w:left w:val="none" w:sz="0" w:space="0" w:color="auto"/>
        <w:bottom w:val="none" w:sz="0" w:space="0" w:color="auto"/>
        <w:right w:val="none" w:sz="0" w:space="0" w:color="auto"/>
      </w:divBdr>
    </w:div>
    <w:div w:id="158740555">
      <w:bodyDiv w:val="1"/>
      <w:marLeft w:val="0"/>
      <w:marRight w:val="0"/>
      <w:marTop w:val="0"/>
      <w:marBottom w:val="0"/>
      <w:divBdr>
        <w:top w:val="none" w:sz="0" w:space="0" w:color="auto"/>
        <w:left w:val="none" w:sz="0" w:space="0" w:color="auto"/>
        <w:bottom w:val="none" w:sz="0" w:space="0" w:color="auto"/>
        <w:right w:val="none" w:sz="0" w:space="0" w:color="auto"/>
      </w:divBdr>
      <w:divsChild>
        <w:div w:id="1991596573">
          <w:marLeft w:val="0"/>
          <w:marRight w:val="0"/>
          <w:marTop w:val="0"/>
          <w:marBottom w:val="0"/>
          <w:divBdr>
            <w:top w:val="none" w:sz="0" w:space="0" w:color="auto"/>
            <w:left w:val="none" w:sz="0" w:space="0" w:color="auto"/>
            <w:bottom w:val="none" w:sz="0" w:space="0" w:color="auto"/>
            <w:right w:val="none" w:sz="0" w:space="0" w:color="auto"/>
          </w:divBdr>
          <w:divsChild>
            <w:div w:id="7880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102">
      <w:bodyDiv w:val="1"/>
      <w:marLeft w:val="0"/>
      <w:marRight w:val="0"/>
      <w:marTop w:val="0"/>
      <w:marBottom w:val="0"/>
      <w:divBdr>
        <w:top w:val="none" w:sz="0" w:space="0" w:color="auto"/>
        <w:left w:val="none" w:sz="0" w:space="0" w:color="auto"/>
        <w:bottom w:val="none" w:sz="0" w:space="0" w:color="auto"/>
        <w:right w:val="none" w:sz="0" w:space="0" w:color="auto"/>
      </w:divBdr>
    </w:div>
    <w:div w:id="214512023">
      <w:bodyDiv w:val="1"/>
      <w:marLeft w:val="0"/>
      <w:marRight w:val="0"/>
      <w:marTop w:val="0"/>
      <w:marBottom w:val="0"/>
      <w:divBdr>
        <w:top w:val="none" w:sz="0" w:space="0" w:color="auto"/>
        <w:left w:val="none" w:sz="0" w:space="0" w:color="auto"/>
        <w:bottom w:val="none" w:sz="0" w:space="0" w:color="auto"/>
        <w:right w:val="none" w:sz="0" w:space="0" w:color="auto"/>
      </w:divBdr>
    </w:div>
    <w:div w:id="233125810">
      <w:bodyDiv w:val="1"/>
      <w:marLeft w:val="0"/>
      <w:marRight w:val="0"/>
      <w:marTop w:val="0"/>
      <w:marBottom w:val="0"/>
      <w:divBdr>
        <w:top w:val="none" w:sz="0" w:space="0" w:color="auto"/>
        <w:left w:val="none" w:sz="0" w:space="0" w:color="auto"/>
        <w:bottom w:val="none" w:sz="0" w:space="0" w:color="auto"/>
        <w:right w:val="none" w:sz="0" w:space="0" w:color="auto"/>
      </w:divBdr>
    </w:div>
    <w:div w:id="245189462">
      <w:bodyDiv w:val="1"/>
      <w:marLeft w:val="0"/>
      <w:marRight w:val="0"/>
      <w:marTop w:val="0"/>
      <w:marBottom w:val="0"/>
      <w:divBdr>
        <w:top w:val="none" w:sz="0" w:space="0" w:color="auto"/>
        <w:left w:val="none" w:sz="0" w:space="0" w:color="auto"/>
        <w:bottom w:val="none" w:sz="0" w:space="0" w:color="auto"/>
        <w:right w:val="none" w:sz="0" w:space="0" w:color="auto"/>
      </w:divBdr>
      <w:divsChild>
        <w:div w:id="1373774190">
          <w:marLeft w:val="0"/>
          <w:marRight w:val="0"/>
          <w:marTop w:val="0"/>
          <w:marBottom w:val="0"/>
          <w:divBdr>
            <w:top w:val="none" w:sz="0" w:space="0" w:color="auto"/>
            <w:left w:val="none" w:sz="0" w:space="0" w:color="auto"/>
            <w:bottom w:val="none" w:sz="0" w:space="0" w:color="auto"/>
            <w:right w:val="none" w:sz="0" w:space="0" w:color="auto"/>
          </w:divBdr>
          <w:divsChild>
            <w:div w:id="1942881749">
              <w:marLeft w:val="0"/>
              <w:marRight w:val="0"/>
              <w:marTop w:val="0"/>
              <w:marBottom w:val="0"/>
              <w:divBdr>
                <w:top w:val="none" w:sz="0" w:space="0" w:color="auto"/>
                <w:left w:val="none" w:sz="0" w:space="0" w:color="auto"/>
                <w:bottom w:val="none" w:sz="0" w:space="0" w:color="auto"/>
                <w:right w:val="none" w:sz="0" w:space="0" w:color="auto"/>
              </w:divBdr>
              <w:divsChild>
                <w:div w:id="635139323">
                  <w:marLeft w:val="0"/>
                  <w:marRight w:val="0"/>
                  <w:marTop w:val="0"/>
                  <w:marBottom w:val="0"/>
                  <w:divBdr>
                    <w:top w:val="none" w:sz="0" w:space="0" w:color="auto"/>
                    <w:left w:val="none" w:sz="0" w:space="0" w:color="auto"/>
                    <w:bottom w:val="none" w:sz="0" w:space="0" w:color="auto"/>
                    <w:right w:val="none" w:sz="0" w:space="0" w:color="auto"/>
                  </w:divBdr>
                  <w:divsChild>
                    <w:div w:id="1679623683">
                      <w:marLeft w:val="0"/>
                      <w:marRight w:val="0"/>
                      <w:marTop w:val="0"/>
                      <w:marBottom w:val="0"/>
                      <w:divBdr>
                        <w:top w:val="none" w:sz="0" w:space="0" w:color="auto"/>
                        <w:left w:val="none" w:sz="0" w:space="0" w:color="auto"/>
                        <w:bottom w:val="none" w:sz="0" w:space="0" w:color="auto"/>
                        <w:right w:val="none" w:sz="0" w:space="0" w:color="auto"/>
                      </w:divBdr>
                      <w:divsChild>
                        <w:div w:id="1383793623">
                          <w:marLeft w:val="0"/>
                          <w:marRight w:val="0"/>
                          <w:marTop w:val="0"/>
                          <w:marBottom w:val="0"/>
                          <w:divBdr>
                            <w:top w:val="none" w:sz="0" w:space="0" w:color="auto"/>
                            <w:left w:val="none" w:sz="0" w:space="0" w:color="auto"/>
                            <w:bottom w:val="none" w:sz="0" w:space="0" w:color="auto"/>
                            <w:right w:val="none" w:sz="0" w:space="0" w:color="auto"/>
                          </w:divBdr>
                          <w:divsChild>
                            <w:div w:id="5982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784229">
      <w:bodyDiv w:val="1"/>
      <w:marLeft w:val="0"/>
      <w:marRight w:val="0"/>
      <w:marTop w:val="0"/>
      <w:marBottom w:val="0"/>
      <w:divBdr>
        <w:top w:val="none" w:sz="0" w:space="0" w:color="auto"/>
        <w:left w:val="none" w:sz="0" w:space="0" w:color="auto"/>
        <w:bottom w:val="none" w:sz="0" w:space="0" w:color="auto"/>
        <w:right w:val="none" w:sz="0" w:space="0" w:color="auto"/>
      </w:divBdr>
    </w:div>
    <w:div w:id="340009753">
      <w:bodyDiv w:val="1"/>
      <w:marLeft w:val="0"/>
      <w:marRight w:val="0"/>
      <w:marTop w:val="0"/>
      <w:marBottom w:val="0"/>
      <w:divBdr>
        <w:top w:val="none" w:sz="0" w:space="0" w:color="auto"/>
        <w:left w:val="none" w:sz="0" w:space="0" w:color="auto"/>
        <w:bottom w:val="none" w:sz="0" w:space="0" w:color="auto"/>
        <w:right w:val="none" w:sz="0" w:space="0" w:color="auto"/>
      </w:divBdr>
    </w:div>
    <w:div w:id="344792550">
      <w:bodyDiv w:val="1"/>
      <w:marLeft w:val="0"/>
      <w:marRight w:val="0"/>
      <w:marTop w:val="0"/>
      <w:marBottom w:val="0"/>
      <w:divBdr>
        <w:top w:val="none" w:sz="0" w:space="0" w:color="auto"/>
        <w:left w:val="none" w:sz="0" w:space="0" w:color="auto"/>
        <w:bottom w:val="none" w:sz="0" w:space="0" w:color="auto"/>
        <w:right w:val="none" w:sz="0" w:space="0" w:color="auto"/>
      </w:divBdr>
    </w:div>
    <w:div w:id="354889471">
      <w:bodyDiv w:val="1"/>
      <w:marLeft w:val="0"/>
      <w:marRight w:val="0"/>
      <w:marTop w:val="0"/>
      <w:marBottom w:val="0"/>
      <w:divBdr>
        <w:top w:val="none" w:sz="0" w:space="0" w:color="auto"/>
        <w:left w:val="none" w:sz="0" w:space="0" w:color="auto"/>
        <w:bottom w:val="none" w:sz="0" w:space="0" w:color="auto"/>
        <w:right w:val="none" w:sz="0" w:space="0" w:color="auto"/>
      </w:divBdr>
    </w:div>
    <w:div w:id="362830967">
      <w:bodyDiv w:val="1"/>
      <w:marLeft w:val="0"/>
      <w:marRight w:val="0"/>
      <w:marTop w:val="0"/>
      <w:marBottom w:val="0"/>
      <w:divBdr>
        <w:top w:val="none" w:sz="0" w:space="0" w:color="auto"/>
        <w:left w:val="none" w:sz="0" w:space="0" w:color="auto"/>
        <w:bottom w:val="none" w:sz="0" w:space="0" w:color="auto"/>
        <w:right w:val="none" w:sz="0" w:space="0" w:color="auto"/>
      </w:divBdr>
    </w:div>
    <w:div w:id="367605286">
      <w:bodyDiv w:val="1"/>
      <w:marLeft w:val="0"/>
      <w:marRight w:val="0"/>
      <w:marTop w:val="0"/>
      <w:marBottom w:val="0"/>
      <w:divBdr>
        <w:top w:val="none" w:sz="0" w:space="0" w:color="auto"/>
        <w:left w:val="none" w:sz="0" w:space="0" w:color="auto"/>
        <w:bottom w:val="none" w:sz="0" w:space="0" w:color="auto"/>
        <w:right w:val="none" w:sz="0" w:space="0" w:color="auto"/>
      </w:divBdr>
    </w:div>
    <w:div w:id="432212943">
      <w:bodyDiv w:val="1"/>
      <w:marLeft w:val="0"/>
      <w:marRight w:val="0"/>
      <w:marTop w:val="0"/>
      <w:marBottom w:val="0"/>
      <w:divBdr>
        <w:top w:val="none" w:sz="0" w:space="0" w:color="auto"/>
        <w:left w:val="none" w:sz="0" w:space="0" w:color="auto"/>
        <w:bottom w:val="none" w:sz="0" w:space="0" w:color="auto"/>
        <w:right w:val="none" w:sz="0" w:space="0" w:color="auto"/>
      </w:divBdr>
    </w:div>
    <w:div w:id="515190184">
      <w:bodyDiv w:val="1"/>
      <w:marLeft w:val="0"/>
      <w:marRight w:val="0"/>
      <w:marTop w:val="0"/>
      <w:marBottom w:val="0"/>
      <w:divBdr>
        <w:top w:val="none" w:sz="0" w:space="0" w:color="auto"/>
        <w:left w:val="none" w:sz="0" w:space="0" w:color="auto"/>
        <w:bottom w:val="none" w:sz="0" w:space="0" w:color="auto"/>
        <w:right w:val="none" w:sz="0" w:space="0" w:color="auto"/>
      </w:divBdr>
    </w:div>
    <w:div w:id="570580248">
      <w:bodyDiv w:val="1"/>
      <w:marLeft w:val="0"/>
      <w:marRight w:val="0"/>
      <w:marTop w:val="0"/>
      <w:marBottom w:val="0"/>
      <w:divBdr>
        <w:top w:val="none" w:sz="0" w:space="0" w:color="auto"/>
        <w:left w:val="none" w:sz="0" w:space="0" w:color="auto"/>
        <w:bottom w:val="none" w:sz="0" w:space="0" w:color="auto"/>
        <w:right w:val="none" w:sz="0" w:space="0" w:color="auto"/>
      </w:divBdr>
    </w:div>
    <w:div w:id="662196294">
      <w:bodyDiv w:val="1"/>
      <w:marLeft w:val="0"/>
      <w:marRight w:val="0"/>
      <w:marTop w:val="0"/>
      <w:marBottom w:val="0"/>
      <w:divBdr>
        <w:top w:val="none" w:sz="0" w:space="0" w:color="auto"/>
        <w:left w:val="none" w:sz="0" w:space="0" w:color="auto"/>
        <w:bottom w:val="none" w:sz="0" w:space="0" w:color="auto"/>
        <w:right w:val="none" w:sz="0" w:space="0" w:color="auto"/>
      </w:divBdr>
    </w:div>
    <w:div w:id="680201594">
      <w:bodyDiv w:val="1"/>
      <w:marLeft w:val="0"/>
      <w:marRight w:val="0"/>
      <w:marTop w:val="0"/>
      <w:marBottom w:val="0"/>
      <w:divBdr>
        <w:top w:val="none" w:sz="0" w:space="0" w:color="auto"/>
        <w:left w:val="none" w:sz="0" w:space="0" w:color="auto"/>
        <w:bottom w:val="none" w:sz="0" w:space="0" w:color="auto"/>
        <w:right w:val="none" w:sz="0" w:space="0" w:color="auto"/>
      </w:divBdr>
    </w:div>
    <w:div w:id="691613077">
      <w:bodyDiv w:val="1"/>
      <w:marLeft w:val="0"/>
      <w:marRight w:val="0"/>
      <w:marTop w:val="0"/>
      <w:marBottom w:val="0"/>
      <w:divBdr>
        <w:top w:val="none" w:sz="0" w:space="0" w:color="auto"/>
        <w:left w:val="none" w:sz="0" w:space="0" w:color="auto"/>
        <w:bottom w:val="none" w:sz="0" w:space="0" w:color="auto"/>
        <w:right w:val="none" w:sz="0" w:space="0" w:color="auto"/>
      </w:divBdr>
    </w:div>
    <w:div w:id="711154906">
      <w:bodyDiv w:val="1"/>
      <w:marLeft w:val="0"/>
      <w:marRight w:val="0"/>
      <w:marTop w:val="0"/>
      <w:marBottom w:val="0"/>
      <w:divBdr>
        <w:top w:val="none" w:sz="0" w:space="0" w:color="auto"/>
        <w:left w:val="none" w:sz="0" w:space="0" w:color="auto"/>
        <w:bottom w:val="none" w:sz="0" w:space="0" w:color="auto"/>
        <w:right w:val="none" w:sz="0" w:space="0" w:color="auto"/>
      </w:divBdr>
      <w:divsChild>
        <w:div w:id="136269330">
          <w:marLeft w:val="0"/>
          <w:marRight w:val="0"/>
          <w:marTop w:val="0"/>
          <w:marBottom w:val="0"/>
          <w:divBdr>
            <w:top w:val="none" w:sz="0" w:space="0" w:color="auto"/>
            <w:left w:val="none" w:sz="0" w:space="0" w:color="auto"/>
            <w:bottom w:val="none" w:sz="0" w:space="0" w:color="auto"/>
            <w:right w:val="none" w:sz="0" w:space="0" w:color="auto"/>
          </w:divBdr>
          <w:divsChild>
            <w:div w:id="8572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28692">
      <w:bodyDiv w:val="1"/>
      <w:marLeft w:val="0"/>
      <w:marRight w:val="0"/>
      <w:marTop w:val="0"/>
      <w:marBottom w:val="0"/>
      <w:divBdr>
        <w:top w:val="none" w:sz="0" w:space="0" w:color="auto"/>
        <w:left w:val="none" w:sz="0" w:space="0" w:color="auto"/>
        <w:bottom w:val="none" w:sz="0" w:space="0" w:color="auto"/>
        <w:right w:val="none" w:sz="0" w:space="0" w:color="auto"/>
      </w:divBdr>
    </w:div>
    <w:div w:id="751202507">
      <w:bodyDiv w:val="1"/>
      <w:marLeft w:val="0"/>
      <w:marRight w:val="0"/>
      <w:marTop w:val="0"/>
      <w:marBottom w:val="0"/>
      <w:divBdr>
        <w:top w:val="none" w:sz="0" w:space="0" w:color="auto"/>
        <w:left w:val="none" w:sz="0" w:space="0" w:color="auto"/>
        <w:bottom w:val="none" w:sz="0" w:space="0" w:color="auto"/>
        <w:right w:val="none" w:sz="0" w:space="0" w:color="auto"/>
      </w:divBdr>
    </w:div>
    <w:div w:id="805509999">
      <w:bodyDiv w:val="1"/>
      <w:marLeft w:val="0"/>
      <w:marRight w:val="0"/>
      <w:marTop w:val="0"/>
      <w:marBottom w:val="0"/>
      <w:divBdr>
        <w:top w:val="none" w:sz="0" w:space="0" w:color="auto"/>
        <w:left w:val="none" w:sz="0" w:space="0" w:color="auto"/>
        <w:bottom w:val="none" w:sz="0" w:space="0" w:color="auto"/>
        <w:right w:val="none" w:sz="0" w:space="0" w:color="auto"/>
      </w:divBdr>
    </w:div>
    <w:div w:id="862747043">
      <w:bodyDiv w:val="1"/>
      <w:marLeft w:val="0"/>
      <w:marRight w:val="0"/>
      <w:marTop w:val="0"/>
      <w:marBottom w:val="0"/>
      <w:divBdr>
        <w:top w:val="none" w:sz="0" w:space="0" w:color="auto"/>
        <w:left w:val="none" w:sz="0" w:space="0" w:color="auto"/>
        <w:bottom w:val="none" w:sz="0" w:space="0" w:color="auto"/>
        <w:right w:val="none" w:sz="0" w:space="0" w:color="auto"/>
      </w:divBdr>
    </w:div>
    <w:div w:id="904607504">
      <w:bodyDiv w:val="1"/>
      <w:marLeft w:val="0"/>
      <w:marRight w:val="0"/>
      <w:marTop w:val="0"/>
      <w:marBottom w:val="0"/>
      <w:divBdr>
        <w:top w:val="none" w:sz="0" w:space="0" w:color="auto"/>
        <w:left w:val="none" w:sz="0" w:space="0" w:color="auto"/>
        <w:bottom w:val="none" w:sz="0" w:space="0" w:color="auto"/>
        <w:right w:val="none" w:sz="0" w:space="0" w:color="auto"/>
      </w:divBdr>
    </w:div>
    <w:div w:id="905380474">
      <w:bodyDiv w:val="1"/>
      <w:marLeft w:val="0"/>
      <w:marRight w:val="0"/>
      <w:marTop w:val="0"/>
      <w:marBottom w:val="0"/>
      <w:divBdr>
        <w:top w:val="none" w:sz="0" w:space="0" w:color="auto"/>
        <w:left w:val="none" w:sz="0" w:space="0" w:color="auto"/>
        <w:bottom w:val="none" w:sz="0" w:space="0" w:color="auto"/>
        <w:right w:val="none" w:sz="0" w:space="0" w:color="auto"/>
      </w:divBdr>
    </w:div>
    <w:div w:id="952320937">
      <w:bodyDiv w:val="1"/>
      <w:marLeft w:val="0"/>
      <w:marRight w:val="0"/>
      <w:marTop w:val="0"/>
      <w:marBottom w:val="0"/>
      <w:divBdr>
        <w:top w:val="none" w:sz="0" w:space="0" w:color="auto"/>
        <w:left w:val="none" w:sz="0" w:space="0" w:color="auto"/>
        <w:bottom w:val="none" w:sz="0" w:space="0" w:color="auto"/>
        <w:right w:val="none" w:sz="0" w:space="0" w:color="auto"/>
      </w:divBdr>
      <w:divsChild>
        <w:div w:id="516387125">
          <w:marLeft w:val="0"/>
          <w:marRight w:val="0"/>
          <w:marTop w:val="0"/>
          <w:marBottom w:val="0"/>
          <w:divBdr>
            <w:top w:val="none" w:sz="0" w:space="0" w:color="auto"/>
            <w:left w:val="none" w:sz="0" w:space="0" w:color="auto"/>
            <w:bottom w:val="none" w:sz="0" w:space="0" w:color="auto"/>
            <w:right w:val="none" w:sz="0" w:space="0" w:color="auto"/>
          </w:divBdr>
          <w:divsChild>
            <w:div w:id="250086274">
              <w:marLeft w:val="0"/>
              <w:marRight w:val="0"/>
              <w:marTop w:val="0"/>
              <w:marBottom w:val="0"/>
              <w:divBdr>
                <w:top w:val="none" w:sz="0" w:space="0" w:color="auto"/>
                <w:left w:val="none" w:sz="0" w:space="0" w:color="auto"/>
                <w:bottom w:val="none" w:sz="0" w:space="0" w:color="auto"/>
                <w:right w:val="none" w:sz="0" w:space="0" w:color="auto"/>
              </w:divBdr>
              <w:divsChild>
                <w:div w:id="46727395">
                  <w:marLeft w:val="0"/>
                  <w:marRight w:val="0"/>
                  <w:marTop w:val="0"/>
                  <w:marBottom w:val="0"/>
                  <w:divBdr>
                    <w:top w:val="none" w:sz="0" w:space="0" w:color="auto"/>
                    <w:left w:val="none" w:sz="0" w:space="0" w:color="auto"/>
                    <w:bottom w:val="none" w:sz="0" w:space="0" w:color="auto"/>
                    <w:right w:val="none" w:sz="0" w:space="0" w:color="auto"/>
                  </w:divBdr>
                  <w:divsChild>
                    <w:div w:id="1004436826">
                      <w:marLeft w:val="0"/>
                      <w:marRight w:val="0"/>
                      <w:marTop w:val="0"/>
                      <w:marBottom w:val="0"/>
                      <w:divBdr>
                        <w:top w:val="none" w:sz="0" w:space="0" w:color="auto"/>
                        <w:left w:val="none" w:sz="0" w:space="0" w:color="auto"/>
                        <w:bottom w:val="none" w:sz="0" w:space="0" w:color="auto"/>
                        <w:right w:val="none" w:sz="0" w:space="0" w:color="auto"/>
                      </w:divBdr>
                      <w:divsChild>
                        <w:div w:id="566188236">
                          <w:marLeft w:val="0"/>
                          <w:marRight w:val="0"/>
                          <w:marTop w:val="0"/>
                          <w:marBottom w:val="0"/>
                          <w:divBdr>
                            <w:top w:val="none" w:sz="0" w:space="0" w:color="auto"/>
                            <w:left w:val="none" w:sz="0" w:space="0" w:color="auto"/>
                            <w:bottom w:val="none" w:sz="0" w:space="0" w:color="auto"/>
                            <w:right w:val="none" w:sz="0" w:space="0" w:color="auto"/>
                          </w:divBdr>
                          <w:divsChild>
                            <w:div w:id="1157107377">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829010">
      <w:bodyDiv w:val="1"/>
      <w:marLeft w:val="0"/>
      <w:marRight w:val="0"/>
      <w:marTop w:val="0"/>
      <w:marBottom w:val="0"/>
      <w:divBdr>
        <w:top w:val="none" w:sz="0" w:space="0" w:color="auto"/>
        <w:left w:val="none" w:sz="0" w:space="0" w:color="auto"/>
        <w:bottom w:val="none" w:sz="0" w:space="0" w:color="auto"/>
        <w:right w:val="none" w:sz="0" w:space="0" w:color="auto"/>
      </w:divBdr>
    </w:div>
    <w:div w:id="990595436">
      <w:bodyDiv w:val="1"/>
      <w:marLeft w:val="0"/>
      <w:marRight w:val="0"/>
      <w:marTop w:val="0"/>
      <w:marBottom w:val="0"/>
      <w:divBdr>
        <w:top w:val="none" w:sz="0" w:space="0" w:color="auto"/>
        <w:left w:val="none" w:sz="0" w:space="0" w:color="auto"/>
        <w:bottom w:val="none" w:sz="0" w:space="0" w:color="auto"/>
        <w:right w:val="none" w:sz="0" w:space="0" w:color="auto"/>
      </w:divBdr>
    </w:div>
    <w:div w:id="994576151">
      <w:bodyDiv w:val="1"/>
      <w:marLeft w:val="0"/>
      <w:marRight w:val="0"/>
      <w:marTop w:val="0"/>
      <w:marBottom w:val="0"/>
      <w:divBdr>
        <w:top w:val="none" w:sz="0" w:space="0" w:color="auto"/>
        <w:left w:val="none" w:sz="0" w:space="0" w:color="auto"/>
        <w:bottom w:val="none" w:sz="0" w:space="0" w:color="auto"/>
        <w:right w:val="none" w:sz="0" w:space="0" w:color="auto"/>
      </w:divBdr>
    </w:div>
    <w:div w:id="1046103298">
      <w:bodyDiv w:val="1"/>
      <w:marLeft w:val="0"/>
      <w:marRight w:val="0"/>
      <w:marTop w:val="0"/>
      <w:marBottom w:val="0"/>
      <w:divBdr>
        <w:top w:val="none" w:sz="0" w:space="0" w:color="auto"/>
        <w:left w:val="none" w:sz="0" w:space="0" w:color="auto"/>
        <w:bottom w:val="none" w:sz="0" w:space="0" w:color="auto"/>
        <w:right w:val="none" w:sz="0" w:space="0" w:color="auto"/>
      </w:divBdr>
    </w:div>
    <w:div w:id="1049569548">
      <w:bodyDiv w:val="1"/>
      <w:marLeft w:val="0"/>
      <w:marRight w:val="0"/>
      <w:marTop w:val="0"/>
      <w:marBottom w:val="0"/>
      <w:divBdr>
        <w:top w:val="none" w:sz="0" w:space="0" w:color="auto"/>
        <w:left w:val="none" w:sz="0" w:space="0" w:color="auto"/>
        <w:bottom w:val="none" w:sz="0" w:space="0" w:color="auto"/>
        <w:right w:val="none" w:sz="0" w:space="0" w:color="auto"/>
      </w:divBdr>
    </w:div>
    <w:div w:id="1067997525">
      <w:bodyDiv w:val="1"/>
      <w:marLeft w:val="0"/>
      <w:marRight w:val="0"/>
      <w:marTop w:val="0"/>
      <w:marBottom w:val="0"/>
      <w:divBdr>
        <w:top w:val="none" w:sz="0" w:space="0" w:color="auto"/>
        <w:left w:val="none" w:sz="0" w:space="0" w:color="auto"/>
        <w:bottom w:val="none" w:sz="0" w:space="0" w:color="auto"/>
        <w:right w:val="none" w:sz="0" w:space="0" w:color="auto"/>
      </w:divBdr>
    </w:div>
    <w:div w:id="1090085169">
      <w:bodyDiv w:val="1"/>
      <w:marLeft w:val="0"/>
      <w:marRight w:val="0"/>
      <w:marTop w:val="0"/>
      <w:marBottom w:val="0"/>
      <w:divBdr>
        <w:top w:val="none" w:sz="0" w:space="0" w:color="auto"/>
        <w:left w:val="none" w:sz="0" w:space="0" w:color="auto"/>
        <w:bottom w:val="none" w:sz="0" w:space="0" w:color="auto"/>
        <w:right w:val="none" w:sz="0" w:space="0" w:color="auto"/>
      </w:divBdr>
    </w:div>
    <w:div w:id="1152405653">
      <w:bodyDiv w:val="1"/>
      <w:marLeft w:val="0"/>
      <w:marRight w:val="0"/>
      <w:marTop w:val="0"/>
      <w:marBottom w:val="0"/>
      <w:divBdr>
        <w:top w:val="none" w:sz="0" w:space="0" w:color="auto"/>
        <w:left w:val="none" w:sz="0" w:space="0" w:color="auto"/>
        <w:bottom w:val="none" w:sz="0" w:space="0" w:color="auto"/>
        <w:right w:val="none" w:sz="0" w:space="0" w:color="auto"/>
      </w:divBdr>
    </w:div>
    <w:div w:id="1188329264">
      <w:bodyDiv w:val="1"/>
      <w:marLeft w:val="0"/>
      <w:marRight w:val="0"/>
      <w:marTop w:val="0"/>
      <w:marBottom w:val="0"/>
      <w:divBdr>
        <w:top w:val="none" w:sz="0" w:space="0" w:color="auto"/>
        <w:left w:val="none" w:sz="0" w:space="0" w:color="auto"/>
        <w:bottom w:val="none" w:sz="0" w:space="0" w:color="auto"/>
        <w:right w:val="none" w:sz="0" w:space="0" w:color="auto"/>
      </w:divBdr>
    </w:div>
    <w:div w:id="1234851726">
      <w:bodyDiv w:val="1"/>
      <w:marLeft w:val="0"/>
      <w:marRight w:val="0"/>
      <w:marTop w:val="0"/>
      <w:marBottom w:val="0"/>
      <w:divBdr>
        <w:top w:val="none" w:sz="0" w:space="0" w:color="auto"/>
        <w:left w:val="none" w:sz="0" w:space="0" w:color="auto"/>
        <w:bottom w:val="none" w:sz="0" w:space="0" w:color="auto"/>
        <w:right w:val="none" w:sz="0" w:space="0" w:color="auto"/>
      </w:divBdr>
    </w:div>
    <w:div w:id="1250381947">
      <w:bodyDiv w:val="1"/>
      <w:marLeft w:val="0"/>
      <w:marRight w:val="0"/>
      <w:marTop w:val="0"/>
      <w:marBottom w:val="0"/>
      <w:divBdr>
        <w:top w:val="none" w:sz="0" w:space="0" w:color="auto"/>
        <w:left w:val="none" w:sz="0" w:space="0" w:color="auto"/>
        <w:bottom w:val="none" w:sz="0" w:space="0" w:color="auto"/>
        <w:right w:val="none" w:sz="0" w:space="0" w:color="auto"/>
      </w:divBdr>
    </w:div>
    <w:div w:id="1355233784">
      <w:bodyDiv w:val="1"/>
      <w:marLeft w:val="0"/>
      <w:marRight w:val="0"/>
      <w:marTop w:val="0"/>
      <w:marBottom w:val="0"/>
      <w:divBdr>
        <w:top w:val="none" w:sz="0" w:space="0" w:color="auto"/>
        <w:left w:val="none" w:sz="0" w:space="0" w:color="auto"/>
        <w:bottom w:val="none" w:sz="0" w:space="0" w:color="auto"/>
        <w:right w:val="none" w:sz="0" w:space="0" w:color="auto"/>
      </w:divBdr>
    </w:div>
    <w:div w:id="1422531437">
      <w:bodyDiv w:val="1"/>
      <w:marLeft w:val="0"/>
      <w:marRight w:val="0"/>
      <w:marTop w:val="0"/>
      <w:marBottom w:val="0"/>
      <w:divBdr>
        <w:top w:val="none" w:sz="0" w:space="0" w:color="auto"/>
        <w:left w:val="none" w:sz="0" w:space="0" w:color="auto"/>
        <w:bottom w:val="none" w:sz="0" w:space="0" w:color="auto"/>
        <w:right w:val="none" w:sz="0" w:space="0" w:color="auto"/>
      </w:divBdr>
    </w:div>
    <w:div w:id="1439982573">
      <w:bodyDiv w:val="1"/>
      <w:marLeft w:val="0"/>
      <w:marRight w:val="0"/>
      <w:marTop w:val="0"/>
      <w:marBottom w:val="0"/>
      <w:divBdr>
        <w:top w:val="none" w:sz="0" w:space="0" w:color="auto"/>
        <w:left w:val="none" w:sz="0" w:space="0" w:color="auto"/>
        <w:bottom w:val="none" w:sz="0" w:space="0" w:color="auto"/>
        <w:right w:val="none" w:sz="0" w:space="0" w:color="auto"/>
      </w:divBdr>
    </w:div>
    <w:div w:id="1452434021">
      <w:bodyDiv w:val="1"/>
      <w:marLeft w:val="0"/>
      <w:marRight w:val="0"/>
      <w:marTop w:val="0"/>
      <w:marBottom w:val="0"/>
      <w:divBdr>
        <w:top w:val="none" w:sz="0" w:space="0" w:color="auto"/>
        <w:left w:val="none" w:sz="0" w:space="0" w:color="auto"/>
        <w:bottom w:val="none" w:sz="0" w:space="0" w:color="auto"/>
        <w:right w:val="none" w:sz="0" w:space="0" w:color="auto"/>
      </w:divBdr>
    </w:div>
    <w:div w:id="1453019887">
      <w:bodyDiv w:val="1"/>
      <w:marLeft w:val="0"/>
      <w:marRight w:val="0"/>
      <w:marTop w:val="0"/>
      <w:marBottom w:val="0"/>
      <w:divBdr>
        <w:top w:val="none" w:sz="0" w:space="0" w:color="auto"/>
        <w:left w:val="none" w:sz="0" w:space="0" w:color="auto"/>
        <w:bottom w:val="none" w:sz="0" w:space="0" w:color="auto"/>
        <w:right w:val="none" w:sz="0" w:space="0" w:color="auto"/>
      </w:divBdr>
    </w:div>
    <w:div w:id="1638028778">
      <w:bodyDiv w:val="1"/>
      <w:marLeft w:val="0"/>
      <w:marRight w:val="0"/>
      <w:marTop w:val="0"/>
      <w:marBottom w:val="0"/>
      <w:divBdr>
        <w:top w:val="none" w:sz="0" w:space="0" w:color="auto"/>
        <w:left w:val="none" w:sz="0" w:space="0" w:color="auto"/>
        <w:bottom w:val="none" w:sz="0" w:space="0" w:color="auto"/>
        <w:right w:val="none" w:sz="0" w:space="0" w:color="auto"/>
      </w:divBdr>
    </w:div>
    <w:div w:id="1676573325">
      <w:bodyDiv w:val="1"/>
      <w:marLeft w:val="0"/>
      <w:marRight w:val="0"/>
      <w:marTop w:val="0"/>
      <w:marBottom w:val="0"/>
      <w:divBdr>
        <w:top w:val="none" w:sz="0" w:space="0" w:color="auto"/>
        <w:left w:val="none" w:sz="0" w:space="0" w:color="auto"/>
        <w:bottom w:val="none" w:sz="0" w:space="0" w:color="auto"/>
        <w:right w:val="none" w:sz="0" w:space="0" w:color="auto"/>
      </w:divBdr>
    </w:div>
    <w:div w:id="1692493737">
      <w:bodyDiv w:val="1"/>
      <w:marLeft w:val="0"/>
      <w:marRight w:val="0"/>
      <w:marTop w:val="0"/>
      <w:marBottom w:val="0"/>
      <w:divBdr>
        <w:top w:val="none" w:sz="0" w:space="0" w:color="auto"/>
        <w:left w:val="none" w:sz="0" w:space="0" w:color="auto"/>
        <w:bottom w:val="none" w:sz="0" w:space="0" w:color="auto"/>
        <w:right w:val="none" w:sz="0" w:space="0" w:color="auto"/>
      </w:divBdr>
    </w:div>
    <w:div w:id="1715958914">
      <w:bodyDiv w:val="1"/>
      <w:marLeft w:val="0"/>
      <w:marRight w:val="0"/>
      <w:marTop w:val="0"/>
      <w:marBottom w:val="0"/>
      <w:divBdr>
        <w:top w:val="none" w:sz="0" w:space="0" w:color="auto"/>
        <w:left w:val="none" w:sz="0" w:space="0" w:color="auto"/>
        <w:bottom w:val="none" w:sz="0" w:space="0" w:color="auto"/>
        <w:right w:val="none" w:sz="0" w:space="0" w:color="auto"/>
      </w:divBdr>
    </w:div>
    <w:div w:id="1724014919">
      <w:bodyDiv w:val="1"/>
      <w:marLeft w:val="0"/>
      <w:marRight w:val="0"/>
      <w:marTop w:val="0"/>
      <w:marBottom w:val="0"/>
      <w:divBdr>
        <w:top w:val="none" w:sz="0" w:space="0" w:color="auto"/>
        <w:left w:val="none" w:sz="0" w:space="0" w:color="auto"/>
        <w:bottom w:val="none" w:sz="0" w:space="0" w:color="auto"/>
        <w:right w:val="none" w:sz="0" w:space="0" w:color="auto"/>
      </w:divBdr>
    </w:div>
    <w:div w:id="1727991505">
      <w:bodyDiv w:val="1"/>
      <w:marLeft w:val="0"/>
      <w:marRight w:val="0"/>
      <w:marTop w:val="0"/>
      <w:marBottom w:val="0"/>
      <w:divBdr>
        <w:top w:val="none" w:sz="0" w:space="0" w:color="auto"/>
        <w:left w:val="none" w:sz="0" w:space="0" w:color="auto"/>
        <w:bottom w:val="none" w:sz="0" w:space="0" w:color="auto"/>
        <w:right w:val="none" w:sz="0" w:space="0" w:color="auto"/>
      </w:divBdr>
    </w:div>
    <w:div w:id="1752040222">
      <w:bodyDiv w:val="1"/>
      <w:marLeft w:val="0"/>
      <w:marRight w:val="0"/>
      <w:marTop w:val="0"/>
      <w:marBottom w:val="0"/>
      <w:divBdr>
        <w:top w:val="none" w:sz="0" w:space="0" w:color="auto"/>
        <w:left w:val="none" w:sz="0" w:space="0" w:color="auto"/>
        <w:bottom w:val="none" w:sz="0" w:space="0" w:color="auto"/>
        <w:right w:val="none" w:sz="0" w:space="0" w:color="auto"/>
      </w:divBdr>
    </w:div>
    <w:div w:id="1763212917">
      <w:bodyDiv w:val="1"/>
      <w:marLeft w:val="0"/>
      <w:marRight w:val="0"/>
      <w:marTop w:val="0"/>
      <w:marBottom w:val="0"/>
      <w:divBdr>
        <w:top w:val="none" w:sz="0" w:space="0" w:color="auto"/>
        <w:left w:val="none" w:sz="0" w:space="0" w:color="auto"/>
        <w:bottom w:val="none" w:sz="0" w:space="0" w:color="auto"/>
        <w:right w:val="none" w:sz="0" w:space="0" w:color="auto"/>
      </w:divBdr>
    </w:div>
    <w:div w:id="1831754171">
      <w:bodyDiv w:val="1"/>
      <w:marLeft w:val="0"/>
      <w:marRight w:val="0"/>
      <w:marTop w:val="0"/>
      <w:marBottom w:val="0"/>
      <w:divBdr>
        <w:top w:val="none" w:sz="0" w:space="0" w:color="auto"/>
        <w:left w:val="none" w:sz="0" w:space="0" w:color="auto"/>
        <w:bottom w:val="none" w:sz="0" w:space="0" w:color="auto"/>
        <w:right w:val="none" w:sz="0" w:space="0" w:color="auto"/>
      </w:divBdr>
    </w:div>
    <w:div w:id="1840998486">
      <w:bodyDiv w:val="1"/>
      <w:marLeft w:val="0"/>
      <w:marRight w:val="0"/>
      <w:marTop w:val="0"/>
      <w:marBottom w:val="0"/>
      <w:divBdr>
        <w:top w:val="none" w:sz="0" w:space="0" w:color="auto"/>
        <w:left w:val="none" w:sz="0" w:space="0" w:color="auto"/>
        <w:bottom w:val="none" w:sz="0" w:space="0" w:color="auto"/>
        <w:right w:val="none" w:sz="0" w:space="0" w:color="auto"/>
      </w:divBdr>
    </w:div>
    <w:div w:id="1867670069">
      <w:bodyDiv w:val="1"/>
      <w:marLeft w:val="0"/>
      <w:marRight w:val="0"/>
      <w:marTop w:val="0"/>
      <w:marBottom w:val="0"/>
      <w:divBdr>
        <w:top w:val="none" w:sz="0" w:space="0" w:color="auto"/>
        <w:left w:val="none" w:sz="0" w:space="0" w:color="auto"/>
        <w:bottom w:val="none" w:sz="0" w:space="0" w:color="auto"/>
        <w:right w:val="none" w:sz="0" w:space="0" w:color="auto"/>
      </w:divBdr>
    </w:div>
    <w:div w:id="1900508014">
      <w:bodyDiv w:val="1"/>
      <w:marLeft w:val="0"/>
      <w:marRight w:val="0"/>
      <w:marTop w:val="0"/>
      <w:marBottom w:val="0"/>
      <w:divBdr>
        <w:top w:val="none" w:sz="0" w:space="0" w:color="auto"/>
        <w:left w:val="none" w:sz="0" w:space="0" w:color="auto"/>
        <w:bottom w:val="none" w:sz="0" w:space="0" w:color="auto"/>
        <w:right w:val="none" w:sz="0" w:space="0" w:color="auto"/>
      </w:divBdr>
    </w:div>
    <w:div w:id="1903174516">
      <w:bodyDiv w:val="1"/>
      <w:marLeft w:val="0"/>
      <w:marRight w:val="0"/>
      <w:marTop w:val="0"/>
      <w:marBottom w:val="0"/>
      <w:divBdr>
        <w:top w:val="none" w:sz="0" w:space="0" w:color="auto"/>
        <w:left w:val="none" w:sz="0" w:space="0" w:color="auto"/>
        <w:bottom w:val="none" w:sz="0" w:space="0" w:color="auto"/>
        <w:right w:val="none" w:sz="0" w:space="0" w:color="auto"/>
      </w:divBdr>
    </w:div>
    <w:div w:id="1991639600">
      <w:bodyDiv w:val="1"/>
      <w:marLeft w:val="0"/>
      <w:marRight w:val="0"/>
      <w:marTop w:val="0"/>
      <w:marBottom w:val="0"/>
      <w:divBdr>
        <w:top w:val="none" w:sz="0" w:space="0" w:color="auto"/>
        <w:left w:val="none" w:sz="0" w:space="0" w:color="auto"/>
        <w:bottom w:val="none" w:sz="0" w:space="0" w:color="auto"/>
        <w:right w:val="none" w:sz="0" w:space="0" w:color="auto"/>
      </w:divBdr>
    </w:div>
    <w:div w:id="2064668104">
      <w:bodyDiv w:val="1"/>
      <w:marLeft w:val="0"/>
      <w:marRight w:val="0"/>
      <w:marTop w:val="0"/>
      <w:marBottom w:val="0"/>
      <w:divBdr>
        <w:top w:val="none" w:sz="0" w:space="0" w:color="auto"/>
        <w:left w:val="none" w:sz="0" w:space="0" w:color="auto"/>
        <w:bottom w:val="none" w:sz="0" w:space="0" w:color="auto"/>
        <w:right w:val="none" w:sz="0" w:space="0" w:color="auto"/>
      </w:divBdr>
    </w:div>
    <w:div w:id="212920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za.raluy@upt.edu.mx" TargetMode="External"/><Relationship Id="rId13" Type="http://schemas.openxmlformats.org/officeDocument/2006/relationships/header" Target="header1.xml"/><Relationship Id="rId18" Type="http://schemas.openxmlformats.org/officeDocument/2006/relationships/hyperlink" Target="https://www.dgoae.unam.mx/PERAJ/images/ManualPeraj.pdf" TargetMode="External"/><Relationship Id="rId3" Type="http://schemas.openxmlformats.org/officeDocument/2006/relationships/styles" Target="styles.xml"/><Relationship Id="rId21" Type="http://schemas.openxmlformats.org/officeDocument/2006/relationships/hyperlink" Target="https://doi.org/10.1007/s40817-024-00167-7" TargetMode="External"/><Relationship Id="rId7" Type="http://schemas.openxmlformats.org/officeDocument/2006/relationships/endnotes" Target="endnotes.xml"/><Relationship Id="rId12" Type="http://schemas.openxmlformats.org/officeDocument/2006/relationships/hyperlink" Target="https://orcid.org/0000-0002-4276-504X" TargetMode="External"/><Relationship Id="rId17" Type="http://schemas.openxmlformats.org/officeDocument/2006/relationships/hyperlink" Target="https://doi.org/10.23913/ride.v15i29.2141" TargetMode="External"/><Relationship Id="rId2" Type="http://schemas.openxmlformats.org/officeDocument/2006/relationships/numbering" Target="numbering.xml"/><Relationship Id="rId16" Type="http://schemas.openxmlformats.org/officeDocument/2006/relationships/hyperlink" Target="https://doi.org/10.1186/s40359-019-0302-3" TargetMode="External"/><Relationship Id="rId20" Type="http://schemas.openxmlformats.org/officeDocument/2006/relationships/hyperlink" Target="https://doi.org/10.1002/tea.36600203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za.raluy@upt.edu.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3913/ride.v14i27.1750" TargetMode="External"/><Relationship Id="rId23" Type="http://schemas.openxmlformats.org/officeDocument/2006/relationships/fontTable" Target="fontTable.xml"/><Relationship Id="rId10" Type="http://schemas.openxmlformats.org/officeDocument/2006/relationships/hyperlink" Target="https://orcid.org/0000-0003-2337-4913" TargetMode="External"/><Relationship Id="rId19" Type="http://schemas.openxmlformats.org/officeDocument/2006/relationships/hyperlink" Target="https://www.peraj.org" TargetMode="External"/><Relationship Id="rId4" Type="http://schemas.openxmlformats.org/officeDocument/2006/relationships/settings" Target="settings.xml"/><Relationship Id="rId9" Type="http://schemas.openxmlformats.org/officeDocument/2006/relationships/hyperlink" Target="mailto:mariza.raluy@upt.edu.mx" TargetMode="External"/><Relationship Id="rId14" Type="http://schemas.openxmlformats.org/officeDocument/2006/relationships/footer" Target="footer1.xml"/><Relationship Id="rId22" Type="http://schemas.openxmlformats.org/officeDocument/2006/relationships/hyperlink" Target="https://doi.org/10.1080/09297049.2022.204274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6812</TotalTime>
  <Pages>14</Pages>
  <Words>4668</Words>
  <Characters>25680</Characters>
  <Application>Microsoft Office Word</Application>
  <DocSecurity>0</DocSecurity>
  <Lines>214</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Norma Alicia Santilan Castillo</cp:lastModifiedBy>
  <cp:revision>55</cp:revision>
  <dcterms:created xsi:type="dcterms:W3CDTF">2026-03-19T19:09:00Z</dcterms:created>
  <dcterms:modified xsi:type="dcterms:W3CDTF">2026-03-30T21:53:00Z</dcterms:modified>
  <cp:category/>
</cp:coreProperties>
</file>