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D5AAB" w14:textId="77777777" w:rsidR="00F365E2" w:rsidRPr="00606A11" w:rsidRDefault="00F365E2" w:rsidP="00606A11">
      <w:pPr>
        <w:spacing w:line="276" w:lineRule="auto"/>
        <w:jc w:val="right"/>
        <w:rPr>
          <w:rFonts w:ascii="Calibri" w:eastAsia="Calibri" w:hAnsi="Calibri" w:cs="Calibri"/>
          <w:b/>
          <w:color w:val="000000"/>
          <w:sz w:val="36"/>
          <w:szCs w:val="36"/>
          <w:lang w:val="es-ES" w:eastAsia="es-MX"/>
        </w:rPr>
      </w:pPr>
      <w:r w:rsidRPr="00606A11">
        <w:rPr>
          <w:rFonts w:ascii="Calibri" w:eastAsia="Calibri" w:hAnsi="Calibri" w:cs="Calibri"/>
          <w:b/>
          <w:color w:val="000000"/>
          <w:sz w:val="36"/>
          <w:szCs w:val="36"/>
          <w:lang w:val="es-ES" w:eastAsia="es-MX"/>
        </w:rPr>
        <w:t>Análisis correlaci</w:t>
      </w:r>
      <w:r w:rsidR="003871F1" w:rsidRPr="00606A11">
        <w:rPr>
          <w:rFonts w:ascii="Calibri" w:eastAsia="Calibri" w:hAnsi="Calibri" w:cs="Calibri"/>
          <w:b/>
          <w:color w:val="000000"/>
          <w:sz w:val="36"/>
          <w:szCs w:val="36"/>
          <w:lang w:val="es-ES" w:eastAsia="es-MX"/>
        </w:rPr>
        <w:t>o</w:t>
      </w:r>
      <w:r w:rsidRPr="00606A11">
        <w:rPr>
          <w:rFonts w:ascii="Calibri" w:eastAsia="Calibri" w:hAnsi="Calibri" w:cs="Calibri"/>
          <w:b/>
          <w:color w:val="000000"/>
          <w:sz w:val="36"/>
          <w:szCs w:val="36"/>
          <w:lang w:val="es-ES" w:eastAsia="es-MX"/>
        </w:rPr>
        <w:t>n</w:t>
      </w:r>
      <w:r w:rsidR="003871F1" w:rsidRPr="00606A11">
        <w:rPr>
          <w:rFonts w:ascii="Calibri" w:eastAsia="Calibri" w:hAnsi="Calibri" w:cs="Calibri"/>
          <w:b/>
          <w:color w:val="000000"/>
          <w:sz w:val="36"/>
          <w:szCs w:val="36"/>
          <w:lang w:val="es-ES" w:eastAsia="es-MX"/>
        </w:rPr>
        <w:t>al</w:t>
      </w:r>
      <w:r w:rsidRPr="00606A11">
        <w:rPr>
          <w:rFonts w:ascii="Calibri" w:eastAsia="Calibri" w:hAnsi="Calibri" w:cs="Calibri"/>
          <w:b/>
          <w:color w:val="000000"/>
          <w:sz w:val="36"/>
          <w:szCs w:val="36"/>
          <w:lang w:val="es-ES" w:eastAsia="es-MX"/>
        </w:rPr>
        <w:t xml:space="preserve"> de competencias matemáticas </w:t>
      </w:r>
      <w:r w:rsidR="00ED6257" w:rsidRPr="00606A11">
        <w:rPr>
          <w:rFonts w:ascii="Calibri" w:eastAsia="Calibri" w:hAnsi="Calibri" w:cs="Calibri"/>
          <w:b/>
          <w:color w:val="000000"/>
          <w:sz w:val="36"/>
          <w:szCs w:val="36"/>
          <w:lang w:val="es-ES" w:eastAsia="es-MX"/>
        </w:rPr>
        <w:t>de pruebas estandarizadas y pre-</w:t>
      </w:r>
      <w:r w:rsidRPr="00606A11">
        <w:rPr>
          <w:rFonts w:ascii="Calibri" w:eastAsia="Calibri" w:hAnsi="Calibri" w:cs="Calibri"/>
          <w:b/>
          <w:color w:val="000000"/>
          <w:sz w:val="36"/>
          <w:szCs w:val="36"/>
          <w:lang w:val="es-ES" w:eastAsia="es-MX"/>
        </w:rPr>
        <w:t>requisitos matemáticos en estudiantes de nuevo ingreso a Ingenier</w:t>
      </w:r>
      <w:r w:rsidR="00125A18">
        <w:rPr>
          <w:rFonts w:ascii="Calibri" w:eastAsia="Calibri" w:hAnsi="Calibri" w:cs="Calibri"/>
          <w:b/>
          <w:color w:val="000000"/>
          <w:sz w:val="36"/>
          <w:szCs w:val="36"/>
          <w:lang w:val="es-ES" w:eastAsia="es-MX"/>
        </w:rPr>
        <w:t>í</w:t>
      </w:r>
      <w:r w:rsidRPr="00606A11">
        <w:rPr>
          <w:rFonts w:ascii="Calibri" w:eastAsia="Calibri" w:hAnsi="Calibri" w:cs="Calibri"/>
          <w:b/>
          <w:color w:val="000000"/>
          <w:sz w:val="36"/>
          <w:szCs w:val="36"/>
          <w:lang w:val="es-ES" w:eastAsia="es-MX"/>
        </w:rPr>
        <w:t xml:space="preserve">a en Computación </w:t>
      </w:r>
    </w:p>
    <w:p w14:paraId="3A2BFF87" w14:textId="77777777" w:rsidR="00F365E2" w:rsidRPr="00606A11" w:rsidRDefault="00F365E2" w:rsidP="00606A11">
      <w:pPr>
        <w:spacing w:line="276" w:lineRule="auto"/>
        <w:jc w:val="right"/>
        <w:rPr>
          <w:rFonts w:ascii="Calibri" w:eastAsia="Calibri" w:hAnsi="Calibri" w:cs="Calibri"/>
          <w:b/>
          <w:color w:val="000000"/>
          <w:sz w:val="36"/>
          <w:szCs w:val="36"/>
          <w:lang w:val="es-ES" w:eastAsia="es-MX"/>
        </w:rPr>
      </w:pPr>
    </w:p>
    <w:p w14:paraId="44F6BABB" w14:textId="77777777" w:rsidR="00F616E7" w:rsidRDefault="003871F1" w:rsidP="00606A11">
      <w:pPr>
        <w:spacing w:line="276" w:lineRule="auto"/>
        <w:jc w:val="right"/>
        <w:rPr>
          <w:rFonts w:ascii="Calibri" w:eastAsia="Calibri" w:hAnsi="Calibri" w:cs="Calibri"/>
          <w:b/>
          <w:i/>
          <w:color w:val="000000"/>
          <w:sz w:val="28"/>
          <w:szCs w:val="36"/>
          <w:lang w:val="es-ES" w:eastAsia="es-MX"/>
        </w:rPr>
      </w:pPr>
      <w:r w:rsidRPr="00606A11">
        <w:rPr>
          <w:rFonts w:ascii="Calibri" w:eastAsia="Calibri" w:hAnsi="Calibri" w:cs="Calibri"/>
          <w:b/>
          <w:i/>
          <w:color w:val="000000"/>
          <w:sz w:val="28"/>
          <w:szCs w:val="36"/>
          <w:lang w:val="es-ES" w:eastAsia="es-MX"/>
        </w:rPr>
        <w:t>Correlational a</w:t>
      </w:r>
      <w:r w:rsidR="00F616E7" w:rsidRPr="00606A11">
        <w:rPr>
          <w:rFonts w:ascii="Calibri" w:eastAsia="Calibri" w:hAnsi="Calibri" w:cs="Calibri"/>
          <w:b/>
          <w:i/>
          <w:color w:val="000000"/>
          <w:sz w:val="28"/>
          <w:szCs w:val="36"/>
          <w:lang w:val="es-ES" w:eastAsia="es-MX"/>
        </w:rPr>
        <w:t xml:space="preserve">nalysis of mathematical competences of standardized tests and mathematical prerequisites in </w:t>
      </w:r>
      <w:proofErr w:type="spellStart"/>
      <w:r w:rsidR="00F616E7" w:rsidRPr="00606A11">
        <w:rPr>
          <w:rFonts w:ascii="Calibri" w:eastAsia="Calibri" w:hAnsi="Calibri" w:cs="Calibri"/>
          <w:b/>
          <w:i/>
          <w:color w:val="000000"/>
          <w:sz w:val="28"/>
          <w:szCs w:val="36"/>
          <w:lang w:val="es-ES" w:eastAsia="es-MX"/>
        </w:rPr>
        <w:t>students</w:t>
      </w:r>
      <w:proofErr w:type="spellEnd"/>
      <w:r w:rsidR="00F616E7" w:rsidRPr="00606A11">
        <w:rPr>
          <w:rFonts w:ascii="Calibri" w:eastAsia="Calibri" w:hAnsi="Calibri" w:cs="Calibri"/>
          <w:b/>
          <w:i/>
          <w:color w:val="000000"/>
          <w:sz w:val="28"/>
          <w:szCs w:val="36"/>
          <w:lang w:val="es-ES" w:eastAsia="es-MX"/>
        </w:rPr>
        <w:t xml:space="preserve"> </w:t>
      </w:r>
      <w:proofErr w:type="spellStart"/>
      <w:r w:rsidR="00F616E7" w:rsidRPr="00606A11">
        <w:rPr>
          <w:rFonts w:ascii="Calibri" w:eastAsia="Calibri" w:hAnsi="Calibri" w:cs="Calibri"/>
          <w:b/>
          <w:i/>
          <w:color w:val="000000"/>
          <w:sz w:val="28"/>
          <w:szCs w:val="36"/>
          <w:lang w:val="es-ES" w:eastAsia="es-MX"/>
        </w:rPr>
        <w:t>of</w:t>
      </w:r>
      <w:proofErr w:type="spellEnd"/>
      <w:r w:rsidR="00F616E7" w:rsidRPr="00606A11">
        <w:rPr>
          <w:rFonts w:ascii="Calibri" w:eastAsia="Calibri" w:hAnsi="Calibri" w:cs="Calibri"/>
          <w:b/>
          <w:i/>
          <w:color w:val="000000"/>
          <w:sz w:val="28"/>
          <w:szCs w:val="36"/>
          <w:lang w:val="es-ES" w:eastAsia="es-MX"/>
        </w:rPr>
        <w:t xml:space="preserve"> new </w:t>
      </w:r>
      <w:proofErr w:type="spellStart"/>
      <w:r w:rsidR="00F616E7" w:rsidRPr="00606A11">
        <w:rPr>
          <w:rFonts w:ascii="Calibri" w:eastAsia="Calibri" w:hAnsi="Calibri" w:cs="Calibri"/>
          <w:b/>
          <w:i/>
          <w:color w:val="000000"/>
          <w:sz w:val="28"/>
          <w:szCs w:val="36"/>
          <w:lang w:val="es-ES" w:eastAsia="es-MX"/>
        </w:rPr>
        <w:t>entrance</w:t>
      </w:r>
      <w:proofErr w:type="spellEnd"/>
      <w:r w:rsidR="00F616E7" w:rsidRPr="00606A11">
        <w:rPr>
          <w:rFonts w:ascii="Calibri" w:eastAsia="Calibri" w:hAnsi="Calibri" w:cs="Calibri"/>
          <w:b/>
          <w:i/>
          <w:color w:val="000000"/>
          <w:sz w:val="28"/>
          <w:szCs w:val="36"/>
          <w:lang w:val="es-ES" w:eastAsia="es-MX"/>
        </w:rPr>
        <w:t xml:space="preserve"> </w:t>
      </w:r>
      <w:proofErr w:type="spellStart"/>
      <w:r w:rsidR="00F616E7" w:rsidRPr="00606A11">
        <w:rPr>
          <w:rFonts w:ascii="Calibri" w:eastAsia="Calibri" w:hAnsi="Calibri" w:cs="Calibri"/>
          <w:b/>
          <w:i/>
          <w:color w:val="000000"/>
          <w:sz w:val="28"/>
          <w:szCs w:val="36"/>
          <w:lang w:val="es-ES" w:eastAsia="es-MX"/>
        </w:rPr>
        <w:t>to</w:t>
      </w:r>
      <w:proofErr w:type="spellEnd"/>
      <w:r w:rsidR="00F616E7" w:rsidRPr="00606A11">
        <w:rPr>
          <w:rFonts w:ascii="Calibri" w:eastAsia="Calibri" w:hAnsi="Calibri" w:cs="Calibri"/>
          <w:b/>
          <w:i/>
          <w:color w:val="000000"/>
          <w:sz w:val="28"/>
          <w:szCs w:val="36"/>
          <w:lang w:val="es-ES" w:eastAsia="es-MX"/>
        </w:rPr>
        <w:t xml:space="preserve"> </w:t>
      </w:r>
      <w:proofErr w:type="spellStart"/>
      <w:r w:rsidR="00F616E7" w:rsidRPr="00606A11">
        <w:rPr>
          <w:rFonts w:ascii="Calibri" w:eastAsia="Calibri" w:hAnsi="Calibri" w:cs="Calibri"/>
          <w:b/>
          <w:i/>
          <w:color w:val="000000"/>
          <w:sz w:val="28"/>
          <w:szCs w:val="36"/>
          <w:lang w:val="es-ES" w:eastAsia="es-MX"/>
        </w:rPr>
        <w:t>Computer</w:t>
      </w:r>
      <w:proofErr w:type="spellEnd"/>
      <w:r w:rsidR="00F616E7" w:rsidRPr="00606A11">
        <w:rPr>
          <w:rFonts w:ascii="Calibri" w:eastAsia="Calibri" w:hAnsi="Calibri" w:cs="Calibri"/>
          <w:b/>
          <w:i/>
          <w:color w:val="000000"/>
          <w:sz w:val="28"/>
          <w:szCs w:val="36"/>
          <w:lang w:val="es-ES" w:eastAsia="es-MX"/>
        </w:rPr>
        <w:t xml:space="preserve"> </w:t>
      </w:r>
      <w:proofErr w:type="spellStart"/>
      <w:r w:rsidR="00F616E7" w:rsidRPr="00606A11">
        <w:rPr>
          <w:rFonts w:ascii="Calibri" w:eastAsia="Calibri" w:hAnsi="Calibri" w:cs="Calibri"/>
          <w:b/>
          <w:i/>
          <w:color w:val="000000"/>
          <w:sz w:val="28"/>
          <w:szCs w:val="36"/>
          <w:lang w:val="es-ES" w:eastAsia="es-MX"/>
        </w:rPr>
        <w:t>Engineering</w:t>
      </w:r>
      <w:proofErr w:type="spellEnd"/>
    </w:p>
    <w:p w14:paraId="486665DC" w14:textId="77777777" w:rsidR="00606A11" w:rsidRPr="00606A11" w:rsidRDefault="00606A11" w:rsidP="00606A11">
      <w:pPr>
        <w:spacing w:line="276" w:lineRule="auto"/>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Pr="00606A11">
        <w:rPr>
          <w:rFonts w:ascii="Calibri" w:eastAsia="Calibri" w:hAnsi="Calibri" w:cs="Calibri"/>
          <w:b/>
          <w:i/>
          <w:color w:val="000000"/>
          <w:sz w:val="28"/>
          <w:szCs w:val="36"/>
          <w:lang w:val="es-ES" w:eastAsia="es-MX"/>
        </w:rPr>
        <w:t>Análise</w:t>
      </w:r>
      <w:proofErr w:type="spellEnd"/>
      <w:r w:rsidRPr="00606A11">
        <w:rPr>
          <w:rFonts w:ascii="Calibri" w:eastAsia="Calibri" w:hAnsi="Calibri" w:cs="Calibri"/>
          <w:b/>
          <w:i/>
          <w:color w:val="000000"/>
          <w:sz w:val="28"/>
          <w:szCs w:val="36"/>
          <w:lang w:val="es-ES" w:eastAsia="es-MX"/>
        </w:rPr>
        <w:t xml:space="preserve"> de </w:t>
      </w:r>
      <w:proofErr w:type="spellStart"/>
      <w:r w:rsidRPr="00606A11">
        <w:rPr>
          <w:rFonts w:ascii="Calibri" w:eastAsia="Calibri" w:hAnsi="Calibri" w:cs="Calibri"/>
          <w:b/>
          <w:i/>
          <w:color w:val="000000"/>
          <w:sz w:val="28"/>
          <w:szCs w:val="36"/>
          <w:lang w:val="es-ES" w:eastAsia="es-MX"/>
        </w:rPr>
        <w:t>correlação</w:t>
      </w:r>
      <w:proofErr w:type="spellEnd"/>
      <w:r w:rsidRPr="00606A11">
        <w:rPr>
          <w:rFonts w:ascii="Calibri" w:eastAsia="Calibri" w:hAnsi="Calibri" w:cs="Calibri"/>
          <w:b/>
          <w:i/>
          <w:color w:val="000000"/>
          <w:sz w:val="28"/>
          <w:szCs w:val="36"/>
          <w:lang w:val="es-ES" w:eastAsia="es-MX"/>
        </w:rPr>
        <w:t xml:space="preserve"> de </w:t>
      </w:r>
      <w:proofErr w:type="spellStart"/>
      <w:r w:rsidRPr="00606A11">
        <w:rPr>
          <w:rFonts w:ascii="Calibri" w:eastAsia="Calibri" w:hAnsi="Calibri" w:cs="Calibri"/>
          <w:b/>
          <w:i/>
          <w:color w:val="000000"/>
          <w:sz w:val="28"/>
          <w:szCs w:val="36"/>
          <w:lang w:val="es-ES" w:eastAsia="es-MX"/>
        </w:rPr>
        <w:t>competências</w:t>
      </w:r>
      <w:proofErr w:type="spellEnd"/>
      <w:r w:rsidRPr="00606A11">
        <w:rPr>
          <w:rFonts w:ascii="Calibri" w:eastAsia="Calibri" w:hAnsi="Calibri" w:cs="Calibri"/>
          <w:b/>
          <w:i/>
          <w:color w:val="000000"/>
          <w:sz w:val="28"/>
          <w:szCs w:val="36"/>
          <w:lang w:val="es-ES" w:eastAsia="es-MX"/>
        </w:rPr>
        <w:t xml:space="preserve"> matemáticas de testes </w:t>
      </w:r>
      <w:proofErr w:type="spellStart"/>
      <w:r w:rsidRPr="00606A11">
        <w:rPr>
          <w:rFonts w:ascii="Calibri" w:eastAsia="Calibri" w:hAnsi="Calibri" w:cs="Calibri"/>
          <w:b/>
          <w:i/>
          <w:color w:val="000000"/>
          <w:sz w:val="28"/>
          <w:szCs w:val="36"/>
          <w:lang w:val="es-ES" w:eastAsia="es-MX"/>
        </w:rPr>
        <w:t>padronizados</w:t>
      </w:r>
      <w:proofErr w:type="spellEnd"/>
      <w:r w:rsidRPr="00606A11">
        <w:rPr>
          <w:rFonts w:ascii="Calibri" w:eastAsia="Calibri" w:hAnsi="Calibri" w:cs="Calibri"/>
          <w:b/>
          <w:i/>
          <w:color w:val="000000"/>
          <w:sz w:val="28"/>
          <w:szCs w:val="36"/>
          <w:lang w:val="es-ES" w:eastAsia="es-MX"/>
        </w:rPr>
        <w:t xml:space="preserve"> e </w:t>
      </w:r>
      <w:proofErr w:type="spellStart"/>
      <w:r w:rsidRPr="00606A11">
        <w:rPr>
          <w:rFonts w:ascii="Calibri" w:eastAsia="Calibri" w:hAnsi="Calibri" w:cs="Calibri"/>
          <w:b/>
          <w:i/>
          <w:color w:val="000000"/>
          <w:sz w:val="28"/>
          <w:szCs w:val="36"/>
          <w:lang w:val="es-ES" w:eastAsia="es-MX"/>
        </w:rPr>
        <w:t>pré</w:t>
      </w:r>
      <w:proofErr w:type="spellEnd"/>
      <w:r w:rsidRPr="00606A11">
        <w:rPr>
          <w:rFonts w:ascii="Calibri" w:eastAsia="Calibri" w:hAnsi="Calibri" w:cs="Calibri"/>
          <w:b/>
          <w:i/>
          <w:color w:val="000000"/>
          <w:sz w:val="28"/>
          <w:szCs w:val="36"/>
          <w:lang w:val="es-ES" w:eastAsia="es-MX"/>
        </w:rPr>
        <w:t xml:space="preserve">-requisitos matemáticos em </w:t>
      </w:r>
      <w:proofErr w:type="spellStart"/>
      <w:r w:rsidRPr="00606A11">
        <w:rPr>
          <w:rFonts w:ascii="Calibri" w:eastAsia="Calibri" w:hAnsi="Calibri" w:cs="Calibri"/>
          <w:b/>
          <w:i/>
          <w:color w:val="000000"/>
          <w:sz w:val="28"/>
          <w:szCs w:val="36"/>
          <w:lang w:val="es-ES" w:eastAsia="es-MX"/>
        </w:rPr>
        <w:t>novos</w:t>
      </w:r>
      <w:proofErr w:type="spellEnd"/>
      <w:r w:rsidRPr="00606A11">
        <w:rPr>
          <w:rFonts w:ascii="Calibri" w:eastAsia="Calibri" w:hAnsi="Calibri" w:cs="Calibri"/>
          <w:b/>
          <w:i/>
          <w:color w:val="000000"/>
          <w:sz w:val="28"/>
          <w:szCs w:val="36"/>
          <w:lang w:val="es-ES" w:eastAsia="es-MX"/>
        </w:rPr>
        <w:t xml:space="preserve"> </w:t>
      </w:r>
      <w:proofErr w:type="spellStart"/>
      <w:r w:rsidRPr="00606A11">
        <w:rPr>
          <w:rFonts w:ascii="Calibri" w:eastAsia="Calibri" w:hAnsi="Calibri" w:cs="Calibri"/>
          <w:b/>
          <w:i/>
          <w:color w:val="000000"/>
          <w:sz w:val="28"/>
          <w:szCs w:val="36"/>
          <w:lang w:val="es-ES" w:eastAsia="es-MX"/>
        </w:rPr>
        <w:t>alunos</w:t>
      </w:r>
      <w:proofErr w:type="spellEnd"/>
      <w:r w:rsidRPr="00606A11">
        <w:rPr>
          <w:rFonts w:ascii="Calibri" w:eastAsia="Calibri" w:hAnsi="Calibri" w:cs="Calibri"/>
          <w:b/>
          <w:i/>
          <w:color w:val="000000"/>
          <w:sz w:val="28"/>
          <w:szCs w:val="36"/>
          <w:lang w:val="es-ES" w:eastAsia="es-MX"/>
        </w:rPr>
        <w:t xml:space="preserve"> para </w:t>
      </w:r>
      <w:proofErr w:type="spellStart"/>
      <w:r w:rsidRPr="00606A11">
        <w:rPr>
          <w:rFonts w:ascii="Calibri" w:eastAsia="Calibri" w:hAnsi="Calibri" w:cs="Calibri"/>
          <w:b/>
          <w:i/>
          <w:color w:val="000000"/>
          <w:sz w:val="28"/>
          <w:szCs w:val="36"/>
          <w:lang w:val="es-ES" w:eastAsia="es-MX"/>
        </w:rPr>
        <w:t>engenheiro</w:t>
      </w:r>
      <w:proofErr w:type="spellEnd"/>
      <w:r w:rsidRPr="00606A11">
        <w:rPr>
          <w:rFonts w:ascii="Calibri" w:eastAsia="Calibri" w:hAnsi="Calibri" w:cs="Calibri"/>
          <w:b/>
          <w:i/>
          <w:color w:val="000000"/>
          <w:sz w:val="28"/>
          <w:szCs w:val="36"/>
          <w:lang w:val="es-ES" w:eastAsia="es-MX"/>
        </w:rPr>
        <w:t xml:space="preserve"> de informática</w:t>
      </w:r>
    </w:p>
    <w:p w14:paraId="1B5E7F2B" w14:textId="77777777" w:rsidR="00F616E7" w:rsidRPr="0066529C" w:rsidRDefault="00F616E7" w:rsidP="00577646">
      <w:pPr>
        <w:spacing w:line="360" w:lineRule="auto"/>
        <w:jc w:val="center"/>
        <w:rPr>
          <w:b/>
          <w:lang w:val="en-US"/>
        </w:rPr>
      </w:pPr>
    </w:p>
    <w:p w14:paraId="13414AB9" w14:textId="77777777" w:rsidR="00224CC1" w:rsidRPr="00224CC1" w:rsidRDefault="00F92CC5" w:rsidP="00606A11">
      <w:pPr>
        <w:spacing w:line="276" w:lineRule="auto"/>
        <w:jc w:val="right"/>
        <w:rPr>
          <w:b/>
        </w:rPr>
      </w:pPr>
      <w:r w:rsidRPr="00224CC1">
        <w:rPr>
          <w:b/>
        </w:rPr>
        <w:t>Magally Martínez Reyes</w:t>
      </w:r>
      <w:r w:rsidR="006E456D" w:rsidRPr="00224CC1">
        <w:rPr>
          <w:b/>
        </w:rPr>
        <w:t xml:space="preserve">, </w:t>
      </w:r>
    </w:p>
    <w:p w14:paraId="4ADC543A" w14:textId="77777777" w:rsidR="00F92CC5" w:rsidRDefault="00F616E7" w:rsidP="00606A11">
      <w:pPr>
        <w:spacing w:line="276" w:lineRule="auto"/>
        <w:jc w:val="right"/>
      </w:pPr>
      <w:r w:rsidRPr="00F616E7">
        <w:t xml:space="preserve">Universidad Autónoma del Estado de México, </w:t>
      </w:r>
      <w:r w:rsidR="006E456D" w:rsidRPr="00F616E7">
        <w:t>Centro Universitario UAEM Valle de Chalco</w:t>
      </w:r>
      <w:r w:rsidR="00606A11">
        <w:br/>
      </w:r>
      <w:r w:rsidR="006E456D" w:rsidRPr="00224CC1">
        <w:rPr>
          <w:color w:val="FF0000"/>
        </w:rPr>
        <w:t>mmreyes@hotmail.com</w:t>
      </w:r>
    </w:p>
    <w:p w14:paraId="019817AE" w14:textId="77777777" w:rsidR="00F616E7" w:rsidRPr="00F616E7" w:rsidRDefault="00F616E7" w:rsidP="00606A11">
      <w:pPr>
        <w:spacing w:line="276" w:lineRule="auto"/>
        <w:jc w:val="right"/>
      </w:pPr>
    </w:p>
    <w:p w14:paraId="42D1232F" w14:textId="77777777" w:rsidR="00224CC1" w:rsidRPr="00224CC1" w:rsidRDefault="000E2090" w:rsidP="00606A11">
      <w:pPr>
        <w:spacing w:line="276" w:lineRule="auto"/>
        <w:jc w:val="right"/>
        <w:rPr>
          <w:b/>
        </w:rPr>
      </w:pPr>
      <w:r w:rsidRPr="00224CC1">
        <w:rPr>
          <w:b/>
        </w:rPr>
        <w:t>Anabelem Soberanes-</w:t>
      </w:r>
      <w:r w:rsidR="009A26E9" w:rsidRPr="00224CC1">
        <w:rPr>
          <w:b/>
        </w:rPr>
        <w:t>Martín</w:t>
      </w:r>
      <w:r w:rsidR="006E456D" w:rsidRPr="00224CC1">
        <w:rPr>
          <w:b/>
        </w:rPr>
        <w:t xml:space="preserve">, </w:t>
      </w:r>
    </w:p>
    <w:p w14:paraId="6C3FAC06" w14:textId="77777777" w:rsidR="00F92CC5" w:rsidRPr="00F616E7" w:rsidRDefault="00F616E7" w:rsidP="00606A11">
      <w:pPr>
        <w:spacing w:line="276" w:lineRule="auto"/>
        <w:jc w:val="right"/>
      </w:pPr>
      <w:r w:rsidRPr="00F616E7">
        <w:t xml:space="preserve">Universidad Autónoma del Estado de México, </w:t>
      </w:r>
      <w:r w:rsidR="006E456D" w:rsidRPr="00F616E7">
        <w:t>Centro Universitario UAEM Valle de Chalco</w:t>
      </w:r>
      <w:r w:rsidR="00606A11">
        <w:br/>
      </w:r>
      <w:r w:rsidR="006E456D" w:rsidRPr="00224CC1">
        <w:rPr>
          <w:color w:val="FF0000"/>
        </w:rPr>
        <w:t>asoberanesm@uaemex.mx</w:t>
      </w:r>
    </w:p>
    <w:p w14:paraId="61B74156" w14:textId="77777777" w:rsidR="00F616E7" w:rsidRDefault="00F616E7" w:rsidP="00606A11">
      <w:pPr>
        <w:spacing w:line="276" w:lineRule="auto"/>
        <w:jc w:val="right"/>
      </w:pPr>
    </w:p>
    <w:p w14:paraId="4E527475" w14:textId="77777777" w:rsidR="00224CC1" w:rsidRDefault="0092133E" w:rsidP="00606A11">
      <w:pPr>
        <w:spacing w:line="276" w:lineRule="auto"/>
        <w:jc w:val="right"/>
      </w:pPr>
      <w:r w:rsidRPr="00224CC1">
        <w:rPr>
          <w:b/>
        </w:rPr>
        <w:t>Juan Manuel Sánchez Soto</w:t>
      </w:r>
      <w:r w:rsidR="006E456D" w:rsidRPr="00224CC1">
        <w:rPr>
          <w:b/>
        </w:rPr>
        <w:t>,</w:t>
      </w:r>
      <w:r w:rsidR="006E456D" w:rsidRPr="00F616E7">
        <w:t xml:space="preserve"> </w:t>
      </w:r>
    </w:p>
    <w:p w14:paraId="4C4A7BC7" w14:textId="77777777" w:rsidR="009A26E9" w:rsidRPr="00F616E7" w:rsidRDefault="00F616E7" w:rsidP="00606A11">
      <w:pPr>
        <w:spacing w:line="276" w:lineRule="auto"/>
        <w:jc w:val="right"/>
      </w:pPr>
      <w:r w:rsidRPr="00F616E7">
        <w:t xml:space="preserve">Universidad Autónoma del Estado de México, </w:t>
      </w:r>
      <w:r w:rsidR="006E456D" w:rsidRPr="00F616E7">
        <w:t>Centro Universitario UAEM Valle de Chalco</w:t>
      </w:r>
      <w:r w:rsidR="00606A11">
        <w:br/>
      </w:r>
      <w:r w:rsidR="0094777B" w:rsidRPr="00224CC1">
        <w:rPr>
          <w:color w:val="FF0000"/>
        </w:rPr>
        <w:t>sotojmss@yahoo.com.mx</w:t>
      </w:r>
    </w:p>
    <w:p w14:paraId="607B61E0" w14:textId="77777777" w:rsidR="00BD319C" w:rsidRPr="00577646" w:rsidRDefault="00BD319C" w:rsidP="00577646">
      <w:pPr>
        <w:spacing w:line="360" w:lineRule="auto"/>
        <w:jc w:val="both"/>
      </w:pPr>
    </w:p>
    <w:p w14:paraId="7866AD62" w14:textId="77777777" w:rsidR="004944E2" w:rsidRPr="00606A11" w:rsidRDefault="00BD319C" w:rsidP="00606A11">
      <w:pPr>
        <w:spacing w:before="240" w:line="360" w:lineRule="auto"/>
        <w:rPr>
          <w:rFonts w:ascii="Arial" w:eastAsiaTheme="minorEastAsia" w:hAnsi="Arial" w:cstheme="minorBidi"/>
          <w:b/>
        </w:rPr>
      </w:pPr>
      <w:r w:rsidRPr="00606A11">
        <w:rPr>
          <w:rFonts w:ascii="Arial" w:eastAsiaTheme="minorEastAsia" w:hAnsi="Arial" w:cstheme="minorBidi"/>
          <w:b/>
        </w:rPr>
        <w:t>Resumen</w:t>
      </w:r>
    </w:p>
    <w:p w14:paraId="16166EBB" w14:textId="77777777" w:rsidR="00BD319C" w:rsidRDefault="00BD319C" w:rsidP="00606A11">
      <w:pPr>
        <w:autoSpaceDE w:val="0"/>
        <w:autoSpaceDN w:val="0"/>
        <w:adjustRightInd w:val="0"/>
        <w:spacing w:before="240" w:line="360" w:lineRule="auto"/>
        <w:jc w:val="both"/>
        <w:rPr>
          <w:color w:val="000000"/>
        </w:rPr>
      </w:pPr>
      <w:r w:rsidRPr="00577646">
        <w:t>El presente trab</w:t>
      </w:r>
      <w:r w:rsidR="008E6EF3" w:rsidRPr="00577646">
        <w:t>ajo muestra los datos de correlación</w:t>
      </w:r>
      <w:r w:rsidRPr="00577646">
        <w:t xml:space="preserve"> acerca del razonamiento verbal</w:t>
      </w:r>
      <w:r w:rsidR="008E6EF3" w:rsidRPr="00577646">
        <w:t xml:space="preserve">, </w:t>
      </w:r>
      <w:r w:rsidRPr="00577646">
        <w:t>lógico matemático</w:t>
      </w:r>
      <w:r w:rsidR="00DB3E37" w:rsidRPr="00577646">
        <w:t>,</w:t>
      </w:r>
      <w:r w:rsidR="008E6EF3" w:rsidRPr="00577646">
        <w:t xml:space="preserve"> pensamiento analítico </w:t>
      </w:r>
      <w:r w:rsidR="00DB3E37" w:rsidRPr="00577646">
        <w:t>y pensamiento funcional</w:t>
      </w:r>
      <w:r w:rsidR="00F365E2" w:rsidRPr="00577646">
        <w:t>, consideradas como competencias matemát</w:t>
      </w:r>
      <w:r w:rsidR="001D6BD4">
        <w:t>icas en pruebas estandarizadas,</w:t>
      </w:r>
      <w:r w:rsidR="00DB3E37" w:rsidRPr="00577646">
        <w:t xml:space="preserve"> </w:t>
      </w:r>
      <w:r w:rsidR="008E6EF3" w:rsidRPr="00577646">
        <w:t xml:space="preserve">con respecto al conocimiento matemático </w:t>
      </w:r>
      <w:r w:rsidR="00DB3E37" w:rsidRPr="00577646">
        <w:t xml:space="preserve">inicial que marcan los programas de estudio </w:t>
      </w:r>
      <w:r w:rsidR="006040C9" w:rsidRPr="00577646">
        <w:t>para</w:t>
      </w:r>
      <w:r w:rsidR="008E6EF3" w:rsidRPr="00577646">
        <w:t xml:space="preserve"> al</w:t>
      </w:r>
      <w:r w:rsidR="000F4B7B" w:rsidRPr="00577646">
        <w:t xml:space="preserve">umnos </w:t>
      </w:r>
      <w:r w:rsidR="006040C9" w:rsidRPr="00577646">
        <w:t>de nuevo i</w:t>
      </w:r>
      <w:r w:rsidR="000F4B7B" w:rsidRPr="00577646">
        <w:t>ngres</w:t>
      </w:r>
      <w:r w:rsidR="006040C9" w:rsidRPr="00577646">
        <w:t>o</w:t>
      </w:r>
      <w:r w:rsidR="000F4B7B" w:rsidRPr="00577646">
        <w:t xml:space="preserve"> a la</w:t>
      </w:r>
      <w:r w:rsidR="008E6EF3" w:rsidRPr="00577646">
        <w:t xml:space="preserve"> </w:t>
      </w:r>
      <w:r w:rsidR="006040C9" w:rsidRPr="00577646">
        <w:t xml:space="preserve">carrera de </w:t>
      </w:r>
      <w:r w:rsidR="008E6EF3" w:rsidRPr="00577646">
        <w:t>Ingeniería en Computación del Centro Universitario Val</w:t>
      </w:r>
      <w:r w:rsidR="00F616E7">
        <w:t>l</w:t>
      </w:r>
      <w:r w:rsidR="008E6EF3" w:rsidRPr="00577646">
        <w:t>e de Chalco</w:t>
      </w:r>
      <w:r w:rsidR="006040C9" w:rsidRPr="00577646">
        <w:t>,</w:t>
      </w:r>
      <w:r w:rsidR="008E6EF3" w:rsidRPr="00577646">
        <w:t xml:space="preserve"> de la Universidad Autónoma del Estado de México</w:t>
      </w:r>
      <w:r w:rsidR="006040C9" w:rsidRPr="00577646">
        <w:t>,</w:t>
      </w:r>
      <w:r w:rsidR="008E6EF3" w:rsidRPr="00577646">
        <w:t xml:space="preserve"> en el 2017</w:t>
      </w:r>
      <w:r w:rsidR="006040C9" w:rsidRPr="00577646">
        <w:t>, provenientes de diferentes instituciones educativas</w:t>
      </w:r>
      <w:r w:rsidRPr="00577646">
        <w:t xml:space="preserve"> de nivel medio superior de</w:t>
      </w:r>
      <w:r w:rsidR="006040C9" w:rsidRPr="00577646">
        <w:t xml:space="preserve">l Estado </w:t>
      </w:r>
      <w:r w:rsidRPr="00577646">
        <w:t xml:space="preserve">de México. </w:t>
      </w:r>
      <w:r w:rsidR="003A3133" w:rsidRPr="00577646">
        <w:t>Se tomaron los resultados del examen de ingreso</w:t>
      </w:r>
      <w:r w:rsidR="006040C9" w:rsidRPr="00577646">
        <w:t xml:space="preserve"> a licenciatura</w:t>
      </w:r>
      <w:r w:rsidR="003A3133" w:rsidRPr="00577646">
        <w:t xml:space="preserve"> </w:t>
      </w:r>
      <w:r w:rsidR="006040C9" w:rsidRPr="00577646">
        <w:t>(</w:t>
      </w:r>
      <w:r w:rsidR="00F75A25" w:rsidRPr="00577646">
        <w:t xml:space="preserve">EXANI </w:t>
      </w:r>
      <w:r w:rsidR="006040C9" w:rsidRPr="00577646">
        <w:t xml:space="preserve">II) </w:t>
      </w:r>
      <w:r w:rsidR="003A3133" w:rsidRPr="00577646">
        <w:t>del CENEVAL</w:t>
      </w:r>
      <w:r w:rsidR="00F365E2" w:rsidRPr="00577646">
        <w:t>, de Planea para la localidad de Valle de Chalco y de PISA</w:t>
      </w:r>
      <w:r w:rsidR="00FE47F9">
        <w:t>, y</w:t>
      </w:r>
      <w:r w:rsidR="003A3133" w:rsidRPr="00577646">
        <w:t xml:space="preserve"> se correlacionaron con un instrumento </w:t>
      </w:r>
      <w:r w:rsidR="006040C9" w:rsidRPr="00577646">
        <w:t xml:space="preserve">diagnóstico </w:t>
      </w:r>
      <w:r w:rsidR="003A3133" w:rsidRPr="00577646">
        <w:lastRenderedPageBreak/>
        <w:t>de 29 ítems</w:t>
      </w:r>
      <w:r w:rsidR="006040C9" w:rsidRPr="00577646">
        <w:t xml:space="preserve"> que incluye los prerrequisitos que marcan los programas de estudio de las materias de primer semestre del área de matemáticas</w:t>
      </w:r>
      <w:r w:rsidR="00FE47F9">
        <w:t>;</w:t>
      </w:r>
      <w:r w:rsidR="006040C9" w:rsidRPr="00577646">
        <w:t xml:space="preserve"> se</w:t>
      </w:r>
      <w:r w:rsidR="003A3133" w:rsidRPr="00577646">
        <w:t xml:space="preserve"> evalu</w:t>
      </w:r>
      <w:r w:rsidR="006040C9" w:rsidRPr="00577646">
        <w:t>aron</w:t>
      </w:r>
      <w:r w:rsidR="003A3133" w:rsidRPr="00577646">
        <w:t xml:space="preserve"> conocimientos básicos de aritmética, </w:t>
      </w:r>
      <w:r w:rsidR="0084749A" w:rsidRPr="00577646">
        <w:t>á</w:t>
      </w:r>
      <w:r w:rsidR="003A3133" w:rsidRPr="00577646">
        <w:t>lgebra</w:t>
      </w:r>
      <w:r w:rsidR="006856CA" w:rsidRPr="00577646">
        <w:t>, geometría analítica</w:t>
      </w:r>
      <w:r w:rsidR="003A3133" w:rsidRPr="00577646">
        <w:t xml:space="preserve"> y cálculo diferencial; se consideró a 50% de la población de alumnos de ingeniería.</w:t>
      </w:r>
      <w:r w:rsidR="000F4B7B" w:rsidRPr="00577646">
        <w:t xml:space="preserve"> Existe una diferencia significativa entre los conocimientos en matemáticas que se requieren para </w:t>
      </w:r>
      <w:r w:rsidR="006040C9" w:rsidRPr="00577646">
        <w:t>ingreso a</w:t>
      </w:r>
      <w:r w:rsidR="000F4B7B" w:rsidRPr="00577646">
        <w:t xml:space="preserve"> ingeniería y los contenidos en el </w:t>
      </w:r>
      <w:r w:rsidR="00F75A25" w:rsidRPr="00577646">
        <w:t>EXANI</w:t>
      </w:r>
      <w:r w:rsidR="000F4B7B" w:rsidRPr="00577646">
        <w:t xml:space="preserve">, valorados por medio de una correlación de Pearson y </w:t>
      </w:r>
      <w:r w:rsidR="00FE47F9">
        <w:t xml:space="preserve">la </w:t>
      </w:r>
      <w:r w:rsidR="00543378" w:rsidRPr="00577646">
        <w:t xml:space="preserve">comparación de medias por t </w:t>
      </w:r>
      <w:r w:rsidR="00F75A25" w:rsidRPr="00577646">
        <w:t xml:space="preserve">de </w:t>
      </w:r>
      <w:proofErr w:type="spellStart"/>
      <w:r w:rsidR="00F75A25" w:rsidRPr="00577646">
        <w:t>s</w:t>
      </w:r>
      <w:r w:rsidR="00543378" w:rsidRPr="00577646">
        <w:t>tuden</w:t>
      </w:r>
      <w:r w:rsidR="00F75A25" w:rsidRPr="00577646">
        <w:t>t</w:t>
      </w:r>
      <w:proofErr w:type="spellEnd"/>
      <w:r w:rsidR="00543378" w:rsidRPr="00577646">
        <w:t xml:space="preserve">. </w:t>
      </w:r>
      <w:r w:rsidR="00D65D77" w:rsidRPr="00577646">
        <w:t xml:space="preserve">En </w:t>
      </w:r>
      <w:r w:rsidR="00F365E2" w:rsidRPr="00577646">
        <w:t>todos los</w:t>
      </w:r>
      <w:r w:rsidR="00D65D77" w:rsidRPr="00577646">
        <w:t xml:space="preserve"> instrumentos se </w:t>
      </w:r>
      <w:r w:rsidR="00FE47F9" w:rsidRPr="00577646">
        <w:t>obt</w:t>
      </w:r>
      <w:r w:rsidR="00FE47F9">
        <w:t>uvo</w:t>
      </w:r>
      <w:r w:rsidR="00FE47F9" w:rsidRPr="00577646">
        <w:t xml:space="preserve"> </w:t>
      </w:r>
      <w:r w:rsidRPr="00577646">
        <w:t xml:space="preserve">un bajo nivel </w:t>
      </w:r>
      <w:r w:rsidR="006040C9" w:rsidRPr="00577646">
        <w:t>operativo</w:t>
      </w:r>
      <w:r w:rsidRPr="00577646">
        <w:t xml:space="preserve"> </w:t>
      </w:r>
      <w:r w:rsidR="00D65D77" w:rsidRPr="00577646">
        <w:t>de</w:t>
      </w:r>
      <w:r w:rsidRPr="00577646">
        <w:t xml:space="preserve"> los estudiantes </w:t>
      </w:r>
      <w:r w:rsidR="00543378" w:rsidRPr="00577646">
        <w:t>en el área de matemática</w:t>
      </w:r>
      <w:r w:rsidR="006040C9" w:rsidRPr="00577646">
        <w:t>s</w:t>
      </w:r>
      <w:r w:rsidRPr="00577646">
        <w:t xml:space="preserve">, </w:t>
      </w:r>
      <w:r w:rsidR="006040C9" w:rsidRPr="00577646">
        <w:t>lo</w:t>
      </w:r>
      <w:r w:rsidRPr="00577646">
        <w:t xml:space="preserve"> cual indica que las estrategias </w:t>
      </w:r>
      <w:r w:rsidR="006040C9" w:rsidRPr="00577646">
        <w:t xml:space="preserve">aplicadas </w:t>
      </w:r>
      <w:r w:rsidRPr="00577646">
        <w:t>en la trayectoria académica del alumno</w:t>
      </w:r>
      <w:r w:rsidR="00960BEA" w:rsidRPr="00577646">
        <w:t xml:space="preserve"> hasta el nivel medio superior</w:t>
      </w:r>
      <w:r w:rsidRPr="00577646">
        <w:t xml:space="preserve"> no han favorecido su desarrollo; en ese sentido, </w:t>
      </w:r>
      <w:r w:rsidR="006040C9" w:rsidRPr="00577646">
        <w:t xml:space="preserve">se </w:t>
      </w:r>
      <w:r w:rsidR="00652065" w:rsidRPr="00577646">
        <w:t xml:space="preserve">recomiendan </w:t>
      </w:r>
      <w:r w:rsidR="006040C9" w:rsidRPr="00577646">
        <w:t xml:space="preserve">actividades didácticas </w:t>
      </w:r>
      <w:r w:rsidR="006856CA" w:rsidRPr="00577646">
        <w:t xml:space="preserve">empleando tecnología </w:t>
      </w:r>
      <w:r w:rsidR="006040C9" w:rsidRPr="00577646">
        <w:t xml:space="preserve">diseñadas con </w:t>
      </w:r>
      <w:r w:rsidR="006856CA" w:rsidRPr="00577646">
        <w:t>la</w:t>
      </w:r>
      <w:r w:rsidR="006040C9" w:rsidRPr="00577646">
        <w:t xml:space="preserve"> intención </w:t>
      </w:r>
      <w:r w:rsidR="00F365E2" w:rsidRPr="00577646">
        <w:t>de</w:t>
      </w:r>
      <w:r w:rsidR="006040C9" w:rsidRPr="00577646">
        <w:t xml:space="preserve"> favorecer </w:t>
      </w:r>
      <w:r w:rsidRPr="00577646">
        <w:t>e</w:t>
      </w:r>
      <w:r w:rsidR="006040C9" w:rsidRPr="00577646">
        <w:t>l aprendizaje significativo y conceptual</w:t>
      </w:r>
      <w:r w:rsidR="00366852" w:rsidRPr="00577646">
        <w:t xml:space="preserve">, </w:t>
      </w:r>
      <w:r w:rsidR="00FE47F9">
        <w:t>para</w:t>
      </w:r>
      <w:r w:rsidR="006856CA" w:rsidRPr="00577646">
        <w:t xml:space="preserve"> fomentar un desempeño más acorde </w:t>
      </w:r>
      <w:r w:rsidR="00FE47F9">
        <w:t>con</w:t>
      </w:r>
      <w:r w:rsidR="00FE47F9" w:rsidRPr="00577646">
        <w:t xml:space="preserve"> </w:t>
      </w:r>
      <w:r w:rsidR="00366852" w:rsidRPr="00577646">
        <w:t>la</w:t>
      </w:r>
      <w:r w:rsidR="00960BEA" w:rsidRPr="00577646">
        <w:t>s características de la carrera profesional</w:t>
      </w:r>
      <w:r w:rsidR="00366852" w:rsidRPr="00577646">
        <w:t>.</w:t>
      </w:r>
      <w:r w:rsidRPr="00577646">
        <w:t xml:space="preserve"> </w:t>
      </w:r>
    </w:p>
    <w:p w14:paraId="75A2C596" w14:textId="77777777" w:rsidR="009A26E9" w:rsidRPr="0092133E" w:rsidRDefault="009A26E9" w:rsidP="00606A11">
      <w:pPr>
        <w:spacing w:before="240" w:line="360" w:lineRule="auto"/>
        <w:rPr>
          <w:b/>
          <w:color w:val="000000"/>
        </w:rPr>
      </w:pPr>
      <w:r w:rsidRPr="00606A11">
        <w:rPr>
          <w:rFonts w:ascii="Arial" w:eastAsiaTheme="minorEastAsia" w:hAnsi="Arial" w:cstheme="minorBidi"/>
          <w:b/>
        </w:rPr>
        <w:t>Palabras clave:</w:t>
      </w:r>
      <w:r w:rsidR="00EB020D">
        <w:rPr>
          <w:b/>
          <w:color w:val="000000"/>
        </w:rPr>
        <w:t xml:space="preserve"> </w:t>
      </w:r>
      <w:r w:rsidR="00FE47F9">
        <w:rPr>
          <w:color w:val="000000"/>
        </w:rPr>
        <w:t>c</w:t>
      </w:r>
      <w:r w:rsidR="00CB5FC3" w:rsidRPr="00ED6257">
        <w:rPr>
          <w:color w:val="000000"/>
        </w:rPr>
        <w:t xml:space="preserve">ompetencias, </w:t>
      </w:r>
      <w:r w:rsidR="00FE47F9">
        <w:rPr>
          <w:color w:val="000000"/>
        </w:rPr>
        <w:t>e</w:t>
      </w:r>
      <w:r w:rsidR="00C76915" w:rsidRPr="00ED6257">
        <w:rPr>
          <w:color w:val="000000"/>
        </w:rPr>
        <w:t xml:space="preserve">studiante universitario, </w:t>
      </w:r>
      <w:r w:rsidR="00FE47F9">
        <w:rPr>
          <w:color w:val="000000"/>
        </w:rPr>
        <w:t>i</w:t>
      </w:r>
      <w:r w:rsidR="008E47E5">
        <w:rPr>
          <w:color w:val="000000"/>
        </w:rPr>
        <w:t xml:space="preserve">ngeniería, </w:t>
      </w:r>
      <w:r w:rsidR="00FE47F9">
        <w:rPr>
          <w:color w:val="000000"/>
        </w:rPr>
        <w:t>m</w:t>
      </w:r>
      <w:r w:rsidR="00CB5FC3" w:rsidRPr="00ED6257">
        <w:rPr>
          <w:color w:val="000000"/>
        </w:rPr>
        <w:t>atemáticas.</w:t>
      </w:r>
    </w:p>
    <w:p w14:paraId="0082FA8A" w14:textId="77777777" w:rsidR="009A26E9" w:rsidRPr="00606A11" w:rsidRDefault="009A26E9" w:rsidP="00606A11">
      <w:pPr>
        <w:spacing w:before="240" w:line="360" w:lineRule="auto"/>
        <w:rPr>
          <w:rFonts w:ascii="Arial" w:eastAsiaTheme="minorEastAsia" w:hAnsi="Arial" w:cstheme="minorBidi"/>
          <w:b/>
        </w:rPr>
      </w:pPr>
      <w:proofErr w:type="spellStart"/>
      <w:r w:rsidRPr="00606A11">
        <w:rPr>
          <w:rFonts w:ascii="Arial" w:eastAsiaTheme="minorEastAsia" w:hAnsi="Arial" w:cstheme="minorBidi"/>
          <w:b/>
        </w:rPr>
        <w:t>Abstract</w:t>
      </w:r>
      <w:proofErr w:type="spellEnd"/>
    </w:p>
    <w:p w14:paraId="3BD23B1A" w14:textId="77777777" w:rsidR="00F616E7" w:rsidRPr="0066529C" w:rsidRDefault="00F616E7" w:rsidP="00606A11">
      <w:pPr>
        <w:spacing w:before="240" w:line="360" w:lineRule="auto"/>
        <w:jc w:val="both"/>
        <w:rPr>
          <w:color w:val="000000"/>
          <w:lang w:val="en-US"/>
        </w:rPr>
      </w:pPr>
      <w:r w:rsidRPr="00F616E7">
        <w:rPr>
          <w:color w:val="000000"/>
          <w:lang w:val="en-US"/>
        </w:rPr>
        <w:t xml:space="preserve">The present work shows the correlation data about verbal reasoning, mathematical logic, analytical thinking and functional thinking, considered as mathematical competences in standardized tests, with respect to the initial mathematical knowledge that mark the curricula for students entering the race again of Engineering in Computing of the </w:t>
      </w:r>
      <w:r>
        <w:rPr>
          <w:color w:val="000000"/>
          <w:lang w:val="en-US"/>
        </w:rPr>
        <w:t>Cent</w:t>
      </w:r>
      <w:r w:rsidRPr="00F616E7">
        <w:rPr>
          <w:color w:val="000000"/>
          <w:lang w:val="en-US"/>
        </w:rPr>
        <w:t>r</w:t>
      </w:r>
      <w:r>
        <w:rPr>
          <w:color w:val="000000"/>
          <w:lang w:val="en-US"/>
        </w:rPr>
        <w:t xml:space="preserve">o </w:t>
      </w:r>
      <w:proofErr w:type="spellStart"/>
      <w:r>
        <w:rPr>
          <w:color w:val="000000"/>
          <w:lang w:val="en-US"/>
        </w:rPr>
        <w:t>Universitario</w:t>
      </w:r>
      <w:proofErr w:type="spellEnd"/>
      <w:r>
        <w:rPr>
          <w:color w:val="000000"/>
          <w:lang w:val="en-US"/>
        </w:rPr>
        <w:t xml:space="preserve"> </w:t>
      </w:r>
      <w:r w:rsidRPr="00F616E7">
        <w:rPr>
          <w:color w:val="000000"/>
          <w:lang w:val="en-US"/>
        </w:rPr>
        <w:t xml:space="preserve">Valle de </w:t>
      </w:r>
      <w:proofErr w:type="spellStart"/>
      <w:r w:rsidRPr="00F616E7">
        <w:rPr>
          <w:color w:val="000000"/>
          <w:lang w:val="en-US"/>
        </w:rPr>
        <w:t>Chalco</w:t>
      </w:r>
      <w:proofErr w:type="spellEnd"/>
      <w:r w:rsidRPr="00F616E7">
        <w:rPr>
          <w:color w:val="000000"/>
          <w:lang w:val="en-US"/>
        </w:rPr>
        <w:t xml:space="preserve">, of the </w:t>
      </w:r>
      <w:r>
        <w:rPr>
          <w:color w:val="000000"/>
          <w:lang w:val="en-US"/>
        </w:rPr>
        <w:t xml:space="preserve">Universidad </w:t>
      </w:r>
      <w:proofErr w:type="spellStart"/>
      <w:r>
        <w:rPr>
          <w:color w:val="000000"/>
          <w:lang w:val="en-US"/>
        </w:rPr>
        <w:t>Autónoma</w:t>
      </w:r>
      <w:proofErr w:type="spellEnd"/>
      <w:r>
        <w:rPr>
          <w:color w:val="000000"/>
          <w:lang w:val="en-US"/>
        </w:rPr>
        <w:t xml:space="preserve"> del Estado de México</w:t>
      </w:r>
      <w:r w:rsidRPr="00F616E7">
        <w:rPr>
          <w:color w:val="000000"/>
          <w:lang w:val="en-US"/>
        </w:rPr>
        <w:t xml:space="preserve">, in 2017, coming from different educational institutions of middle level superior of the State of Mexico. The results of the CENEVAL undergraduate entrance exam, from PLANEA for Valle de Chalco and from PISA, were taken and correlated with a 29-item diagnostic tool that includes the prerequisites of the curricula of the subjects of the </w:t>
      </w:r>
      <w:r>
        <w:rPr>
          <w:color w:val="000000"/>
          <w:lang w:val="en-US"/>
        </w:rPr>
        <w:t xml:space="preserve">first semester of the area of </w:t>
      </w:r>
      <w:r w:rsidRPr="00F616E7">
        <w:rPr>
          <w:color w:val="000000"/>
          <w:lang w:val="en-US"/>
        </w:rPr>
        <w:t>mathematics</w:t>
      </w:r>
      <w:r w:rsidR="00FE47F9">
        <w:rPr>
          <w:color w:val="000000"/>
          <w:lang w:val="en-US"/>
        </w:rPr>
        <w:t xml:space="preserve">; </w:t>
      </w:r>
      <w:r w:rsidRPr="00F616E7">
        <w:rPr>
          <w:color w:val="000000"/>
          <w:lang w:val="en-US"/>
        </w:rPr>
        <w:t>basic knowledge of arithmetic, algebra, analytical geometry and differential calculus</w:t>
      </w:r>
      <w:r w:rsidR="00FE47F9">
        <w:rPr>
          <w:color w:val="000000"/>
          <w:lang w:val="en-US"/>
        </w:rPr>
        <w:t xml:space="preserve"> was evaluated</w:t>
      </w:r>
      <w:r w:rsidRPr="00F616E7">
        <w:rPr>
          <w:color w:val="000000"/>
          <w:lang w:val="en-US"/>
        </w:rPr>
        <w:t>; 50% of the population of engineering students was considered. There is a significant difference between the knowledge in mathematics required for entrance to engineering and the contents in the EXANI, assessed by means of a Pearson correlation and a comparison of means by t student. In all the instruments a low operational level o</w:t>
      </w:r>
      <w:r w:rsidR="00C45B71">
        <w:rPr>
          <w:color w:val="000000"/>
          <w:lang w:val="en-US"/>
        </w:rPr>
        <w:t xml:space="preserve">f the students in the area of </w:t>
      </w:r>
      <w:r w:rsidRPr="00F616E7">
        <w:rPr>
          <w:color w:val="000000"/>
          <w:lang w:val="en-US"/>
        </w:rPr>
        <w:t xml:space="preserve">mathematics is obtained, which indicates that the strategies applied in the academic trajectory of the student to the average superior level have not favored its development; in this sense, it is recommended to use didactic activities using technology </w:t>
      </w:r>
      <w:r w:rsidRPr="00F616E7">
        <w:rPr>
          <w:color w:val="000000"/>
          <w:lang w:val="en-US"/>
        </w:rPr>
        <w:lastRenderedPageBreak/>
        <w:t xml:space="preserve">designed with the intention of favoring meaningful and conceptual learning, and thus to promote a performance more in line with the characteristics of the professional </w:t>
      </w:r>
      <w:r w:rsidR="00EA1D5F">
        <w:rPr>
          <w:color w:val="000000"/>
          <w:lang w:val="en-US"/>
        </w:rPr>
        <w:t>degree</w:t>
      </w:r>
      <w:r w:rsidRPr="00F616E7">
        <w:rPr>
          <w:color w:val="000000"/>
          <w:lang w:val="en-US"/>
        </w:rPr>
        <w:t>.</w:t>
      </w:r>
    </w:p>
    <w:p w14:paraId="0B322C6A" w14:textId="77777777" w:rsidR="009A26E9" w:rsidRPr="0066529C" w:rsidRDefault="00C45B71" w:rsidP="00606A11">
      <w:pPr>
        <w:spacing w:before="240" w:line="360" w:lineRule="auto"/>
        <w:rPr>
          <w:b/>
          <w:color w:val="000000"/>
          <w:lang w:val="en-US"/>
        </w:rPr>
      </w:pPr>
      <w:r w:rsidRPr="00606A11">
        <w:rPr>
          <w:rFonts w:ascii="Arial" w:eastAsiaTheme="minorEastAsia" w:hAnsi="Arial" w:cstheme="minorBidi"/>
          <w:b/>
        </w:rPr>
        <w:t>Key</w:t>
      </w:r>
      <w:r w:rsidR="0092133E" w:rsidRPr="00606A11">
        <w:rPr>
          <w:rFonts w:ascii="Arial" w:eastAsiaTheme="minorEastAsia" w:hAnsi="Arial" w:cstheme="minorBidi"/>
          <w:b/>
        </w:rPr>
        <w:t>words:</w:t>
      </w:r>
      <w:r w:rsidR="00665DED" w:rsidRPr="0066529C">
        <w:rPr>
          <w:b/>
          <w:color w:val="000000"/>
          <w:lang w:val="en-US"/>
        </w:rPr>
        <w:t xml:space="preserve"> </w:t>
      </w:r>
      <w:r w:rsidR="00FE47F9">
        <w:rPr>
          <w:color w:val="000000"/>
          <w:lang w:val="en-US"/>
        </w:rPr>
        <w:t>c</w:t>
      </w:r>
      <w:r w:rsidR="00C65934" w:rsidRPr="00C65934">
        <w:rPr>
          <w:color w:val="000000"/>
          <w:lang w:val="en-US"/>
        </w:rPr>
        <w:t xml:space="preserve">ompetencies, </w:t>
      </w:r>
      <w:r w:rsidR="00FE47F9">
        <w:rPr>
          <w:color w:val="000000"/>
          <w:lang w:val="en-US"/>
        </w:rPr>
        <w:t>u</w:t>
      </w:r>
      <w:r w:rsidR="00C65934" w:rsidRPr="00C65934">
        <w:rPr>
          <w:color w:val="000000"/>
          <w:lang w:val="en-US"/>
        </w:rPr>
        <w:t xml:space="preserve">niversity student, </w:t>
      </w:r>
      <w:r w:rsidR="00FE47F9">
        <w:rPr>
          <w:color w:val="000000"/>
          <w:lang w:val="en-US"/>
        </w:rPr>
        <w:t>e</w:t>
      </w:r>
      <w:r w:rsidR="00C65934" w:rsidRPr="00C65934">
        <w:rPr>
          <w:color w:val="000000"/>
          <w:lang w:val="en-US"/>
        </w:rPr>
        <w:t xml:space="preserve">ngineering, </w:t>
      </w:r>
      <w:r w:rsidR="00FE47F9">
        <w:rPr>
          <w:color w:val="000000"/>
          <w:lang w:val="en-US"/>
        </w:rPr>
        <w:t>m</w:t>
      </w:r>
      <w:r w:rsidR="00C65934" w:rsidRPr="00C65934">
        <w:rPr>
          <w:color w:val="000000"/>
          <w:lang w:val="en-US"/>
        </w:rPr>
        <w:t>athematics.</w:t>
      </w:r>
    </w:p>
    <w:p w14:paraId="1EDEA6E4" w14:textId="77777777" w:rsidR="0092133E" w:rsidRPr="00606A11" w:rsidRDefault="00606A11" w:rsidP="00606A11">
      <w:pPr>
        <w:spacing w:before="240" w:line="360" w:lineRule="auto"/>
        <w:rPr>
          <w:rFonts w:ascii="Arial" w:eastAsiaTheme="minorEastAsia" w:hAnsi="Arial" w:cstheme="minorBidi"/>
          <w:b/>
        </w:rPr>
      </w:pPr>
      <w:r w:rsidRPr="00606A11">
        <w:rPr>
          <w:rFonts w:ascii="Arial" w:eastAsiaTheme="minorEastAsia" w:hAnsi="Arial" w:cstheme="minorBidi"/>
          <w:b/>
        </w:rPr>
        <w:t>Resumo</w:t>
      </w:r>
    </w:p>
    <w:p w14:paraId="5EB53E23" w14:textId="77777777" w:rsidR="00606A11" w:rsidRPr="00606A11" w:rsidRDefault="00606A11" w:rsidP="00125A18">
      <w:pPr>
        <w:spacing w:before="240" w:line="360" w:lineRule="auto"/>
        <w:jc w:val="both"/>
        <w:rPr>
          <w:color w:val="000000"/>
          <w:lang w:val="en-US"/>
        </w:rPr>
      </w:pPr>
      <w:r w:rsidRPr="00606A11">
        <w:rPr>
          <w:color w:val="000000"/>
          <w:lang w:val="en-US"/>
        </w:rPr>
        <w:t xml:space="preserve">Este </w:t>
      </w:r>
      <w:proofErr w:type="spellStart"/>
      <w:r w:rsidRPr="00606A11">
        <w:rPr>
          <w:color w:val="000000"/>
          <w:lang w:val="en-US"/>
        </w:rPr>
        <w:t>artigo</w:t>
      </w:r>
      <w:proofErr w:type="spellEnd"/>
      <w:r w:rsidRPr="00606A11">
        <w:rPr>
          <w:color w:val="000000"/>
          <w:lang w:val="en-US"/>
        </w:rPr>
        <w:t xml:space="preserve"> </w:t>
      </w:r>
      <w:proofErr w:type="spellStart"/>
      <w:r w:rsidRPr="00606A11">
        <w:rPr>
          <w:color w:val="000000"/>
          <w:lang w:val="en-US"/>
        </w:rPr>
        <w:t>mostra</w:t>
      </w:r>
      <w:proofErr w:type="spellEnd"/>
      <w:r w:rsidRPr="00606A11">
        <w:rPr>
          <w:color w:val="000000"/>
          <w:lang w:val="en-US"/>
        </w:rPr>
        <w:t xml:space="preserve"> </w:t>
      </w:r>
      <w:proofErr w:type="spellStart"/>
      <w:r w:rsidRPr="00606A11">
        <w:rPr>
          <w:color w:val="000000"/>
          <w:lang w:val="en-US"/>
        </w:rPr>
        <w:t>os</w:t>
      </w:r>
      <w:proofErr w:type="spellEnd"/>
      <w:r w:rsidRPr="00606A11">
        <w:rPr>
          <w:color w:val="000000"/>
          <w:lang w:val="en-US"/>
        </w:rPr>
        <w:t xml:space="preserve"> dados de </w:t>
      </w:r>
      <w:proofErr w:type="spellStart"/>
      <w:r w:rsidRPr="00606A11">
        <w:rPr>
          <w:color w:val="000000"/>
          <w:lang w:val="en-US"/>
        </w:rPr>
        <w:t>correlação</w:t>
      </w:r>
      <w:proofErr w:type="spellEnd"/>
      <w:r w:rsidRPr="00606A11">
        <w:rPr>
          <w:color w:val="000000"/>
          <w:lang w:val="en-US"/>
        </w:rPr>
        <w:t xml:space="preserve"> </w:t>
      </w:r>
      <w:proofErr w:type="spellStart"/>
      <w:r w:rsidRPr="00606A11">
        <w:rPr>
          <w:color w:val="000000"/>
          <w:lang w:val="en-US"/>
        </w:rPr>
        <w:t>sobre</w:t>
      </w:r>
      <w:proofErr w:type="spellEnd"/>
      <w:r w:rsidRPr="00606A11">
        <w:rPr>
          <w:color w:val="000000"/>
          <w:lang w:val="en-US"/>
        </w:rPr>
        <w:t xml:space="preserve"> </w:t>
      </w:r>
      <w:proofErr w:type="spellStart"/>
      <w:r w:rsidRPr="00606A11">
        <w:rPr>
          <w:color w:val="000000"/>
          <w:lang w:val="en-US"/>
        </w:rPr>
        <w:t>raciocínio</w:t>
      </w:r>
      <w:proofErr w:type="spellEnd"/>
      <w:r w:rsidRPr="00606A11">
        <w:rPr>
          <w:color w:val="000000"/>
          <w:lang w:val="en-US"/>
        </w:rPr>
        <w:t xml:space="preserve"> verbal, </w:t>
      </w:r>
      <w:proofErr w:type="spellStart"/>
      <w:r w:rsidRPr="00606A11">
        <w:rPr>
          <w:color w:val="000000"/>
          <w:lang w:val="en-US"/>
        </w:rPr>
        <w:t>lógica</w:t>
      </w:r>
      <w:proofErr w:type="spellEnd"/>
      <w:r w:rsidRPr="00606A11">
        <w:rPr>
          <w:color w:val="000000"/>
          <w:lang w:val="en-US"/>
        </w:rPr>
        <w:t xml:space="preserve"> </w:t>
      </w:r>
      <w:proofErr w:type="spellStart"/>
      <w:r w:rsidRPr="00606A11">
        <w:rPr>
          <w:color w:val="000000"/>
          <w:lang w:val="en-US"/>
        </w:rPr>
        <w:t>matemática</w:t>
      </w:r>
      <w:proofErr w:type="spellEnd"/>
      <w:r w:rsidRPr="00606A11">
        <w:rPr>
          <w:color w:val="000000"/>
          <w:lang w:val="en-US"/>
        </w:rPr>
        <w:t xml:space="preserve">, </w:t>
      </w:r>
      <w:proofErr w:type="spellStart"/>
      <w:r w:rsidRPr="00606A11">
        <w:rPr>
          <w:color w:val="000000"/>
          <w:lang w:val="en-US"/>
        </w:rPr>
        <w:t>pensamento</w:t>
      </w:r>
      <w:proofErr w:type="spellEnd"/>
      <w:r w:rsidRPr="00606A11">
        <w:rPr>
          <w:color w:val="000000"/>
          <w:lang w:val="en-US"/>
        </w:rPr>
        <w:t xml:space="preserve"> </w:t>
      </w:r>
      <w:proofErr w:type="spellStart"/>
      <w:r w:rsidRPr="00606A11">
        <w:rPr>
          <w:color w:val="000000"/>
          <w:lang w:val="en-US"/>
        </w:rPr>
        <w:t>analítico</w:t>
      </w:r>
      <w:proofErr w:type="spellEnd"/>
      <w:r w:rsidRPr="00606A11">
        <w:rPr>
          <w:color w:val="000000"/>
          <w:lang w:val="en-US"/>
        </w:rPr>
        <w:t xml:space="preserve"> e </w:t>
      </w:r>
      <w:proofErr w:type="spellStart"/>
      <w:r w:rsidRPr="00606A11">
        <w:rPr>
          <w:color w:val="000000"/>
          <w:lang w:val="en-US"/>
        </w:rPr>
        <w:t>pensamento</w:t>
      </w:r>
      <w:proofErr w:type="spellEnd"/>
      <w:r w:rsidRPr="00606A11">
        <w:rPr>
          <w:color w:val="000000"/>
          <w:lang w:val="en-US"/>
        </w:rPr>
        <w:t xml:space="preserve"> </w:t>
      </w:r>
      <w:proofErr w:type="spellStart"/>
      <w:r w:rsidRPr="00606A11">
        <w:rPr>
          <w:color w:val="000000"/>
          <w:lang w:val="en-US"/>
        </w:rPr>
        <w:t>funcional</w:t>
      </w:r>
      <w:proofErr w:type="spellEnd"/>
      <w:r w:rsidRPr="00606A11">
        <w:rPr>
          <w:color w:val="000000"/>
          <w:lang w:val="en-US"/>
        </w:rPr>
        <w:t xml:space="preserve">, </w:t>
      </w:r>
      <w:proofErr w:type="spellStart"/>
      <w:r w:rsidRPr="00606A11">
        <w:rPr>
          <w:color w:val="000000"/>
          <w:lang w:val="en-US"/>
        </w:rPr>
        <w:t>considerados</w:t>
      </w:r>
      <w:proofErr w:type="spellEnd"/>
      <w:r w:rsidRPr="00606A11">
        <w:rPr>
          <w:color w:val="000000"/>
          <w:lang w:val="en-US"/>
        </w:rPr>
        <w:t xml:space="preserve"> </w:t>
      </w:r>
      <w:proofErr w:type="spellStart"/>
      <w:r w:rsidRPr="00606A11">
        <w:rPr>
          <w:color w:val="000000"/>
          <w:lang w:val="en-US"/>
        </w:rPr>
        <w:t>como</w:t>
      </w:r>
      <w:proofErr w:type="spellEnd"/>
      <w:r w:rsidRPr="00606A11">
        <w:rPr>
          <w:color w:val="000000"/>
          <w:lang w:val="en-US"/>
        </w:rPr>
        <w:t xml:space="preserve"> </w:t>
      </w:r>
      <w:proofErr w:type="spellStart"/>
      <w:r w:rsidRPr="00606A11">
        <w:rPr>
          <w:color w:val="000000"/>
          <w:lang w:val="en-US"/>
        </w:rPr>
        <w:t>competências</w:t>
      </w:r>
      <w:proofErr w:type="spellEnd"/>
      <w:r w:rsidRPr="00606A11">
        <w:rPr>
          <w:color w:val="000000"/>
          <w:lang w:val="en-US"/>
        </w:rPr>
        <w:t xml:space="preserve"> </w:t>
      </w:r>
      <w:proofErr w:type="spellStart"/>
      <w:r w:rsidRPr="00606A11">
        <w:rPr>
          <w:color w:val="000000"/>
          <w:lang w:val="en-US"/>
        </w:rPr>
        <w:t>matemáticas</w:t>
      </w:r>
      <w:proofErr w:type="spellEnd"/>
      <w:r w:rsidRPr="00606A11">
        <w:rPr>
          <w:color w:val="000000"/>
          <w:lang w:val="en-US"/>
        </w:rPr>
        <w:t xml:space="preserve"> </w:t>
      </w:r>
      <w:proofErr w:type="spellStart"/>
      <w:r w:rsidRPr="00606A11">
        <w:rPr>
          <w:color w:val="000000"/>
          <w:lang w:val="en-US"/>
        </w:rPr>
        <w:t>em</w:t>
      </w:r>
      <w:proofErr w:type="spellEnd"/>
      <w:r w:rsidRPr="00606A11">
        <w:rPr>
          <w:color w:val="000000"/>
          <w:lang w:val="en-US"/>
        </w:rPr>
        <w:t xml:space="preserve"> testes </w:t>
      </w:r>
      <w:proofErr w:type="spellStart"/>
      <w:r w:rsidRPr="00606A11">
        <w:rPr>
          <w:color w:val="000000"/>
          <w:lang w:val="en-US"/>
        </w:rPr>
        <w:t>padronizados</w:t>
      </w:r>
      <w:proofErr w:type="spellEnd"/>
      <w:r w:rsidRPr="00606A11">
        <w:rPr>
          <w:color w:val="000000"/>
          <w:lang w:val="en-US"/>
        </w:rPr>
        <w:t xml:space="preserve">, </w:t>
      </w:r>
      <w:proofErr w:type="spellStart"/>
      <w:r w:rsidRPr="00606A11">
        <w:rPr>
          <w:color w:val="000000"/>
          <w:lang w:val="en-US"/>
        </w:rPr>
        <w:t>em</w:t>
      </w:r>
      <w:proofErr w:type="spellEnd"/>
      <w:r w:rsidRPr="00606A11">
        <w:rPr>
          <w:color w:val="000000"/>
          <w:lang w:val="en-US"/>
        </w:rPr>
        <w:t xml:space="preserve"> </w:t>
      </w:r>
      <w:proofErr w:type="spellStart"/>
      <w:r w:rsidRPr="00606A11">
        <w:rPr>
          <w:color w:val="000000"/>
          <w:lang w:val="en-US"/>
        </w:rPr>
        <w:t>relação</w:t>
      </w:r>
      <w:proofErr w:type="spellEnd"/>
      <w:r w:rsidRPr="00606A11">
        <w:rPr>
          <w:color w:val="000000"/>
          <w:lang w:val="en-US"/>
        </w:rPr>
        <w:t xml:space="preserve"> </w:t>
      </w:r>
      <w:proofErr w:type="spellStart"/>
      <w:r w:rsidRPr="00606A11">
        <w:rPr>
          <w:color w:val="000000"/>
          <w:lang w:val="en-US"/>
        </w:rPr>
        <w:t>ao</w:t>
      </w:r>
      <w:proofErr w:type="spellEnd"/>
      <w:r w:rsidRPr="00606A11">
        <w:rPr>
          <w:color w:val="000000"/>
          <w:lang w:val="en-US"/>
        </w:rPr>
        <w:t xml:space="preserve"> </w:t>
      </w:r>
      <w:proofErr w:type="spellStart"/>
      <w:r w:rsidRPr="00606A11">
        <w:rPr>
          <w:color w:val="000000"/>
          <w:lang w:val="en-US"/>
        </w:rPr>
        <w:t>conhecimento</w:t>
      </w:r>
      <w:proofErr w:type="spellEnd"/>
      <w:r w:rsidRPr="00606A11">
        <w:rPr>
          <w:color w:val="000000"/>
          <w:lang w:val="en-US"/>
        </w:rPr>
        <w:t xml:space="preserve"> </w:t>
      </w:r>
      <w:proofErr w:type="spellStart"/>
      <w:r w:rsidRPr="00606A11">
        <w:rPr>
          <w:color w:val="000000"/>
          <w:lang w:val="en-US"/>
        </w:rPr>
        <w:t>matemático</w:t>
      </w:r>
      <w:proofErr w:type="spellEnd"/>
      <w:r w:rsidRPr="00606A11">
        <w:rPr>
          <w:color w:val="000000"/>
          <w:lang w:val="en-US"/>
        </w:rPr>
        <w:t xml:space="preserve"> </w:t>
      </w:r>
      <w:proofErr w:type="spellStart"/>
      <w:r w:rsidRPr="00606A11">
        <w:rPr>
          <w:color w:val="000000"/>
          <w:lang w:val="en-US"/>
        </w:rPr>
        <w:t>inicial</w:t>
      </w:r>
      <w:proofErr w:type="spellEnd"/>
      <w:r w:rsidRPr="00606A11">
        <w:rPr>
          <w:color w:val="000000"/>
          <w:lang w:val="en-US"/>
        </w:rPr>
        <w:t xml:space="preserve"> que </w:t>
      </w:r>
      <w:proofErr w:type="spellStart"/>
      <w:r w:rsidRPr="00606A11">
        <w:rPr>
          <w:color w:val="000000"/>
          <w:lang w:val="en-US"/>
        </w:rPr>
        <w:t>marca</w:t>
      </w:r>
      <w:proofErr w:type="spellEnd"/>
      <w:r w:rsidRPr="00606A11">
        <w:rPr>
          <w:color w:val="000000"/>
          <w:lang w:val="en-US"/>
        </w:rPr>
        <w:t xml:space="preserve"> </w:t>
      </w:r>
      <w:proofErr w:type="spellStart"/>
      <w:r w:rsidRPr="00606A11">
        <w:rPr>
          <w:color w:val="000000"/>
          <w:lang w:val="en-US"/>
        </w:rPr>
        <w:t>os</w:t>
      </w:r>
      <w:proofErr w:type="spellEnd"/>
      <w:r w:rsidRPr="00606A11">
        <w:rPr>
          <w:color w:val="000000"/>
          <w:lang w:val="en-US"/>
        </w:rPr>
        <w:t xml:space="preserve"> </w:t>
      </w:r>
      <w:proofErr w:type="spellStart"/>
      <w:r w:rsidRPr="00606A11">
        <w:rPr>
          <w:color w:val="000000"/>
          <w:lang w:val="en-US"/>
        </w:rPr>
        <w:t>programas</w:t>
      </w:r>
      <w:proofErr w:type="spellEnd"/>
      <w:r w:rsidRPr="00606A11">
        <w:rPr>
          <w:color w:val="000000"/>
          <w:lang w:val="en-US"/>
        </w:rPr>
        <w:t xml:space="preserve"> de </w:t>
      </w:r>
      <w:proofErr w:type="spellStart"/>
      <w:r w:rsidRPr="00606A11">
        <w:rPr>
          <w:color w:val="000000"/>
          <w:lang w:val="en-US"/>
        </w:rPr>
        <w:t>estudo</w:t>
      </w:r>
      <w:proofErr w:type="spellEnd"/>
      <w:r w:rsidRPr="00606A11">
        <w:rPr>
          <w:color w:val="000000"/>
          <w:lang w:val="en-US"/>
        </w:rPr>
        <w:t xml:space="preserve"> para </w:t>
      </w:r>
      <w:proofErr w:type="spellStart"/>
      <w:r w:rsidRPr="00606A11">
        <w:rPr>
          <w:color w:val="000000"/>
          <w:lang w:val="en-US"/>
        </w:rPr>
        <w:t>novos</w:t>
      </w:r>
      <w:proofErr w:type="spellEnd"/>
      <w:r w:rsidRPr="00606A11">
        <w:rPr>
          <w:color w:val="000000"/>
          <w:lang w:val="en-US"/>
        </w:rPr>
        <w:t xml:space="preserve"> </w:t>
      </w:r>
      <w:proofErr w:type="spellStart"/>
      <w:r w:rsidRPr="00606A11">
        <w:rPr>
          <w:color w:val="000000"/>
          <w:lang w:val="en-US"/>
        </w:rPr>
        <w:t>alunos</w:t>
      </w:r>
      <w:proofErr w:type="spellEnd"/>
      <w:r w:rsidRPr="00606A11">
        <w:rPr>
          <w:color w:val="000000"/>
          <w:lang w:val="en-US"/>
        </w:rPr>
        <w:t xml:space="preserve"> que </w:t>
      </w:r>
      <w:proofErr w:type="spellStart"/>
      <w:r w:rsidRPr="00606A11">
        <w:rPr>
          <w:color w:val="000000"/>
          <w:lang w:val="en-US"/>
        </w:rPr>
        <w:t>entram</w:t>
      </w:r>
      <w:proofErr w:type="spellEnd"/>
      <w:r w:rsidRPr="00606A11">
        <w:rPr>
          <w:color w:val="000000"/>
          <w:lang w:val="en-US"/>
        </w:rPr>
        <w:t xml:space="preserve"> </w:t>
      </w:r>
      <w:proofErr w:type="spellStart"/>
      <w:r w:rsidRPr="00606A11">
        <w:rPr>
          <w:color w:val="000000"/>
          <w:lang w:val="en-US"/>
        </w:rPr>
        <w:t>na</w:t>
      </w:r>
      <w:proofErr w:type="spellEnd"/>
      <w:r w:rsidRPr="00606A11">
        <w:rPr>
          <w:color w:val="000000"/>
          <w:lang w:val="en-US"/>
        </w:rPr>
        <w:t xml:space="preserve"> corrida de </w:t>
      </w:r>
      <w:proofErr w:type="spellStart"/>
      <w:r w:rsidRPr="00606A11">
        <w:rPr>
          <w:color w:val="000000"/>
          <w:lang w:val="en-US"/>
        </w:rPr>
        <w:t>Engenharia</w:t>
      </w:r>
      <w:proofErr w:type="spellEnd"/>
      <w:r w:rsidRPr="00606A11">
        <w:rPr>
          <w:color w:val="000000"/>
          <w:lang w:val="en-US"/>
        </w:rPr>
        <w:t xml:space="preserve"> </w:t>
      </w:r>
      <w:proofErr w:type="spellStart"/>
      <w:r w:rsidRPr="00606A11">
        <w:rPr>
          <w:color w:val="000000"/>
          <w:lang w:val="en-US"/>
        </w:rPr>
        <w:t>Informática</w:t>
      </w:r>
      <w:proofErr w:type="spellEnd"/>
      <w:r w:rsidRPr="00606A11">
        <w:rPr>
          <w:color w:val="000000"/>
          <w:lang w:val="en-US"/>
        </w:rPr>
        <w:t xml:space="preserve"> do Centro </w:t>
      </w:r>
      <w:proofErr w:type="spellStart"/>
      <w:r w:rsidRPr="00606A11">
        <w:rPr>
          <w:color w:val="000000"/>
          <w:lang w:val="en-US"/>
        </w:rPr>
        <w:t>Universitário</w:t>
      </w:r>
      <w:proofErr w:type="spellEnd"/>
      <w:r w:rsidRPr="00606A11">
        <w:rPr>
          <w:color w:val="000000"/>
          <w:lang w:val="en-US"/>
        </w:rPr>
        <w:t xml:space="preserve"> Valle de </w:t>
      </w:r>
      <w:proofErr w:type="spellStart"/>
      <w:r w:rsidRPr="00606A11">
        <w:rPr>
          <w:color w:val="000000"/>
          <w:lang w:val="en-US"/>
        </w:rPr>
        <w:t>Chalco</w:t>
      </w:r>
      <w:proofErr w:type="spellEnd"/>
      <w:r w:rsidRPr="00606A11">
        <w:rPr>
          <w:color w:val="000000"/>
          <w:lang w:val="en-US"/>
        </w:rPr>
        <w:t xml:space="preserve">, da </w:t>
      </w:r>
      <w:proofErr w:type="spellStart"/>
      <w:r w:rsidRPr="00606A11">
        <w:rPr>
          <w:color w:val="000000"/>
          <w:lang w:val="en-US"/>
        </w:rPr>
        <w:t>Universidade</w:t>
      </w:r>
      <w:proofErr w:type="spellEnd"/>
      <w:r w:rsidRPr="00606A11">
        <w:rPr>
          <w:color w:val="000000"/>
          <w:lang w:val="en-US"/>
        </w:rPr>
        <w:t xml:space="preserve"> </w:t>
      </w:r>
      <w:proofErr w:type="spellStart"/>
      <w:r w:rsidRPr="00606A11">
        <w:rPr>
          <w:color w:val="000000"/>
          <w:lang w:val="en-US"/>
        </w:rPr>
        <w:t>Autônoma</w:t>
      </w:r>
      <w:proofErr w:type="spellEnd"/>
      <w:r w:rsidRPr="00606A11">
        <w:rPr>
          <w:color w:val="000000"/>
          <w:lang w:val="en-US"/>
        </w:rPr>
        <w:t xml:space="preserve"> do Estado do México, </w:t>
      </w:r>
      <w:proofErr w:type="spellStart"/>
      <w:r w:rsidRPr="00606A11">
        <w:rPr>
          <w:color w:val="000000"/>
          <w:lang w:val="en-US"/>
        </w:rPr>
        <w:t>em</w:t>
      </w:r>
      <w:proofErr w:type="spellEnd"/>
      <w:r w:rsidRPr="00606A11">
        <w:rPr>
          <w:color w:val="000000"/>
          <w:lang w:val="en-US"/>
        </w:rPr>
        <w:t xml:space="preserve"> 2017, de </w:t>
      </w:r>
      <w:proofErr w:type="spellStart"/>
      <w:r w:rsidRPr="00606A11">
        <w:rPr>
          <w:color w:val="000000"/>
          <w:lang w:val="en-US"/>
        </w:rPr>
        <w:t>diferentes</w:t>
      </w:r>
      <w:proofErr w:type="spellEnd"/>
      <w:r w:rsidRPr="00606A11">
        <w:rPr>
          <w:color w:val="000000"/>
          <w:lang w:val="en-US"/>
        </w:rPr>
        <w:t xml:space="preserve"> </w:t>
      </w:r>
      <w:proofErr w:type="spellStart"/>
      <w:r w:rsidRPr="00606A11">
        <w:rPr>
          <w:color w:val="000000"/>
          <w:lang w:val="en-US"/>
        </w:rPr>
        <w:t>instituições</w:t>
      </w:r>
      <w:proofErr w:type="spellEnd"/>
      <w:r w:rsidRPr="00606A11">
        <w:rPr>
          <w:color w:val="000000"/>
          <w:lang w:val="en-US"/>
        </w:rPr>
        <w:t xml:space="preserve"> de </w:t>
      </w:r>
      <w:proofErr w:type="spellStart"/>
      <w:r w:rsidRPr="00606A11">
        <w:rPr>
          <w:color w:val="000000"/>
          <w:lang w:val="en-US"/>
        </w:rPr>
        <w:t>ensino</w:t>
      </w:r>
      <w:proofErr w:type="spellEnd"/>
      <w:r w:rsidRPr="00606A11">
        <w:rPr>
          <w:color w:val="000000"/>
          <w:lang w:val="en-US"/>
        </w:rPr>
        <w:t xml:space="preserve"> superior do Estado do México. </w:t>
      </w:r>
      <w:proofErr w:type="spellStart"/>
      <w:r w:rsidRPr="00606A11">
        <w:rPr>
          <w:color w:val="000000"/>
          <w:lang w:val="en-US"/>
        </w:rPr>
        <w:t>Foram</w:t>
      </w:r>
      <w:proofErr w:type="spellEnd"/>
      <w:r w:rsidRPr="00606A11">
        <w:rPr>
          <w:color w:val="000000"/>
          <w:lang w:val="en-US"/>
        </w:rPr>
        <w:t xml:space="preserve"> </w:t>
      </w:r>
      <w:proofErr w:type="spellStart"/>
      <w:r w:rsidRPr="00606A11">
        <w:rPr>
          <w:color w:val="000000"/>
          <w:lang w:val="en-US"/>
        </w:rPr>
        <w:t>realizados</w:t>
      </w:r>
      <w:proofErr w:type="spellEnd"/>
      <w:r w:rsidRPr="00606A11">
        <w:rPr>
          <w:color w:val="000000"/>
          <w:lang w:val="en-US"/>
        </w:rPr>
        <w:t xml:space="preserve"> </w:t>
      </w:r>
      <w:proofErr w:type="spellStart"/>
      <w:r w:rsidRPr="00606A11">
        <w:rPr>
          <w:color w:val="000000"/>
          <w:lang w:val="en-US"/>
        </w:rPr>
        <w:t>os</w:t>
      </w:r>
      <w:proofErr w:type="spellEnd"/>
      <w:r w:rsidRPr="00606A11">
        <w:rPr>
          <w:color w:val="000000"/>
          <w:lang w:val="en-US"/>
        </w:rPr>
        <w:t xml:space="preserve"> </w:t>
      </w:r>
      <w:proofErr w:type="spellStart"/>
      <w:r w:rsidRPr="00606A11">
        <w:rPr>
          <w:color w:val="000000"/>
          <w:lang w:val="en-US"/>
        </w:rPr>
        <w:t>resultados</w:t>
      </w:r>
      <w:proofErr w:type="spellEnd"/>
      <w:r w:rsidRPr="00606A11">
        <w:rPr>
          <w:color w:val="000000"/>
          <w:lang w:val="en-US"/>
        </w:rPr>
        <w:t xml:space="preserve"> do </w:t>
      </w:r>
      <w:proofErr w:type="spellStart"/>
      <w:r w:rsidRPr="00606A11">
        <w:rPr>
          <w:color w:val="000000"/>
          <w:lang w:val="en-US"/>
        </w:rPr>
        <w:t>exame</w:t>
      </w:r>
      <w:proofErr w:type="spellEnd"/>
      <w:r w:rsidRPr="00606A11">
        <w:rPr>
          <w:color w:val="000000"/>
          <w:lang w:val="en-US"/>
        </w:rPr>
        <w:t xml:space="preserve"> de </w:t>
      </w:r>
      <w:proofErr w:type="spellStart"/>
      <w:r w:rsidRPr="00606A11">
        <w:rPr>
          <w:color w:val="000000"/>
          <w:lang w:val="en-US"/>
        </w:rPr>
        <w:t>admissão</w:t>
      </w:r>
      <w:proofErr w:type="spellEnd"/>
      <w:r w:rsidRPr="00606A11">
        <w:rPr>
          <w:color w:val="000000"/>
          <w:lang w:val="en-US"/>
        </w:rPr>
        <w:t xml:space="preserve"> </w:t>
      </w:r>
      <w:proofErr w:type="spellStart"/>
      <w:r w:rsidRPr="00606A11">
        <w:rPr>
          <w:color w:val="000000"/>
          <w:lang w:val="en-US"/>
        </w:rPr>
        <w:t>ao</w:t>
      </w:r>
      <w:proofErr w:type="spellEnd"/>
      <w:r w:rsidRPr="00606A11">
        <w:rPr>
          <w:color w:val="000000"/>
          <w:lang w:val="en-US"/>
        </w:rPr>
        <w:t xml:space="preserve"> </w:t>
      </w:r>
      <w:proofErr w:type="spellStart"/>
      <w:r w:rsidRPr="00606A11">
        <w:rPr>
          <w:color w:val="000000"/>
          <w:lang w:val="en-US"/>
        </w:rPr>
        <w:t>curso</w:t>
      </w:r>
      <w:proofErr w:type="spellEnd"/>
      <w:r w:rsidRPr="00606A11">
        <w:rPr>
          <w:color w:val="000000"/>
          <w:lang w:val="en-US"/>
        </w:rPr>
        <w:t xml:space="preserve"> de </w:t>
      </w:r>
      <w:proofErr w:type="spellStart"/>
      <w:r w:rsidRPr="00606A11">
        <w:rPr>
          <w:color w:val="000000"/>
          <w:lang w:val="en-US"/>
        </w:rPr>
        <w:t>graduação</w:t>
      </w:r>
      <w:proofErr w:type="spellEnd"/>
      <w:r w:rsidRPr="00606A11">
        <w:rPr>
          <w:color w:val="000000"/>
          <w:lang w:val="en-US"/>
        </w:rPr>
        <w:t xml:space="preserve"> (EXANI II) do CENEVAL, do Plano para a </w:t>
      </w:r>
      <w:proofErr w:type="spellStart"/>
      <w:r w:rsidRPr="00606A11">
        <w:rPr>
          <w:color w:val="000000"/>
          <w:lang w:val="en-US"/>
        </w:rPr>
        <w:t>localidade</w:t>
      </w:r>
      <w:proofErr w:type="spellEnd"/>
      <w:r w:rsidRPr="00606A11">
        <w:rPr>
          <w:color w:val="000000"/>
          <w:lang w:val="en-US"/>
        </w:rPr>
        <w:t xml:space="preserve"> de Valle de </w:t>
      </w:r>
      <w:proofErr w:type="spellStart"/>
      <w:r w:rsidRPr="00606A11">
        <w:rPr>
          <w:color w:val="000000"/>
          <w:lang w:val="en-US"/>
        </w:rPr>
        <w:t>Chalco</w:t>
      </w:r>
      <w:proofErr w:type="spellEnd"/>
      <w:r w:rsidRPr="00606A11">
        <w:rPr>
          <w:color w:val="000000"/>
          <w:lang w:val="en-US"/>
        </w:rPr>
        <w:t xml:space="preserve"> e do PISA e </w:t>
      </w:r>
      <w:proofErr w:type="spellStart"/>
      <w:r w:rsidRPr="00606A11">
        <w:rPr>
          <w:color w:val="000000"/>
          <w:lang w:val="en-US"/>
        </w:rPr>
        <w:t>correlacionados</w:t>
      </w:r>
      <w:proofErr w:type="spellEnd"/>
      <w:r w:rsidRPr="00606A11">
        <w:rPr>
          <w:color w:val="000000"/>
          <w:lang w:val="en-US"/>
        </w:rPr>
        <w:t xml:space="preserve"> com um </w:t>
      </w:r>
      <w:proofErr w:type="spellStart"/>
      <w:r w:rsidRPr="00606A11">
        <w:rPr>
          <w:color w:val="000000"/>
          <w:lang w:val="en-US"/>
        </w:rPr>
        <w:t>instrumento</w:t>
      </w:r>
      <w:proofErr w:type="spellEnd"/>
      <w:r w:rsidRPr="00606A11">
        <w:rPr>
          <w:color w:val="000000"/>
          <w:lang w:val="en-US"/>
        </w:rPr>
        <w:t xml:space="preserve"> de </w:t>
      </w:r>
      <w:proofErr w:type="spellStart"/>
      <w:r w:rsidRPr="00606A11">
        <w:rPr>
          <w:color w:val="000000"/>
          <w:lang w:val="en-US"/>
        </w:rPr>
        <w:t>diagnóstico</w:t>
      </w:r>
      <w:proofErr w:type="spellEnd"/>
      <w:r w:rsidRPr="00606A11">
        <w:rPr>
          <w:color w:val="000000"/>
          <w:lang w:val="en-US"/>
        </w:rPr>
        <w:t xml:space="preserve"> de 29 </w:t>
      </w:r>
      <w:proofErr w:type="spellStart"/>
      <w:r w:rsidRPr="00606A11">
        <w:rPr>
          <w:color w:val="000000"/>
          <w:lang w:val="en-US"/>
        </w:rPr>
        <w:t>itens</w:t>
      </w:r>
      <w:proofErr w:type="spellEnd"/>
      <w:r w:rsidRPr="00606A11">
        <w:rPr>
          <w:color w:val="000000"/>
          <w:lang w:val="en-US"/>
        </w:rPr>
        <w:t xml:space="preserve"> que </w:t>
      </w:r>
      <w:proofErr w:type="spellStart"/>
      <w:r w:rsidRPr="00606A11">
        <w:rPr>
          <w:color w:val="000000"/>
          <w:lang w:val="en-US"/>
        </w:rPr>
        <w:t>inclui</w:t>
      </w:r>
      <w:proofErr w:type="spellEnd"/>
      <w:r w:rsidRPr="00606A11">
        <w:rPr>
          <w:color w:val="000000"/>
          <w:lang w:val="en-US"/>
        </w:rPr>
        <w:t xml:space="preserve"> </w:t>
      </w:r>
      <w:proofErr w:type="spellStart"/>
      <w:r w:rsidRPr="00606A11">
        <w:rPr>
          <w:color w:val="000000"/>
          <w:lang w:val="en-US"/>
        </w:rPr>
        <w:t>os</w:t>
      </w:r>
      <w:proofErr w:type="spellEnd"/>
      <w:r w:rsidRPr="00606A11">
        <w:rPr>
          <w:color w:val="000000"/>
          <w:lang w:val="en-US"/>
        </w:rPr>
        <w:t xml:space="preserve"> </w:t>
      </w:r>
      <w:proofErr w:type="spellStart"/>
      <w:r w:rsidRPr="00606A11">
        <w:rPr>
          <w:color w:val="000000"/>
          <w:lang w:val="en-US"/>
        </w:rPr>
        <w:t>pré-requisitos</w:t>
      </w:r>
      <w:proofErr w:type="spellEnd"/>
      <w:r w:rsidRPr="00606A11">
        <w:rPr>
          <w:color w:val="000000"/>
          <w:lang w:val="en-US"/>
        </w:rPr>
        <w:t xml:space="preserve"> que </w:t>
      </w:r>
      <w:proofErr w:type="spellStart"/>
      <w:r w:rsidRPr="00606A11">
        <w:rPr>
          <w:color w:val="000000"/>
          <w:lang w:val="en-US"/>
        </w:rPr>
        <w:t>marcam</w:t>
      </w:r>
      <w:proofErr w:type="spellEnd"/>
      <w:r w:rsidRPr="00606A11">
        <w:rPr>
          <w:color w:val="000000"/>
          <w:lang w:val="en-US"/>
        </w:rPr>
        <w:t xml:space="preserve"> </w:t>
      </w:r>
      <w:proofErr w:type="spellStart"/>
      <w:r w:rsidRPr="00606A11">
        <w:rPr>
          <w:color w:val="000000"/>
          <w:lang w:val="en-US"/>
        </w:rPr>
        <w:t>os</w:t>
      </w:r>
      <w:proofErr w:type="spellEnd"/>
      <w:r w:rsidRPr="00606A11">
        <w:rPr>
          <w:color w:val="000000"/>
          <w:lang w:val="en-US"/>
        </w:rPr>
        <w:t xml:space="preserve"> </w:t>
      </w:r>
      <w:proofErr w:type="spellStart"/>
      <w:r w:rsidRPr="00606A11">
        <w:rPr>
          <w:color w:val="000000"/>
          <w:lang w:val="en-US"/>
        </w:rPr>
        <w:t>programas</w:t>
      </w:r>
      <w:proofErr w:type="spellEnd"/>
      <w:r w:rsidRPr="00606A11">
        <w:rPr>
          <w:color w:val="000000"/>
          <w:lang w:val="en-US"/>
        </w:rPr>
        <w:t xml:space="preserve"> de </w:t>
      </w:r>
      <w:proofErr w:type="spellStart"/>
      <w:r w:rsidRPr="00606A11">
        <w:rPr>
          <w:color w:val="000000"/>
          <w:lang w:val="en-US"/>
        </w:rPr>
        <w:t>estudo</w:t>
      </w:r>
      <w:proofErr w:type="spellEnd"/>
      <w:r w:rsidRPr="00606A11">
        <w:rPr>
          <w:color w:val="000000"/>
          <w:lang w:val="en-US"/>
        </w:rPr>
        <w:t xml:space="preserve"> dos </w:t>
      </w:r>
      <w:proofErr w:type="spellStart"/>
      <w:r w:rsidRPr="00606A11">
        <w:rPr>
          <w:color w:val="000000"/>
          <w:lang w:val="en-US"/>
        </w:rPr>
        <w:t>assuntos</w:t>
      </w:r>
      <w:proofErr w:type="spellEnd"/>
      <w:r w:rsidRPr="00606A11">
        <w:rPr>
          <w:color w:val="000000"/>
          <w:lang w:val="en-US"/>
        </w:rPr>
        <w:t xml:space="preserve"> do </w:t>
      </w:r>
      <w:proofErr w:type="spellStart"/>
      <w:r w:rsidRPr="00606A11">
        <w:rPr>
          <w:color w:val="000000"/>
          <w:lang w:val="en-US"/>
        </w:rPr>
        <w:t>primeiro</w:t>
      </w:r>
      <w:proofErr w:type="spellEnd"/>
      <w:r w:rsidRPr="00606A11">
        <w:rPr>
          <w:color w:val="000000"/>
          <w:lang w:val="en-US"/>
        </w:rPr>
        <w:t xml:space="preserve"> </w:t>
      </w:r>
      <w:proofErr w:type="spellStart"/>
      <w:r w:rsidRPr="00606A11">
        <w:rPr>
          <w:color w:val="000000"/>
          <w:lang w:val="en-US"/>
        </w:rPr>
        <w:t>semestre</w:t>
      </w:r>
      <w:proofErr w:type="spellEnd"/>
      <w:r w:rsidRPr="00606A11">
        <w:rPr>
          <w:color w:val="000000"/>
          <w:lang w:val="en-US"/>
        </w:rPr>
        <w:t xml:space="preserve"> da </w:t>
      </w:r>
      <w:proofErr w:type="spellStart"/>
      <w:r w:rsidRPr="00606A11">
        <w:rPr>
          <w:color w:val="000000"/>
          <w:lang w:val="en-US"/>
        </w:rPr>
        <w:t>área</w:t>
      </w:r>
      <w:proofErr w:type="spellEnd"/>
      <w:r w:rsidRPr="00606A11">
        <w:rPr>
          <w:color w:val="000000"/>
          <w:lang w:val="en-US"/>
        </w:rPr>
        <w:t xml:space="preserve"> de </w:t>
      </w:r>
      <w:proofErr w:type="spellStart"/>
      <w:r w:rsidRPr="00606A11">
        <w:rPr>
          <w:color w:val="000000"/>
          <w:lang w:val="en-US"/>
        </w:rPr>
        <w:t>matemática</w:t>
      </w:r>
      <w:proofErr w:type="spellEnd"/>
      <w:r w:rsidRPr="00606A11">
        <w:rPr>
          <w:color w:val="000000"/>
          <w:lang w:val="en-US"/>
        </w:rPr>
        <w:t xml:space="preserve">; </w:t>
      </w:r>
      <w:proofErr w:type="spellStart"/>
      <w:r w:rsidRPr="00606A11">
        <w:rPr>
          <w:color w:val="000000"/>
          <w:lang w:val="en-US"/>
        </w:rPr>
        <w:t>conhecimentos</w:t>
      </w:r>
      <w:proofErr w:type="spellEnd"/>
      <w:r w:rsidRPr="00606A11">
        <w:rPr>
          <w:color w:val="000000"/>
          <w:lang w:val="en-US"/>
        </w:rPr>
        <w:t xml:space="preserve"> </w:t>
      </w:r>
      <w:proofErr w:type="spellStart"/>
      <w:r w:rsidRPr="00606A11">
        <w:rPr>
          <w:color w:val="000000"/>
          <w:lang w:val="en-US"/>
        </w:rPr>
        <w:t>básicos</w:t>
      </w:r>
      <w:proofErr w:type="spellEnd"/>
      <w:r w:rsidRPr="00606A11">
        <w:rPr>
          <w:color w:val="000000"/>
          <w:lang w:val="en-US"/>
        </w:rPr>
        <w:t xml:space="preserve"> de </w:t>
      </w:r>
      <w:proofErr w:type="spellStart"/>
      <w:r w:rsidRPr="00606A11">
        <w:rPr>
          <w:color w:val="000000"/>
          <w:lang w:val="en-US"/>
        </w:rPr>
        <w:t>aritmética</w:t>
      </w:r>
      <w:proofErr w:type="spellEnd"/>
      <w:r w:rsidRPr="00606A11">
        <w:rPr>
          <w:color w:val="000000"/>
          <w:lang w:val="en-US"/>
        </w:rPr>
        <w:t xml:space="preserve">, </w:t>
      </w:r>
      <w:proofErr w:type="spellStart"/>
      <w:r w:rsidRPr="00606A11">
        <w:rPr>
          <w:color w:val="000000"/>
          <w:lang w:val="en-US"/>
        </w:rPr>
        <w:t>álgebra</w:t>
      </w:r>
      <w:proofErr w:type="spellEnd"/>
      <w:r w:rsidRPr="00606A11">
        <w:rPr>
          <w:color w:val="000000"/>
          <w:lang w:val="en-US"/>
        </w:rPr>
        <w:t xml:space="preserve">, </w:t>
      </w:r>
      <w:proofErr w:type="spellStart"/>
      <w:r w:rsidRPr="00606A11">
        <w:rPr>
          <w:color w:val="000000"/>
          <w:lang w:val="en-US"/>
        </w:rPr>
        <w:t>geometria</w:t>
      </w:r>
      <w:proofErr w:type="spellEnd"/>
      <w:r w:rsidRPr="00606A11">
        <w:rPr>
          <w:color w:val="000000"/>
          <w:lang w:val="en-US"/>
        </w:rPr>
        <w:t xml:space="preserve"> </w:t>
      </w:r>
      <w:proofErr w:type="spellStart"/>
      <w:r w:rsidRPr="00606A11">
        <w:rPr>
          <w:color w:val="000000"/>
          <w:lang w:val="en-US"/>
        </w:rPr>
        <w:t>analítica</w:t>
      </w:r>
      <w:proofErr w:type="spellEnd"/>
      <w:r w:rsidRPr="00606A11">
        <w:rPr>
          <w:color w:val="000000"/>
          <w:lang w:val="en-US"/>
        </w:rPr>
        <w:t xml:space="preserve"> e </w:t>
      </w:r>
      <w:proofErr w:type="spellStart"/>
      <w:r w:rsidRPr="00606A11">
        <w:rPr>
          <w:color w:val="000000"/>
          <w:lang w:val="en-US"/>
        </w:rPr>
        <w:t>cálculo</w:t>
      </w:r>
      <w:proofErr w:type="spellEnd"/>
      <w:r w:rsidRPr="00606A11">
        <w:rPr>
          <w:color w:val="000000"/>
          <w:lang w:val="en-US"/>
        </w:rPr>
        <w:t xml:space="preserve"> </w:t>
      </w:r>
      <w:proofErr w:type="spellStart"/>
      <w:r w:rsidRPr="00606A11">
        <w:rPr>
          <w:color w:val="000000"/>
          <w:lang w:val="en-US"/>
        </w:rPr>
        <w:t>diferencial</w:t>
      </w:r>
      <w:proofErr w:type="spellEnd"/>
      <w:r w:rsidRPr="00606A11">
        <w:rPr>
          <w:color w:val="000000"/>
          <w:lang w:val="en-US"/>
        </w:rPr>
        <w:t xml:space="preserve">; </w:t>
      </w:r>
      <w:proofErr w:type="spellStart"/>
      <w:r w:rsidRPr="00606A11">
        <w:rPr>
          <w:color w:val="000000"/>
          <w:lang w:val="en-US"/>
        </w:rPr>
        <w:t>Foram</w:t>
      </w:r>
      <w:proofErr w:type="spellEnd"/>
      <w:r w:rsidRPr="00606A11">
        <w:rPr>
          <w:color w:val="000000"/>
          <w:lang w:val="en-US"/>
        </w:rPr>
        <w:t xml:space="preserve"> </w:t>
      </w:r>
      <w:proofErr w:type="spellStart"/>
      <w:r w:rsidRPr="00606A11">
        <w:rPr>
          <w:color w:val="000000"/>
          <w:lang w:val="en-US"/>
        </w:rPr>
        <w:t>considerados</w:t>
      </w:r>
      <w:proofErr w:type="spellEnd"/>
      <w:r w:rsidRPr="00606A11">
        <w:rPr>
          <w:color w:val="000000"/>
          <w:lang w:val="en-US"/>
        </w:rPr>
        <w:t xml:space="preserve"> 50% da </w:t>
      </w:r>
      <w:proofErr w:type="spellStart"/>
      <w:r w:rsidRPr="00606A11">
        <w:rPr>
          <w:color w:val="000000"/>
          <w:lang w:val="en-US"/>
        </w:rPr>
        <w:t>população</w:t>
      </w:r>
      <w:proofErr w:type="spellEnd"/>
      <w:r w:rsidRPr="00606A11">
        <w:rPr>
          <w:color w:val="000000"/>
          <w:lang w:val="en-US"/>
        </w:rPr>
        <w:t xml:space="preserve"> de </w:t>
      </w:r>
      <w:proofErr w:type="spellStart"/>
      <w:r w:rsidRPr="00606A11">
        <w:rPr>
          <w:color w:val="000000"/>
          <w:lang w:val="en-US"/>
        </w:rPr>
        <w:t>estudantes</w:t>
      </w:r>
      <w:proofErr w:type="spellEnd"/>
      <w:r w:rsidRPr="00606A11">
        <w:rPr>
          <w:color w:val="000000"/>
          <w:lang w:val="en-US"/>
        </w:rPr>
        <w:t xml:space="preserve"> de </w:t>
      </w:r>
      <w:proofErr w:type="spellStart"/>
      <w:r w:rsidRPr="00606A11">
        <w:rPr>
          <w:color w:val="000000"/>
          <w:lang w:val="en-US"/>
        </w:rPr>
        <w:t>engenharia</w:t>
      </w:r>
      <w:proofErr w:type="spellEnd"/>
      <w:r w:rsidRPr="00606A11">
        <w:rPr>
          <w:color w:val="000000"/>
          <w:lang w:val="en-US"/>
        </w:rPr>
        <w:t xml:space="preserve">. </w:t>
      </w:r>
      <w:proofErr w:type="spellStart"/>
      <w:r w:rsidRPr="00606A11">
        <w:rPr>
          <w:color w:val="000000"/>
          <w:lang w:val="en-US"/>
        </w:rPr>
        <w:t>Existe</w:t>
      </w:r>
      <w:proofErr w:type="spellEnd"/>
      <w:r w:rsidRPr="00606A11">
        <w:rPr>
          <w:color w:val="000000"/>
          <w:lang w:val="en-US"/>
        </w:rPr>
        <w:t xml:space="preserve"> </w:t>
      </w:r>
      <w:proofErr w:type="spellStart"/>
      <w:r w:rsidRPr="00606A11">
        <w:rPr>
          <w:color w:val="000000"/>
          <w:lang w:val="en-US"/>
        </w:rPr>
        <w:t>uma</w:t>
      </w:r>
      <w:proofErr w:type="spellEnd"/>
      <w:r w:rsidRPr="00606A11">
        <w:rPr>
          <w:color w:val="000000"/>
          <w:lang w:val="en-US"/>
        </w:rPr>
        <w:t xml:space="preserve"> </w:t>
      </w:r>
      <w:proofErr w:type="spellStart"/>
      <w:r w:rsidRPr="00606A11">
        <w:rPr>
          <w:color w:val="000000"/>
          <w:lang w:val="en-US"/>
        </w:rPr>
        <w:t>diferença</w:t>
      </w:r>
      <w:proofErr w:type="spellEnd"/>
      <w:r w:rsidRPr="00606A11">
        <w:rPr>
          <w:color w:val="000000"/>
          <w:lang w:val="en-US"/>
        </w:rPr>
        <w:t xml:space="preserve"> </w:t>
      </w:r>
      <w:proofErr w:type="spellStart"/>
      <w:r w:rsidRPr="00606A11">
        <w:rPr>
          <w:color w:val="000000"/>
          <w:lang w:val="en-US"/>
        </w:rPr>
        <w:t>significativa</w:t>
      </w:r>
      <w:proofErr w:type="spellEnd"/>
      <w:r w:rsidRPr="00606A11">
        <w:rPr>
          <w:color w:val="000000"/>
          <w:lang w:val="en-US"/>
        </w:rPr>
        <w:t xml:space="preserve"> entre o </w:t>
      </w:r>
      <w:proofErr w:type="spellStart"/>
      <w:r w:rsidRPr="00606A11">
        <w:rPr>
          <w:color w:val="000000"/>
          <w:lang w:val="en-US"/>
        </w:rPr>
        <w:t>conhecimento</w:t>
      </w:r>
      <w:proofErr w:type="spellEnd"/>
      <w:r w:rsidRPr="00606A11">
        <w:rPr>
          <w:color w:val="000000"/>
          <w:lang w:val="en-US"/>
        </w:rPr>
        <w:t xml:space="preserve"> </w:t>
      </w:r>
      <w:proofErr w:type="spellStart"/>
      <w:r w:rsidRPr="00606A11">
        <w:rPr>
          <w:color w:val="000000"/>
          <w:lang w:val="en-US"/>
        </w:rPr>
        <w:t>em</w:t>
      </w:r>
      <w:proofErr w:type="spellEnd"/>
      <w:r w:rsidRPr="00606A11">
        <w:rPr>
          <w:color w:val="000000"/>
          <w:lang w:val="en-US"/>
        </w:rPr>
        <w:t xml:space="preserve"> </w:t>
      </w:r>
      <w:proofErr w:type="spellStart"/>
      <w:r w:rsidRPr="00606A11">
        <w:rPr>
          <w:color w:val="000000"/>
          <w:lang w:val="en-US"/>
        </w:rPr>
        <w:t>matemática</w:t>
      </w:r>
      <w:proofErr w:type="spellEnd"/>
      <w:r w:rsidRPr="00606A11">
        <w:rPr>
          <w:color w:val="000000"/>
          <w:lang w:val="en-US"/>
        </w:rPr>
        <w:t xml:space="preserve"> </w:t>
      </w:r>
      <w:proofErr w:type="spellStart"/>
      <w:r w:rsidRPr="00606A11">
        <w:rPr>
          <w:color w:val="000000"/>
          <w:lang w:val="en-US"/>
        </w:rPr>
        <w:t>exigido</w:t>
      </w:r>
      <w:proofErr w:type="spellEnd"/>
      <w:r w:rsidRPr="00606A11">
        <w:rPr>
          <w:color w:val="000000"/>
          <w:lang w:val="en-US"/>
        </w:rPr>
        <w:t xml:space="preserve"> para a entrada </w:t>
      </w:r>
      <w:proofErr w:type="spellStart"/>
      <w:r w:rsidRPr="00606A11">
        <w:rPr>
          <w:color w:val="000000"/>
          <w:lang w:val="en-US"/>
        </w:rPr>
        <w:t>na</w:t>
      </w:r>
      <w:proofErr w:type="spellEnd"/>
      <w:r w:rsidRPr="00606A11">
        <w:rPr>
          <w:color w:val="000000"/>
          <w:lang w:val="en-US"/>
        </w:rPr>
        <w:t xml:space="preserve"> </w:t>
      </w:r>
      <w:proofErr w:type="spellStart"/>
      <w:r w:rsidRPr="00606A11">
        <w:rPr>
          <w:color w:val="000000"/>
          <w:lang w:val="en-US"/>
        </w:rPr>
        <w:t>engenharia</w:t>
      </w:r>
      <w:proofErr w:type="spellEnd"/>
      <w:r w:rsidRPr="00606A11">
        <w:rPr>
          <w:color w:val="000000"/>
          <w:lang w:val="en-US"/>
        </w:rPr>
        <w:t xml:space="preserve"> e </w:t>
      </w:r>
      <w:proofErr w:type="spellStart"/>
      <w:r w:rsidRPr="00606A11">
        <w:rPr>
          <w:color w:val="000000"/>
          <w:lang w:val="en-US"/>
        </w:rPr>
        <w:t>os</w:t>
      </w:r>
      <w:proofErr w:type="spellEnd"/>
      <w:r w:rsidRPr="00606A11">
        <w:rPr>
          <w:color w:val="000000"/>
          <w:lang w:val="en-US"/>
        </w:rPr>
        <w:t xml:space="preserve"> </w:t>
      </w:r>
      <w:proofErr w:type="spellStart"/>
      <w:r w:rsidRPr="00606A11">
        <w:rPr>
          <w:color w:val="000000"/>
          <w:lang w:val="en-US"/>
        </w:rPr>
        <w:t>conteúdos</w:t>
      </w:r>
      <w:proofErr w:type="spellEnd"/>
      <w:r w:rsidRPr="00606A11">
        <w:rPr>
          <w:color w:val="000000"/>
          <w:lang w:val="en-US"/>
        </w:rPr>
        <w:t xml:space="preserve"> </w:t>
      </w:r>
      <w:proofErr w:type="spellStart"/>
      <w:r w:rsidRPr="00606A11">
        <w:rPr>
          <w:color w:val="000000"/>
          <w:lang w:val="en-US"/>
        </w:rPr>
        <w:t>na</w:t>
      </w:r>
      <w:proofErr w:type="spellEnd"/>
      <w:r w:rsidRPr="00606A11">
        <w:rPr>
          <w:color w:val="000000"/>
          <w:lang w:val="en-US"/>
        </w:rPr>
        <w:t xml:space="preserve"> EXANI, </w:t>
      </w:r>
      <w:proofErr w:type="spellStart"/>
      <w:r w:rsidRPr="00606A11">
        <w:rPr>
          <w:color w:val="000000"/>
          <w:lang w:val="en-US"/>
        </w:rPr>
        <w:t>avaliado</w:t>
      </w:r>
      <w:proofErr w:type="spellEnd"/>
      <w:r w:rsidRPr="00606A11">
        <w:rPr>
          <w:color w:val="000000"/>
          <w:lang w:val="en-US"/>
        </w:rPr>
        <w:t xml:space="preserve"> </w:t>
      </w:r>
      <w:proofErr w:type="spellStart"/>
      <w:r w:rsidRPr="00606A11">
        <w:rPr>
          <w:color w:val="000000"/>
          <w:lang w:val="en-US"/>
        </w:rPr>
        <w:t>por</w:t>
      </w:r>
      <w:proofErr w:type="spellEnd"/>
      <w:r w:rsidRPr="00606A11">
        <w:rPr>
          <w:color w:val="000000"/>
          <w:lang w:val="en-US"/>
        </w:rPr>
        <w:t xml:space="preserve"> </w:t>
      </w:r>
      <w:proofErr w:type="spellStart"/>
      <w:r w:rsidRPr="00606A11">
        <w:rPr>
          <w:color w:val="000000"/>
          <w:lang w:val="en-US"/>
        </w:rPr>
        <w:t>meio</w:t>
      </w:r>
      <w:proofErr w:type="spellEnd"/>
      <w:r w:rsidRPr="00606A11">
        <w:rPr>
          <w:color w:val="000000"/>
          <w:lang w:val="en-US"/>
        </w:rPr>
        <w:t xml:space="preserve"> de </w:t>
      </w:r>
      <w:proofErr w:type="spellStart"/>
      <w:r w:rsidRPr="00606A11">
        <w:rPr>
          <w:color w:val="000000"/>
          <w:lang w:val="en-US"/>
        </w:rPr>
        <w:t>uma</w:t>
      </w:r>
      <w:proofErr w:type="spellEnd"/>
      <w:r w:rsidRPr="00606A11">
        <w:rPr>
          <w:color w:val="000000"/>
          <w:lang w:val="en-US"/>
        </w:rPr>
        <w:t xml:space="preserve"> </w:t>
      </w:r>
      <w:proofErr w:type="spellStart"/>
      <w:r w:rsidRPr="00606A11">
        <w:rPr>
          <w:color w:val="000000"/>
          <w:lang w:val="en-US"/>
        </w:rPr>
        <w:t>correlação</w:t>
      </w:r>
      <w:proofErr w:type="spellEnd"/>
      <w:r w:rsidRPr="00606A11">
        <w:rPr>
          <w:color w:val="000000"/>
          <w:lang w:val="en-US"/>
        </w:rPr>
        <w:t xml:space="preserve"> de Pearson e a </w:t>
      </w:r>
      <w:proofErr w:type="spellStart"/>
      <w:r w:rsidRPr="00606A11">
        <w:rPr>
          <w:color w:val="000000"/>
          <w:lang w:val="en-US"/>
        </w:rPr>
        <w:t>comparação</w:t>
      </w:r>
      <w:proofErr w:type="spellEnd"/>
      <w:r w:rsidRPr="00606A11">
        <w:rPr>
          <w:color w:val="000000"/>
          <w:lang w:val="en-US"/>
        </w:rPr>
        <w:t xml:space="preserve"> dos </w:t>
      </w:r>
      <w:proofErr w:type="spellStart"/>
      <w:r w:rsidRPr="00606A11">
        <w:rPr>
          <w:color w:val="000000"/>
          <w:lang w:val="en-US"/>
        </w:rPr>
        <w:t>meios</w:t>
      </w:r>
      <w:proofErr w:type="spellEnd"/>
      <w:r w:rsidRPr="00606A11">
        <w:rPr>
          <w:color w:val="000000"/>
          <w:lang w:val="en-US"/>
        </w:rPr>
        <w:t xml:space="preserve"> </w:t>
      </w:r>
      <w:proofErr w:type="spellStart"/>
      <w:r w:rsidRPr="00606A11">
        <w:rPr>
          <w:color w:val="000000"/>
          <w:lang w:val="en-US"/>
        </w:rPr>
        <w:t>por</w:t>
      </w:r>
      <w:proofErr w:type="spellEnd"/>
      <w:r w:rsidRPr="00606A11">
        <w:rPr>
          <w:color w:val="000000"/>
          <w:lang w:val="en-US"/>
        </w:rPr>
        <w:t xml:space="preserve"> </w:t>
      </w:r>
      <w:proofErr w:type="spellStart"/>
      <w:r w:rsidRPr="00606A11">
        <w:rPr>
          <w:color w:val="000000"/>
          <w:lang w:val="en-US"/>
        </w:rPr>
        <w:t>estudante</w:t>
      </w:r>
      <w:proofErr w:type="spellEnd"/>
      <w:r w:rsidRPr="00606A11">
        <w:rPr>
          <w:color w:val="000000"/>
          <w:lang w:val="en-US"/>
        </w:rPr>
        <w:t xml:space="preserve"> t. </w:t>
      </w:r>
      <w:proofErr w:type="spellStart"/>
      <w:r w:rsidRPr="00606A11">
        <w:rPr>
          <w:color w:val="000000"/>
          <w:lang w:val="en-US"/>
        </w:rPr>
        <w:t>Em</w:t>
      </w:r>
      <w:proofErr w:type="spellEnd"/>
      <w:r w:rsidRPr="00606A11">
        <w:rPr>
          <w:color w:val="000000"/>
          <w:lang w:val="en-US"/>
        </w:rPr>
        <w:t xml:space="preserve"> </w:t>
      </w:r>
      <w:proofErr w:type="spellStart"/>
      <w:r w:rsidRPr="00606A11">
        <w:rPr>
          <w:color w:val="000000"/>
          <w:lang w:val="en-US"/>
        </w:rPr>
        <w:t>todos</w:t>
      </w:r>
      <w:proofErr w:type="spellEnd"/>
      <w:r w:rsidRPr="00606A11">
        <w:rPr>
          <w:color w:val="000000"/>
          <w:lang w:val="en-US"/>
        </w:rPr>
        <w:t xml:space="preserve"> </w:t>
      </w:r>
      <w:proofErr w:type="spellStart"/>
      <w:r w:rsidRPr="00606A11">
        <w:rPr>
          <w:color w:val="000000"/>
          <w:lang w:val="en-US"/>
        </w:rPr>
        <w:t>os</w:t>
      </w:r>
      <w:proofErr w:type="spellEnd"/>
      <w:r w:rsidRPr="00606A11">
        <w:rPr>
          <w:color w:val="000000"/>
          <w:lang w:val="en-US"/>
        </w:rPr>
        <w:t xml:space="preserve"> </w:t>
      </w:r>
      <w:proofErr w:type="spellStart"/>
      <w:r w:rsidRPr="00606A11">
        <w:rPr>
          <w:color w:val="000000"/>
          <w:lang w:val="en-US"/>
        </w:rPr>
        <w:t>instrumentos</w:t>
      </w:r>
      <w:proofErr w:type="spellEnd"/>
      <w:r w:rsidRPr="00606A11">
        <w:rPr>
          <w:color w:val="000000"/>
          <w:lang w:val="en-US"/>
        </w:rPr>
        <w:t xml:space="preserve">, </w:t>
      </w:r>
      <w:proofErr w:type="spellStart"/>
      <w:r w:rsidRPr="00606A11">
        <w:rPr>
          <w:color w:val="000000"/>
          <w:lang w:val="en-US"/>
        </w:rPr>
        <w:t>obteve</w:t>
      </w:r>
      <w:proofErr w:type="spellEnd"/>
      <w:r w:rsidRPr="00606A11">
        <w:rPr>
          <w:color w:val="000000"/>
          <w:lang w:val="en-US"/>
        </w:rPr>
        <w:t xml:space="preserve">-se um </w:t>
      </w:r>
      <w:proofErr w:type="spellStart"/>
      <w:r w:rsidRPr="00606A11">
        <w:rPr>
          <w:color w:val="000000"/>
          <w:lang w:val="en-US"/>
        </w:rPr>
        <w:t>baixo</w:t>
      </w:r>
      <w:proofErr w:type="spellEnd"/>
      <w:r w:rsidRPr="00606A11">
        <w:rPr>
          <w:color w:val="000000"/>
          <w:lang w:val="en-US"/>
        </w:rPr>
        <w:t xml:space="preserve"> </w:t>
      </w:r>
      <w:proofErr w:type="spellStart"/>
      <w:r w:rsidRPr="00606A11">
        <w:rPr>
          <w:color w:val="000000"/>
          <w:lang w:val="en-US"/>
        </w:rPr>
        <w:t>nível</w:t>
      </w:r>
      <w:proofErr w:type="spellEnd"/>
      <w:r w:rsidRPr="00606A11">
        <w:rPr>
          <w:color w:val="000000"/>
          <w:lang w:val="en-US"/>
        </w:rPr>
        <w:t xml:space="preserve"> de </w:t>
      </w:r>
      <w:proofErr w:type="spellStart"/>
      <w:r w:rsidRPr="00606A11">
        <w:rPr>
          <w:color w:val="000000"/>
          <w:lang w:val="en-US"/>
        </w:rPr>
        <w:t>operação</w:t>
      </w:r>
      <w:proofErr w:type="spellEnd"/>
      <w:r w:rsidRPr="00606A11">
        <w:rPr>
          <w:color w:val="000000"/>
          <w:lang w:val="en-US"/>
        </w:rPr>
        <w:t xml:space="preserve"> do </w:t>
      </w:r>
      <w:proofErr w:type="spellStart"/>
      <w:r w:rsidRPr="00606A11">
        <w:rPr>
          <w:color w:val="000000"/>
          <w:lang w:val="en-US"/>
        </w:rPr>
        <w:t>aluno</w:t>
      </w:r>
      <w:proofErr w:type="spellEnd"/>
      <w:r w:rsidRPr="00606A11">
        <w:rPr>
          <w:color w:val="000000"/>
          <w:lang w:val="en-US"/>
        </w:rPr>
        <w:t xml:space="preserve"> </w:t>
      </w:r>
      <w:proofErr w:type="spellStart"/>
      <w:r w:rsidRPr="00606A11">
        <w:rPr>
          <w:color w:val="000000"/>
          <w:lang w:val="en-US"/>
        </w:rPr>
        <w:t>na</w:t>
      </w:r>
      <w:proofErr w:type="spellEnd"/>
      <w:r w:rsidRPr="00606A11">
        <w:rPr>
          <w:color w:val="000000"/>
          <w:lang w:val="en-US"/>
        </w:rPr>
        <w:t xml:space="preserve"> </w:t>
      </w:r>
      <w:proofErr w:type="spellStart"/>
      <w:r w:rsidRPr="00606A11">
        <w:rPr>
          <w:color w:val="000000"/>
          <w:lang w:val="en-US"/>
        </w:rPr>
        <w:t>área</w:t>
      </w:r>
      <w:proofErr w:type="spellEnd"/>
      <w:r w:rsidRPr="00606A11">
        <w:rPr>
          <w:color w:val="000000"/>
          <w:lang w:val="en-US"/>
        </w:rPr>
        <w:t xml:space="preserve"> de </w:t>
      </w:r>
      <w:proofErr w:type="spellStart"/>
      <w:r w:rsidRPr="00606A11">
        <w:rPr>
          <w:color w:val="000000"/>
          <w:lang w:val="en-US"/>
        </w:rPr>
        <w:t>matemática</w:t>
      </w:r>
      <w:proofErr w:type="spellEnd"/>
      <w:r w:rsidRPr="00606A11">
        <w:rPr>
          <w:color w:val="000000"/>
          <w:lang w:val="en-US"/>
        </w:rPr>
        <w:t xml:space="preserve">, o que </w:t>
      </w:r>
      <w:proofErr w:type="spellStart"/>
      <w:r w:rsidRPr="00606A11">
        <w:rPr>
          <w:color w:val="000000"/>
          <w:lang w:val="en-US"/>
        </w:rPr>
        <w:t>indica</w:t>
      </w:r>
      <w:proofErr w:type="spellEnd"/>
      <w:r w:rsidRPr="00606A11">
        <w:rPr>
          <w:color w:val="000000"/>
          <w:lang w:val="en-US"/>
        </w:rPr>
        <w:t xml:space="preserve"> que as </w:t>
      </w:r>
      <w:proofErr w:type="spellStart"/>
      <w:r w:rsidRPr="00606A11">
        <w:rPr>
          <w:color w:val="000000"/>
          <w:lang w:val="en-US"/>
        </w:rPr>
        <w:t>estratégias</w:t>
      </w:r>
      <w:proofErr w:type="spellEnd"/>
      <w:r w:rsidRPr="00606A11">
        <w:rPr>
          <w:color w:val="000000"/>
          <w:lang w:val="en-US"/>
        </w:rPr>
        <w:t xml:space="preserve"> </w:t>
      </w:r>
      <w:proofErr w:type="spellStart"/>
      <w:r w:rsidRPr="00606A11">
        <w:rPr>
          <w:color w:val="000000"/>
          <w:lang w:val="en-US"/>
        </w:rPr>
        <w:t>aplicadas</w:t>
      </w:r>
      <w:proofErr w:type="spellEnd"/>
      <w:r w:rsidRPr="00606A11">
        <w:rPr>
          <w:color w:val="000000"/>
          <w:lang w:val="en-US"/>
        </w:rPr>
        <w:t xml:space="preserve"> </w:t>
      </w:r>
      <w:proofErr w:type="spellStart"/>
      <w:r w:rsidRPr="00606A11">
        <w:rPr>
          <w:color w:val="000000"/>
          <w:lang w:val="en-US"/>
        </w:rPr>
        <w:t>na</w:t>
      </w:r>
      <w:proofErr w:type="spellEnd"/>
      <w:r w:rsidRPr="00606A11">
        <w:rPr>
          <w:color w:val="000000"/>
          <w:lang w:val="en-US"/>
        </w:rPr>
        <w:t xml:space="preserve"> </w:t>
      </w:r>
      <w:proofErr w:type="spellStart"/>
      <w:r w:rsidRPr="00606A11">
        <w:rPr>
          <w:color w:val="000000"/>
          <w:lang w:val="en-US"/>
        </w:rPr>
        <w:t>trajetória</w:t>
      </w:r>
      <w:proofErr w:type="spellEnd"/>
      <w:r w:rsidRPr="00606A11">
        <w:rPr>
          <w:color w:val="000000"/>
          <w:lang w:val="en-US"/>
        </w:rPr>
        <w:t xml:space="preserve"> </w:t>
      </w:r>
      <w:proofErr w:type="spellStart"/>
      <w:r w:rsidRPr="00606A11">
        <w:rPr>
          <w:color w:val="000000"/>
          <w:lang w:val="en-US"/>
        </w:rPr>
        <w:t>acadêmica</w:t>
      </w:r>
      <w:proofErr w:type="spellEnd"/>
      <w:r w:rsidRPr="00606A11">
        <w:rPr>
          <w:color w:val="000000"/>
          <w:lang w:val="en-US"/>
        </w:rPr>
        <w:t xml:space="preserve"> do </w:t>
      </w:r>
      <w:proofErr w:type="spellStart"/>
      <w:r w:rsidRPr="00606A11">
        <w:rPr>
          <w:color w:val="000000"/>
          <w:lang w:val="en-US"/>
        </w:rPr>
        <w:t>aluno</w:t>
      </w:r>
      <w:proofErr w:type="spellEnd"/>
      <w:r w:rsidRPr="00606A11">
        <w:rPr>
          <w:color w:val="000000"/>
          <w:lang w:val="en-US"/>
        </w:rPr>
        <w:t xml:space="preserve"> </w:t>
      </w:r>
      <w:proofErr w:type="spellStart"/>
      <w:r w:rsidRPr="00606A11">
        <w:rPr>
          <w:color w:val="000000"/>
          <w:lang w:val="en-US"/>
        </w:rPr>
        <w:t>até</w:t>
      </w:r>
      <w:proofErr w:type="spellEnd"/>
      <w:r w:rsidRPr="00606A11">
        <w:rPr>
          <w:color w:val="000000"/>
          <w:lang w:val="en-US"/>
        </w:rPr>
        <w:t xml:space="preserve"> o </w:t>
      </w:r>
      <w:proofErr w:type="spellStart"/>
      <w:r w:rsidRPr="00606A11">
        <w:rPr>
          <w:color w:val="000000"/>
          <w:lang w:val="en-US"/>
        </w:rPr>
        <w:t>ensino</w:t>
      </w:r>
      <w:proofErr w:type="spellEnd"/>
      <w:r w:rsidRPr="00606A11">
        <w:rPr>
          <w:color w:val="000000"/>
          <w:lang w:val="en-US"/>
        </w:rPr>
        <w:t xml:space="preserve"> </w:t>
      </w:r>
      <w:proofErr w:type="spellStart"/>
      <w:r w:rsidRPr="00606A11">
        <w:rPr>
          <w:color w:val="000000"/>
          <w:lang w:val="en-US"/>
        </w:rPr>
        <w:t>médio</w:t>
      </w:r>
      <w:proofErr w:type="spellEnd"/>
      <w:r w:rsidRPr="00606A11">
        <w:rPr>
          <w:color w:val="000000"/>
          <w:lang w:val="en-US"/>
        </w:rPr>
        <w:t xml:space="preserve"> </w:t>
      </w:r>
      <w:proofErr w:type="spellStart"/>
      <w:r w:rsidRPr="00606A11">
        <w:rPr>
          <w:color w:val="000000"/>
          <w:lang w:val="en-US"/>
        </w:rPr>
        <w:t>não</w:t>
      </w:r>
      <w:proofErr w:type="spellEnd"/>
      <w:r w:rsidRPr="00606A11">
        <w:rPr>
          <w:color w:val="000000"/>
          <w:lang w:val="en-US"/>
        </w:rPr>
        <w:t xml:space="preserve"> </w:t>
      </w:r>
      <w:proofErr w:type="spellStart"/>
      <w:r w:rsidRPr="00606A11">
        <w:rPr>
          <w:color w:val="000000"/>
          <w:lang w:val="en-US"/>
        </w:rPr>
        <w:t>favoreceram</w:t>
      </w:r>
      <w:proofErr w:type="spellEnd"/>
      <w:r w:rsidRPr="00606A11">
        <w:rPr>
          <w:color w:val="000000"/>
          <w:lang w:val="en-US"/>
        </w:rPr>
        <w:t xml:space="preserve"> </w:t>
      </w:r>
      <w:proofErr w:type="spellStart"/>
      <w:r w:rsidRPr="00606A11">
        <w:rPr>
          <w:color w:val="000000"/>
          <w:lang w:val="en-US"/>
        </w:rPr>
        <w:t>seu</w:t>
      </w:r>
      <w:proofErr w:type="spellEnd"/>
      <w:r w:rsidRPr="00606A11">
        <w:rPr>
          <w:color w:val="000000"/>
          <w:lang w:val="en-US"/>
        </w:rPr>
        <w:t xml:space="preserve"> </w:t>
      </w:r>
      <w:proofErr w:type="spellStart"/>
      <w:r w:rsidRPr="00606A11">
        <w:rPr>
          <w:color w:val="000000"/>
          <w:lang w:val="en-US"/>
        </w:rPr>
        <w:t>desenvolvimento</w:t>
      </w:r>
      <w:proofErr w:type="spellEnd"/>
      <w:r w:rsidRPr="00606A11">
        <w:rPr>
          <w:color w:val="000000"/>
          <w:lang w:val="en-US"/>
        </w:rPr>
        <w:t xml:space="preserve">; </w:t>
      </w:r>
      <w:proofErr w:type="spellStart"/>
      <w:r w:rsidRPr="00606A11">
        <w:rPr>
          <w:color w:val="000000"/>
          <w:lang w:val="en-US"/>
        </w:rPr>
        <w:t>Nesse</w:t>
      </w:r>
      <w:proofErr w:type="spellEnd"/>
      <w:r w:rsidRPr="00606A11">
        <w:rPr>
          <w:color w:val="000000"/>
          <w:lang w:val="en-US"/>
        </w:rPr>
        <w:t xml:space="preserve"> </w:t>
      </w:r>
      <w:proofErr w:type="spellStart"/>
      <w:r w:rsidRPr="00606A11">
        <w:rPr>
          <w:color w:val="000000"/>
          <w:lang w:val="en-US"/>
        </w:rPr>
        <w:t>sentido</w:t>
      </w:r>
      <w:proofErr w:type="spellEnd"/>
      <w:r w:rsidRPr="00606A11">
        <w:rPr>
          <w:color w:val="000000"/>
          <w:lang w:val="en-US"/>
        </w:rPr>
        <w:t xml:space="preserve">, as </w:t>
      </w:r>
      <w:proofErr w:type="spellStart"/>
      <w:r w:rsidRPr="00606A11">
        <w:rPr>
          <w:color w:val="000000"/>
          <w:lang w:val="en-US"/>
        </w:rPr>
        <w:t>atividades</w:t>
      </w:r>
      <w:proofErr w:type="spellEnd"/>
      <w:r w:rsidRPr="00606A11">
        <w:rPr>
          <w:color w:val="000000"/>
          <w:lang w:val="en-US"/>
        </w:rPr>
        <w:t xml:space="preserve"> </w:t>
      </w:r>
      <w:proofErr w:type="spellStart"/>
      <w:r w:rsidRPr="00606A11">
        <w:rPr>
          <w:color w:val="000000"/>
          <w:lang w:val="en-US"/>
        </w:rPr>
        <w:t>didáticas</w:t>
      </w:r>
      <w:proofErr w:type="spellEnd"/>
      <w:r w:rsidRPr="00606A11">
        <w:rPr>
          <w:color w:val="000000"/>
          <w:lang w:val="en-US"/>
        </w:rPr>
        <w:t xml:space="preserve"> </w:t>
      </w:r>
      <w:proofErr w:type="spellStart"/>
      <w:r w:rsidRPr="00606A11">
        <w:rPr>
          <w:color w:val="000000"/>
          <w:lang w:val="en-US"/>
        </w:rPr>
        <w:t>são</w:t>
      </w:r>
      <w:proofErr w:type="spellEnd"/>
      <w:r w:rsidRPr="00606A11">
        <w:rPr>
          <w:color w:val="000000"/>
          <w:lang w:val="en-US"/>
        </w:rPr>
        <w:t xml:space="preserve"> </w:t>
      </w:r>
      <w:proofErr w:type="spellStart"/>
      <w:r w:rsidRPr="00606A11">
        <w:rPr>
          <w:color w:val="000000"/>
          <w:lang w:val="en-US"/>
        </w:rPr>
        <w:t>recomendadas</w:t>
      </w:r>
      <w:proofErr w:type="spellEnd"/>
      <w:r w:rsidRPr="00606A11">
        <w:rPr>
          <w:color w:val="000000"/>
          <w:lang w:val="en-US"/>
        </w:rPr>
        <w:t xml:space="preserve"> </w:t>
      </w:r>
      <w:proofErr w:type="spellStart"/>
      <w:r w:rsidRPr="00606A11">
        <w:rPr>
          <w:color w:val="000000"/>
          <w:lang w:val="en-US"/>
        </w:rPr>
        <w:t>usando</w:t>
      </w:r>
      <w:proofErr w:type="spellEnd"/>
      <w:r w:rsidRPr="00606A11">
        <w:rPr>
          <w:color w:val="000000"/>
          <w:lang w:val="en-US"/>
        </w:rPr>
        <w:t xml:space="preserve"> a </w:t>
      </w:r>
      <w:proofErr w:type="spellStart"/>
      <w:r w:rsidRPr="00606A11">
        <w:rPr>
          <w:color w:val="000000"/>
          <w:lang w:val="en-US"/>
        </w:rPr>
        <w:t>tecnologia</w:t>
      </w:r>
      <w:proofErr w:type="spellEnd"/>
      <w:r w:rsidRPr="00606A11">
        <w:rPr>
          <w:color w:val="000000"/>
          <w:lang w:val="en-US"/>
        </w:rPr>
        <w:t xml:space="preserve"> </w:t>
      </w:r>
      <w:proofErr w:type="spellStart"/>
      <w:r w:rsidRPr="00606A11">
        <w:rPr>
          <w:color w:val="000000"/>
          <w:lang w:val="en-US"/>
        </w:rPr>
        <w:t>projetada</w:t>
      </w:r>
      <w:proofErr w:type="spellEnd"/>
      <w:r w:rsidRPr="00606A11">
        <w:rPr>
          <w:color w:val="000000"/>
          <w:lang w:val="en-US"/>
        </w:rPr>
        <w:t xml:space="preserve"> com a </w:t>
      </w:r>
      <w:proofErr w:type="spellStart"/>
      <w:r w:rsidRPr="00606A11">
        <w:rPr>
          <w:color w:val="000000"/>
          <w:lang w:val="en-US"/>
        </w:rPr>
        <w:t>intenção</w:t>
      </w:r>
      <w:proofErr w:type="spellEnd"/>
      <w:r w:rsidRPr="00606A11">
        <w:rPr>
          <w:color w:val="000000"/>
          <w:lang w:val="en-US"/>
        </w:rPr>
        <w:t xml:space="preserve"> de </w:t>
      </w:r>
      <w:proofErr w:type="spellStart"/>
      <w:r w:rsidRPr="00606A11">
        <w:rPr>
          <w:color w:val="000000"/>
          <w:lang w:val="en-US"/>
        </w:rPr>
        <w:t>favorecer</w:t>
      </w:r>
      <w:proofErr w:type="spellEnd"/>
      <w:r w:rsidRPr="00606A11">
        <w:rPr>
          <w:color w:val="000000"/>
          <w:lang w:val="en-US"/>
        </w:rPr>
        <w:t xml:space="preserve"> a </w:t>
      </w:r>
      <w:proofErr w:type="spellStart"/>
      <w:r w:rsidRPr="00606A11">
        <w:rPr>
          <w:color w:val="000000"/>
          <w:lang w:val="en-US"/>
        </w:rPr>
        <w:t>aprendizagem</w:t>
      </w:r>
      <w:proofErr w:type="spellEnd"/>
      <w:r w:rsidRPr="00606A11">
        <w:rPr>
          <w:color w:val="000000"/>
          <w:lang w:val="en-US"/>
        </w:rPr>
        <w:t xml:space="preserve"> </w:t>
      </w:r>
      <w:proofErr w:type="spellStart"/>
      <w:r w:rsidRPr="00606A11">
        <w:rPr>
          <w:color w:val="000000"/>
          <w:lang w:val="en-US"/>
        </w:rPr>
        <w:t>significativa</w:t>
      </w:r>
      <w:proofErr w:type="spellEnd"/>
      <w:r w:rsidRPr="00606A11">
        <w:rPr>
          <w:color w:val="000000"/>
          <w:lang w:val="en-US"/>
        </w:rPr>
        <w:t xml:space="preserve"> e </w:t>
      </w:r>
      <w:proofErr w:type="spellStart"/>
      <w:r w:rsidRPr="00606A11">
        <w:rPr>
          <w:color w:val="000000"/>
          <w:lang w:val="en-US"/>
        </w:rPr>
        <w:t>conceitual</w:t>
      </w:r>
      <w:proofErr w:type="spellEnd"/>
      <w:r w:rsidRPr="00606A11">
        <w:rPr>
          <w:color w:val="000000"/>
          <w:lang w:val="en-US"/>
        </w:rPr>
        <w:t xml:space="preserve">, para </w:t>
      </w:r>
      <w:proofErr w:type="spellStart"/>
      <w:r w:rsidRPr="00606A11">
        <w:rPr>
          <w:color w:val="000000"/>
          <w:lang w:val="en-US"/>
        </w:rPr>
        <w:t>encorajar</w:t>
      </w:r>
      <w:proofErr w:type="spellEnd"/>
      <w:r w:rsidRPr="00606A11">
        <w:rPr>
          <w:color w:val="000000"/>
          <w:lang w:val="en-US"/>
        </w:rPr>
        <w:t xml:space="preserve"> </w:t>
      </w:r>
      <w:proofErr w:type="spellStart"/>
      <w:r w:rsidRPr="00606A11">
        <w:rPr>
          <w:color w:val="000000"/>
          <w:lang w:val="en-US"/>
        </w:rPr>
        <w:t>uma</w:t>
      </w:r>
      <w:proofErr w:type="spellEnd"/>
      <w:r w:rsidRPr="00606A11">
        <w:rPr>
          <w:color w:val="000000"/>
          <w:lang w:val="en-US"/>
        </w:rPr>
        <w:t xml:space="preserve"> performance </w:t>
      </w:r>
      <w:proofErr w:type="spellStart"/>
      <w:r w:rsidRPr="00606A11">
        <w:rPr>
          <w:color w:val="000000"/>
          <w:lang w:val="en-US"/>
        </w:rPr>
        <w:t>mais</w:t>
      </w:r>
      <w:proofErr w:type="spellEnd"/>
      <w:r w:rsidRPr="00606A11">
        <w:rPr>
          <w:color w:val="000000"/>
          <w:lang w:val="en-US"/>
        </w:rPr>
        <w:t xml:space="preserve"> </w:t>
      </w:r>
      <w:proofErr w:type="spellStart"/>
      <w:r w:rsidRPr="00606A11">
        <w:rPr>
          <w:color w:val="000000"/>
          <w:lang w:val="en-US"/>
        </w:rPr>
        <w:t>adequada</w:t>
      </w:r>
      <w:proofErr w:type="spellEnd"/>
      <w:r w:rsidRPr="00606A11">
        <w:rPr>
          <w:color w:val="000000"/>
          <w:lang w:val="en-US"/>
        </w:rPr>
        <w:t xml:space="preserve"> </w:t>
      </w:r>
      <w:proofErr w:type="spellStart"/>
      <w:r w:rsidRPr="00606A11">
        <w:rPr>
          <w:color w:val="000000"/>
          <w:lang w:val="en-US"/>
        </w:rPr>
        <w:t>às</w:t>
      </w:r>
      <w:proofErr w:type="spellEnd"/>
      <w:r w:rsidRPr="00606A11">
        <w:rPr>
          <w:color w:val="000000"/>
          <w:lang w:val="en-US"/>
        </w:rPr>
        <w:t xml:space="preserve"> </w:t>
      </w:r>
      <w:proofErr w:type="spellStart"/>
      <w:r w:rsidRPr="00606A11">
        <w:rPr>
          <w:color w:val="000000"/>
          <w:lang w:val="en-US"/>
        </w:rPr>
        <w:t>características</w:t>
      </w:r>
      <w:proofErr w:type="spellEnd"/>
      <w:r w:rsidRPr="00606A11">
        <w:rPr>
          <w:color w:val="000000"/>
          <w:lang w:val="en-US"/>
        </w:rPr>
        <w:t xml:space="preserve"> da </w:t>
      </w:r>
      <w:proofErr w:type="spellStart"/>
      <w:r w:rsidRPr="00606A11">
        <w:rPr>
          <w:color w:val="000000"/>
          <w:lang w:val="en-US"/>
        </w:rPr>
        <w:t>carreira</w:t>
      </w:r>
      <w:proofErr w:type="spellEnd"/>
      <w:r w:rsidRPr="00606A11">
        <w:rPr>
          <w:color w:val="000000"/>
          <w:lang w:val="en-US"/>
        </w:rPr>
        <w:t xml:space="preserve"> </w:t>
      </w:r>
      <w:proofErr w:type="spellStart"/>
      <w:r w:rsidRPr="00606A11">
        <w:rPr>
          <w:color w:val="000000"/>
          <w:lang w:val="en-US"/>
        </w:rPr>
        <w:t>profissional</w:t>
      </w:r>
      <w:proofErr w:type="spellEnd"/>
      <w:r w:rsidRPr="00606A11">
        <w:rPr>
          <w:color w:val="000000"/>
          <w:lang w:val="en-US"/>
        </w:rPr>
        <w:t>.</w:t>
      </w:r>
    </w:p>
    <w:p w14:paraId="6A1D9F3A" w14:textId="77777777" w:rsidR="00606A11" w:rsidRDefault="00606A11" w:rsidP="00606A11">
      <w:pPr>
        <w:spacing w:before="240" w:line="360" w:lineRule="auto"/>
        <w:rPr>
          <w:color w:val="000000"/>
          <w:lang w:val="en-US"/>
        </w:rPr>
      </w:pPr>
      <w:proofErr w:type="spellStart"/>
      <w:r w:rsidRPr="00606A11">
        <w:rPr>
          <w:rFonts w:ascii="Arial" w:eastAsiaTheme="minorEastAsia" w:hAnsi="Arial" w:cstheme="minorBidi"/>
          <w:b/>
        </w:rPr>
        <w:t>Palavras</w:t>
      </w:r>
      <w:proofErr w:type="spellEnd"/>
      <w:r w:rsidRPr="00606A11">
        <w:rPr>
          <w:rFonts w:ascii="Arial" w:eastAsiaTheme="minorEastAsia" w:hAnsi="Arial" w:cstheme="minorBidi"/>
          <w:b/>
        </w:rPr>
        <w:t>-chave:</w:t>
      </w:r>
      <w:r w:rsidRPr="00606A11">
        <w:rPr>
          <w:color w:val="000000"/>
          <w:lang w:val="en-US"/>
        </w:rPr>
        <w:t xml:space="preserve"> </w:t>
      </w:r>
      <w:proofErr w:type="spellStart"/>
      <w:r w:rsidRPr="00606A11">
        <w:rPr>
          <w:color w:val="000000"/>
          <w:lang w:val="en-US"/>
        </w:rPr>
        <w:t>competências</w:t>
      </w:r>
      <w:proofErr w:type="spellEnd"/>
      <w:r w:rsidRPr="00606A11">
        <w:rPr>
          <w:color w:val="000000"/>
          <w:lang w:val="en-US"/>
        </w:rPr>
        <w:t xml:space="preserve">, </w:t>
      </w:r>
      <w:proofErr w:type="spellStart"/>
      <w:r w:rsidRPr="00606A11">
        <w:rPr>
          <w:color w:val="000000"/>
          <w:lang w:val="en-US"/>
        </w:rPr>
        <w:t>estudantes</w:t>
      </w:r>
      <w:proofErr w:type="spellEnd"/>
      <w:r w:rsidRPr="00606A11">
        <w:rPr>
          <w:color w:val="000000"/>
          <w:lang w:val="en-US"/>
        </w:rPr>
        <w:t xml:space="preserve"> </w:t>
      </w:r>
      <w:proofErr w:type="spellStart"/>
      <w:r w:rsidRPr="00606A11">
        <w:rPr>
          <w:color w:val="000000"/>
          <w:lang w:val="en-US"/>
        </w:rPr>
        <w:t>universitários</w:t>
      </w:r>
      <w:proofErr w:type="spellEnd"/>
      <w:r w:rsidRPr="00606A11">
        <w:rPr>
          <w:color w:val="000000"/>
          <w:lang w:val="en-US"/>
        </w:rPr>
        <w:t xml:space="preserve">, </w:t>
      </w:r>
      <w:proofErr w:type="spellStart"/>
      <w:r w:rsidRPr="00606A11">
        <w:rPr>
          <w:color w:val="000000"/>
          <w:lang w:val="en-US"/>
        </w:rPr>
        <w:t>engenharia</w:t>
      </w:r>
      <w:proofErr w:type="spellEnd"/>
      <w:r w:rsidRPr="00606A11">
        <w:rPr>
          <w:color w:val="000000"/>
          <w:lang w:val="en-US"/>
        </w:rPr>
        <w:t xml:space="preserve">, </w:t>
      </w:r>
      <w:proofErr w:type="spellStart"/>
      <w:r w:rsidRPr="00606A11">
        <w:rPr>
          <w:color w:val="000000"/>
          <w:lang w:val="en-US"/>
        </w:rPr>
        <w:t>matemática</w:t>
      </w:r>
      <w:proofErr w:type="spellEnd"/>
      <w:r w:rsidRPr="00606A11">
        <w:rPr>
          <w:color w:val="000000"/>
          <w:lang w:val="en-US"/>
        </w:rPr>
        <w:t>.</w:t>
      </w:r>
    </w:p>
    <w:p w14:paraId="0D725E19" w14:textId="77777777" w:rsidR="00606A11" w:rsidRDefault="00606A11" w:rsidP="00606A11">
      <w:pPr>
        <w:spacing w:before="120" w:after="240" w:line="360" w:lineRule="auto"/>
        <w:jc w:val="both"/>
        <w:rPr>
          <w:rFonts w:ascii="Arial" w:eastAsia="Arial" w:hAnsi="Arial" w:cs="Arial"/>
        </w:rPr>
      </w:pPr>
      <w:r w:rsidRPr="00895DF2">
        <w:rPr>
          <w:b/>
        </w:rPr>
        <w:t>Fecha Recepción:</w:t>
      </w:r>
      <w:r w:rsidRPr="00895DF2">
        <w:t xml:space="preserve"> </w:t>
      </w:r>
      <w:r>
        <w:t>Enero</w:t>
      </w:r>
      <w:r w:rsidRPr="00895DF2">
        <w:t xml:space="preserve"> 201</w:t>
      </w:r>
      <w:r>
        <w:t>7</w:t>
      </w:r>
      <w:r w:rsidRPr="00895DF2">
        <w:t xml:space="preserve">     </w:t>
      </w:r>
      <w:r w:rsidRPr="00895DF2">
        <w:rPr>
          <w:b/>
        </w:rPr>
        <w:t>Fecha Aceptación:</w:t>
      </w:r>
      <w:r w:rsidRPr="00895DF2">
        <w:t xml:space="preserve"> Ju</w:t>
      </w:r>
      <w:r>
        <w:t>l</w:t>
      </w:r>
      <w:r w:rsidRPr="00895DF2">
        <w:t>io 2017</w:t>
      </w:r>
      <w:r>
        <w:br/>
      </w:r>
      <w:r w:rsidR="001E1336">
        <w:pict w14:anchorId="660B4193">
          <v:rect id="_x0000_i1025" style="width:0;height:1.5pt" o:hralign="center" o:hrstd="t" o:hr="t" fillcolor="#a0a0a0" stroked="f"/>
        </w:pict>
      </w:r>
    </w:p>
    <w:p w14:paraId="77909961" w14:textId="77777777" w:rsidR="00606A11" w:rsidRDefault="00606A11" w:rsidP="00606A11">
      <w:pPr>
        <w:spacing w:before="240" w:line="360" w:lineRule="auto"/>
        <w:rPr>
          <w:color w:val="000000"/>
          <w:lang w:val="en-US"/>
        </w:rPr>
      </w:pPr>
    </w:p>
    <w:p w14:paraId="01591634" w14:textId="77777777" w:rsidR="00606A11" w:rsidRPr="0066529C" w:rsidRDefault="00606A11" w:rsidP="00606A11">
      <w:pPr>
        <w:spacing w:before="240" w:line="360" w:lineRule="auto"/>
        <w:rPr>
          <w:color w:val="000000"/>
          <w:lang w:val="en-US"/>
        </w:rPr>
      </w:pPr>
    </w:p>
    <w:p w14:paraId="51B57506" w14:textId="77777777" w:rsidR="009B6F12" w:rsidRPr="00606A11" w:rsidRDefault="00606A11" w:rsidP="00606A11">
      <w:pPr>
        <w:spacing w:before="240" w:line="360" w:lineRule="auto"/>
        <w:rPr>
          <w:rFonts w:ascii="Arial" w:eastAsiaTheme="minorEastAsia" w:hAnsi="Arial" w:cstheme="minorBidi"/>
          <w:b/>
        </w:rPr>
      </w:pPr>
      <w:r w:rsidRPr="00606A11">
        <w:rPr>
          <w:rFonts w:ascii="Arial" w:eastAsiaTheme="minorEastAsia" w:hAnsi="Arial" w:cstheme="minorBidi"/>
          <w:b/>
        </w:rPr>
        <w:lastRenderedPageBreak/>
        <w:t>Introducción</w:t>
      </w:r>
    </w:p>
    <w:p w14:paraId="3957407F" w14:textId="77777777" w:rsidR="004944E2" w:rsidRPr="00577646" w:rsidRDefault="004944E2" w:rsidP="00606A11">
      <w:pPr>
        <w:spacing w:before="240" w:line="360" w:lineRule="auto"/>
        <w:jc w:val="both"/>
      </w:pPr>
      <w:r w:rsidRPr="00577646">
        <w:t>Uno de los principales objetivos de la educación es formar estudiantes autónomos que sean capaces de dirigir su propia experiencia para generar aprendizaje, pero la realidad está generando una paradoja</w:t>
      </w:r>
      <w:r w:rsidR="006856CA" w:rsidRPr="00577646">
        <w:t>,</w:t>
      </w:r>
      <w:r w:rsidRPr="00577646">
        <w:t xml:space="preserve"> en la cual el alumno se queja de que las clases </w:t>
      </w:r>
      <w:r w:rsidR="006856CA" w:rsidRPr="00577646">
        <w:t>son</w:t>
      </w:r>
      <w:r w:rsidRPr="00577646">
        <w:t xml:space="preserve"> poco interesante</w:t>
      </w:r>
      <w:r w:rsidR="006856CA" w:rsidRPr="00577646">
        <w:t>s</w:t>
      </w:r>
      <w:r w:rsidRPr="00577646">
        <w:t xml:space="preserve"> y alentadoras y</w:t>
      </w:r>
      <w:r w:rsidR="00EA7DE4">
        <w:t>,</w:t>
      </w:r>
      <w:r w:rsidRPr="00577646">
        <w:t xml:space="preserve"> por la parte contraria</w:t>
      </w:r>
      <w:r w:rsidR="006856CA" w:rsidRPr="00577646">
        <w:t>,</w:t>
      </w:r>
      <w:r w:rsidRPr="00577646">
        <w:t xml:space="preserve"> el profesor se queja de falta de interés </w:t>
      </w:r>
      <w:r w:rsidR="006856CA" w:rsidRPr="00577646">
        <w:t xml:space="preserve">y conocimientos </w:t>
      </w:r>
      <w:r w:rsidRPr="00577646">
        <w:t>del estudiante (Narváez, 2005).</w:t>
      </w:r>
      <w:r w:rsidR="006856CA" w:rsidRPr="00577646">
        <w:t xml:space="preserve"> En enero del 2008 la Subsecretaria de Educación Media Superior de la Secretaria de Educación Pública de México public</w:t>
      </w:r>
      <w:r w:rsidR="00EA7DE4">
        <w:t>ó los documentos</w:t>
      </w:r>
      <w:r w:rsidR="006856CA" w:rsidRPr="00577646">
        <w:t xml:space="preserve"> “Competencias genéricas y Perfil del Egresado de la Educación Media Superior”</w:t>
      </w:r>
      <w:r w:rsidR="00EA7DE4">
        <w:t>,</w:t>
      </w:r>
      <w:r w:rsidR="006856CA" w:rsidRPr="00577646">
        <w:t xml:space="preserve"> en </w:t>
      </w:r>
      <w:r w:rsidR="00EA7DE4">
        <w:t>que</w:t>
      </w:r>
      <w:r w:rsidR="006856CA" w:rsidRPr="00577646">
        <w:t xml:space="preserve"> establecen las características que </w:t>
      </w:r>
      <w:r w:rsidR="00EA7DE4">
        <w:t xml:space="preserve">debe </w:t>
      </w:r>
      <w:r w:rsidR="006856CA" w:rsidRPr="00577646">
        <w:t xml:space="preserve">tener un egresado del sistema medio, indicando que deben de contar con una serie de “competencias que contribuyan al desarrollo de su capacidad de desplegar su potencial, tanto para su desarrollo personal </w:t>
      </w:r>
      <w:r w:rsidR="00D65D77" w:rsidRPr="00577646">
        <w:t>como</w:t>
      </w:r>
      <w:r w:rsidR="006856CA" w:rsidRPr="00577646">
        <w:t xml:space="preserve"> para el de la sociedad”</w:t>
      </w:r>
      <w:r w:rsidR="00EA7DE4">
        <w:t>,</w:t>
      </w:r>
      <w:r w:rsidR="006856CA" w:rsidRPr="00577646">
        <w:t xml:space="preserve"> por lo cual es indispensable tener un enfoque constructivista con base en las competencias (SEP, 2008).</w:t>
      </w:r>
    </w:p>
    <w:p w14:paraId="63521ADB" w14:textId="77777777" w:rsidR="00591837" w:rsidRPr="00577646" w:rsidRDefault="006856CA" w:rsidP="00606A11">
      <w:pPr>
        <w:spacing w:before="240" w:line="360" w:lineRule="auto"/>
        <w:jc w:val="both"/>
      </w:pPr>
      <w:r w:rsidRPr="00577646">
        <w:t xml:space="preserve">Esta política educativa que guía la enseñanza media superior se topa con resultados </w:t>
      </w:r>
      <w:r w:rsidR="00C03B0A" w:rsidRPr="00577646">
        <w:t>poco a</w:t>
      </w:r>
      <w:r w:rsidRPr="00577646">
        <w:t>lentadores cuando se ven evaluados los conocimientos de los estudiantes de dicho nivel en pruebas estandarizadas a nivel nacional e internacional</w:t>
      </w:r>
      <w:r w:rsidR="004D3E8E">
        <w:t>, como es</w:t>
      </w:r>
      <w:r w:rsidRPr="00577646">
        <w:t xml:space="preserve"> el caso de los recientes resultados de la prueba Planea (2017)</w:t>
      </w:r>
      <w:r w:rsidR="005863D1" w:rsidRPr="00577646">
        <w:t>, que como lo expresa la SEP “</w:t>
      </w:r>
      <w:r w:rsidR="00D65D77" w:rsidRPr="00577646">
        <w:t>s</w:t>
      </w:r>
      <w:r w:rsidR="00C03B0A" w:rsidRPr="00577646">
        <w:t>on estándares de exigencia más elevados que las pruebas anteriores, en correspondencia con las metas que se ha propuesto la nueva Reforma Educativa en México</w:t>
      </w:r>
      <w:r w:rsidR="005863D1" w:rsidRPr="00577646">
        <w:t>” (</w:t>
      </w:r>
      <w:r w:rsidR="004D3E8E" w:rsidRPr="00577646">
        <w:t xml:space="preserve">Instituto Nacional de Evaluación Educativa </w:t>
      </w:r>
      <w:r w:rsidR="004D3E8E">
        <w:t>[</w:t>
      </w:r>
      <w:r w:rsidR="00D52000">
        <w:t>INEE</w:t>
      </w:r>
      <w:r w:rsidR="004D3E8E">
        <w:t>]</w:t>
      </w:r>
      <w:r w:rsidR="00D52000">
        <w:t>,</w:t>
      </w:r>
      <w:r w:rsidR="005863D1" w:rsidRPr="00577646">
        <w:t xml:space="preserve"> 2017)</w:t>
      </w:r>
      <w:r w:rsidR="00C03B0A" w:rsidRPr="00577646">
        <w:t>. El INEE indica que estos resultados no son comparables con las pruebas P</w:t>
      </w:r>
      <w:r w:rsidR="00D65D77" w:rsidRPr="00577646">
        <w:t>lanea</w:t>
      </w:r>
      <w:r w:rsidR="00C03B0A" w:rsidRPr="00577646">
        <w:t xml:space="preserve"> 2015 y P</w:t>
      </w:r>
      <w:r w:rsidR="00D65D77" w:rsidRPr="00577646">
        <w:t>lanea</w:t>
      </w:r>
      <w:r w:rsidR="00C03B0A" w:rsidRPr="00577646">
        <w:t xml:space="preserve"> 2016. Si bien </w:t>
      </w:r>
      <w:r w:rsidR="00AC26B8" w:rsidRPr="00577646">
        <w:t xml:space="preserve">PLANEA </w:t>
      </w:r>
      <w:r w:rsidR="00C03B0A" w:rsidRPr="00577646">
        <w:t>2017 es, como las dos anteriores, una prueba estandarizada, con reactivos de opción múltiple dirigidos a los alumnos que cursan el último semestre del bachillerato en la modalidad escolarizada, este instrumento introdujo una nueva escala de calificación y nuevos puntos de corte para categorizar los resultados en cuatro niveles de desempeño más estrictos que los utilizados anteriormente, obteniendo nuevamente resultados por debajo de los esperados. De tal manera, la prueba explora un mayor número de áreas de conocimiento que en el pasado y sus esquemas de ensamble, aplicación y calificación también se transformaron</w:t>
      </w:r>
      <w:r w:rsidR="005863D1" w:rsidRPr="00577646">
        <w:t xml:space="preserve">. En Lenguaje y Comunicación, el promedio nacional alcanzado en 2015 por los alumnos evaluados fue de 496 puntos, mientras que en 2017 fue de 500; es decir, se registró una mejora de 4 puntos (la escala es de 200 a 800 con una media de 500 puntos). </w:t>
      </w:r>
      <w:r w:rsidR="005863D1" w:rsidRPr="00577646">
        <w:lastRenderedPageBreak/>
        <w:t>Asimismo, para el caso de Matemáticas, el puntaje promedio en 2015 fue de 498 y en 2017 de 500 puntos, con un aumento de dos puntos</w:t>
      </w:r>
      <w:r w:rsidR="00C03B0A" w:rsidRPr="00577646">
        <w:t xml:space="preserve"> (</w:t>
      </w:r>
      <w:r w:rsidR="00D52000">
        <w:t>INEE,</w:t>
      </w:r>
      <w:r w:rsidR="00C03B0A" w:rsidRPr="00577646">
        <w:t xml:space="preserve"> 2017). </w:t>
      </w:r>
    </w:p>
    <w:p w14:paraId="5FDD31C7" w14:textId="77777777" w:rsidR="005863D1" w:rsidRPr="00577646" w:rsidRDefault="005863D1" w:rsidP="00606A11">
      <w:pPr>
        <w:spacing w:before="240" w:line="360" w:lineRule="auto"/>
        <w:jc w:val="both"/>
      </w:pPr>
      <w:r w:rsidRPr="00577646">
        <w:t xml:space="preserve">Los datos de la prueba </w:t>
      </w:r>
      <w:r w:rsidR="00AC26B8" w:rsidRPr="00577646">
        <w:t xml:space="preserve">PLANEA </w:t>
      </w:r>
      <w:r w:rsidRPr="00577646">
        <w:t xml:space="preserve">2017 </w:t>
      </w:r>
      <w:r w:rsidR="0097089E" w:rsidRPr="00577646">
        <w:t xml:space="preserve">muestran que </w:t>
      </w:r>
      <w:r w:rsidR="00822F5D" w:rsidRPr="00577646">
        <w:t>l</w:t>
      </w:r>
      <w:r w:rsidR="0097089E" w:rsidRPr="00577646">
        <w:t xml:space="preserve">os alumnos de educación media superior en el campo de la Comunicación y el Lenguaje se distribuyen de manera homogénea en los tres primeros niveles de logro (33.9% en el nivel I, 28.1% en el nivel II, 28.7% en el nivel III y 9.2% en el nivel IV); mientras que esto no ocurre en </w:t>
      </w:r>
      <w:r w:rsidR="00652065" w:rsidRPr="00577646">
        <w:t>m</w:t>
      </w:r>
      <w:r w:rsidR="0097089E" w:rsidRPr="00577646">
        <w:t>atemáticas, en la que cerca de las dos terceras partes de los estudiantes se concentra</w:t>
      </w:r>
      <w:r w:rsidR="00652065" w:rsidRPr="00577646">
        <w:t>n</w:t>
      </w:r>
      <w:r w:rsidR="0097089E" w:rsidRPr="00577646">
        <w:t xml:space="preserve"> en el nivel más bajo del desempeño. Esto indica un problema generalizado de bajos niveles de aprendizaje, de acuerdo con los estándares de la prueba (</w:t>
      </w:r>
      <w:r w:rsidR="00D52000">
        <w:t>INEE</w:t>
      </w:r>
      <w:r w:rsidR="0092133E">
        <w:t>,</w:t>
      </w:r>
      <w:r w:rsidR="0097089E" w:rsidRPr="00577646">
        <w:t xml:space="preserve"> 2017).</w:t>
      </w:r>
    </w:p>
    <w:p w14:paraId="43CB808D" w14:textId="77777777" w:rsidR="006633B8" w:rsidRPr="00577646" w:rsidRDefault="006633B8" w:rsidP="00606A11">
      <w:pPr>
        <w:spacing w:before="240" w:line="360" w:lineRule="auto"/>
        <w:jc w:val="both"/>
      </w:pPr>
      <w:r w:rsidRPr="00577646">
        <w:t xml:space="preserve">Algo similar sucede con la evaluación de PISA 2015, donde el desempeño de México se encuentra por debajo del promedio </w:t>
      </w:r>
      <w:r w:rsidR="004D3E8E">
        <w:t xml:space="preserve">de los países miembros de la </w:t>
      </w:r>
      <w:r w:rsidR="004D3E8E" w:rsidRPr="004D3E8E">
        <w:t xml:space="preserve">Organización para la Cooperación y el Desarrollo Económicos </w:t>
      </w:r>
      <w:r w:rsidR="004D3E8E">
        <w:t>(</w:t>
      </w:r>
      <w:r w:rsidRPr="00577646">
        <w:t>OCDE</w:t>
      </w:r>
      <w:r w:rsidR="004D3E8E">
        <w:t>)</w:t>
      </w:r>
      <w:r w:rsidRPr="00577646">
        <w:t xml:space="preserve"> en ciencias (416 puntos), lectura (423 puntos) y matemáticas (408 puntos). En estas tres áreas, menos de 1% de los estudiantes en México logran alcanzar niveles de competencia de excelencia (nivel 5 y 6). En promedio, el rendimiento en matemáticas mejoró en 5 puntos por cada tres años entre el 2003 y el 2015</w:t>
      </w:r>
      <w:r w:rsidR="002E1853" w:rsidRPr="00577646">
        <w:t xml:space="preserve">, pero el promedio del </w:t>
      </w:r>
      <w:r w:rsidR="00652065" w:rsidRPr="00577646">
        <w:t>2015</w:t>
      </w:r>
      <w:r w:rsidR="002E1853" w:rsidRPr="00577646">
        <w:t xml:space="preserve"> está por debajo al obtenido el 2009 (419 puntos)</w:t>
      </w:r>
      <w:r w:rsidRPr="00577646">
        <w:t xml:space="preserve">. Los estudiantes en México declaran altos niveles de interés en ciencias, que se identifica a través de sus expectativas de tener una carrera profesional de esta área, en la importancia de la investigación científica, o de su motivación por aprender ciencias; sin </w:t>
      </w:r>
      <w:r w:rsidR="00652065" w:rsidRPr="00577646">
        <w:t>embargo,</w:t>
      </w:r>
      <w:r w:rsidRPr="00577646">
        <w:t xml:space="preserve"> estas actitudes positivas están débilmente asociadas con el desempeño de los estudiantes en matemáticas (</w:t>
      </w:r>
      <w:r w:rsidR="008F7F64">
        <w:t>OCDE</w:t>
      </w:r>
      <w:r w:rsidR="003E74C1" w:rsidRPr="00577646">
        <w:t>,</w:t>
      </w:r>
      <w:r w:rsidRPr="00577646">
        <w:t xml:space="preserve"> 2015).</w:t>
      </w:r>
    </w:p>
    <w:p w14:paraId="710F7238" w14:textId="77777777" w:rsidR="0038411A" w:rsidRPr="00577646" w:rsidRDefault="00591837" w:rsidP="00606A11">
      <w:pPr>
        <w:spacing w:before="240" w:line="360" w:lineRule="auto"/>
        <w:jc w:val="both"/>
        <w:rPr>
          <w:color w:val="000000"/>
        </w:rPr>
      </w:pPr>
      <w:r w:rsidRPr="00577646">
        <w:t xml:space="preserve">Por otro lado, </w:t>
      </w:r>
      <w:r w:rsidR="00FE09FF" w:rsidRPr="00577646">
        <w:t xml:space="preserve">el informe Panorama de la Educación 2017 de la OCDE </w:t>
      </w:r>
      <w:r w:rsidRPr="00577646">
        <w:t xml:space="preserve">que </w:t>
      </w:r>
      <w:r w:rsidR="00FE09FF" w:rsidRPr="00577646">
        <w:t>presenta</w:t>
      </w:r>
      <w:r w:rsidRPr="00577646">
        <w:t xml:space="preserve"> cifras hasta 201</w:t>
      </w:r>
      <w:r w:rsidR="0038411A" w:rsidRPr="00577646">
        <w:t>6</w:t>
      </w:r>
      <w:r w:rsidRPr="00577646">
        <w:t>,</w:t>
      </w:r>
      <w:r w:rsidRPr="00577646">
        <w:rPr>
          <w:color w:val="000000"/>
        </w:rPr>
        <w:t xml:space="preserve"> muestra que la proporción de adultos jóvenes que finalizaron sus estudios de educación media superior aumentó de 20% a 25%, y la proporción que terminó la educación superior se incrementó de 17% a 22%. Lo que indica que la política de elevar a obligatorio los estudios a nivel medio superior</w:t>
      </w:r>
      <w:r w:rsidR="009D0DB0" w:rsidRPr="00577646">
        <w:rPr>
          <w:color w:val="000000"/>
        </w:rPr>
        <w:t xml:space="preserve"> decretada en el ciclo escolar 2012-2013 </w:t>
      </w:r>
      <w:r w:rsidR="00D65D77" w:rsidRPr="00577646">
        <w:rPr>
          <w:color w:val="000000"/>
        </w:rPr>
        <w:t>ocasionó</w:t>
      </w:r>
      <w:r w:rsidR="009D0DB0" w:rsidRPr="00577646">
        <w:rPr>
          <w:color w:val="000000"/>
        </w:rPr>
        <w:t xml:space="preserve"> que el Estado </w:t>
      </w:r>
      <w:r w:rsidR="004D3E8E" w:rsidRPr="00577646">
        <w:rPr>
          <w:color w:val="000000"/>
        </w:rPr>
        <w:t>adquiri</w:t>
      </w:r>
      <w:r w:rsidR="004D3E8E">
        <w:rPr>
          <w:color w:val="000000"/>
        </w:rPr>
        <w:t>era</w:t>
      </w:r>
      <w:r w:rsidR="004D3E8E" w:rsidRPr="00577646">
        <w:rPr>
          <w:color w:val="000000"/>
        </w:rPr>
        <w:t xml:space="preserve"> </w:t>
      </w:r>
      <w:r w:rsidR="009D0DB0" w:rsidRPr="00577646">
        <w:rPr>
          <w:color w:val="000000"/>
        </w:rPr>
        <w:t>la obligación de “ofrecer un lugar para cursar a quien teniendo la edad típica hubiera concluido la educación básica” (INEE</w:t>
      </w:r>
      <w:r w:rsidR="0092133E">
        <w:rPr>
          <w:color w:val="000000"/>
        </w:rPr>
        <w:t>,</w:t>
      </w:r>
      <w:r w:rsidR="009D0DB0" w:rsidRPr="00577646">
        <w:rPr>
          <w:color w:val="000000"/>
        </w:rPr>
        <w:t xml:space="preserve"> 2015), </w:t>
      </w:r>
      <w:r w:rsidR="004D3E8E">
        <w:rPr>
          <w:color w:val="000000"/>
        </w:rPr>
        <w:t xml:space="preserve">que </w:t>
      </w:r>
      <w:r w:rsidRPr="00577646">
        <w:rPr>
          <w:color w:val="000000"/>
        </w:rPr>
        <w:t>origin</w:t>
      </w:r>
      <w:r w:rsidR="004D3E8E">
        <w:rPr>
          <w:color w:val="000000"/>
        </w:rPr>
        <w:t>ó</w:t>
      </w:r>
      <w:r w:rsidRPr="00577646">
        <w:rPr>
          <w:color w:val="000000"/>
        </w:rPr>
        <w:t xml:space="preserve"> un mayor incremento en cobertura e inclusión, </w:t>
      </w:r>
      <w:r w:rsidR="004D3E8E">
        <w:rPr>
          <w:color w:val="000000"/>
        </w:rPr>
        <w:t xml:space="preserve">ya que </w:t>
      </w:r>
      <w:r w:rsidRPr="00577646">
        <w:rPr>
          <w:color w:val="000000"/>
        </w:rPr>
        <w:t>se brindó atención educativa a casi 5.5 millones de alumnos, con lo cual se logró una tasa de cobertura total de 82</w:t>
      </w:r>
      <w:r w:rsidR="004D3E8E" w:rsidRPr="00577646">
        <w:rPr>
          <w:color w:val="000000"/>
        </w:rPr>
        <w:t>%</w:t>
      </w:r>
      <w:r w:rsidRPr="00577646">
        <w:rPr>
          <w:color w:val="000000"/>
        </w:rPr>
        <w:t xml:space="preserve">. Tan solo en la modalidad escolarizada, en los últimos cuatro ciclos escolares la cobertura se incrementó 10.7 puntos </w:t>
      </w:r>
      <w:r w:rsidRPr="00577646">
        <w:rPr>
          <w:color w:val="000000"/>
        </w:rPr>
        <w:lastRenderedPageBreak/>
        <w:t>porcentuales, pasando de 65.9</w:t>
      </w:r>
      <w:r w:rsidR="004D3E8E" w:rsidRPr="00577646">
        <w:rPr>
          <w:color w:val="000000"/>
        </w:rPr>
        <w:t>%</w:t>
      </w:r>
      <w:r w:rsidR="004D3E8E">
        <w:rPr>
          <w:color w:val="000000"/>
        </w:rPr>
        <w:t xml:space="preserve"> </w:t>
      </w:r>
      <w:r w:rsidRPr="00577646">
        <w:rPr>
          <w:color w:val="000000"/>
        </w:rPr>
        <w:t>a 76.6</w:t>
      </w:r>
      <w:r w:rsidR="004D3E8E" w:rsidRPr="00577646">
        <w:rPr>
          <w:color w:val="000000"/>
        </w:rPr>
        <w:t>%</w:t>
      </w:r>
      <w:r w:rsidRPr="00577646">
        <w:rPr>
          <w:color w:val="000000"/>
        </w:rPr>
        <w:t>. Por su parte, en educación superior, entre el 2012 y el ciclo 2016-2017, el incremento en la cobertura total fue 5.2 puntos porcentuales, de 32.1</w:t>
      </w:r>
      <w:r w:rsidR="004D3E8E" w:rsidRPr="00577646">
        <w:rPr>
          <w:color w:val="000000"/>
        </w:rPr>
        <w:t>%</w:t>
      </w:r>
      <w:r w:rsidRPr="00577646">
        <w:rPr>
          <w:color w:val="000000"/>
        </w:rPr>
        <w:t xml:space="preserve"> a 37.3</w:t>
      </w:r>
      <w:r w:rsidR="004D3E8E" w:rsidRPr="00577646">
        <w:rPr>
          <w:color w:val="000000"/>
        </w:rPr>
        <w:t>%</w:t>
      </w:r>
      <w:r w:rsidR="0038411A" w:rsidRPr="00577646">
        <w:rPr>
          <w:color w:val="000000"/>
        </w:rPr>
        <w:t xml:space="preserve">; así como se incentivaron carreras del área </w:t>
      </w:r>
      <w:r w:rsidR="008A7AE5" w:rsidRPr="00577646">
        <w:rPr>
          <w:color w:val="000000"/>
        </w:rPr>
        <w:t xml:space="preserve">de </w:t>
      </w:r>
      <w:r w:rsidR="0038411A" w:rsidRPr="00577646">
        <w:rPr>
          <w:color w:val="000000"/>
        </w:rPr>
        <w:t>tecnológica</w:t>
      </w:r>
      <w:r w:rsidR="008A7AE5" w:rsidRPr="00577646">
        <w:rPr>
          <w:color w:val="000000"/>
        </w:rPr>
        <w:t xml:space="preserve"> e</w:t>
      </w:r>
      <w:r w:rsidR="0038411A" w:rsidRPr="00577646">
        <w:rPr>
          <w:color w:val="000000"/>
        </w:rPr>
        <w:t xml:space="preserve"> ingeniería</w:t>
      </w:r>
      <w:r w:rsidR="00C03B0A" w:rsidRPr="00577646">
        <w:rPr>
          <w:color w:val="000000"/>
        </w:rPr>
        <w:t xml:space="preserve"> (</w:t>
      </w:r>
      <w:r w:rsidR="00AF637D">
        <w:rPr>
          <w:color w:val="000000"/>
        </w:rPr>
        <w:t>OCDE,</w:t>
      </w:r>
      <w:r w:rsidR="00C03B0A" w:rsidRPr="00577646">
        <w:rPr>
          <w:color w:val="000000"/>
        </w:rPr>
        <w:t xml:space="preserve"> 2017)</w:t>
      </w:r>
      <w:r w:rsidRPr="00577646">
        <w:rPr>
          <w:color w:val="000000"/>
        </w:rPr>
        <w:t>.</w:t>
      </w:r>
    </w:p>
    <w:p w14:paraId="789DB5BE" w14:textId="77777777" w:rsidR="000B1C6C" w:rsidRDefault="008A7AE5" w:rsidP="00606A11">
      <w:pPr>
        <w:spacing w:before="240" w:line="360" w:lineRule="auto"/>
        <w:jc w:val="both"/>
        <w:rPr>
          <w:rFonts w:ascii="Times" w:hAnsi="Times"/>
          <w:sz w:val="20"/>
          <w:szCs w:val="20"/>
          <w:lang w:val="es-MX"/>
        </w:rPr>
      </w:pPr>
      <w:r w:rsidRPr="00577646">
        <w:rPr>
          <w:color w:val="000000"/>
        </w:rPr>
        <w:t>Según la OCDE</w:t>
      </w:r>
      <w:r w:rsidR="004D3E8E">
        <w:rPr>
          <w:color w:val="000000"/>
        </w:rPr>
        <w:t>,</w:t>
      </w:r>
      <w:r w:rsidRPr="00577646">
        <w:rPr>
          <w:color w:val="000000"/>
        </w:rPr>
        <w:t xml:space="preserve"> “se considera que la Educación Terciaria desempeña un papel esencial en el fomento del conocimiento y la innovación, ambas fundamentales para mantener el crecimiento económico. Varios gobiernos de los países de la OCDE han puesto especial énfasis en mejorar la calidad de la educación en ciencia, tecnología, ingeniería y matemáticas, lo que refleja la importancia de estas disciplinas para impulsar el progreso económico, apoyar la innovación y sentar las bases de una verdadera prosperidad. Además, las habilidades y competencias científicas avanzadas tales como el razonamiento crítico, la resolución de problemas y la creatividad, se consideran fundamentales para tener éxito en el mercado laboral, independientemente de la ocupación final de los estudiantes” (</w:t>
      </w:r>
      <w:r w:rsidR="00AF637D">
        <w:rPr>
          <w:color w:val="000000"/>
        </w:rPr>
        <w:t>OCDE</w:t>
      </w:r>
      <w:r w:rsidR="0097367F" w:rsidRPr="00577646">
        <w:rPr>
          <w:color w:val="000000"/>
        </w:rPr>
        <w:t>,</w:t>
      </w:r>
      <w:r w:rsidRPr="00577646">
        <w:rPr>
          <w:color w:val="000000"/>
        </w:rPr>
        <w:t xml:space="preserve"> 2017).</w:t>
      </w:r>
      <w:r w:rsidR="00D22C7D" w:rsidRPr="00577646">
        <w:rPr>
          <w:color w:val="000000"/>
        </w:rPr>
        <w:t xml:space="preserve"> Aunque cada institución por país determina los mecanismos de ingreso al nivel universitario, la mayoría coincide en contemplar los resultados de un examen general de ingreso y el expediente académico del aspirante de n</w:t>
      </w:r>
      <w:r w:rsidR="00AF637D">
        <w:rPr>
          <w:color w:val="000000"/>
        </w:rPr>
        <w:t>ivel medio superior</w:t>
      </w:r>
      <w:r w:rsidR="00D22C7D" w:rsidRPr="00577646">
        <w:rPr>
          <w:color w:val="000000"/>
        </w:rPr>
        <w:t>.</w:t>
      </w:r>
      <w:r w:rsidRPr="00577646">
        <w:rPr>
          <w:color w:val="000000"/>
        </w:rPr>
        <w:t xml:space="preserve"> </w:t>
      </w:r>
    </w:p>
    <w:p w14:paraId="55522D56" w14:textId="77777777" w:rsidR="00790DEA" w:rsidRPr="00577646" w:rsidRDefault="00790DEA" w:rsidP="00606A11">
      <w:pPr>
        <w:spacing w:before="240" w:line="360" w:lineRule="auto"/>
        <w:jc w:val="both"/>
        <w:rPr>
          <w:color w:val="000000"/>
        </w:rPr>
      </w:pPr>
      <w:r w:rsidRPr="00577646">
        <w:rPr>
          <w:color w:val="000000"/>
        </w:rPr>
        <w:t xml:space="preserve">En la Universidad Autónoma del Estado de México el mecanismo de ingreso al nivel superior es el </w:t>
      </w:r>
      <w:r w:rsidR="0097367F" w:rsidRPr="00577646">
        <w:rPr>
          <w:color w:val="000000"/>
        </w:rPr>
        <w:t xml:space="preserve">EXANI </w:t>
      </w:r>
      <w:r w:rsidRPr="00577646">
        <w:rPr>
          <w:color w:val="000000"/>
        </w:rPr>
        <w:t>II</w:t>
      </w:r>
      <w:r w:rsidR="004D3E8E">
        <w:rPr>
          <w:color w:val="000000"/>
        </w:rPr>
        <w:t>,</w:t>
      </w:r>
      <w:r w:rsidRPr="00577646">
        <w:rPr>
          <w:color w:val="000000"/>
        </w:rPr>
        <w:t xml:space="preserve"> una prueba de aptitud académica que evalúa las habilidades intelectuales y los conocimientos específicos, considerados básicos e imprescindibles para iniciar estudios de educación superior. Se aplica a aspirantes a ingresar al nivel de educación superior en instituciones que han contratado los servicios del CENEVAL</w:t>
      </w:r>
      <w:r w:rsidR="004D3E8E">
        <w:rPr>
          <w:color w:val="000000"/>
        </w:rPr>
        <w:t>, y</w:t>
      </w:r>
      <w:r w:rsidRPr="00577646">
        <w:rPr>
          <w:color w:val="000000"/>
        </w:rPr>
        <w:t xml:space="preserve"> no se aplica a solicitantes individuales. Por el propósito para el que se diseñó el instrumento, </w:t>
      </w:r>
      <w:r w:rsidR="00D65D77" w:rsidRPr="00577646">
        <w:rPr>
          <w:color w:val="000000"/>
        </w:rPr>
        <w:t>a</w:t>
      </w:r>
      <w:r w:rsidRPr="00577646">
        <w:rPr>
          <w:color w:val="000000"/>
        </w:rPr>
        <w:t>proximadamente 50</w:t>
      </w:r>
      <w:r w:rsidR="00D65D77" w:rsidRPr="00577646">
        <w:rPr>
          <w:color w:val="000000"/>
        </w:rPr>
        <w:t>%</w:t>
      </w:r>
      <w:r w:rsidRPr="00577646">
        <w:rPr>
          <w:color w:val="000000"/>
        </w:rPr>
        <w:t xml:space="preserve"> de sus contenidos evalúan habilidades intelectuales (SEP</w:t>
      </w:r>
      <w:r w:rsidR="0097367F" w:rsidRPr="00577646">
        <w:rPr>
          <w:color w:val="000000"/>
        </w:rPr>
        <w:t>,</w:t>
      </w:r>
      <w:r w:rsidRPr="00577646">
        <w:rPr>
          <w:color w:val="000000"/>
        </w:rPr>
        <w:t xml:space="preserve"> 2017). Derivadas de las competencias que se buscan desarrollar en estudiantes de la carrera en Ingeniería en Computación, interesan los aspectos relacionados con </w:t>
      </w:r>
      <w:r w:rsidR="00CA0DD1" w:rsidRPr="00577646">
        <w:rPr>
          <w:color w:val="000000"/>
        </w:rPr>
        <w:t>m</w:t>
      </w:r>
      <w:r w:rsidRPr="00577646">
        <w:rPr>
          <w:color w:val="000000"/>
        </w:rPr>
        <w:t xml:space="preserve">atemáticas. En </w:t>
      </w:r>
      <w:r w:rsidR="00E86A74" w:rsidRPr="00577646">
        <w:rPr>
          <w:color w:val="000000"/>
        </w:rPr>
        <w:t>un primer momento</w:t>
      </w:r>
      <w:r w:rsidRPr="00577646">
        <w:rPr>
          <w:color w:val="000000"/>
        </w:rPr>
        <w:t>, ya que la forma de leer e interpretar las preguntas del área de matemáticas requieren de procesos de traducción, interpretación y solución.</w:t>
      </w:r>
      <w:r w:rsidR="00697304" w:rsidRPr="00577646">
        <w:rPr>
          <w:color w:val="000000"/>
        </w:rPr>
        <w:t xml:space="preserve"> Mientras en el segundo </w:t>
      </w:r>
      <w:r w:rsidR="00E86A74" w:rsidRPr="00577646">
        <w:rPr>
          <w:color w:val="000000"/>
        </w:rPr>
        <w:t>momento</w:t>
      </w:r>
      <w:r w:rsidR="00697304" w:rsidRPr="00577646">
        <w:rPr>
          <w:color w:val="000000"/>
        </w:rPr>
        <w:t xml:space="preserve">, corresponde a </w:t>
      </w:r>
      <w:r w:rsidR="00306F50" w:rsidRPr="00577646">
        <w:rPr>
          <w:color w:val="000000"/>
        </w:rPr>
        <w:t>conocimientos</w:t>
      </w:r>
      <w:r w:rsidR="00697304" w:rsidRPr="00577646">
        <w:rPr>
          <w:color w:val="000000"/>
        </w:rPr>
        <w:t xml:space="preserve"> y habilidades que son de especial interés para las ingenierías</w:t>
      </w:r>
      <w:r w:rsidR="00306F50" w:rsidRPr="00577646">
        <w:rPr>
          <w:color w:val="000000"/>
        </w:rPr>
        <w:t xml:space="preserve">, por lo que se incluye: pensamiento racional, pensamiento analítico, pensamiento funcional y </w:t>
      </w:r>
      <w:r w:rsidR="00C30591" w:rsidRPr="00577646">
        <w:rPr>
          <w:color w:val="000000"/>
        </w:rPr>
        <w:t xml:space="preserve">dos módulos específicos de </w:t>
      </w:r>
      <w:r w:rsidR="00306F50" w:rsidRPr="00577646">
        <w:rPr>
          <w:color w:val="000000"/>
        </w:rPr>
        <w:t>matemáticas</w:t>
      </w:r>
      <w:r w:rsidR="00C30591" w:rsidRPr="00577646">
        <w:rPr>
          <w:color w:val="000000"/>
        </w:rPr>
        <w:t xml:space="preserve"> y física</w:t>
      </w:r>
      <w:r w:rsidR="00306F50" w:rsidRPr="00577646">
        <w:rPr>
          <w:color w:val="000000"/>
        </w:rPr>
        <w:t>.</w:t>
      </w:r>
      <w:r w:rsidR="000B1C6C">
        <w:rPr>
          <w:color w:val="000000"/>
        </w:rPr>
        <w:t xml:space="preserve"> </w:t>
      </w:r>
    </w:p>
    <w:p w14:paraId="4CA22B10" w14:textId="77777777" w:rsidR="006856CA" w:rsidRPr="00577646" w:rsidRDefault="00C30591" w:rsidP="00606A11">
      <w:pPr>
        <w:spacing w:before="240" w:line="360" w:lineRule="auto"/>
        <w:jc w:val="both"/>
      </w:pPr>
      <w:r w:rsidRPr="00577646">
        <w:lastRenderedPageBreak/>
        <w:t xml:space="preserve">De manera que se analizaran los resultados </w:t>
      </w:r>
      <w:r w:rsidR="00E86A74" w:rsidRPr="00577646">
        <w:t xml:space="preserve">relacionados con estas pruebas: Planea, </w:t>
      </w:r>
      <w:r w:rsidR="003E74C1" w:rsidRPr="00577646">
        <w:t>PISA</w:t>
      </w:r>
      <w:r w:rsidR="00E86A74" w:rsidRPr="00577646">
        <w:t xml:space="preserve"> y </w:t>
      </w:r>
      <w:r w:rsidR="0097367F" w:rsidRPr="00577646">
        <w:t xml:space="preserve">EXANI </w:t>
      </w:r>
      <w:r w:rsidRPr="00577646">
        <w:t>II</w:t>
      </w:r>
      <w:r w:rsidR="00F365E2" w:rsidRPr="00577646">
        <w:t>, relacionados con</w:t>
      </w:r>
      <w:r w:rsidRPr="00577646">
        <w:t xml:space="preserve"> estudiantes de nuevo ingreso a la carrera de Ingeniería en computación, y posteriormente se revisaran los requisitos específicos que marcan los planes de estudio de las asignaturas de matemáticas del primer semestre: Geometría Analítica, </w:t>
      </w:r>
      <w:r w:rsidR="0092133E">
        <w:t>Á</w:t>
      </w:r>
      <w:r w:rsidRPr="00577646">
        <w:t>lgebra, Probabilidad y Estadística y Cálculo diferencial e integral</w:t>
      </w:r>
      <w:r w:rsidR="00F365E2" w:rsidRPr="00577646">
        <w:t>, para correlacionar resultados</w:t>
      </w:r>
      <w:r w:rsidRPr="00577646">
        <w:t>.</w:t>
      </w:r>
    </w:p>
    <w:p w14:paraId="045AD118" w14:textId="77777777" w:rsidR="00C75111" w:rsidRPr="00606A11" w:rsidRDefault="00606A11" w:rsidP="00606A11">
      <w:pPr>
        <w:spacing w:before="240" w:line="360" w:lineRule="auto"/>
        <w:jc w:val="both"/>
        <w:rPr>
          <w:rFonts w:ascii="Arial" w:eastAsiaTheme="minorEastAsia" w:hAnsi="Arial" w:cstheme="minorBidi"/>
          <w:b/>
        </w:rPr>
      </w:pPr>
      <w:r w:rsidRPr="00606A11">
        <w:rPr>
          <w:rFonts w:ascii="Arial" w:eastAsiaTheme="minorEastAsia" w:hAnsi="Arial" w:cstheme="minorBidi"/>
          <w:b/>
        </w:rPr>
        <w:t>Desarrollo</w:t>
      </w:r>
    </w:p>
    <w:p w14:paraId="2B1435C0" w14:textId="77777777" w:rsidR="00BF720E" w:rsidRPr="00577646" w:rsidRDefault="003D5757" w:rsidP="00606A11">
      <w:pPr>
        <w:spacing w:before="240" w:line="360" w:lineRule="auto"/>
        <w:jc w:val="both"/>
      </w:pPr>
      <w:r w:rsidRPr="00577646">
        <w:t>El proceso de aprendizaje dependerá de</w:t>
      </w:r>
      <w:r w:rsidR="0092133E">
        <w:t xml:space="preserve"> cada uno como individuo y de</w:t>
      </w:r>
      <w:r w:rsidR="00BF720E" w:rsidRPr="00577646">
        <w:t xml:space="preserve"> los procesos propios para </w:t>
      </w:r>
      <w:r w:rsidRPr="00577646">
        <w:t>centra</w:t>
      </w:r>
      <w:r w:rsidR="00BF720E" w:rsidRPr="00577646">
        <w:t>r</w:t>
      </w:r>
      <w:r w:rsidRPr="00577646">
        <w:t>, procesa</w:t>
      </w:r>
      <w:r w:rsidR="00BF720E" w:rsidRPr="00577646">
        <w:t>r</w:t>
      </w:r>
      <w:r w:rsidRPr="00577646">
        <w:t>, internaliza</w:t>
      </w:r>
      <w:r w:rsidR="00BF720E" w:rsidRPr="00577646">
        <w:t>r</w:t>
      </w:r>
      <w:r w:rsidRPr="00577646">
        <w:t xml:space="preserve"> y rec</w:t>
      </w:r>
      <w:r w:rsidR="00BF720E" w:rsidRPr="00577646">
        <w:t>o</w:t>
      </w:r>
      <w:r w:rsidRPr="00577646">
        <w:t>rda</w:t>
      </w:r>
      <w:r w:rsidR="00BF720E" w:rsidRPr="00577646">
        <w:t>r</w:t>
      </w:r>
      <w:r w:rsidRPr="00577646">
        <w:t xml:space="preserve"> información para desarrollar habilidades académicas nuevas; esta dinámica dependerá del tipo de enseñanza que se determine, en donde el alumno puede ser un ente pasivo o activo</w:t>
      </w:r>
      <w:r w:rsidR="00BF720E" w:rsidRPr="00577646">
        <w:t xml:space="preserve"> y enfrentarse a retos cognitivos</w:t>
      </w:r>
      <w:r w:rsidRPr="00577646">
        <w:t xml:space="preserve"> (Aparicio, 2004; García, 2002</w:t>
      </w:r>
      <w:r w:rsidR="00BF720E" w:rsidRPr="00577646">
        <w:t xml:space="preserve">; </w:t>
      </w:r>
      <w:proofErr w:type="spellStart"/>
      <w:r w:rsidR="00BF720E" w:rsidRPr="00577646">
        <w:t>Lejter</w:t>
      </w:r>
      <w:proofErr w:type="spellEnd"/>
      <w:r w:rsidR="00BF720E" w:rsidRPr="00577646">
        <w:t>, 2000; Bruno</w:t>
      </w:r>
      <w:r w:rsidR="003E74C1" w:rsidRPr="00577646">
        <w:t xml:space="preserve">, </w:t>
      </w:r>
      <w:r w:rsidR="00BF720E" w:rsidRPr="00577646">
        <w:t>2006</w:t>
      </w:r>
      <w:r w:rsidRPr="00577646">
        <w:t>). Hay un gran número de referencias</w:t>
      </w:r>
      <w:r w:rsidR="00CA0DD1" w:rsidRPr="00577646">
        <w:t>,</w:t>
      </w:r>
      <w:r w:rsidRPr="00577646">
        <w:t xml:space="preserve"> desde hace un par de décadas</w:t>
      </w:r>
      <w:r w:rsidR="00CA0DD1" w:rsidRPr="00577646">
        <w:t>,</w:t>
      </w:r>
      <w:r w:rsidRPr="00577646">
        <w:t xml:space="preserve"> </w:t>
      </w:r>
      <w:r w:rsidR="00CA0DD1" w:rsidRPr="00577646">
        <w:t xml:space="preserve">que indican que </w:t>
      </w:r>
      <w:r w:rsidRPr="00577646">
        <w:t>el aprendizaje que se busca en el alumno es de tipo constructivista, que aprenda a partir de sus propias experiencias (Padilla, 2003</w:t>
      </w:r>
      <w:r w:rsidR="00BF720E" w:rsidRPr="00577646">
        <w:t>; Aristegui, 1999</w:t>
      </w:r>
      <w:r w:rsidRPr="00577646">
        <w:t>) resolviendo sus propios problemas y enfrentar diferentes retos a través de sus capacidades para logran un tipo de aprendizaje que tenga significado en el proceso de desarrollo cognitivo, y se relacion</w:t>
      </w:r>
      <w:r w:rsidR="00BF720E" w:rsidRPr="00577646">
        <w:t>e</w:t>
      </w:r>
      <w:r w:rsidRPr="00577646">
        <w:t xml:space="preserve"> con otros factores biopsicosociales particulares del individuo (Narváez, 2005; Padilla, 2006</w:t>
      </w:r>
      <w:r w:rsidR="00BF720E" w:rsidRPr="00577646">
        <w:t>; Viera, 2003).</w:t>
      </w:r>
    </w:p>
    <w:p w14:paraId="415ECAC9" w14:textId="77777777" w:rsidR="005556B0" w:rsidRPr="0092133E" w:rsidRDefault="005556B0" w:rsidP="00606A11">
      <w:pPr>
        <w:spacing w:before="240" w:line="360" w:lineRule="auto"/>
        <w:jc w:val="both"/>
        <w:rPr>
          <w:b/>
        </w:rPr>
      </w:pPr>
      <w:r w:rsidRPr="00577646">
        <w:rPr>
          <w:b/>
        </w:rPr>
        <w:t xml:space="preserve">PISA </w:t>
      </w:r>
    </w:p>
    <w:p w14:paraId="6C965829" w14:textId="77777777" w:rsidR="002C3E62" w:rsidRPr="00577646" w:rsidRDefault="00947741" w:rsidP="00606A11">
      <w:pPr>
        <w:spacing w:before="240" w:line="360" w:lineRule="auto"/>
        <w:jc w:val="both"/>
      </w:pPr>
      <w:r w:rsidRPr="00577646">
        <w:t xml:space="preserve">Esta preocupación </w:t>
      </w:r>
      <w:r w:rsidR="005556B0" w:rsidRPr="00577646">
        <w:t xml:space="preserve">por las competencias de los estudiantes </w:t>
      </w:r>
      <w:r w:rsidRPr="00577646">
        <w:t>plasmada en la enseñanza de las matemáticas tiene muchos años y es una problemática a nivel internacional</w:t>
      </w:r>
      <w:r w:rsidR="00F9369B">
        <w:t>;</w:t>
      </w:r>
      <w:r w:rsidRPr="00577646">
        <w:t xml:space="preserve"> </w:t>
      </w:r>
      <w:r w:rsidR="00994E9D" w:rsidRPr="00577646">
        <w:t>de hecho</w:t>
      </w:r>
      <w:r w:rsidR="00F9369B">
        <w:t>,</w:t>
      </w:r>
      <w:r w:rsidR="00994E9D" w:rsidRPr="00577646">
        <w:t xml:space="preserve"> PISA desde 2007 define la competencia matemática como </w:t>
      </w:r>
      <w:r w:rsidR="000C5D24" w:rsidRPr="00577646">
        <w:t>“</w:t>
      </w:r>
      <w:r w:rsidR="00994E9D" w:rsidRPr="00577646">
        <w:t>la capacidad de un individuo de identificar y comprender el papel de las Matemáticas en el mundo actual, emitir juicios bien fundamentados y utilizarlas y comprometerse con ellas de manera que puedan satisfacer las necesidades de la vida del sujeto como ciudadano constructivo, comprometido y reflexivo</w:t>
      </w:r>
      <w:r w:rsidR="000C5D24" w:rsidRPr="00577646">
        <w:t>” (INEE</w:t>
      </w:r>
      <w:r w:rsidR="0092133E">
        <w:t>,</w:t>
      </w:r>
      <w:r w:rsidR="000C5D24" w:rsidRPr="00577646">
        <w:t xml:space="preserve"> 2012)</w:t>
      </w:r>
      <w:r w:rsidR="00994E9D" w:rsidRPr="00577646">
        <w:t xml:space="preserve">. La </w:t>
      </w:r>
      <w:r w:rsidR="000C5D24" w:rsidRPr="00577646">
        <w:t>c</w:t>
      </w:r>
      <w:r w:rsidR="00994E9D" w:rsidRPr="00577646">
        <w:t xml:space="preserve">ompetencia matemática de PISA no se reduce al dominio de la terminología, los datos y los procedimientos matemáticos ni a la habilidad para realizar diversas operaciones y poner en práctica determinados métodos; la </w:t>
      </w:r>
      <w:r w:rsidR="000C5D24" w:rsidRPr="00577646">
        <w:t>c</w:t>
      </w:r>
      <w:r w:rsidR="00994E9D" w:rsidRPr="00577646">
        <w:t xml:space="preserve">ompetencia matemática supone una combinación de estos elementos con objeto de responder a exigencias que se plantean en contextos reales. Implica poseer la habilidad para plantear, formular e interpretar </w:t>
      </w:r>
      <w:r w:rsidR="00994E9D" w:rsidRPr="00577646">
        <w:lastRenderedPageBreak/>
        <w:t xml:space="preserve">problemas mediante las </w:t>
      </w:r>
      <w:r w:rsidR="000C5D24" w:rsidRPr="00577646">
        <w:t>m</w:t>
      </w:r>
      <w:r w:rsidR="00994E9D" w:rsidRPr="00577646">
        <w:t>atemáticas en una variedad de situaciones y contextos que van desde lo sencillo a lo complejo (INEE</w:t>
      </w:r>
      <w:r w:rsidR="0092133E">
        <w:t>,</w:t>
      </w:r>
      <w:r w:rsidR="00994E9D" w:rsidRPr="00577646">
        <w:t xml:space="preserve"> 2012).</w:t>
      </w:r>
    </w:p>
    <w:p w14:paraId="5EC1003F" w14:textId="77777777" w:rsidR="00CD6B03" w:rsidRPr="00577646" w:rsidRDefault="00994E9D" w:rsidP="00606A11">
      <w:pPr>
        <w:spacing w:before="240" w:line="360" w:lineRule="auto"/>
        <w:jc w:val="both"/>
      </w:pPr>
      <w:r w:rsidRPr="00577646">
        <w:t>D</w:t>
      </w:r>
      <w:r w:rsidR="00947741" w:rsidRPr="00577646">
        <w:t>e ahí que las pruebas estandarizadas internacionales</w:t>
      </w:r>
      <w:r w:rsidRPr="00577646">
        <w:t>,</w:t>
      </w:r>
      <w:r w:rsidR="00947741" w:rsidRPr="00577646">
        <w:t xml:space="preserve"> como PISA</w:t>
      </w:r>
      <w:r w:rsidRPr="00577646">
        <w:t>,</w:t>
      </w:r>
      <w:r w:rsidR="00947741" w:rsidRPr="00577646">
        <w:t xml:space="preserve"> busquen con la evaluación determinar si los estudiantes pueden reproducir lo que han aprendido, sino que además examina cómo pueden extrapolar lo que han aprendido y aplicar ese conocimiento en circunstancias desconocidas, tanto dentro como fuera de la escuela</w:t>
      </w:r>
      <w:r w:rsidRPr="00577646">
        <w:t>; es decir, si adquieren la competencia matemática</w:t>
      </w:r>
      <w:r w:rsidR="00947741" w:rsidRPr="00577646">
        <w:t xml:space="preserve">. </w:t>
      </w:r>
      <w:r w:rsidR="001D3CB7" w:rsidRPr="00577646">
        <w:t>En México, este concepto se ha manejado como competencia y definido como “un sistema de acción complejo que abarca las habilidades intelectuales, las actitudes y otros elementos no cognitivos, como motivación y valores, que son adquiridos y desarrollados por los individuos a lo largo de su vida y son indispensables para participar eficazmente en diversos contextos sociales” (INEE</w:t>
      </w:r>
      <w:r w:rsidR="007028E8" w:rsidRPr="00577646">
        <w:t>,</w:t>
      </w:r>
      <w:r w:rsidR="001D3CB7" w:rsidRPr="00577646">
        <w:t xml:space="preserve"> 2012)</w:t>
      </w:r>
      <w:r w:rsidR="00EF7E19" w:rsidRPr="00577646">
        <w:t xml:space="preserve">. </w:t>
      </w:r>
      <w:r w:rsidR="00947741" w:rsidRPr="00577646">
        <w:t>Este enfoque refleja el hecho de que las economías modernas recompensan a los individuos no por lo que saben, sino por lo que pueden hacer con lo que saben. Las conclusiones de los estudios de PISA</w:t>
      </w:r>
      <w:r w:rsidR="00523ABA" w:rsidRPr="00577646">
        <w:t xml:space="preserve"> (2015)</w:t>
      </w:r>
      <w:r w:rsidR="00947741" w:rsidRPr="00577646">
        <w:t xml:space="preserve"> permiten a los responsables políticos de todo el mundo medir el conocimiento y las competencias de los estudiantes en sus propios países en comparación con estudiantes de otros países</w:t>
      </w:r>
      <w:r w:rsidR="00E95064">
        <w:t>,</w:t>
      </w:r>
      <w:r w:rsidR="00947741" w:rsidRPr="00577646">
        <w:t xml:space="preserve"> fijar metas de política educativa en referencia a objetivos medibles conseguidos por otros sistemas educativos y aprender de las políticas y prácticas aplicadas en otros lugares</w:t>
      </w:r>
      <w:r w:rsidR="00523ABA" w:rsidRPr="00577646">
        <w:t>.</w:t>
      </w:r>
      <w:r w:rsidR="005556B0" w:rsidRPr="00577646">
        <w:t xml:space="preserve"> </w:t>
      </w:r>
      <w:r w:rsidR="000C699F" w:rsidRPr="00577646">
        <w:t>Los procesos que el estudiante debe realizar corresponden con tres grados de complejidad</w:t>
      </w:r>
      <w:r w:rsidR="005556B0" w:rsidRPr="00577646">
        <w:t>:</w:t>
      </w:r>
      <w:r w:rsidR="000C699F" w:rsidRPr="00577646">
        <w:t xml:space="preserve"> </w:t>
      </w:r>
    </w:p>
    <w:p w14:paraId="2D336BB2" w14:textId="77777777" w:rsidR="005556B0" w:rsidRPr="00577646" w:rsidRDefault="000C699F" w:rsidP="00606A11">
      <w:pPr>
        <w:numPr>
          <w:ilvl w:val="0"/>
          <w:numId w:val="7"/>
        </w:numPr>
        <w:spacing w:before="240" w:line="360" w:lineRule="auto"/>
        <w:jc w:val="both"/>
      </w:pPr>
      <w:r w:rsidRPr="00577646">
        <w:t>En los procesos que PISA llama de reproducción se trabaja</w:t>
      </w:r>
      <w:r w:rsidR="005D24C6" w:rsidRPr="00577646">
        <w:t xml:space="preserve"> </w:t>
      </w:r>
      <w:r w:rsidRPr="00577646">
        <w:t>con operaciones comunes, cálculos simples y problemas propios del entorno</w:t>
      </w:r>
      <w:r w:rsidR="005D24C6" w:rsidRPr="00577646">
        <w:t xml:space="preserve"> </w:t>
      </w:r>
      <w:r w:rsidRPr="00577646">
        <w:t xml:space="preserve">inmediato y la rutina cotidiana. </w:t>
      </w:r>
    </w:p>
    <w:p w14:paraId="28B75A57" w14:textId="77777777" w:rsidR="005556B0" w:rsidRPr="00577646" w:rsidRDefault="000C699F" w:rsidP="00606A11">
      <w:pPr>
        <w:numPr>
          <w:ilvl w:val="0"/>
          <w:numId w:val="7"/>
        </w:numPr>
        <w:spacing w:before="240" w:line="360" w:lineRule="auto"/>
        <w:jc w:val="both"/>
      </w:pPr>
      <w:r w:rsidRPr="00577646">
        <w:t>Los procesos de conexión involucran ideas y</w:t>
      </w:r>
      <w:r w:rsidR="005D24C6" w:rsidRPr="00577646">
        <w:t xml:space="preserve"> </w:t>
      </w:r>
      <w:r w:rsidRPr="00577646">
        <w:t>procedimientos matemáticos para la solución de problemas que ya no pueden</w:t>
      </w:r>
      <w:r w:rsidR="005D24C6" w:rsidRPr="00577646">
        <w:t xml:space="preserve"> </w:t>
      </w:r>
      <w:r w:rsidRPr="00577646">
        <w:t>definirse como ordinarios pero que aún incluyen escenarios familiares; además</w:t>
      </w:r>
      <w:r w:rsidR="005D24C6" w:rsidRPr="00577646">
        <w:t xml:space="preserve"> </w:t>
      </w:r>
      <w:r w:rsidRPr="00577646">
        <w:t xml:space="preserve">involucran la elaboración de modelos para la solución de problemas. </w:t>
      </w:r>
    </w:p>
    <w:p w14:paraId="1D118ACF" w14:textId="77777777" w:rsidR="005556B0" w:rsidRPr="00577646" w:rsidRDefault="000C699F" w:rsidP="00606A11">
      <w:pPr>
        <w:numPr>
          <w:ilvl w:val="0"/>
          <w:numId w:val="7"/>
        </w:numPr>
        <w:spacing w:before="240" w:line="360" w:lineRule="auto"/>
        <w:jc w:val="both"/>
      </w:pPr>
      <w:r w:rsidRPr="00577646">
        <w:t>El tercer</w:t>
      </w:r>
      <w:r w:rsidR="005D24C6" w:rsidRPr="00577646">
        <w:t xml:space="preserve"> </w:t>
      </w:r>
      <w:r w:rsidRPr="00577646">
        <w:t>tipo de procesos, los de reflexión, implican la solución de problemas complejos</w:t>
      </w:r>
      <w:r w:rsidR="005D24C6" w:rsidRPr="00577646">
        <w:t xml:space="preserve"> </w:t>
      </w:r>
      <w:r w:rsidRPr="00577646">
        <w:t>y el desarrollo de una aproximación matemática original. Para ello los estudiantes</w:t>
      </w:r>
      <w:r w:rsidR="005D24C6" w:rsidRPr="00577646">
        <w:t xml:space="preserve"> </w:t>
      </w:r>
      <w:r w:rsidRPr="00577646">
        <w:t xml:space="preserve">deben matematizar o conceptualizar las situaciones. </w:t>
      </w:r>
    </w:p>
    <w:p w14:paraId="4506DA73" w14:textId="77777777" w:rsidR="00CD6B03" w:rsidRDefault="00CD6B03" w:rsidP="00606A11">
      <w:pPr>
        <w:spacing w:before="240" w:line="360" w:lineRule="auto"/>
        <w:jc w:val="both"/>
      </w:pPr>
    </w:p>
    <w:p w14:paraId="32F750E9" w14:textId="77777777" w:rsidR="005D24C6" w:rsidRPr="00577646" w:rsidRDefault="000C699F" w:rsidP="00606A11">
      <w:pPr>
        <w:spacing w:before="240" w:line="360" w:lineRule="auto"/>
        <w:jc w:val="both"/>
      </w:pPr>
      <w:r w:rsidRPr="00577646">
        <w:lastRenderedPageBreak/>
        <w:t>En estos procesos,</w:t>
      </w:r>
      <w:r w:rsidR="005D24C6" w:rsidRPr="00577646">
        <w:t xml:space="preserve"> </w:t>
      </w:r>
      <w:r w:rsidR="007452FB">
        <w:t>según lo fo</w:t>
      </w:r>
      <w:r w:rsidRPr="00577646">
        <w:t>rmula el INEE, se requiere que los estudiantes</w:t>
      </w:r>
      <w:r w:rsidR="005D24C6" w:rsidRPr="00577646">
        <w:t xml:space="preserve"> </w:t>
      </w:r>
      <w:r w:rsidRPr="00577646">
        <w:t>“reconozcan y extraigan</w:t>
      </w:r>
      <w:r w:rsidR="005D24C6" w:rsidRPr="00577646">
        <w:t xml:space="preserve"> </w:t>
      </w:r>
      <w:r w:rsidRPr="00577646">
        <w:t>las matemáticas contenidas en la situación</w:t>
      </w:r>
      <w:r w:rsidR="005D24C6" w:rsidRPr="00577646">
        <w:t>” (OCDE, 20</w:t>
      </w:r>
      <w:r w:rsidR="002C3E62" w:rsidRPr="00577646">
        <w:t>09</w:t>
      </w:r>
      <w:r w:rsidR="005D24C6" w:rsidRPr="00577646">
        <w:t>). Los contenidos de la evaluación de competencia matemática abarcan problemas de cantidad, espacio y forma, cambio y relaciones y probabilidad. Los problemas matemáticos que se plantean están situados en diferentes contextos o situaciones. En este caso se trata de cuatro diferentes situaciones: situación personal, relacionada con el contexto inmediato de los alumnos y sus actividades diarias; situación educativa o laboral, relacionada con la escuela o el entorno de trabajo; situación pública, relacionada con la comunidad; la situación científica, que implica el análisis de procesos tecnológicos o situaciones específicamente matemáticas (OCDE</w:t>
      </w:r>
      <w:r w:rsidR="00523ABA" w:rsidRPr="00577646">
        <w:t>,</w:t>
      </w:r>
      <w:r w:rsidR="005D24C6" w:rsidRPr="00577646">
        <w:t xml:space="preserve"> 20</w:t>
      </w:r>
      <w:r w:rsidR="002C3E62" w:rsidRPr="00577646">
        <w:t>09</w:t>
      </w:r>
      <w:r w:rsidR="005D24C6" w:rsidRPr="00577646">
        <w:t>).</w:t>
      </w:r>
    </w:p>
    <w:p w14:paraId="54E7BA08" w14:textId="77777777" w:rsidR="005D24C6" w:rsidRPr="00577646" w:rsidRDefault="005D24C6" w:rsidP="00606A11">
      <w:pPr>
        <w:spacing w:before="240" w:line="360" w:lineRule="auto"/>
        <w:jc w:val="both"/>
      </w:pPr>
      <w:r w:rsidRPr="00577646">
        <w:t>Para efectuar la evaluación en el área de matemáticas se han establecido seis niveles de competencia tanto en la escala combinada como en las subescalas que se refieren a los componentes particulares</w:t>
      </w:r>
      <w:r w:rsidR="00CA0DD1" w:rsidRPr="00577646">
        <w:t>:</w:t>
      </w:r>
      <w:r w:rsidRPr="00577646">
        <w:t xml:space="preserve"> cantidad, espacio y forma, cambio y relaciones probabilidad. Los niveles de la escala c</w:t>
      </w:r>
      <w:r w:rsidR="00CD6B03">
        <w:t>ombinada se definen como sigue:</w:t>
      </w:r>
    </w:p>
    <w:p w14:paraId="58D8B85F" w14:textId="77777777" w:rsidR="005D24C6" w:rsidRPr="00577646" w:rsidRDefault="005D24C6" w:rsidP="00606A11">
      <w:pPr>
        <w:numPr>
          <w:ilvl w:val="0"/>
          <w:numId w:val="12"/>
        </w:numPr>
        <w:spacing w:before="240" w:line="360" w:lineRule="auto"/>
        <w:jc w:val="both"/>
      </w:pPr>
      <w:r w:rsidRPr="00577646">
        <w:t>Nivel 6 (más de 668 puntos). Los estudiantes que alcanzan este nivel son capaces de conceptualizar, generalizar y utilizar información basada en sus investigaciones y en su elaboración de modelos para resolver problemas complejos. Pueden relacionar diferentes fuentes de información. Demuestran pensamiento y razonamiento matemático avanzado. Pueden aplicar sus conocimientos y destrezas en matemáticas para enfrentar situaciones novedosas. Pueden formular y comunicar con precisión sus acciones y reflexiones.</w:t>
      </w:r>
    </w:p>
    <w:p w14:paraId="0D25EAD5" w14:textId="77777777" w:rsidR="005D24C6" w:rsidRPr="00577646" w:rsidRDefault="005D24C6" w:rsidP="00606A11">
      <w:pPr>
        <w:numPr>
          <w:ilvl w:val="0"/>
          <w:numId w:val="12"/>
        </w:numPr>
        <w:spacing w:before="240" w:line="360" w:lineRule="auto"/>
        <w:jc w:val="both"/>
      </w:pPr>
      <w:r w:rsidRPr="00577646">
        <w:t>Nivel 5 (de 607 a 668 puntos). En este nivel los estudiantes pueden desarrollar y trabajar con modelos para situaciones complejas. Pueden seleccionar, comparar y evaluar estrategias adecuadas de solución de problemas complejos relacionados con estos modelos. Pueden trabajar de manera estratégica al usar ampliamente habilidades de razonamiento bien desarrolladas, representaciones de asociación y caracterizaciones simbólicas y formales.</w:t>
      </w:r>
    </w:p>
    <w:p w14:paraId="02AEAA73" w14:textId="77777777" w:rsidR="005D24C6" w:rsidRPr="00577646" w:rsidRDefault="005D24C6" w:rsidP="00606A11">
      <w:pPr>
        <w:numPr>
          <w:ilvl w:val="0"/>
          <w:numId w:val="12"/>
        </w:numPr>
        <w:spacing w:before="240" w:line="360" w:lineRule="auto"/>
        <w:jc w:val="both"/>
      </w:pPr>
      <w:r w:rsidRPr="00577646">
        <w:t xml:space="preserve">Nivel 4 (de 545 a 606 puntos). Los estudiantes son capaces de trabajar efectivamente con modelos explícitos para situaciones complejas concretas. Pueden seleccionar e integrar diferentes representaciones, incluyendo símbolos y asociándolos directamente </w:t>
      </w:r>
      <w:r w:rsidRPr="00577646">
        <w:lastRenderedPageBreak/>
        <w:t>a situaciones del mundo real. Pueden usar habilidades bien desarrolladas y razonar flexiblemente con cierta comprensión en estos contextos. Pueden construir y comunicar explicaciones y argumentos.</w:t>
      </w:r>
    </w:p>
    <w:p w14:paraId="01CDB2AE" w14:textId="77777777" w:rsidR="005D24C6" w:rsidRPr="00577646" w:rsidRDefault="005D24C6" w:rsidP="00606A11">
      <w:pPr>
        <w:numPr>
          <w:ilvl w:val="0"/>
          <w:numId w:val="12"/>
        </w:numPr>
        <w:spacing w:before="240" w:line="360" w:lineRule="auto"/>
        <w:jc w:val="both"/>
      </w:pPr>
      <w:r w:rsidRPr="00577646">
        <w:t>Nivel 3 (de 483 a 544 puntos). Quienes se sitúan en este nivel son capaces de ejecutar procedimientos descritos claramente, incluyendo aquellos que requieren decisiones secuenciales. Pueden seleccionar y aplicar estrategias simples de solución de problemas. Pueden interpretar y usar representaciones basadas en diferentes fuentes de información, así como razonar directamente a partir de ellas. Pueden generar comunicaciones breves para reportar sus interpretaciones.</w:t>
      </w:r>
    </w:p>
    <w:p w14:paraId="4B4C79D4" w14:textId="77777777" w:rsidR="005D24C6" w:rsidRPr="00577646" w:rsidRDefault="005D24C6" w:rsidP="00606A11">
      <w:pPr>
        <w:numPr>
          <w:ilvl w:val="0"/>
          <w:numId w:val="12"/>
        </w:numPr>
        <w:spacing w:before="240" w:line="360" w:lineRule="auto"/>
        <w:jc w:val="both"/>
      </w:pPr>
      <w:r w:rsidRPr="00577646">
        <w:t>Nivel 2 (de 421 a 482 puntos). En el segundo nivel los alumnos pueden interpretar y reconocer situaciones en contextos que requieren únicamente de inferencias directas. Pueden extraer información relevante de una sola fuente</w:t>
      </w:r>
      <w:r w:rsidR="00364F94" w:rsidRPr="00577646">
        <w:t xml:space="preserve"> </w:t>
      </w:r>
      <w:r w:rsidRPr="00577646">
        <w:t>y hacer uso de un solo tipo de representación. Pueden emplear algoritmos, fórmulas, convenciones o procedimientos básicos. Son capaces de hacer interpretaciones literales de los resultados.</w:t>
      </w:r>
    </w:p>
    <w:p w14:paraId="4FEAA8D4" w14:textId="77777777" w:rsidR="005D24C6" w:rsidRPr="00577646" w:rsidRDefault="005D24C6" w:rsidP="00606A11">
      <w:pPr>
        <w:numPr>
          <w:ilvl w:val="0"/>
          <w:numId w:val="12"/>
        </w:numPr>
        <w:spacing w:before="240" w:line="360" w:lineRule="auto"/>
        <w:jc w:val="both"/>
      </w:pPr>
      <w:r w:rsidRPr="00577646">
        <w:t xml:space="preserve">Nivel 1 (de 358 a 420 puntos). Los estudiantes son capaces de contestar preguntas que impliquen contextos familiares donde toda la información relevante esté presente y las preguntas estén claramente definidas. Son capaces de identificar información y desarrollar procedimientos rutinarios conforme a instrucciones directas en situaciones explícitas. Pueden llevar a cabo acciones que sean obvias y seguirlas inmediatamente a partir de un estímulo. </w:t>
      </w:r>
    </w:p>
    <w:p w14:paraId="785BB803" w14:textId="77777777" w:rsidR="000C699F" w:rsidRPr="00577646" w:rsidRDefault="005D24C6" w:rsidP="00606A11">
      <w:pPr>
        <w:numPr>
          <w:ilvl w:val="0"/>
          <w:numId w:val="12"/>
        </w:numPr>
        <w:spacing w:before="240" w:line="360" w:lineRule="auto"/>
        <w:jc w:val="both"/>
      </w:pPr>
      <w:r w:rsidRPr="00577646">
        <w:t>Por debajo del nivel 1 (menos de 358 puntos). Se trata de estudiantes que no son capaces de realizar las tareas de matemáticas más elementales que pide PISA.</w:t>
      </w:r>
    </w:p>
    <w:p w14:paraId="71AF339D" w14:textId="77777777" w:rsidR="005B4DB8" w:rsidRPr="00577646" w:rsidRDefault="001D3CB7" w:rsidP="00606A11">
      <w:pPr>
        <w:spacing w:before="240" w:line="360" w:lineRule="auto"/>
        <w:jc w:val="both"/>
      </w:pPr>
      <w:r w:rsidRPr="00577646">
        <w:t xml:space="preserve">En los reportes de </w:t>
      </w:r>
      <w:r w:rsidR="007028E8" w:rsidRPr="00577646">
        <w:t>PISA</w:t>
      </w:r>
      <w:r w:rsidRPr="00577646">
        <w:t>, e</w:t>
      </w:r>
      <w:r w:rsidR="002E1853" w:rsidRPr="00577646">
        <w:t>n promedio en los países OCDE, casi uno de cada cuatro estudiantes (23%) no al alcanza el nivel básico de competencia (Nivel 2)</w:t>
      </w:r>
      <w:r w:rsidRPr="00577646">
        <w:t xml:space="preserve"> en matemáticas</w:t>
      </w:r>
      <w:r w:rsidR="002E1853" w:rsidRPr="00577646">
        <w:t xml:space="preserve">. </w:t>
      </w:r>
      <w:r w:rsidRPr="00577646">
        <w:t>L</w:t>
      </w:r>
      <w:r w:rsidR="002E1853" w:rsidRPr="00577646">
        <w:t>os estudiantes que no alcanzan este nivel pueden de vez en cuando realizar procedimientos rutinarios, tales como operaciones aritméticas en situaciones donde todas las instrucciones se les son dadas, pero tienen problemas identificando c</w:t>
      </w:r>
      <w:r w:rsidR="00E95064">
        <w:t>ó</w:t>
      </w:r>
      <w:r w:rsidR="002E1853" w:rsidRPr="00577646">
        <w:t xml:space="preserve">mo una (simple) situación del mundo real puede ser representada matemáticamente (por ejemplo, comparar la distancia total entre dos rutas alternativas, o convertir precios a una moneda diferente). La proporción de </w:t>
      </w:r>
      <w:r w:rsidR="002E1853" w:rsidRPr="00577646">
        <w:lastRenderedPageBreak/>
        <w:t>estudiantes mexicanos que no alcanzan el nivel mínimo de competencia permaneció estable entre el 2003 y el 2015 (</w:t>
      </w:r>
      <w:r w:rsidR="003D5757" w:rsidRPr="00577646">
        <w:t>PISA</w:t>
      </w:r>
      <w:r w:rsidR="00364F94" w:rsidRPr="00577646">
        <w:t>,</w:t>
      </w:r>
      <w:r w:rsidR="003D5757" w:rsidRPr="00577646">
        <w:t xml:space="preserve"> </w:t>
      </w:r>
      <w:r w:rsidR="002E1853" w:rsidRPr="00577646">
        <w:t>2015).</w:t>
      </w:r>
      <w:r w:rsidRPr="00577646">
        <w:t xml:space="preserve"> En este informe de 2015, l</w:t>
      </w:r>
      <w:r w:rsidR="002E1853" w:rsidRPr="00577646">
        <w:t>a evaluación se centra en las materias escolares básicas de ciencia, lectura y matemáticas. También se evalúan las capacidades de los alumnos en un ámbito innovador (en 2015, ese ámbito fue la resolución colaborativa de problemas</w:t>
      </w:r>
      <w:r w:rsidRPr="00577646">
        <w:t>)</w:t>
      </w:r>
      <w:r w:rsidR="00947741" w:rsidRPr="00577646">
        <w:t>.</w:t>
      </w:r>
    </w:p>
    <w:p w14:paraId="695BF6DC" w14:textId="77777777" w:rsidR="002C3E62" w:rsidRPr="00577646" w:rsidRDefault="002C3E62" w:rsidP="00606A11">
      <w:pPr>
        <w:spacing w:before="240" w:line="360" w:lineRule="auto"/>
        <w:jc w:val="both"/>
        <w:rPr>
          <w:b/>
        </w:rPr>
      </w:pPr>
      <w:r w:rsidRPr="00577646">
        <w:rPr>
          <w:b/>
        </w:rPr>
        <w:t>PLANEA</w:t>
      </w:r>
    </w:p>
    <w:p w14:paraId="081A3443" w14:textId="77777777" w:rsidR="00C643F7" w:rsidRPr="00577646" w:rsidRDefault="002C3E62" w:rsidP="00606A11">
      <w:pPr>
        <w:spacing w:before="240" w:line="360" w:lineRule="auto"/>
        <w:jc w:val="both"/>
      </w:pPr>
      <w:r w:rsidRPr="00577646">
        <w:t>Inscrita en el Plan Nacional de Evaluación de los Aprendizajes diseñado por el INEE, la prueba Planea M</w:t>
      </w:r>
      <w:r w:rsidR="005556B0" w:rsidRPr="00577646">
        <w:t xml:space="preserve">edia </w:t>
      </w:r>
      <w:r w:rsidR="00364F94" w:rsidRPr="00577646">
        <w:t>Superior (</w:t>
      </w:r>
      <w:r w:rsidR="005556B0" w:rsidRPr="00577646">
        <w:t xml:space="preserve">Planea MS) </w:t>
      </w:r>
      <w:r w:rsidRPr="00577646">
        <w:t xml:space="preserve">2016 tiene el propósito de informar a la sociedad sobre el estado que guarda la educación, en términos de logro de aprendizaje de los estudiantes, en dos áreas de competencia: Lenguaje y Comunicación (Comprensión Lectora) y Matemáticas. </w:t>
      </w:r>
      <w:r w:rsidR="00C643F7" w:rsidRPr="00577646">
        <w:t>La prueba está dirigida a los alumnos de toda la República Mexicana inscritos en los planteles que manifiesten interés en participar en la aplicación de Planea MS con una periodicidad anual. Los estudiantes deben cursar su último ciclo de bachillerato (cuatrimestre, semestre, año, etcétera) en modalidad escolarizada, en los diferentes subsistemas y modalidades de Escuela Media Superior (EMS). Las instituciones pueden ser tanto de sostenimiento público como privado. Es una evaluación diagnóstica individual que consta de 110 reactivos de opción múltiple, cuyo resultado se utiliza con fines de retroalimentación y permite conocer el nivel de dominio que alcanza el sustentante en indicadores de competencia asociados a las áreas que evalúa la prueba. Planea MS es una prueba que se enfoca a un conjunto limitado de conocimientos y habilidades que un grupo de expertos considera indicadores suficientes y representativos de las competencias disciplinares básicas que, idealmente, deben dominar los sustentantes (</w:t>
      </w:r>
      <w:r w:rsidR="00E86A74" w:rsidRPr="00577646">
        <w:t>INEE,</w:t>
      </w:r>
      <w:r w:rsidR="00C643F7" w:rsidRPr="00577646">
        <w:t xml:space="preserve"> 2016).</w:t>
      </w:r>
    </w:p>
    <w:p w14:paraId="705395C0" w14:textId="77777777" w:rsidR="005556B0" w:rsidRPr="00577646" w:rsidRDefault="00C643F7" w:rsidP="00606A11">
      <w:pPr>
        <w:spacing w:before="240" w:line="360" w:lineRule="auto"/>
        <w:jc w:val="both"/>
      </w:pPr>
      <w:r w:rsidRPr="00577646">
        <w:t>El enfoque pedagógico por competencias reconoce que a la solución de cada tipo de problema matemático corresponden diferentes conocimientos y habilidades, y el despliegue de diferentes valores y actitudes. Por ello, los estudiantes deben razonar matemáticamente, y no simplemente responder ciertos tipos de problemas mediante la repetición de procedimientos establecidos. Esto implica que puedan llevar las aplicaciones de esta disciplina más al</w:t>
      </w:r>
      <w:r w:rsidR="00CD6B03">
        <w:t>lá del salón de clases. De las ocho</w:t>
      </w:r>
      <w:r w:rsidRPr="00577646">
        <w:t xml:space="preserve"> competencias del Modelo Centrado en Competencias para matemáticas, se eligieron las siguientes seis:</w:t>
      </w:r>
    </w:p>
    <w:p w14:paraId="51A4D56B" w14:textId="77777777" w:rsidR="00C643F7" w:rsidRPr="00577646" w:rsidRDefault="00C643F7" w:rsidP="00606A11">
      <w:pPr>
        <w:numPr>
          <w:ilvl w:val="0"/>
          <w:numId w:val="6"/>
        </w:numPr>
        <w:spacing w:before="240" w:line="360" w:lineRule="auto"/>
        <w:jc w:val="both"/>
      </w:pPr>
      <w:r w:rsidRPr="00577646">
        <w:lastRenderedPageBreak/>
        <w:t>Interpreta modelos matemáticos mediante la aplicación de procedimientos aritméticos, algebraicos, geométricos y variacionales, para la comprensión y análisis de situaciones reales, hipotéticas o formales.</w:t>
      </w:r>
    </w:p>
    <w:p w14:paraId="3B9C4EA6" w14:textId="77777777" w:rsidR="00C643F7" w:rsidRPr="00577646" w:rsidRDefault="00C643F7" w:rsidP="00606A11">
      <w:pPr>
        <w:numPr>
          <w:ilvl w:val="0"/>
          <w:numId w:val="6"/>
        </w:numPr>
        <w:spacing w:before="240" w:line="360" w:lineRule="auto"/>
        <w:jc w:val="both"/>
      </w:pPr>
      <w:r w:rsidRPr="00577646">
        <w:t>Resuelve problemas matemáticos, aplicando diferentes enfoques.</w:t>
      </w:r>
    </w:p>
    <w:p w14:paraId="76821BE8" w14:textId="77777777" w:rsidR="00C643F7" w:rsidRPr="00577646" w:rsidRDefault="00C643F7" w:rsidP="00606A11">
      <w:pPr>
        <w:numPr>
          <w:ilvl w:val="0"/>
          <w:numId w:val="6"/>
        </w:numPr>
        <w:spacing w:before="240" w:line="360" w:lineRule="auto"/>
        <w:jc w:val="both"/>
      </w:pPr>
      <w:r w:rsidRPr="00577646">
        <w:t>Interpreta los datos obtenidos mediante procedimientos matemáticos y los contrasta con modelos establecidos o situaciones reales.</w:t>
      </w:r>
    </w:p>
    <w:p w14:paraId="787578CE" w14:textId="77777777" w:rsidR="00C643F7" w:rsidRPr="00577646" w:rsidRDefault="00C643F7" w:rsidP="00606A11">
      <w:pPr>
        <w:numPr>
          <w:ilvl w:val="0"/>
          <w:numId w:val="6"/>
        </w:numPr>
        <w:spacing w:before="240" w:line="360" w:lineRule="auto"/>
        <w:jc w:val="both"/>
      </w:pPr>
      <w:r w:rsidRPr="00577646">
        <w:t>Analiza las relaciones entre dos o más variables de un proceso social o natural para determinar o aproximar su comportamiento.</w:t>
      </w:r>
    </w:p>
    <w:p w14:paraId="4DA87BD5" w14:textId="77777777" w:rsidR="00C643F7" w:rsidRPr="00577646" w:rsidRDefault="00C643F7" w:rsidP="00606A11">
      <w:pPr>
        <w:numPr>
          <w:ilvl w:val="0"/>
          <w:numId w:val="6"/>
        </w:numPr>
        <w:spacing w:before="240" w:line="360" w:lineRule="auto"/>
        <w:jc w:val="both"/>
      </w:pPr>
      <w:r w:rsidRPr="00577646">
        <w:t>Cuantifica y representa matemáticamente las magnitudes del espacio y las propiedades físicas de los objetos que lo rodean.</w:t>
      </w:r>
    </w:p>
    <w:p w14:paraId="53A3841A" w14:textId="77777777" w:rsidR="00523ABA" w:rsidRPr="00577646" w:rsidRDefault="00364F94" w:rsidP="00606A11">
      <w:pPr>
        <w:numPr>
          <w:ilvl w:val="0"/>
          <w:numId w:val="6"/>
        </w:numPr>
        <w:spacing w:before="240" w:line="360" w:lineRule="auto"/>
        <w:jc w:val="both"/>
      </w:pPr>
      <w:r w:rsidRPr="00577646">
        <w:t>L</w:t>
      </w:r>
      <w:r w:rsidR="00C643F7" w:rsidRPr="00577646">
        <w:t xml:space="preserve">ee tablas, gráficas, mapas, diagramas y textos con símbolos matemáticos y científicos. </w:t>
      </w:r>
    </w:p>
    <w:p w14:paraId="430FBE99" w14:textId="77777777" w:rsidR="002C3E62" w:rsidRPr="00577646" w:rsidRDefault="00C643F7" w:rsidP="00606A11">
      <w:pPr>
        <w:spacing w:before="240" w:line="360" w:lineRule="auto"/>
        <w:jc w:val="both"/>
        <w:rPr>
          <w:b/>
        </w:rPr>
      </w:pPr>
      <w:r w:rsidRPr="00577646">
        <w:t xml:space="preserve">La prueba de Matemáticas de Planea MS evalúa la capacidad de un individuo para identificar, interpretar, aplicar, sintetizar y evaluar matemáticamente su entorno, haciendo uso de su creatividad y de un pensamiento lógico y crítico que le permita solucionar problemas cuantitativos con diferentes herramientas matemáticas. La capacidad matemática que evalúa la prueba se cristaliza en reactivos asociados a contenidos aritméticos, geométricos y algebraicos que se consideran los mínimos indispensables para los sustentantes al terminar el bachillerato y que se categorizan en: </w:t>
      </w:r>
      <w:r w:rsidR="00364F94" w:rsidRPr="00577646">
        <w:t>c</w:t>
      </w:r>
      <w:r w:rsidRPr="00577646">
        <w:t xml:space="preserve">antidad, </w:t>
      </w:r>
      <w:r w:rsidR="00364F94" w:rsidRPr="00577646">
        <w:t>e</w:t>
      </w:r>
      <w:r w:rsidRPr="00577646">
        <w:t xml:space="preserve">spacio y forma y </w:t>
      </w:r>
      <w:r w:rsidR="00364F94" w:rsidRPr="00577646">
        <w:t>c</w:t>
      </w:r>
      <w:r w:rsidRPr="00577646">
        <w:t>ambios y relaciones</w:t>
      </w:r>
      <w:r w:rsidR="00F01581" w:rsidRPr="00577646">
        <w:t xml:space="preserve">, con los procesos cognitivos de </w:t>
      </w:r>
      <w:r w:rsidR="00364F94" w:rsidRPr="00577646">
        <w:t>r</w:t>
      </w:r>
      <w:r w:rsidR="00F01581" w:rsidRPr="00577646">
        <w:t xml:space="preserve">eproducción, </w:t>
      </w:r>
      <w:r w:rsidR="00364F94" w:rsidRPr="00577646">
        <w:t>c</w:t>
      </w:r>
      <w:r w:rsidR="00F01581" w:rsidRPr="00577646">
        <w:t xml:space="preserve">onexión y </w:t>
      </w:r>
      <w:r w:rsidR="00364F94" w:rsidRPr="00577646">
        <w:t>r</w:t>
      </w:r>
      <w:r w:rsidR="00F01581" w:rsidRPr="00577646">
        <w:t>eflexión</w:t>
      </w:r>
      <w:r w:rsidRPr="00577646">
        <w:t>.</w:t>
      </w:r>
      <w:r w:rsidR="00364F94" w:rsidRPr="00577646">
        <w:t xml:space="preserve"> Estas categorías son semejantes a las de PISA.</w:t>
      </w:r>
      <w:r w:rsidR="00F01581" w:rsidRPr="00577646">
        <w:t xml:space="preserve"> Se establecen cuatro niveles de dominio</w:t>
      </w:r>
      <w:r w:rsidR="00E86A74" w:rsidRPr="00577646">
        <w:t xml:space="preserve"> (C</w:t>
      </w:r>
      <w:r w:rsidR="00364F94" w:rsidRPr="00577646">
        <w:t>ENEVAL</w:t>
      </w:r>
      <w:r w:rsidR="00E86A74" w:rsidRPr="00577646">
        <w:t>, 2016)</w:t>
      </w:r>
      <w:r w:rsidR="00F01581" w:rsidRPr="00577646">
        <w:t>:</w:t>
      </w:r>
    </w:p>
    <w:p w14:paraId="4E0FD5AA" w14:textId="77777777" w:rsidR="002C3E62" w:rsidRPr="00577646" w:rsidRDefault="00F01581" w:rsidP="00606A11">
      <w:pPr>
        <w:numPr>
          <w:ilvl w:val="0"/>
          <w:numId w:val="9"/>
        </w:numPr>
        <w:spacing w:before="240" w:line="360" w:lineRule="auto"/>
        <w:jc w:val="both"/>
      </w:pPr>
      <w:r w:rsidRPr="00577646">
        <w:t xml:space="preserve">Los alumnos que se encuentran en este nivel de logro demuestran deficiencias en el desarrollo de los conocimientos y habilidades relacionados con las competencias disciplinares básicas que se esperan de los egresados de la educación media superior; además, todavía presentan dificultad para realizar las tareas que se indican en los niveles </w:t>
      </w:r>
      <w:r w:rsidR="00B108D6">
        <w:t>2</w:t>
      </w:r>
      <w:r w:rsidRPr="00577646">
        <w:t xml:space="preserve">, </w:t>
      </w:r>
      <w:r w:rsidR="00B108D6">
        <w:t>3</w:t>
      </w:r>
      <w:r w:rsidRPr="00577646">
        <w:t xml:space="preserve"> y</w:t>
      </w:r>
      <w:r w:rsidR="00B108D6">
        <w:t xml:space="preserve"> 4</w:t>
      </w:r>
      <w:r w:rsidRPr="00577646">
        <w:t>, ya que s</w:t>
      </w:r>
      <w:r w:rsidR="00B108D6">
        <w:t>o</w:t>
      </w:r>
      <w:r w:rsidRPr="00577646">
        <w:t>lo muestran habilidad para resolver problemas directos que requieren efectuar operaciones básicas con números enteros e identificar elementos gráficos.</w:t>
      </w:r>
    </w:p>
    <w:p w14:paraId="5084ABAE" w14:textId="77777777" w:rsidR="00F01581" w:rsidRPr="00577646" w:rsidRDefault="00F01581" w:rsidP="00606A11">
      <w:pPr>
        <w:numPr>
          <w:ilvl w:val="0"/>
          <w:numId w:val="9"/>
        </w:numPr>
        <w:spacing w:before="240" w:line="360" w:lineRule="auto"/>
        <w:jc w:val="both"/>
      </w:pPr>
      <w:r w:rsidRPr="00577646">
        <w:lastRenderedPageBreak/>
        <w:t xml:space="preserve">Los alumnos que se encuentran en este nivel de logro son capaces de aplicar procedimientos aritméticos y geométricos simples para la comprensión de diversas situaciones similares a las que se estudian en el aula, además de la identificación de relaciones espaciales. Realizan operaciones con fracciones, porcentajes o con signos de agrupación; representan gráficamente series de números, o describen el comportamiento de sucesiones numéricas y la relación entre ellas. Transforman modelos matemáticos de naturaleza algebraica o geométrica cuando enuncian en lenguaje común una expresión algebraica y viceversa, además de que resuelven problemas geométricos bidimensionales y tridimensionales que involucran transformaciones y el manejo de los elementos de las figuras. Resuelven sistemas de ecuaciones e identifican la combinación de procedimientos necesarios para solucionar diferentes ejercicios. Sin embargo, todavía demuestran un dominio deficiente de las tareas que se indican en los niveles </w:t>
      </w:r>
      <w:r w:rsidR="00B108D6">
        <w:t>3</w:t>
      </w:r>
      <w:r w:rsidRPr="00577646">
        <w:t xml:space="preserve"> y </w:t>
      </w:r>
      <w:r w:rsidR="00B108D6">
        <w:t>4</w:t>
      </w:r>
      <w:r w:rsidRPr="00577646">
        <w:t>.</w:t>
      </w:r>
    </w:p>
    <w:p w14:paraId="0CBB12A6" w14:textId="77777777" w:rsidR="00F01581" w:rsidRPr="00577646" w:rsidRDefault="00F01581" w:rsidP="00606A11">
      <w:pPr>
        <w:numPr>
          <w:ilvl w:val="0"/>
          <w:numId w:val="9"/>
        </w:numPr>
        <w:spacing w:before="240" w:line="360" w:lineRule="auto"/>
        <w:jc w:val="both"/>
      </w:pPr>
      <w:r w:rsidRPr="00577646">
        <w:t xml:space="preserve">Además de dominar los conocimientos y habilidades del nivel </w:t>
      </w:r>
      <w:r w:rsidR="00B108D6">
        <w:t>2</w:t>
      </w:r>
      <w:r w:rsidRPr="00577646">
        <w:t xml:space="preserve">, los alumnos que se encuentran en este nivel de logro son capaces de analizar las relaciones entre dos o más variables de un problema contextualizado para estimar u obtener un resultado. Resuelven problemas relacionados con procesos sociales o naturales que involucran variables y unidades físicas, y realizan cálculos con razones y proporciones. Resuelven problemas matemáticos aplicando diferentes enfoques, ya sea que requieran del planteamiento de ecuaciones, la aplicación del teorema de Pitágoras o de conceptos como el mínimo común múltiplo y el máximo común divisor, o exijan estimar soluciones para problemas aritméticos, geométricos o variacionales. Además, extraen información de tablas o gráficas para resolver problemas que involucran operaciones. Sin embargo, todavía demuestran un dominio deficiente de las tareas que se indican en el nivel </w:t>
      </w:r>
      <w:r w:rsidR="00B108D6">
        <w:t>4</w:t>
      </w:r>
      <w:r w:rsidRPr="00577646">
        <w:t>.</w:t>
      </w:r>
    </w:p>
    <w:p w14:paraId="7FC71503" w14:textId="77777777" w:rsidR="005B4DB8" w:rsidRPr="00125A18" w:rsidRDefault="00F01581" w:rsidP="00606A11">
      <w:pPr>
        <w:numPr>
          <w:ilvl w:val="0"/>
          <w:numId w:val="9"/>
        </w:numPr>
        <w:spacing w:before="240" w:line="360" w:lineRule="auto"/>
        <w:jc w:val="both"/>
        <w:rPr>
          <w:b/>
        </w:rPr>
      </w:pPr>
      <w:r w:rsidRPr="00577646">
        <w:t xml:space="preserve">Además de dominar los conocimientos y habilidades de los niveles </w:t>
      </w:r>
      <w:r w:rsidR="00B108D6">
        <w:t>1</w:t>
      </w:r>
      <w:r w:rsidR="00B108D6" w:rsidRPr="00577646">
        <w:t xml:space="preserve"> </w:t>
      </w:r>
      <w:r w:rsidRPr="00577646">
        <w:t xml:space="preserve">y </w:t>
      </w:r>
      <w:r w:rsidR="00B108D6">
        <w:t>2</w:t>
      </w:r>
      <w:r w:rsidRPr="00577646">
        <w:t xml:space="preserve">, los alumnos que se encuentran en este nivel de logro son capaces de evaluar el entorno e integrar los datos obtenidos mediante diferentes procedimientos matemáticos, para contrastarlos con modelos establecidos o situaciones reales. Leen e interpretan tablas, gráficas e información textual cuando resuelven problemas contextualizados que requieren de estimaciones, conversiones, análisis de información gráfica o sucesiones. </w:t>
      </w:r>
      <w:r w:rsidRPr="00577646">
        <w:lastRenderedPageBreak/>
        <w:t>Cuantifican y representan matemáticamente las magnitudes del espacio para resolver problemas que implican el manejo de figuras planas y tridimensionales, así como las propiedades geométricas de figuras incompletas. Adicionalmente, realizan cálculos a partir de dos funciones lineales o cuadráticas que se muestran de manera independiente y mediante representaciones numéricas, textuales, gráficas o tabulares.</w:t>
      </w:r>
    </w:p>
    <w:p w14:paraId="137E0276" w14:textId="77777777" w:rsidR="00F01581" w:rsidRPr="00577646" w:rsidRDefault="005556B0" w:rsidP="00606A11">
      <w:pPr>
        <w:spacing w:before="240" w:line="360" w:lineRule="auto"/>
        <w:jc w:val="both"/>
      </w:pPr>
      <w:r w:rsidRPr="00577646">
        <w:t xml:space="preserve">En los resultados 2016 de Planea MS para el municipio de Valle de Chalco, donde pertenecen las instituciones de los sujetos de estudio y parte de la muestra, se tiene que </w:t>
      </w:r>
      <w:r w:rsidR="00E86A74" w:rsidRPr="00577646">
        <w:t xml:space="preserve">72% se encuentra en </w:t>
      </w:r>
      <w:r w:rsidR="00B108D6">
        <w:t>n</w:t>
      </w:r>
      <w:r w:rsidR="00E86A74" w:rsidRPr="00577646">
        <w:t xml:space="preserve">ivel 1, 20% en </w:t>
      </w:r>
      <w:r w:rsidR="00B108D6">
        <w:t>n</w:t>
      </w:r>
      <w:r w:rsidR="00E86A74" w:rsidRPr="00577646">
        <w:t>ivel 2, 8% en nivel 3 y ninguno en nivel 4.</w:t>
      </w:r>
      <w:r w:rsidRPr="00577646">
        <w:t xml:space="preserve"> </w:t>
      </w:r>
      <w:r w:rsidR="00F365E2" w:rsidRPr="00577646">
        <w:t xml:space="preserve">Estos resultados concuerdan con los recabados a nivel nacional donde 49.2% está en </w:t>
      </w:r>
      <w:r w:rsidR="00B108D6">
        <w:t>n</w:t>
      </w:r>
      <w:r w:rsidR="00F365E2" w:rsidRPr="00577646">
        <w:t xml:space="preserve">ivel 1, 30% en </w:t>
      </w:r>
      <w:r w:rsidR="00B108D6">
        <w:t>n</w:t>
      </w:r>
      <w:r w:rsidR="00F365E2" w:rsidRPr="00577646">
        <w:t>ivel 2, 14.4</w:t>
      </w:r>
      <w:r w:rsidR="00B108D6" w:rsidRPr="00577646">
        <w:t>%</w:t>
      </w:r>
      <w:r w:rsidR="00F365E2" w:rsidRPr="00577646">
        <w:t xml:space="preserve"> en </w:t>
      </w:r>
      <w:r w:rsidR="00B108D6">
        <w:t>n</w:t>
      </w:r>
      <w:r w:rsidR="00F365E2" w:rsidRPr="00577646">
        <w:t xml:space="preserve">ivel 3 y 6.3% en </w:t>
      </w:r>
      <w:r w:rsidR="00B108D6">
        <w:t>n</w:t>
      </w:r>
      <w:r w:rsidR="00F365E2" w:rsidRPr="00577646">
        <w:t xml:space="preserve">ivel 4. </w:t>
      </w:r>
      <w:r w:rsidR="00E86A74" w:rsidRPr="00577646">
        <w:t>Desde su concepción, la prueba es útil para conocer las fortalezas y áreas de oportunidad que exhiben los alumnos en lo que se definió operacionalmente como parte de la evaluación en Matemáticas (</w:t>
      </w:r>
      <w:r w:rsidR="00364F94" w:rsidRPr="00577646">
        <w:t xml:space="preserve">CENEVAL, </w:t>
      </w:r>
      <w:r w:rsidR="00E86A74" w:rsidRPr="00577646">
        <w:t>2016).</w:t>
      </w:r>
    </w:p>
    <w:p w14:paraId="643131C5" w14:textId="77777777" w:rsidR="002C3E62" w:rsidRPr="00CD487B" w:rsidRDefault="002C3E62" w:rsidP="00606A11">
      <w:pPr>
        <w:spacing w:before="240" w:line="360" w:lineRule="auto"/>
        <w:jc w:val="both"/>
        <w:rPr>
          <w:b/>
        </w:rPr>
      </w:pPr>
      <w:r w:rsidRPr="00577646">
        <w:rPr>
          <w:b/>
        </w:rPr>
        <w:t>EXANI</w:t>
      </w:r>
    </w:p>
    <w:p w14:paraId="4E4F48A7" w14:textId="77777777" w:rsidR="00C334CE" w:rsidRPr="00577646" w:rsidRDefault="002C3E62" w:rsidP="00606A11">
      <w:pPr>
        <w:spacing w:before="240" w:line="360" w:lineRule="auto"/>
        <w:jc w:val="both"/>
        <w:rPr>
          <w:color w:val="000000"/>
        </w:rPr>
      </w:pPr>
      <w:r w:rsidRPr="00577646">
        <w:t xml:space="preserve">En otro contexto diferente se encuentra el </w:t>
      </w:r>
      <w:r w:rsidR="00C30591" w:rsidRPr="00577646">
        <w:t>E</w:t>
      </w:r>
      <w:r w:rsidR="00364F94" w:rsidRPr="00577646">
        <w:t>XANI</w:t>
      </w:r>
      <w:r w:rsidRPr="00577646">
        <w:t xml:space="preserve"> II, </w:t>
      </w:r>
      <w:r w:rsidR="00F365E2" w:rsidRPr="00577646">
        <w:t xml:space="preserve">una prueba </w:t>
      </w:r>
      <w:r w:rsidR="00C334CE" w:rsidRPr="00577646">
        <w:t xml:space="preserve">estandarizada </w:t>
      </w:r>
      <w:r w:rsidR="00F365E2" w:rsidRPr="00577646">
        <w:t xml:space="preserve">de aptitud académica </w:t>
      </w:r>
      <w:r w:rsidR="00C334CE" w:rsidRPr="00577646">
        <w:t xml:space="preserve">a nivel nacional </w:t>
      </w:r>
      <w:r w:rsidR="00F365E2" w:rsidRPr="00577646">
        <w:t>que evalúa las habilidades intelectuales y los conocimientos básicos e imprescindibles para iniciar estudios de educación superior.</w:t>
      </w:r>
      <w:r w:rsidR="00804925" w:rsidRPr="00577646">
        <w:t xml:space="preserve"> Al ser un servicio que las </w:t>
      </w:r>
      <w:r w:rsidR="00804925" w:rsidRPr="00577646">
        <w:rPr>
          <w:color w:val="000000"/>
        </w:rPr>
        <w:t>instituciones de educación superior contratan al CENEVAL, los resultados son confidenciales para cada escuela</w:t>
      </w:r>
      <w:r w:rsidR="00C334CE" w:rsidRPr="00577646">
        <w:rPr>
          <w:color w:val="000000"/>
        </w:rPr>
        <w:t xml:space="preserve"> con el fin de establecer el nivel de potencialidad de un individuo para lograr nuevos aprendizajes;</w:t>
      </w:r>
      <w:r w:rsidR="00804925" w:rsidRPr="00577646">
        <w:rPr>
          <w:color w:val="000000"/>
        </w:rPr>
        <w:t xml:space="preserve"> aunque se proporciona de manera individual los resultados a cada participante con la intención de que estimen las áreas de oportunidad que deben atacar para un buen desempeño en el ámbito universitario. Para el caso de ingreso a cualquier carrera se consideran, a nivel nacional, las competencias de: Pensamiento matemático</w:t>
      </w:r>
      <w:r w:rsidR="00090F4B" w:rsidRPr="00577646">
        <w:rPr>
          <w:color w:val="000000"/>
        </w:rPr>
        <w:t xml:space="preserve"> (PM)</w:t>
      </w:r>
      <w:r w:rsidR="00804925" w:rsidRPr="00577646">
        <w:rPr>
          <w:color w:val="000000"/>
        </w:rPr>
        <w:t>, Pensamiento analítico</w:t>
      </w:r>
      <w:r w:rsidR="00090F4B" w:rsidRPr="00577646">
        <w:rPr>
          <w:color w:val="000000"/>
        </w:rPr>
        <w:t xml:space="preserve"> (PA)</w:t>
      </w:r>
      <w:r w:rsidR="00804925" w:rsidRPr="00577646">
        <w:rPr>
          <w:color w:val="000000"/>
        </w:rPr>
        <w:t>, Estructura del lenguaje</w:t>
      </w:r>
      <w:r w:rsidR="00090F4B" w:rsidRPr="00577646">
        <w:rPr>
          <w:color w:val="000000"/>
        </w:rPr>
        <w:t xml:space="preserve"> (EL)</w:t>
      </w:r>
      <w:r w:rsidR="00804925" w:rsidRPr="00577646">
        <w:rPr>
          <w:color w:val="000000"/>
        </w:rPr>
        <w:t>, Comprensión lectora</w:t>
      </w:r>
      <w:r w:rsidR="00090F4B" w:rsidRPr="00577646">
        <w:rPr>
          <w:color w:val="000000"/>
        </w:rPr>
        <w:t xml:space="preserve"> (CL)</w:t>
      </w:r>
      <w:r w:rsidR="00804925" w:rsidRPr="00577646">
        <w:rPr>
          <w:color w:val="000000"/>
        </w:rPr>
        <w:t xml:space="preserve">, Lenguaje escrito </w:t>
      </w:r>
      <w:r w:rsidR="00090F4B" w:rsidRPr="00577646">
        <w:rPr>
          <w:color w:val="000000"/>
        </w:rPr>
        <w:t xml:space="preserve">(LE) </w:t>
      </w:r>
      <w:r w:rsidR="00804925" w:rsidRPr="00577646">
        <w:rPr>
          <w:color w:val="000000"/>
        </w:rPr>
        <w:t>e Inglés</w:t>
      </w:r>
      <w:r w:rsidR="00090F4B" w:rsidRPr="00577646">
        <w:rPr>
          <w:color w:val="000000"/>
        </w:rPr>
        <w:t xml:space="preserve"> (IN)</w:t>
      </w:r>
      <w:r w:rsidR="00804925" w:rsidRPr="00577646">
        <w:rPr>
          <w:color w:val="000000"/>
        </w:rPr>
        <w:t xml:space="preserve">, mientras que para el caso particular de Ingeniería en Computación se agregan dos módulos más: Matemáticas </w:t>
      </w:r>
      <w:r w:rsidR="00090F4B" w:rsidRPr="00577646">
        <w:rPr>
          <w:color w:val="000000"/>
        </w:rPr>
        <w:t xml:space="preserve">(MOD01) </w:t>
      </w:r>
      <w:r w:rsidR="00804925" w:rsidRPr="00577646">
        <w:rPr>
          <w:color w:val="000000"/>
        </w:rPr>
        <w:t>y Física</w:t>
      </w:r>
      <w:r w:rsidR="00090F4B" w:rsidRPr="00577646">
        <w:rPr>
          <w:color w:val="000000"/>
        </w:rPr>
        <w:t xml:space="preserve"> (MOD02)</w:t>
      </w:r>
      <w:r w:rsidR="00804925" w:rsidRPr="00577646">
        <w:rPr>
          <w:color w:val="000000"/>
        </w:rPr>
        <w:t>. Para efectos de este estudio</w:t>
      </w:r>
      <w:r w:rsidR="00B108D6">
        <w:rPr>
          <w:color w:val="000000"/>
        </w:rPr>
        <w:t>,</w:t>
      </w:r>
      <w:r w:rsidR="00804925" w:rsidRPr="00577646">
        <w:rPr>
          <w:color w:val="000000"/>
        </w:rPr>
        <w:t xml:space="preserve"> nos concentraremos en</w:t>
      </w:r>
      <w:r w:rsidR="00090F4B" w:rsidRPr="00577646">
        <w:rPr>
          <w:color w:val="000000"/>
        </w:rPr>
        <w:t>: Pensamiento matemático, Pensamiento analítico</w:t>
      </w:r>
      <w:r w:rsidR="00364F94" w:rsidRPr="00577646">
        <w:rPr>
          <w:color w:val="000000"/>
        </w:rPr>
        <w:t xml:space="preserve"> y</w:t>
      </w:r>
      <w:r w:rsidR="00090F4B" w:rsidRPr="00577646">
        <w:rPr>
          <w:color w:val="000000"/>
        </w:rPr>
        <w:t xml:space="preserve"> Matemáticas, para acercarnos a los indicadores de las competencias de los otros instrumentos estandarizados (PISA y Planea).</w:t>
      </w:r>
    </w:p>
    <w:p w14:paraId="52A312B2" w14:textId="77777777" w:rsidR="00D63116" w:rsidRPr="00577646" w:rsidRDefault="00C334CE" w:rsidP="00606A11">
      <w:pPr>
        <w:spacing w:before="240" w:line="360" w:lineRule="auto"/>
        <w:jc w:val="both"/>
        <w:rPr>
          <w:color w:val="000000"/>
        </w:rPr>
      </w:pPr>
      <w:r w:rsidRPr="00577646">
        <w:rPr>
          <w:color w:val="000000"/>
        </w:rPr>
        <w:t xml:space="preserve">El </w:t>
      </w:r>
      <w:r w:rsidR="006B6085" w:rsidRPr="00577646">
        <w:rPr>
          <w:color w:val="000000"/>
        </w:rPr>
        <w:t xml:space="preserve">EXANI </w:t>
      </w:r>
      <w:r w:rsidRPr="00577646">
        <w:rPr>
          <w:color w:val="000000"/>
        </w:rPr>
        <w:t xml:space="preserve">II evalúa la habilidad de conocimiento e identificación de información y contenidos específicos; también, la capacidad de sistematización e integración mediante el </w:t>
      </w:r>
      <w:r w:rsidRPr="00577646">
        <w:rPr>
          <w:color w:val="000000"/>
        </w:rPr>
        <w:lastRenderedPageBreak/>
        <w:t>uso de fórmulas, reglas o teorías, contemplar esquemas o cuadros sinópticos o</w:t>
      </w:r>
      <w:r w:rsidR="00B108D6">
        <w:rPr>
          <w:color w:val="000000"/>
        </w:rPr>
        <w:t>,</w:t>
      </w:r>
      <w:r w:rsidRPr="00577646">
        <w:rPr>
          <w:color w:val="000000"/>
        </w:rPr>
        <w:t xml:space="preserve"> bien, la clasificación, ordenamiento o agrupación de información; finalmente, también indaga la competencia de interpretación y aplicación mediante situaciones que exigen encontrar una estrategia apropiada para realizar inferencias, establecer conclusiones y solucionar problemas. En particular, el área de Pensamiento matemático explora la competencia para comprender y resolver situaciones que implican el uso de estrategias de razonamiento aritmético, algebraico, estadístico y probabilístico, y geométrico. Es decir, abarca el conjunto de conocimientos y habilidades del campo matemático que debieron aprenderse y dominarse en la </w:t>
      </w:r>
      <w:r w:rsidR="00466AED" w:rsidRPr="00577646">
        <w:rPr>
          <w:color w:val="000000"/>
        </w:rPr>
        <w:t>e</w:t>
      </w:r>
      <w:r w:rsidRPr="00577646">
        <w:rPr>
          <w:color w:val="000000"/>
        </w:rPr>
        <w:t xml:space="preserve">ducación </w:t>
      </w:r>
      <w:r w:rsidR="00466AED" w:rsidRPr="00577646">
        <w:rPr>
          <w:color w:val="000000"/>
        </w:rPr>
        <w:t>media superior (EMS)</w:t>
      </w:r>
      <w:r w:rsidRPr="00577646">
        <w:rPr>
          <w:color w:val="000000"/>
        </w:rPr>
        <w:t xml:space="preserve">. En el área de Pensamiento analítico el aspirante debe demostrar su competencia a nivel </w:t>
      </w:r>
      <w:r w:rsidR="006F2437" w:rsidRPr="00577646">
        <w:rPr>
          <w:color w:val="000000"/>
        </w:rPr>
        <w:t>intermedio</w:t>
      </w:r>
      <w:r w:rsidRPr="00577646">
        <w:rPr>
          <w:color w:val="000000"/>
        </w:rPr>
        <w:t xml:space="preserve"> para integrar y analizar información de tipo textual y gráfica; también debe ser capaz de comprender e interpretar relaciones lógicas y patrones, así como reconocer y analizar las coincidencias en la representación espacial de objetos en diferentes planos. El área de Estructura de la lengua evalúa la capacidad para identificar y aplicar elementos de la lengua que permiten la creación y organización de mensajes con sentido. </w:t>
      </w:r>
      <w:r w:rsidR="00466AED" w:rsidRPr="00577646">
        <w:rPr>
          <w:color w:val="000000"/>
        </w:rPr>
        <w:t xml:space="preserve">El área de Comprensión lectora demanda comprender información explícita e implícita en textos narrativos e informativos, así como su propósito, características y lenguaje. </w:t>
      </w:r>
    </w:p>
    <w:p w14:paraId="5511234F" w14:textId="77777777" w:rsidR="00D63116" w:rsidRPr="00577646" w:rsidRDefault="00BA20D7" w:rsidP="00606A11">
      <w:pPr>
        <w:spacing w:before="240" w:line="360" w:lineRule="auto"/>
        <w:jc w:val="both"/>
      </w:pPr>
      <w:r w:rsidRPr="00577646">
        <w:rPr>
          <w:color w:val="000000"/>
        </w:rPr>
        <w:t>Finalmente,</w:t>
      </w:r>
      <w:r w:rsidR="00C334CE" w:rsidRPr="00577646">
        <w:rPr>
          <w:color w:val="000000"/>
        </w:rPr>
        <w:t xml:space="preserve"> para las áreas de </w:t>
      </w:r>
      <w:r w:rsidR="00466AED" w:rsidRPr="00577646">
        <w:rPr>
          <w:color w:val="000000"/>
        </w:rPr>
        <w:t xml:space="preserve">Lenguaje escrito, </w:t>
      </w:r>
      <w:r w:rsidR="00B7667B">
        <w:rPr>
          <w:color w:val="000000"/>
        </w:rPr>
        <w:t>I</w:t>
      </w:r>
      <w:r w:rsidR="00CD487B" w:rsidRPr="00577646">
        <w:rPr>
          <w:color w:val="000000"/>
        </w:rPr>
        <w:t>nglés</w:t>
      </w:r>
      <w:r w:rsidR="00466AED" w:rsidRPr="00577646">
        <w:rPr>
          <w:color w:val="000000"/>
        </w:rPr>
        <w:t xml:space="preserve">, </w:t>
      </w:r>
      <w:r w:rsidR="00C334CE" w:rsidRPr="00577646">
        <w:rPr>
          <w:color w:val="000000"/>
        </w:rPr>
        <w:t>Matemáticas y Física</w:t>
      </w:r>
      <w:r w:rsidR="00466AED" w:rsidRPr="00577646">
        <w:rPr>
          <w:color w:val="000000"/>
        </w:rPr>
        <w:t xml:space="preserve"> evalúan el nivel de desempeño de los aspirantes para reconocer, comprender y resolver planteamientos en los que debe aplicar los conocimientos y las habilidades adquiridos en las asignaturas de la EMS (</w:t>
      </w:r>
      <w:r w:rsidRPr="00577646">
        <w:rPr>
          <w:color w:val="000000"/>
        </w:rPr>
        <w:t>CENEVAL</w:t>
      </w:r>
      <w:r w:rsidR="00466AED" w:rsidRPr="00577646">
        <w:rPr>
          <w:color w:val="000000"/>
        </w:rPr>
        <w:t>, 2017).</w:t>
      </w:r>
      <w:r w:rsidR="00C334CE" w:rsidRPr="00577646">
        <w:rPr>
          <w:color w:val="000000"/>
        </w:rPr>
        <w:t xml:space="preserve"> </w:t>
      </w:r>
      <w:r w:rsidR="00090F4B" w:rsidRPr="00577646">
        <w:t xml:space="preserve">Es factible observar que lo que PISA y Planea especifica como Competencias Matemáticas, corresponden a lo que el </w:t>
      </w:r>
      <w:r w:rsidR="00694E9A" w:rsidRPr="00577646">
        <w:t xml:space="preserve">EXANI </w:t>
      </w:r>
      <w:r w:rsidR="00090F4B" w:rsidRPr="00577646">
        <w:t xml:space="preserve">II está estableciendo como categorías de análisis. El </w:t>
      </w:r>
      <w:r w:rsidR="00694E9A" w:rsidRPr="00577646">
        <w:t xml:space="preserve">EXANI </w:t>
      </w:r>
      <w:r w:rsidR="00090F4B" w:rsidRPr="00577646">
        <w:t>no establece niveles de desempeño sino puntajes de aciertos para un total de 200 reactivos, distribuidos como sigue: PM (19), PA (67), EL (7), CL (7), LE (30), IN (20), MOD01 (35) y MOD02 (15).</w:t>
      </w:r>
    </w:p>
    <w:p w14:paraId="0D847614" w14:textId="77777777" w:rsidR="005556B0" w:rsidRPr="00577646" w:rsidRDefault="005556B0" w:rsidP="00606A11">
      <w:pPr>
        <w:spacing w:before="240" w:line="360" w:lineRule="auto"/>
        <w:jc w:val="both"/>
      </w:pPr>
      <w:r w:rsidRPr="00577646">
        <w:t xml:space="preserve">En este contexto, y además enfatizando la necesidad de desarrollar determinadas competencias matemáticas en estudiantes de nivel medio superior, como lo marca la </w:t>
      </w:r>
      <w:proofErr w:type="spellStart"/>
      <w:r w:rsidRPr="00577646">
        <w:t>National</w:t>
      </w:r>
      <w:proofErr w:type="spellEnd"/>
      <w:r w:rsidRPr="00577646">
        <w:t xml:space="preserve"> Council </w:t>
      </w:r>
      <w:proofErr w:type="spellStart"/>
      <w:r w:rsidRPr="00577646">
        <w:t>of</w:t>
      </w:r>
      <w:proofErr w:type="spellEnd"/>
      <w:r w:rsidRPr="00577646">
        <w:t xml:space="preserve"> </w:t>
      </w:r>
      <w:proofErr w:type="spellStart"/>
      <w:r w:rsidRPr="00577646">
        <w:t>Teacher</w:t>
      </w:r>
      <w:proofErr w:type="spellEnd"/>
      <w:r w:rsidRPr="00577646">
        <w:t xml:space="preserve"> of Mathematics (NCTM 1989), se determinan los estadios para llevar a un estudiante de matemáticas de este nivel del pensamiento básico al avanzado, del pensamiento concreto al abstracto. Al respecto</w:t>
      </w:r>
      <w:r w:rsidR="00B108D6">
        <w:t>,</w:t>
      </w:r>
      <w:r w:rsidRPr="00577646">
        <w:t xml:space="preserve"> Cuevas y </w:t>
      </w:r>
      <w:proofErr w:type="spellStart"/>
      <w:r w:rsidR="002E7476" w:rsidRPr="00577646">
        <w:t>Pluvinage</w:t>
      </w:r>
      <w:proofErr w:type="spellEnd"/>
      <w:r w:rsidR="002E7476" w:rsidRPr="00577646">
        <w:t xml:space="preserve"> </w:t>
      </w:r>
      <w:r w:rsidRPr="00577646">
        <w:t>(201</w:t>
      </w:r>
      <w:r w:rsidR="002E7476" w:rsidRPr="00577646">
        <w:t>7</w:t>
      </w:r>
      <w:r w:rsidRPr="00577646">
        <w:t xml:space="preserve">) establecen los siguientes estadios del pensamiento matemático básico desde el punto de vista cognitivo: </w:t>
      </w:r>
    </w:p>
    <w:p w14:paraId="2DB291B8" w14:textId="77777777" w:rsidR="005556B0" w:rsidRPr="00577646" w:rsidRDefault="005556B0" w:rsidP="00606A11">
      <w:pPr>
        <w:pStyle w:val="Cuadrculaclara-nfasis31"/>
        <w:numPr>
          <w:ilvl w:val="0"/>
          <w:numId w:val="2"/>
        </w:numPr>
        <w:spacing w:before="240" w:after="120" w:line="360" w:lineRule="auto"/>
        <w:ind w:left="714" w:hanging="357"/>
        <w:contextualSpacing/>
        <w:jc w:val="both"/>
      </w:pPr>
      <w:r w:rsidRPr="00577646">
        <w:lastRenderedPageBreak/>
        <w:t>Pensamiento aritmético,</w:t>
      </w:r>
      <w:r w:rsidR="00B108D6">
        <w:t xml:space="preserve"> que</w:t>
      </w:r>
      <w:r w:rsidRPr="00577646">
        <w:t xml:space="preserve"> corresponde al conocimiento de los números y operaciones aritméticas básicas (</w:t>
      </w:r>
      <w:proofErr w:type="spellStart"/>
      <w:r w:rsidRPr="00577646">
        <w:t>Kjeldsen</w:t>
      </w:r>
      <w:proofErr w:type="spellEnd"/>
      <w:r w:rsidRPr="00577646">
        <w:t xml:space="preserve"> y Petersen, 2014; </w:t>
      </w:r>
      <w:proofErr w:type="spellStart"/>
      <w:r w:rsidRPr="00577646">
        <w:t>Mouhayar</w:t>
      </w:r>
      <w:proofErr w:type="spellEnd"/>
      <w:r w:rsidRPr="00577646">
        <w:t xml:space="preserve"> y </w:t>
      </w:r>
      <w:proofErr w:type="spellStart"/>
      <w:r w:rsidRPr="00577646">
        <w:t>Jurdak</w:t>
      </w:r>
      <w:proofErr w:type="spellEnd"/>
      <w:r w:rsidRPr="00577646">
        <w:t>, 2016).</w:t>
      </w:r>
    </w:p>
    <w:p w14:paraId="368CF904" w14:textId="77777777" w:rsidR="005556B0" w:rsidRPr="00577646" w:rsidRDefault="005556B0" w:rsidP="00606A11">
      <w:pPr>
        <w:pStyle w:val="Cuadrculaclara-nfasis31"/>
        <w:numPr>
          <w:ilvl w:val="0"/>
          <w:numId w:val="2"/>
        </w:numPr>
        <w:spacing w:before="240" w:after="120" w:line="360" w:lineRule="auto"/>
        <w:ind w:left="714" w:hanging="357"/>
        <w:contextualSpacing/>
        <w:jc w:val="both"/>
      </w:pPr>
      <w:r w:rsidRPr="00577646">
        <w:t xml:space="preserve">Pensamiento aritmético avanzado (proporciones), </w:t>
      </w:r>
      <w:r w:rsidR="00B108D6">
        <w:t xml:space="preserve">que </w:t>
      </w:r>
      <w:r w:rsidRPr="00577646">
        <w:t>se refiere a un conocimiento numérico más avanzado; esto es, a partir de las operaciones aritméticas básicas se desarrollan las proporciones y el manejo de fracciones</w:t>
      </w:r>
      <w:r w:rsidR="00B108D6">
        <w:t>,</w:t>
      </w:r>
      <w:r w:rsidRPr="00577646">
        <w:t xml:space="preserve"> incluyendo también el conocimiento de magnitudes y elementos de razonamiento lógico (Pluvinage y Cuevas, 2006).</w:t>
      </w:r>
    </w:p>
    <w:p w14:paraId="5939D8A2" w14:textId="77777777" w:rsidR="005556B0" w:rsidRPr="00577646" w:rsidRDefault="005556B0" w:rsidP="00606A11">
      <w:pPr>
        <w:pStyle w:val="Cuadrculaclara-nfasis31"/>
        <w:numPr>
          <w:ilvl w:val="0"/>
          <w:numId w:val="2"/>
        </w:numPr>
        <w:spacing w:before="240" w:after="120" w:line="360" w:lineRule="auto"/>
        <w:ind w:left="714" w:hanging="357"/>
        <w:contextualSpacing/>
        <w:jc w:val="both"/>
      </w:pPr>
      <w:r w:rsidRPr="00577646">
        <w:t xml:space="preserve">Pensamiento algebraico, </w:t>
      </w:r>
      <w:r w:rsidR="00B108D6">
        <w:t xml:space="preserve">que </w:t>
      </w:r>
      <w:r w:rsidRPr="00577646">
        <w:t xml:space="preserve">incluye reconocer y analizar patrones, estudiar y representar relaciones, hacer generalizaciones y analizar cómo cambian las cosas. También contiene los Sistemas Matemáticos de Signos (SMS); la resolución de ecuaciones y el manejo de expresiones que incluyen variables y parámetros. Es conveniente señalar que la adquisición de este </w:t>
      </w:r>
      <w:r w:rsidR="00BA20D7" w:rsidRPr="00577646">
        <w:t>pensamiento</w:t>
      </w:r>
      <w:r w:rsidRPr="00577646">
        <w:t xml:space="preserve"> facilitaría la comprensión del simbolismo abstracto y el trabajo con relaciones algebraicas (</w:t>
      </w:r>
      <w:proofErr w:type="spellStart"/>
      <w:r w:rsidRPr="00577646">
        <w:t>Filloy</w:t>
      </w:r>
      <w:proofErr w:type="spellEnd"/>
      <w:r w:rsidRPr="00577646">
        <w:t>, Puig y Rojano, 2008; Lagrange</w:t>
      </w:r>
      <w:r w:rsidR="00B108D6">
        <w:t>,</w:t>
      </w:r>
      <w:r w:rsidRPr="00577646">
        <w:t xml:space="preserve"> 2014; </w:t>
      </w:r>
      <w:proofErr w:type="spellStart"/>
      <w:r w:rsidRPr="00577646">
        <w:t>Seeley</w:t>
      </w:r>
      <w:proofErr w:type="spellEnd"/>
      <w:r w:rsidR="00B108D6">
        <w:t>,</w:t>
      </w:r>
      <w:r w:rsidRPr="00577646">
        <w:t xml:space="preserve"> 2004).</w:t>
      </w:r>
    </w:p>
    <w:p w14:paraId="1B3891F3" w14:textId="77777777" w:rsidR="005556B0" w:rsidRPr="00577646" w:rsidRDefault="005556B0" w:rsidP="00606A11">
      <w:pPr>
        <w:pStyle w:val="Cuadrculaclara-nfasis31"/>
        <w:numPr>
          <w:ilvl w:val="0"/>
          <w:numId w:val="2"/>
        </w:numPr>
        <w:spacing w:before="240" w:after="120" w:line="360" w:lineRule="auto"/>
        <w:contextualSpacing/>
        <w:jc w:val="both"/>
      </w:pPr>
      <w:r w:rsidRPr="00577646">
        <w:t xml:space="preserve">Pensamiento funcional, </w:t>
      </w:r>
      <w:r w:rsidR="00B108D6">
        <w:t xml:space="preserve">que </w:t>
      </w:r>
      <w:r w:rsidRPr="00577646">
        <w:t xml:space="preserve">se define como una actividad cognitiva que permite establecer relaciones de dependencia funcional, más allá de las relaciones aritméticas y algebraicas que pueden ser aplicadas a diversos contextos y que no se relaciona con la aplicación de fórmulas. Aún más, se considera que para poder interactuar en el mundo actual y poder desarrollarse en cualquiera de las diversas disciplinas o ciencias tanto básicas, naturales como sociales, se requiere de un pensamiento funcional (Pluvinage y Cuevas, 2006). </w:t>
      </w:r>
    </w:p>
    <w:p w14:paraId="6443DB9C" w14:textId="77777777" w:rsidR="00253E7D" w:rsidRDefault="00253E7D" w:rsidP="00606A11">
      <w:pPr>
        <w:spacing w:before="240" w:line="360" w:lineRule="auto"/>
        <w:jc w:val="both"/>
      </w:pPr>
      <w:r>
        <w:t>De igual manera</w:t>
      </w:r>
      <w:r w:rsidR="00B108D6">
        <w:t>,</w:t>
      </w:r>
      <w:r>
        <w:t xml:space="preserve"> autores</w:t>
      </w:r>
      <w:r w:rsidR="00B108D6">
        <w:t>,</w:t>
      </w:r>
      <w:r>
        <w:t xml:space="preserve"> como García (2014)</w:t>
      </w:r>
      <w:r w:rsidR="00B108D6">
        <w:t>,</w:t>
      </w:r>
      <w:r>
        <w:t xml:space="preserve"> indica</w:t>
      </w:r>
      <w:r w:rsidR="00B108D6">
        <w:t>n</w:t>
      </w:r>
      <w:r>
        <w:t xml:space="preserve"> que “… la in</w:t>
      </w:r>
      <w:r w:rsidRPr="000B1C6C">
        <w:t>geniería es una disciplina de carácter reflexivo-pragmático que tiende a dejar la fundamentación teórica de los recursos de conocimiento que utiliza a ser desarrollada por otras disciplinas, como es el caso de las matemáticas</w:t>
      </w:r>
      <w:r>
        <w:t>”</w:t>
      </w:r>
      <w:r w:rsidRPr="000B1C6C">
        <w:t>.</w:t>
      </w:r>
    </w:p>
    <w:p w14:paraId="1A4CE2B0" w14:textId="77777777" w:rsidR="005E64B0" w:rsidRDefault="00D63116" w:rsidP="00606A11">
      <w:pPr>
        <w:spacing w:before="240" w:line="360" w:lineRule="auto"/>
        <w:jc w:val="both"/>
      </w:pPr>
      <w:r w:rsidRPr="00577646">
        <w:t xml:space="preserve">De manera que en este amplio contexto y para uniformizar el análisis, se establecerán los cuatro tipos de pensamiento como unidades de análisis a través de un instrumento que incluye 29 reactivos y que fue aplicado a </w:t>
      </w:r>
      <w:r w:rsidR="008B66E3" w:rsidRPr="00577646">
        <w:t xml:space="preserve">50% del </w:t>
      </w:r>
      <w:r w:rsidRPr="00577646">
        <w:t xml:space="preserve">total de alumnos de nuevo ingreso a la carrera de Ingeniería en Computación del Centro Universitario UAEM Valle de Chalco; los resultados obtenidos se </w:t>
      </w:r>
      <w:r w:rsidR="006B6085" w:rsidRPr="00577646">
        <w:t xml:space="preserve">compararon </w:t>
      </w:r>
      <w:r w:rsidRPr="00577646">
        <w:t xml:space="preserve">con los datos de PISA, Planea y </w:t>
      </w:r>
      <w:r w:rsidR="00E52CD4" w:rsidRPr="00577646">
        <w:t xml:space="preserve">EXANI </w:t>
      </w:r>
      <w:r w:rsidRPr="00577646">
        <w:t xml:space="preserve">II para su análisis. </w:t>
      </w:r>
    </w:p>
    <w:p w14:paraId="12A14CD0" w14:textId="77777777" w:rsidR="00C30591" w:rsidRPr="00C75111" w:rsidRDefault="00C30591" w:rsidP="00606A11">
      <w:pPr>
        <w:spacing w:before="240" w:line="360" w:lineRule="auto"/>
        <w:jc w:val="both"/>
        <w:rPr>
          <w:b/>
        </w:rPr>
      </w:pPr>
      <w:proofErr w:type="spellStart"/>
      <w:r w:rsidRPr="00577646">
        <w:rPr>
          <w:b/>
        </w:rPr>
        <w:lastRenderedPageBreak/>
        <w:t>Pretest</w:t>
      </w:r>
      <w:proofErr w:type="spellEnd"/>
    </w:p>
    <w:p w14:paraId="510C76FE" w14:textId="77777777" w:rsidR="00F60670" w:rsidRPr="00577646" w:rsidRDefault="00F60670" w:rsidP="00606A11">
      <w:pPr>
        <w:spacing w:before="240" w:line="360" w:lineRule="auto"/>
        <w:jc w:val="both"/>
      </w:pPr>
      <w:r w:rsidRPr="00577646">
        <w:t>Con el fin de evaluar el desempeño escolar en el nivel superior en las materias de primer año universitario</w:t>
      </w:r>
      <w:r w:rsidR="008B66E3" w:rsidRPr="00577646">
        <w:t>:</w:t>
      </w:r>
      <w:r w:rsidRPr="00577646">
        <w:t xml:space="preserve"> </w:t>
      </w:r>
      <w:r w:rsidR="008B66E3" w:rsidRPr="00577646">
        <w:t xml:space="preserve">Geometría Analítica, Algebra, Probabilidad y Estadística y Cálculo diferencial e integral, </w:t>
      </w:r>
      <w:r w:rsidRPr="00577646">
        <w:t xml:space="preserve">de </w:t>
      </w:r>
      <w:r w:rsidR="008B66E3" w:rsidRPr="00577646">
        <w:t>la</w:t>
      </w:r>
      <w:r w:rsidRPr="00577646">
        <w:t xml:space="preserve"> carrera </w:t>
      </w:r>
      <w:r w:rsidR="008B66E3" w:rsidRPr="00577646">
        <w:t>de Ingeniería en Computación, se diseñó un</w:t>
      </w:r>
      <w:r w:rsidRPr="00577646">
        <w:t xml:space="preserve"> instrumento de evaluación para </w:t>
      </w:r>
      <w:r w:rsidR="008B66E3" w:rsidRPr="00577646">
        <w:t xml:space="preserve">valorar lo que estas asignaturas marcan como prerrequisitos en sus planes de estudio, conformando 29 reactivos divididos conforme a la categorización de los cuatro estratos matemáticos básicos tomados de la clasificación anterior (Cuevas y </w:t>
      </w:r>
      <w:r w:rsidR="001A775A" w:rsidRPr="00577646">
        <w:t>Pluvinage</w:t>
      </w:r>
      <w:r w:rsidR="008B66E3" w:rsidRPr="00577646">
        <w:t>, 201</w:t>
      </w:r>
      <w:r w:rsidR="001A775A" w:rsidRPr="00577646">
        <w:t>7</w:t>
      </w:r>
      <w:r w:rsidR="008B66E3" w:rsidRPr="00577646">
        <w:t xml:space="preserve">): el aritmético, el aritmético avanzado, el algebraico y el funcional. Estos estratos determinan el conocimiento básico (requisitos matemáticos) que un alumno debe dominar considerando su nivel de estudios y su grado de madurez. Para el análisis se asignó a cada pregunta un valor 1 (correcto), 2 (incorrecto), 3 (no contesta) y 4 (otra solución). Este instrumento ha evolucionado a lo largo de varios años de aplicación y retroalimentación desde el 2006 y se ha sometido a pruebas de validez y confiabilidad (Martínez, Soberanes y Castillo, 2016). </w:t>
      </w:r>
      <w:r w:rsidR="00F31256" w:rsidRPr="00577646">
        <w:t>Los resultados para el grupo tomado como muestra</w:t>
      </w:r>
      <w:r w:rsidR="008B66E3" w:rsidRPr="00577646">
        <w:t xml:space="preserve"> serán presentados enseguida y comparados con los resultados de las pruebas estandarizadas. </w:t>
      </w:r>
    </w:p>
    <w:p w14:paraId="663DC749" w14:textId="77777777" w:rsidR="00C03B0A" w:rsidRPr="00577646" w:rsidRDefault="00C03B0A" w:rsidP="00606A11">
      <w:pPr>
        <w:spacing w:before="240" w:line="360" w:lineRule="auto"/>
        <w:jc w:val="both"/>
      </w:pPr>
    </w:p>
    <w:p w14:paraId="6B1333A1" w14:textId="77777777" w:rsidR="002A61CE" w:rsidRPr="00606A11" w:rsidRDefault="00606A11" w:rsidP="00606A11">
      <w:pPr>
        <w:spacing w:before="240" w:line="360" w:lineRule="auto"/>
        <w:jc w:val="both"/>
        <w:rPr>
          <w:rFonts w:asciiTheme="minorHAnsi" w:eastAsiaTheme="minorEastAsia" w:hAnsiTheme="minorHAnsi" w:cstheme="minorHAnsi"/>
          <w:b/>
          <w:sz w:val="28"/>
        </w:rPr>
      </w:pPr>
      <w:r w:rsidRPr="00606A11">
        <w:rPr>
          <w:rFonts w:asciiTheme="minorHAnsi" w:eastAsiaTheme="minorEastAsia" w:hAnsiTheme="minorHAnsi" w:cstheme="minorHAnsi"/>
          <w:b/>
          <w:sz w:val="28"/>
        </w:rPr>
        <w:t>Método</w:t>
      </w:r>
    </w:p>
    <w:p w14:paraId="5AB087D8" w14:textId="77777777" w:rsidR="005B4DB8" w:rsidRDefault="003F5ECB" w:rsidP="00606A11">
      <w:pPr>
        <w:autoSpaceDE w:val="0"/>
        <w:autoSpaceDN w:val="0"/>
        <w:adjustRightInd w:val="0"/>
        <w:spacing w:before="240" w:line="360" w:lineRule="auto"/>
        <w:jc w:val="both"/>
      </w:pPr>
      <w:r>
        <w:t>La preocupación por analizar las competencias matemáticas de los alumnos que egresan del nivel medio superior e ingresan al superior es compartida por una amplia comunidad</w:t>
      </w:r>
      <w:r w:rsidR="00B108D6">
        <w:t>;</w:t>
      </w:r>
      <w:r>
        <w:t xml:space="preserve"> es posible encontrar en diferentes foros los estudios que di</w:t>
      </w:r>
      <w:r w:rsidR="00B7667B">
        <w:t>stintas</w:t>
      </w:r>
      <w:r>
        <w:t xml:space="preserve"> instituciones realizan con el fin de tener un punto de partida para la enseñanza universitaria. Por ejemplo, Rico (2007) realiza un análisis interesante de las competencias especificadas en la prueba PISA del 2007 y que se han mantenido y enriquecido a lo largo de los años; por ello</w:t>
      </w:r>
      <w:r w:rsidR="00B108D6">
        <w:t>,</w:t>
      </w:r>
      <w:r>
        <w:t xml:space="preserve"> en este estudio se retomaron las competencias especificadas en las tres pruebas estandarizadas PISA, EXANI y Planea, para mostrar su similitud. Sin embargo, no proporcionan un marco de análisis común, por lo que se englobaron en l</w:t>
      </w:r>
      <w:r w:rsidR="00B7667B">
        <w:t>o</w:t>
      </w:r>
      <w:r>
        <w:t>s niveles de Pensamiento Aritmético, Pensamiento Algebraico y Pensamiento Funcional.</w:t>
      </w:r>
    </w:p>
    <w:p w14:paraId="41585A16" w14:textId="77777777" w:rsidR="00F06C30" w:rsidRDefault="003F5ECB" w:rsidP="00606A11">
      <w:pPr>
        <w:autoSpaceDE w:val="0"/>
        <w:autoSpaceDN w:val="0"/>
        <w:adjustRightInd w:val="0"/>
        <w:spacing w:before="240" w:line="360" w:lineRule="auto"/>
        <w:jc w:val="both"/>
      </w:pPr>
      <w:r>
        <w:t xml:space="preserve">En el mismo sentido, </w:t>
      </w:r>
      <w:r w:rsidR="00F316B8">
        <w:t xml:space="preserve">es generalizada </w:t>
      </w:r>
      <w:r>
        <w:t xml:space="preserve">la preocupación por medir las competencias matemáticas mediante los exámenes de ingreso nacionales, que determinan un lugar en las </w:t>
      </w:r>
      <w:r>
        <w:lastRenderedPageBreak/>
        <w:t xml:space="preserve">universidades. Por ejemplo, encontramos estudios como los de </w:t>
      </w:r>
      <w:proofErr w:type="spellStart"/>
      <w:r>
        <w:t>Larrazolo</w:t>
      </w:r>
      <w:proofErr w:type="spellEnd"/>
      <w:r>
        <w:t xml:space="preserve">, </w:t>
      </w:r>
      <w:proofErr w:type="spellStart"/>
      <w:r>
        <w:t>Backhoff</w:t>
      </w:r>
      <w:proofErr w:type="spellEnd"/>
      <w:r>
        <w:t xml:space="preserve"> y Tirado</w:t>
      </w:r>
      <w:r w:rsidR="00F316B8">
        <w:t xml:space="preserve"> (</w:t>
      </w:r>
      <w:r>
        <w:t xml:space="preserve">2013) </w:t>
      </w:r>
      <w:r w:rsidR="00F316B8">
        <w:t xml:space="preserve">que miden </w:t>
      </w:r>
      <w:r w:rsidR="00822FC0">
        <w:t>45 competencias matemáticas del Examen de Habilidades y Conocimientos Básicos (</w:t>
      </w:r>
      <w:proofErr w:type="spellStart"/>
      <w:r>
        <w:t>E</w:t>
      </w:r>
      <w:r w:rsidR="00822FC0">
        <w:t>xhcoba</w:t>
      </w:r>
      <w:proofErr w:type="spellEnd"/>
      <w:r w:rsidR="00822FC0">
        <w:t>), utilizado en los procesos de admisión de 2006 y 2007</w:t>
      </w:r>
      <w:r>
        <w:t xml:space="preserve"> para las universidades estatales de </w:t>
      </w:r>
      <w:r w:rsidR="00B7667B">
        <w:t>Querétaro, Nayarit, Sonora, Guanajuato y Baja California</w:t>
      </w:r>
      <w:r>
        <w:t>, donde l</w:t>
      </w:r>
      <w:r w:rsidR="00822FC0">
        <w:t>os resultados confirman que los estudiantes: tienen un aprovechamiento sumamente bajo</w:t>
      </w:r>
      <w:r w:rsidR="00B108D6">
        <w:t>;</w:t>
      </w:r>
      <w:r w:rsidR="00822FC0">
        <w:t xml:space="preserve"> no comprenden los conceptos básicos de matemáticas</w:t>
      </w:r>
      <w:r w:rsidR="00B108D6">
        <w:t>;</w:t>
      </w:r>
      <w:r w:rsidR="00822FC0">
        <w:t xml:space="preserve"> no tienen las habilidades para solucionar problemas numéricos de mediana complejidad y los conocimientos adquiridos se relacionan con la memorización de algoritmos.</w:t>
      </w:r>
      <w:r w:rsidR="00B7667B">
        <w:t xml:space="preserve"> Por ello, en el presente estudio tomamos indicadores adicionales</w:t>
      </w:r>
      <w:r w:rsidR="0045700C">
        <w:t xml:space="preserve"> extendiendo este tipo de estudios</w:t>
      </w:r>
      <w:r w:rsidR="00B7667B">
        <w:t>, relacionando PISA, Planea MS y EXANI II</w:t>
      </w:r>
      <w:r w:rsidR="0045700C">
        <w:t xml:space="preserve"> y un pretest diagnóstico del grupo de nuevo ingreso, para correlacionar resultados.</w:t>
      </w:r>
    </w:p>
    <w:p w14:paraId="7584D80E" w14:textId="77777777" w:rsidR="005B4DB8" w:rsidRDefault="00F06C30" w:rsidP="00606A11">
      <w:pPr>
        <w:autoSpaceDE w:val="0"/>
        <w:autoSpaceDN w:val="0"/>
        <w:adjustRightInd w:val="0"/>
        <w:spacing w:before="240" w:line="360" w:lineRule="auto"/>
        <w:jc w:val="both"/>
      </w:pPr>
      <w:r>
        <w:t xml:space="preserve">Por su </w:t>
      </w:r>
      <w:r w:rsidR="006510A1">
        <w:t>p</w:t>
      </w:r>
      <w:r>
        <w:t>arte</w:t>
      </w:r>
      <w:r w:rsidR="00B56D40">
        <w:t>,</w:t>
      </w:r>
      <w:r>
        <w:t xml:space="preserve"> Villalón, Medina </w:t>
      </w:r>
      <w:r w:rsidR="006510A1">
        <w:t>y Bravo (2015) realizan un estudio para determinar las competencias matemáticas previas de los estudiantes de diez Ingenierías en el Instituto Tecnológico de Celaya, comparando la demanda de competencias previas deseables en los estudiantes de nuevo ingreso con las competencias que realmente poseen, con la intención de que la información sirva de insumo para medir la distancia media entre un perfil de ingreso más próximo a la realidad y el nivel formativo solicitado por la institución. Los autores elaboran un examen de exploración de 20 preguntas que considera las competencias matemáticas previas necesarias de los aspirantes, aplicado a 200 estudiantes de nivel medio superior quienes buscan ingresar al Instituto Tecnológico de Celaya</w:t>
      </w:r>
      <w:r w:rsidR="002A7497">
        <w:t>;</w:t>
      </w:r>
      <w:r w:rsidR="006510A1">
        <w:t xml:space="preserve"> el examen se basa en los contenidos propuestos por el Ceneval pa</w:t>
      </w:r>
      <w:r w:rsidR="002D38FE">
        <w:t>ra el EXANI</w:t>
      </w:r>
      <w:r w:rsidR="006510A1">
        <w:t xml:space="preserve"> II que aplican para la selección de aspirantes a ingresar a la institución; </w:t>
      </w:r>
      <w:r w:rsidR="002A7497">
        <w:t xml:space="preserve">los autores encontraron </w:t>
      </w:r>
      <w:r w:rsidR="006510A1">
        <w:t xml:space="preserve">que </w:t>
      </w:r>
      <w:r w:rsidR="002A7497">
        <w:t xml:space="preserve">los alumnos </w:t>
      </w:r>
      <w:r w:rsidR="006510A1">
        <w:t>carecen del nivel de competencias matemáticas previas</w:t>
      </w:r>
      <w:r w:rsidR="002A7497">
        <w:t>,</w:t>
      </w:r>
      <w:r w:rsidR="0011053B">
        <w:t xml:space="preserve"> </w:t>
      </w:r>
      <w:r w:rsidR="002A7497">
        <w:t>por lo que propusieron</w:t>
      </w:r>
      <w:r w:rsidR="0011053B">
        <w:t xml:space="preserve"> un taller de </w:t>
      </w:r>
      <w:proofErr w:type="spellStart"/>
      <w:r w:rsidR="0011053B">
        <w:t>Precá</w:t>
      </w:r>
      <w:r w:rsidR="002D38FE">
        <w:t>lculo</w:t>
      </w:r>
      <w:proofErr w:type="spellEnd"/>
      <w:r w:rsidR="002D38FE">
        <w:t xml:space="preserve"> en los niveles medio superior para atacar esta problemática</w:t>
      </w:r>
      <w:r w:rsidR="006510A1">
        <w:t>.</w:t>
      </w:r>
      <w:r w:rsidR="002D38FE">
        <w:t xml:space="preserve"> De manera que, siguiendo esta línea de exploración, en nuestro estudio elaboramos el Pretest con la intención de medir las competencias matemáticas</w:t>
      </w:r>
      <w:r w:rsidR="002A7497">
        <w:t>,</w:t>
      </w:r>
      <w:r w:rsidR="002D38FE">
        <w:t xml:space="preserve"> pero desde el marco conceptual de los niveles de pensamiento como medida para homogenizar entre lo que solicita Planea MS, PISA y EXANI como competencias matemáticas.</w:t>
      </w:r>
    </w:p>
    <w:p w14:paraId="046177AB" w14:textId="77777777" w:rsidR="00460C3D" w:rsidRPr="00577646" w:rsidRDefault="002A61CE" w:rsidP="00606A11">
      <w:pPr>
        <w:autoSpaceDE w:val="0"/>
        <w:autoSpaceDN w:val="0"/>
        <w:adjustRightInd w:val="0"/>
        <w:spacing w:before="240" w:line="360" w:lineRule="auto"/>
        <w:jc w:val="both"/>
      </w:pPr>
      <w:r w:rsidRPr="00577646">
        <w:t>Se tomaron los resultados de</w:t>
      </w:r>
      <w:r w:rsidR="00051861" w:rsidRPr="00577646">
        <w:t xml:space="preserve">l </w:t>
      </w:r>
      <w:r w:rsidR="00E52CD4" w:rsidRPr="00577646">
        <w:t xml:space="preserve">EXANI </w:t>
      </w:r>
      <w:r w:rsidR="008B66E3" w:rsidRPr="00577646">
        <w:t>II, examen de ingres</w:t>
      </w:r>
      <w:r w:rsidRPr="00577646">
        <w:t>o</w:t>
      </w:r>
      <w:r w:rsidR="007F438E" w:rsidRPr="00577646">
        <w:t xml:space="preserve"> del CENEVAL</w:t>
      </w:r>
      <w:r w:rsidR="00460C3D" w:rsidRPr="00577646">
        <w:t xml:space="preserve">, de </w:t>
      </w:r>
      <w:r w:rsidR="007F438E" w:rsidRPr="00577646">
        <w:t xml:space="preserve">alumnos </w:t>
      </w:r>
      <w:r w:rsidR="00460C3D" w:rsidRPr="00577646">
        <w:t xml:space="preserve">de nuevo ingreso a la carrera </w:t>
      </w:r>
      <w:r w:rsidR="008C0ED8" w:rsidRPr="00577646">
        <w:t xml:space="preserve">de </w:t>
      </w:r>
      <w:r w:rsidR="007F438E" w:rsidRPr="00577646">
        <w:t>Ingeniería de Computación del Centro Universitari</w:t>
      </w:r>
      <w:r w:rsidR="00356C41" w:rsidRPr="00577646">
        <w:t>o</w:t>
      </w:r>
      <w:r w:rsidR="007F438E" w:rsidRPr="00577646">
        <w:t xml:space="preserve"> Valle de Chalco de </w:t>
      </w:r>
      <w:r w:rsidR="008C0ED8" w:rsidRPr="00577646">
        <w:t>la Universidad Autónoma del Estado de México</w:t>
      </w:r>
      <w:r w:rsidR="00460C3D" w:rsidRPr="00577646">
        <w:t xml:space="preserve"> para el periodo del 2017. Los</w:t>
      </w:r>
      <w:r w:rsidR="00160611" w:rsidRPr="00577646">
        <w:t xml:space="preserve"> alumnos </w:t>
      </w:r>
      <w:r w:rsidR="00460C3D" w:rsidRPr="00577646">
        <w:t xml:space="preserve">son </w:t>
      </w:r>
      <w:r w:rsidR="00160611" w:rsidRPr="00577646">
        <w:t xml:space="preserve">egresados de diferentes instituciones educativas de </w:t>
      </w:r>
      <w:r w:rsidR="00460C3D" w:rsidRPr="00577646">
        <w:t>EMS</w:t>
      </w:r>
      <w:r w:rsidR="0017343D" w:rsidRPr="00577646">
        <w:t xml:space="preserve"> </w:t>
      </w:r>
      <w:r w:rsidR="00160611" w:rsidRPr="00577646">
        <w:t xml:space="preserve">del </w:t>
      </w:r>
      <w:r w:rsidR="00460C3D" w:rsidRPr="00577646">
        <w:t xml:space="preserve">municipio de Valle </w:t>
      </w:r>
      <w:r w:rsidR="00460C3D" w:rsidRPr="00577646">
        <w:lastRenderedPageBreak/>
        <w:t xml:space="preserve">de Chalco y del </w:t>
      </w:r>
      <w:r w:rsidR="00160611" w:rsidRPr="00577646">
        <w:t xml:space="preserve">área metropolitana, </w:t>
      </w:r>
      <w:r w:rsidR="00460C3D" w:rsidRPr="00577646">
        <w:t>de los cuales se tiene</w:t>
      </w:r>
      <w:r w:rsidR="002A7497">
        <w:t>n</w:t>
      </w:r>
      <w:r w:rsidR="00460C3D" w:rsidRPr="00577646">
        <w:t xml:space="preserve"> sus resultados de la aplicación de Planea MS 2016. Estos resultados s</w:t>
      </w:r>
      <w:r w:rsidR="00F70290" w:rsidRPr="00577646">
        <w:t xml:space="preserve">e correlacionaron con </w:t>
      </w:r>
      <w:r w:rsidR="00460C3D" w:rsidRPr="00577646">
        <w:t>el</w:t>
      </w:r>
      <w:r w:rsidR="00F70290" w:rsidRPr="00577646">
        <w:t xml:space="preserve"> instrumento </w:t>
      </w:r>
      <w:r w:rsidR="00B80BA1" w:rsidRPr="00577646">
        <w:t xml:space="preserve">denominado Pretest, </w:t>
      </w:r>
      <w:r w:rsidR="00F70290" w:rsidRPr="00577646">
        <w:t xml:space="preserve">que constó de 29 ítems y </w:t>
      </w:r>
      <w:r w:rsidR="00B80BA1" w:rsidRPr="00577646">
        <w:t>que</w:t>
      </w:r>
      <w:r w:rsidR="00460C3D" w:rsidRPr="00577646">
        <w:t xml:space="preserve"> </w:t>
      </w:r>
      <w:r w:rsidR="00F70290" w:rsidRPr="00577646">
        <w:t xml:space="preserve">evaluó </w:t>
      </w:r>
      <w:r w:rsidR="00460C3D" w:rsidRPr="00577646">
        <w:t xml:space="preserve">los </w:t>
      </w:r>
      <w:r w:rsidR="00F70290" w:rsidRPr="00577646">
        <w:t xml:space="preserve">conocimientos </w:t>
      </w:r>
      <w:r w:rsidR="000F7C2B" w:rsidRPr="00577646">
        <w:t>básicos de aritmética, algebra</w:t>
      </w:r>
      <w:r w:rsidR="00F70290" w:rsidRPr="00577646">
        <w:t xml:space="preserve"> y </w:t>
      </w:r>
      <w:r w:rsidR="008B66E3" w:rsidRPr="00577646">
        <w:t>relación funcional</w:t>
      </w:r>
      <w:r w:rsidR="00F70290" w:rsidRPr="00577646">
        <w:t xml:space="preserve">; las opciones de respuesta para cada ítem se </w:t>
      </w:r>
      <w:r w:rsidR="00B80BA1" w:rsidRPr="00577646">
        <w:t>clasificaron</w:t>
      </w:r>
      <w:r w:rsidR="00F70290" w:rsidRPr="00577646">
        <w:t xml:space="preserve"> en correcta, incorrecta y no contesta u otra solución, se consideró a 50% de la población de alumnos </w:t>
      </w:r>
      <w:r w:rsidR="0045700C" w:rsidRPr="00577646">
        <w:t>de Ingeniería</w:t>
      </w:r>
      <w:r w:rsidR="00B80BA1" w:rsidRPr="00577646">
        <w:t xml:space="preserve"> en Computación</w:t>
      </w:r>
      <w:r w:rsidR="0017343D" w:rsidRPr="00577646">
        <w:t>. El cálculo correlacionar se realizó a</w:t>
      </w:r>
      <w:r w:rsidR="00B80BA1" w:rsidRPr="00577646">
        <w:t xml:space="preserve"> través</w:t>
      </w:r>
      <w:r w:rsidR="0017343D" w:rsidRPr="00577646">
        <w:t xml:space="preserve"> del estadígrafo de Pearson </w:t>
      </w:r>
      <w:r w:rsidR="00B80BA1" w:rsidRPr="00577646">
        <w:t xml:space="preserve">para medir el nivel de correlación de cada una de las categorías contempladas en </w:t>
      </w:r>
      <w:r w:rsidR="00356C41" w:rsidRPr="00577646">
        <w:t xml:space="preserve">EXANI </w:t>
      </w:r>
      <w:r w:rsidR="00B80BA1" w:rsidRPr="00577646">
        <w:t xml:space="preserve">II y Pretest, para determinar si se está evaluando los mismos contenidos. Además, se realiza una </w:t>
      </w:r>
      <w:r w:rsidR="0017343D" w:rsidRPr="00577646">
        <w:t xml:space="preserve">comparación de </w:t>
      </w:r>
      <w:r w:rsidR="00F31256" w:rsidRPr="00577646">
        <w:t>las medias</w:t>
      </w:r>
      <w:r w:rsidR="0017343D" w:rsidRPr="00577646">
        <w:t xml:space="preserve"> con una t </w:t>
      </w:r>
      <w:r w:rsidR="00356C41" w:rsidRPr="00577646">
        <w:t xml:space="preserve">de </w:t>
      </w:r>
      <w:proofErr w:type="spellStart"/>
      <w:r w:rsidR="00356C41" w:rsidRPr="00577646">
        <w:t>s</w:t>
      </w:r>
      <w:r w:rsidR="0017343D" w:rsidRPr="00577646">
        <w:t>tuden</w:t>
      </w:r>
      <w:r w:rsidR="00356C41" w:rsidRPr="00577646">
        <w:t>t</w:t>
      </w:r>
      <w:proofErr w:type="spellEnd"/>
      <w:r w:rsidR="0017343D" w:rsidRPr="00577646">
        <w:t xml:space="preserve"> </w:t>
      </w:r>
      <w:r w:rsidR="00B80BA1" w:rsidRPr="00577646">
        <w:t xml:space="preserve">para determinar el nivel de relación de los contenidos de ambas pruebas y de esa manera apoyar las conclusiones sobre la discrepancia o similitud; ambos estadísticos se realizan </w:t>
      </w:r>
      <w:r w:rsidR="000E33EB" w:rsidRPr="00577646">
        <w:t xml:space="preserve">por medio de </w:t>
      </w:r>
      <w:r w:rsidR="00460C3D" w:rsidRPr="00577646">
        <w:t xml:space="preserve">software estadístico </w:t>
      </w:r>
      <w:r w:rsidR="000E33EB" w:rsidRPr="00577646">
        <w:t>SPSS</w:t>
      </w:r>
      <w:r w:rsidR="00460C3D" w:rsidRPr="00577646">
        <w:t>.</w:t>
      </w:r>
      <w:r w:rsidR="00B80BA1" w:rsidRPr="00577646">
        <w:t xml:space="preserve"> </w:t>
      </w:r>
    </w:p>
    <w:p w14:paraId="2A3881DC" w14:textId="77777777" w:rsidR="00B80BA1" w:rsidRPr="00606A11" w:rsidRDefault="00606A11" w:rsidP="00606A11">
      <w:pPr>
        <w:spacing w:before="240" w:line="360" w:lineRule="auto"/>
        <w:jc w:val="both"/>
        <w:rPr>
          <w:rFonts w:asciiTheme="minorHAnsi" w:eastAsiaTheme="minorEastAsia" w:hAnsiTheme="minorHAnsi" w:cstheme="minorHAnsi"/>
          <w:b/>
          <w:sz w:val="28"/>
        </w:rPr>
      </w:pPr>
      <w:r w:rsidRPr="00606A11">
        <w:rPr>
          <w:rFonts w:asciiTheme="minorHAnsi" w:eastAsiaTheme="minorEastAsia" w:hAnsiTheme="minorHAnsi" w:cstheme="minorHAnsi"/>
          <w:b/>
          <w:sz w:val="28"/>
        </w:rPr>
        <w:t>Resultados</w:t>
      </w:r>
    </w:p>
    <w:p w14:paraId="54DAAB3D" w14:textId="77777777" w:rsidR="005B4DB8" w:rsidRPr="00125A18" w:rsidRDefault="00E77E7F" w:rsidP="00125A18">
      <w:pPr>
        <w:spacing w:before="240" w:line="360" w:lineRule="auto"/>
        <w:jc w:val="both"/>
      </w:pPr>
      <w:r w:rsidRPr="00577646">
        <w:t>La tabla 1</w:t>
      </w:r>
      <w:r w:rsidR="00160611" w:rsidRPr="00577646">
        <w:t xml:space="preserve"> representa las calificaciones obtenidas de </w:t>
      </w:r>
      <w:r w:rsidR="00460C3D" w:rsidRPr="00577646">
        <w:t xml:space="preserve">los </w:t>
      </w:r>
      <w:r w:rsidR="00160611" w:rsidRPr="00577646">
        <w:t>egresados del nivel medio superior</w:t>
      </w:r>
      <w:r w:rsidRPr="00577646">
        <w:t xml:space="preserve"> del examen realizado por CENEVAL</w:t>
      </w:r>
      <w:r w:rsidR="00460C3D" w:rsidRPr="00577646">
        <w:t xml:space="preserve">, </w:t>
      </w:r>
      <w:r w:rsidR="00356C41" w:rsidRPr="00577646">
        <w:t xml:space="preserve">EXANI </w:t>
      </w:r>
      <w:r w:rsidR="00460C3D" w:rsidRPr="00577646">
        <w:t>II,</w:t>
      </w:r>
      <w:r w:rsidR="007727B2" w:rsidRPr="00577646">
        <w:t xml:space="preserve"> por áreas de </w:t>
      </w:r>
      <w:r w:rsidR="00460C3D" w:rsidRPr="00577646">
        <w:t xml:space="preserve">competencia: </w:t>
      </w:r>
      <w:r w:rsidR="00EE1357" w:rsidRPr="00577646">
        <w:t>Pensamiento Matemático (PM), Pensamiento Analítico (PA), Estructura del lenguaje (EL) y Matemáticas (MOD01); y resultados del Pretest en sus módulos de: Pensamiento Aritmético</w:t>
      </w:r>
      <w:r w:rsidR="00B1788D" w:rsidRPr="00577646">
        <w:t xml:space="preserve"> (PPA)</w:t>
      </w:r>
      <w:r w:rsidR="00960BEA" w:rsidRPr="00577646">
        <w:t xml:space="preserve">, </w:t>
      </w:r>
      <w:r w:rsidR="00EE1357" w:rsidRPr="00577646">
        <w:t>Pensamiento A</w:t>
      </w:r>
      <w:r w:rsidR="00960BEA" w:rsidRPr="00577646">
        <w:t>lgebra</w:t>
      </w:r>
      <w:r w:rsidR="00EE1357" w:rsidRPr="00577646">
        <w:t>ico</w:t>
      </w:r>
      <w:r w:rsidR="00960BEA" w:rsidRPr="00577646">
        <w:t xml:space="preserve"> </w:t>
      </w:r>
      <w:r w:rsidR="00B1788D" w:rsidRPr="00577646">
        <w:t xml:space="preserve">(PPAL) </w:t>
      </w:r>
      <w:r w:rsidR="00960BEA" w:rsidRPr="00577646">
        <w:t xml:space="preserve">y </w:t>
      </w:r>
      <w:r w:rsidR="00EE1357" w:rsidRPr="00577646">
        <w:t>Pensamiento</w:t>
      </w:r>
      <w:r w:rsidR="00460C3D" w:rsidRPr="00577646">
        <w:t xml:space="preserve"> funcional</w:t>
      </w:r>
      <w:r w:rsidR="00B1788D" w:rsidRPr="00577646">
        <w:t xml:space="preserve"> (PPF), conforme a sus indicadores</w:t>
      </w:r>
      <w:r w:rsidR="00460C3D" w:rsidRPr="00577646">
        <w:t>,</w:t>
      </w:r>
      <w:r w:rsidR="007727B2" w:rsidRPr="00577646">
        <w:t xml:space="preserve"> </w:t>
      </w:r>
      <w:r w:rsidR="00160611" w:rsidRPr="00577646">
        <w:t>en una</w:t>
      </w:r>
      <w:r w:rsidRPr="00577646">
        <w:t xml:space="preserve"> escala del 1 al 10.</w:t>
      </w:r>
    </w:p>
    <w:p w14:paraId="63E82697" w14:textId="77777777" w:rsidR="005B4DB8" w:rsidRPr="00F31256" w:rsidRDefault="005B4DB8" w:rsidP="00160611">
      <w:pPr>
        <w:jc w:val="both"/>
        <w:rPr>
          <w:rFonts w:ascii="Arial" w:hAnsi="Arial" w:cs="Arial"/>
        </w:rPr>
      </w:pPr>
    </w:p>
    <w:p w14:paraId="5C1D4A1E" w14:textId="77777777" w:rsidR="0045700C" w:rsidRDefault="0045700C" w:rsidP="00F31256">
      <w:pPr>
        <w:jc w:val="center"/>
      </w:pPr>
    </w:p>
    <w:p w14:paraId="6AB143E0" w14:textId="77777777" w:rsidR="00EE1357" w:rsidRPr="00CD487B" w:rsidRDefault="00EE1357" w:rsidP="00F31256">
      <w:pPr>
        <w:jc w:val="center"/>
      </w:pPr>
      <w:r w:rsidRPr="005B4DB8">
        <w:rPr>
          <w:b/>
        </w:rPr>
        <w:t>Tabla 1.</w:t>
      </w:r>
      <w:r w:rsidR="00F8576B" w:rsidRPr="00CD487B">
        <w:t xml:space="preserve"> Calificaciones del EXANI II.</w:t>
      </w:r>
    </w:p>
    <w:tbl>
      <w:tblPr>
        <w:tblW w:w="7380" w:type="dxa"/>
        <w:jc w:val="center"/>
        <w:tblCellMar>
          <w:left w:w="70" w:type="dxa"/>
          <w:right w:w="70" w:type="dxa"/>
        </w:tblCellMar>
        <w:tblLook w:val="04A0" w:firstRow="1" w:lastRow="0" w:firstColumn="1" w:lastColumn="0" w:noHBand="0" w:noVBand="1"/>
      </w:tblPr>
      <w:tblGrid>
        <w:gridCol w:w="2560"/>
        <w:gridCol w:w="1300"/>
        <w:gridCol w:w="1240"/>
        <w:gridCol w:w="1100"/>
        <w:gridCol w:w="1180"/>
      </w:tblGrid>
      <w:tr w:rsidR="007727B2" w:rsidRPr="00897DE5" w14:paraId="5EEFE78B" w14:textId="77777777" w:rsidTr="00F31256">
        <w:trPr>
          <w:trHeight w:val="315"/>
          <w:jc w:val="center"/>
        </w:trPr>
        <w:tc>
          <w:tcPr>
            <w:tcW w:w="2560" w:type="dxa"/>
            <w:tcBorders>
              <w:top w:val="single" w:sz="12" w:space="0" w:color="000000"/>
              <w:left w:val="single" w:sz="12" w:space="0" w:color="000000"/>
              <w:bottom w:val="single" w:sz="12" w:space="0" w:color="000000"/>
              <w:right w:val="single" w:sz="12" w:space="0" w:color="000000"/>
            </w:tcBorders>
            <w:shd w:val="clear" w:color="000000" w:fill="000000"/>
            <w:vAlign w:val="bottom"/>
            <w:hideMark/>
          </w:tcPr>
          <w:p w14:paraId="2D85E68E" w14:textId="77777777" w:rsidR="007727B2" w:rsidRPr="00CD487B" w:rsidRDefault="007727B2">
            <w:pPr>
              <w:rPr>
                <w:b/>
                <w:bCs/>
                <w:color w:val="FFFFFF"/>
                <w:sz w:val="18"/>
                <w:szCs w:val="18"/>
              </w:rPr>
            </w:pPr>
          </w:p>
        </w:tc>
        <w:tc>
          <w:tcPr>
            <w:tcW w:w="1300" w:type="dxa"/>
            <w:tcBorders>
              <w:top w:val="single" w:sz="12" w:space="0" w:color="000000"/>
              <w:left w:val="single" w:sz="4" w:space="0" w:color="000000"/>
              <w:bottom w:val="single" w:sz="12" w:space="0" w:color="000000"/>
              <w:right w:val="single" w:sz="4" w:space="0" w:color="000000"/>
            </w:tcBorders>
            <w:shd w:val="clear" w:color="000000" w:fill="000000"/>
            <w:vAlign w:val="center"/>
            <w:hideMark/>
          </w:tcPr>
          <w:p w14:paraId="04EAAAEF" w14:textId="77777777" w:rsidR="007727B2" w:rsidRPr="00CD487B" w:rsidRDefault="007727B2" w:rsidP="006E3924">
            <w:pPr>
              <w:jc w:val="center"/>
              <w:rPr>
                <w:b/>
                <w:bCs/>
                <w:color w:val="FFFFFF"/>
                <w:sz w:val="18"/>
                <w:szCs w:val="18"/>
              </w:rPr>
            </w:pPr>
            <w:r w:rsidRPr="00CD487B">
              <w:rPr>
                <w:b/>
                <w:bCs/>
                <w:color w:val="FFFFFF"/>
                <w:sz w:val="18"/>
                <w:szCs w:val="18"/>
              </w:rPr>
              <w:t>Mínimo</w:t>
            </w:r>
          </w:p>
        </w:tc>
        <w:tc>
          <w:tcPr>
            <w:tcW w:w="1240" w:type="dxa"/>
            <w:tcBorders>
              <w:top w:val="single" w:sz="12" w:space="0" w:color="000000"/>
              <w:left w:val="single" w:sz="4" w:space="0" w:color="000000"/>
              <w:bottom w:val="single" w:sz="12" w:space="0" w:color="000000"/>
              <w:right w:val="single" w:sz="4" w:space="0" w:color="000000"/>
            </w:tcBorders>
            <w:shd w:val="clear" w:color="000000" w:fill="000000"/>
            <w:vAlign w:val="center"/>
            <w:hideMark/>
          </w:tcPr>
          <w:p w14:paraId="39AC4208" w14:textId="77777777" w:rsidR="007727B2" w:rsidRPr="00CD487B" w:rsidRDefault="007727B2" w:rsidP="006E3924">
            <w:pPr>
              <w:jc w:val="center"/>
              <w:rPr>
                <w:b/>
                <w:bCs/>
                <w:color w:val="FFFFFF"/>
                <w:sz w:val="18"/>
                <w:szCs w:val="18"/>
              </w:rPr>
            </w:pPr>
            <w:r w:rsidRPr="00CD487B">
              <w:rPr>
                <w:b/>
                <w:bCs/>
                <w:color w:val="FFFFFF"/>
                <w:sz w:val="18"/>
                <w:szCs w:val="18"/>
              </w:rPr>
              <w:t>Máximo</w:t>
            </w:r>
          </w:p>
        </w:tc>
        <w:tc>
          <w:tcPr>
            <w:tcW w:w="1100" w:type="dxa"/>
            <w:tcBorders>
              <w:top w:val="single" w:sz="12" w:space="0" w:color="000000"/>
              <w:left w:val="single" w:sz="4" w:space="0" w:color="000000"/>
              <w:bottom w:val="single" w:sz="12" w:space="0" w:color="000000"/>
              <w:right w:val="single" w:sz="4" w:space="0" w:color="000000"/>
            </w:tcBorders>
            <w:shd w:val="clear" w:color="000000" w:fill="000000"/>
            <w:vAlign w:val="center"/>
            <w:hideMark/>
          </w:tcPr>
          <w:p w14:paraId="206DF105" w14:textId="77777777" w:rsidR="007727B2" w:rsidRPr="00CD487B" w:rsidRDefault="007727B2" w:rsidP="00F8576B">
            <w:pPr>
              <w:jc w:val="center"/>
              <w:rPr>
                <w:b/>
                <w:bCs/>
                <w:color w:val="FFFFFF"/>
                <w:sz w:val="18"/>
                <w:szCs w:val="18"/>
              </w:rPr>
            </w:pPr>
            <w:r w:rsidRPr="00CD487B">
              <w:rPr>
                <w:b/>
                <w:bCs/>
                <w:color w:val="FFFFFF"/>
                <w:sz w:val="18"/>
                <w:szCs w:val="18"/>
              </w:rPr>
              <w:t>Media</w:t>
            </w:r>
          </w:p>
        </w:tc>
        <w:tc>
          <w:tcPr>
            <w:tcW w:w="1180" w:type="dxa"/>
            <w:tcBorders>
              <w:top w:val="single" w:sz="12" w:space="0" w:color="000000"/>
              <w:left w:val="single" w:sz="4" w:space="0" w:color="000000"/>
              <w:bottom w:val="single" w:sz="12" w:space="0" w:color="000000"/>
              <w:right w:val="single" w:sz="12" w:space="0" w:color="000000"/>
            </w:tcBorders>
            <w:shd w:val="clear" w:color="000000" w:fill="000000"/>
            <w:vAlign w:val="center"/>
            <w:hideMark/>
          </w:tcPr>
          <w:p w14:paraId="34C40490" w14:textId="77777777" w:rsidR="007727B2" w:rsidRPr="00CD487B" w:rsidRDefault="007727B2" w:rsidP="00F8576B">
            <w:pPr>
              <w:jc w:val="center"/>
              <w:rPr>
                <w:b/>
                <w:bCs/>
                <w:color w:val="FFFFFF"/>
                <w:sz w:val="18"/>
                <w:szCs w:val="18"/>
              </w:rPr>
            </w:pPr>
            <w:r w:rsidRPr="00CD487B">
              <w:rPr>
                <w:b/>
                <w:bCs/>
                <w:color w:val="FFFFFF"/>
                <w:sz w:val="18"/>
                <w:szCs w:val="18"/>
              </w:rPr>
              <w:t>Desv</w:t>
            </w:r>
            <w:r w:rsidR="006E3924" w:rsidRPr="00CD487B">
              <w:rPr>
                <w:b/>
                <w:bCs/>
                <w:color w:val="FFFFFF"/>
                <w:sz w:val="18"/>
                <w:szCs w:val="18"/>
              </w:rPr>
              <w:t>iación</w:t>
            </w:r>
            <w:r w:rsidRPr="00CD487B">
              <w:rPr>
                <w:b/>
                <w:bCs/>
                <w:color w:val="FFFFFF"/>
                <w:sz w:val="18"/>
                <w:szCs w:val="18"/>
              </w:rPr>
              <w:t xml:space="preserve"> típ</w:t>
            </w:r>
            <w:r w:rsidR="006E3924" w:rsidRPr="00CD487B">
              <w:rPr>
                <w:b/>
                <w:bCs/>
                <w:color w:val="FFFFFF"/>
                <w:sz w:val="18"/>
                <w:szCs w:val="18"/>
              </w:rPr>
              <w:t>ica</w:t>
            </w:r>
          </w:p>
        </w:tc>
      </w:tr>
      <w:tr w:rsidR="007727B2" w:rsidRPr="00CD487B" w14:paraId="0918D92E" w14:textId="77777777" w:rsidTr="00F31256">
        <w:trPr>
          <w:trHeight w:val="315"/>
          <w:jc w:val="center"/>
        </w:trPr>
        <w:tc>
          <w:tcPr>
            <w:tcW w:w="2560" w:type="dxa"/>
            <w:tcBorders>
              <w:top w:val="single" w:sz="12" w:space="0" w:color="000000"/>
              <w:left w:val="single" w:sz="12" w:space="0" w:color="000000"/>
              <w:bottom w:val="single" w:sz="4" w:space="0" w:color="000000"/>
              <w:right w:val="single" w:sz="12" w:space="0" w:color="000000"/>
            </w:tcBorders>
            <w:shd w:val="clear" w:color="000000" w:fill="000000"/>
            <w:hideMark/>
          </w:tcPr>
          <w:p w14:paraId="3492BA88" w14:textId="77777777" w:rsidR="007727B2" w:rsidRPr="00897DE5" w:rsidRDefault="007727B2">
            <w:pPr>
              <w:rPr>
                <w:color w:val="FFFFFF"/>
                <w:sz w:val="16"/>
                <w:szCs w:val="16"/>
              </w:rPr>
            </w:pPr>
            <w:r w:rsidRPr="00897DE5">
              <w:rPr>
                <w:color w:val="FFFFFF"/>
                <w:sz w:val="16"/>
                <w:szCs w:val="16"/>
              </w:rPr>
              <w:t>Pensamiento Matemático</w:t>
            </w:r>
            <w:r w:rsidR="00460C3D" w:rsidRPr="00897DE5">
              <w:rPr>
                <w:color w:val="FFFFFF"/>
                <w:sz w:val="16"/>
                <w:szCs w:val="16"/>
              </w:rPr>
              <w:t xml:space="preserve"> (PM)</w:t>
            </w:r>
          </w:p>
        </w:tc>
        <w:tc>
          <w:tcPr>
            <w:tcW w:w="1300" w:type="dxa"/>
            <w:tcBorders>
              <w:top w:val="single" w:sz="12" w:space="0" w:color="000000"/>
              <w:left w:val="single" w:sz="4" w:space="0" w:color="000000"/>
              <w:bottom w:val="single" w:sz="4" w:space="0" w:color="000000"/>
              <w:right w:val="single" w:sz="4" w:space="0" w:color="000000"/>
            </w:tcBorders>
            <w:shd w:val="clear" w:color="D9D9D9" w:fill="D9D9D9"/>
            <w:noWrap/>
            <w:hideMark/>
          </w:tcPr>
          <w:p w14:paraId="7C0AB09F" w14:textId="77777777" w:rsidR="007727B2" w:rsidRPr="00897DE5" w:rsidRDefault="007727B2" w:rsidP="007727B2">
            <w:pPr>
              <w:jc w:val="center"/>
              <w:rPr>
                <w:color w:val="000000"/>
                <w:sz w:val="18"/>
                <w:szCs w:val="18"/>
              </w:rPr>
            </w:pPr>
            <w:r w:rsidRPr="00897DE5">
              <w:rPr>
                <w:color w:val="000000"/>
                <w:sz w:val="18"/>
                <w:szCs w:val="18"/>
              </w:rPr>
              <w:t>4.00</w:t>
            </w:r>
          </w:p>
        </w:tc>
        <w:tc>
          <w:tcPr>
            <w:tcW w:w="1240" w:type="dxa"/>
            <w:tcBorders>
              <w:top w:val="single" w:sz="12" w:space="0" w:color="000000"/>
              <w:left w:val="single" w:sz="4" w:space="0" w:color="000000"/>
              <w:bottom w:val="single" w:sz="4" w:space="0" w:color="000000"/>
              <w:right w:val="single" w:sz="4" w:space="0" w:color="000000"/>
            </w:tcBorders>
            <w:shd w:val="clear" w:color="D9D9D9" w:fill="D9D9D9"/>
            <w:noWrap/>
            <w:hideMark/>
          </w:tcPr>
          <w:p w14:paraId="4126ACF6" w14:textId="77777777" w:rsidR="007727B2" w:rsidRPr="00897DE5" w:rsidRDefault="007727B2" w:rsidP="007727B2">
            <w:pPr>
              <w:jc w:val="center"/>
              <w:rPr>
                <w:color w:val="000000"/>
                <w:sz w:val="18"/>
                <w:szCs w:val="18"/>
              </w:rPr>
            </w:pPr>
            <w:r w:rsidRPr="00897DE5">
              <w:rPr>
                <w:color w:val="000000"/>
                <w:sz w:val="18"/>
                <w:szCs w:val="18"/>
              </w:rPr>
              <w:t>9.20</w:t>
            </w:r>
          </w:p>
        </w:tc>
        <w:tc>
          <w:tcPr>
            <w:tcW w:w="1100" w:type="dxa"/>
            <w:tcBorders>
              <w:top w:val="single" w:sz="12" w:space="0" w:color="000000"/>
              <w:left w:val="single" w:sz="4" w:space="0" w:color="000000"/>
              <w:bottom w:val="single" w:sz="4" w:space="0" w:color="000000"/>
              <w:right w:val="single" w:sz="4" w:space="0" w:color="000000"/>
            </w:tcBorders>
            <w:shd w:val="clear" w:color="D9D9D9" w:fill="D9D9D9"/>
            <w:noWrap/>
            <w:hideMark/>
          </w:tcPr>
          <w:p w14:paraId="03C6341C" w14:textId="77777777" w:rsidR="007727B2" w:rsidRPr="00897DE5" w:rsidRDefault="007727B2" w:rsidP="007727B2">
            <w:pPr>
              <w:jc w:val="center"/>
              <w:rPr>
                <w:color w:val="000000"/>
                <w:sz w:val="18"/>
                <w:szCs w:val="18"/>
              </w:rPr>
            </w:pPr>
            <w:r w:rsidRPr="00897DE5">
              <w:rPr>
                <w:color w:val="000000"/>
                <w:sz w:val="18"/>
                <w:szCs w:val="18"/>
              </w:rPr>
              <w:t>6.3107</w:t>
            </w:r>
          </w:p>
        </w:tc>
        <w:tc>
          <w:tcPr>
            <w:tcW w:w="1180" w:type="dxa"/>
            <w:tcBorders>
              <w:top w:val="single" w:sz="12" w:space="0" w:color="000000"/>
              <w:left w:val="single" w:sz="4" w:space="0" w:color="000000"/>
              <w:bottom w:val="single" w:sz="4" w:space="0" w:color="000000"/>
              <w:right w:val="single" w:sz="12" w:space="0" w:color="000000"/>
            </w:tcBorders>
            <w:shd w:val="clear" w:color="D9D9D9" w:fill="D9D9D9"/>
            <w:noWrap/>
            <w:hideMark/>
          </w:tcPr>
          <w:p w14:paraId="65C9C85F" w14:textId="77777777" w:rsidR="007727B2" w:rsidRPr="00897DE5" w:rsidRDefault="007727B2" w:rsidP="007727B2">
            <w:pPr>
              <w:jc w:val="center"/>
              <w:rPr>
                <w:color w:val="000000"/>
                <w:sz w:val="18"/>
                <w:szCs w:val="18"/>
              </w:rPr>
            </w:pPr>
            <w:r w:rsidRPr="00897DE5">
              <w:rPr>
                <w:color w:val="000000"/>
                <w:sz w:val="18"/>
                <w:szCs w:val="18"/>
              </w:rPr>
              <w:t>1.18123</w:t>
            </w:r>
          </w:p>
        </w:tc>
      </w:tr>
      <w:tr w:rsidR="007727B2" w:rsidRPr="00CD487B" w14:paraId="65AD7654" w14:textId="77777777" w:rsidTr="00F31256">
        <w:trPr>
          <w:trHeight w:val="300"/>
          <w:jc w:val="center"/>
        </w:trPr>
        <w:tc>
          <w:tcPr>
            <w:tcW w:w="2560" w:type="dxa"/>
            <w:tcBorders>
              <w:top w:val="single" w:sz="4" w:space="0" w:color="000000"/>
              <w:left w:val="single" w:sz="12" w:space="0" w:color="000000"/>
              <w:bottom w:val="single" w:sz="4" w:space="0" w:color="000000"/>
              <w:right w:val="single" w:sz="12" w:space="0" w:color="000000"/>
            </w:tcBorders>
            <w:shd w:val="clear" w:color="000000" w:fill="000000"/>
            <w:hideMark/>
          </w:tcPr>
          <w:p w14:paraId="19506612" w14:textId="77777777" w:rsidR="007727B2" w:rsidRPr="00CD487B" w:rsidRDefault="007727B2">
            <w:pPr>
              <w:rPr>
                <w:color w:val="FFFFFF"/>
                <w:sz w:val="16"/>
                <w:szCs w:val="16"/>
              </w:rPr>
            </w:pPr>
            <w:r w:rsidRPr="00CD487B">
              <w:rPr>
                <w:color w:val="FFFFFF"/>
                <w:sz w:val="16"/>
                <w:szCs w:val="16"/>
              </w:rPr>
              <w:t>Pensamiento Analítico</w:t>
            </w:r>
            <w:r w:rsidR="00EE1357" w:rsidRPr="00CD487B">
              <w:rPr>
                <w:color w:val="FFFFFF"/>
                <w:sz w:val="16"/>
                <w:szCs w:val="16"/>
              </w:rPr>
              <w:t xml:space="preserve"> (PA</w:t>
            </w:r>
            <w:r w:rsidR="00460C3D" w:rsidRPr="00CD487B">
              <w:rPr>
                <w:color w:val="FFFFFF"/>
                <w:sz w:val="16"/>
                <w:szCs w:val="16"/>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688865" w14:textId="77777777" w:rsidR="007727B2" w:rsidRPr="00CD487B" w:rsidRDefault="007727B2" w:rsidP="007727B2">
            <w:pPr>
              <w:jc w:val="center"/>
              <w:rPr>
                <w:color w:val="000000"/>
                <w:sz w:val="18"/>
                <w:szCs w:val="18"/>
              </w:rPr>
            </w:pPr>
            <w:r w:rsidRPr="00CD487B">
              <w:rPr>
                <w:color w:val="000000"/>
                <w:sz w:val="18"/>
                <w:szCs w:val="18"/>
              </w:rPr>
              <w:t>4.00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456BF4" w14:textId="77777777" w:rsidR="007727B2" w:rsidRPr="00CD487B" w:rsidRDefault="007727B2" w:rsidP="007727B2">
            <w:pPr>
              <w:jc w:val="center"/>
              <w:rPr>
                <w:color w:val="000000"/>
                <w:sz w:val="18"/>
                <w:szCs w:val="18"/>
              </w:rPr>
            </w:pPr>
            <w:r w:rsidRPr="00CD487B">
              <w:rPr>
                <w:color w:val="000000"/>
                <w:sz w:val="18"/>
                <w:szCs w:val="18"/>
              </w:rPr>
              <w:t>9.10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4B1A47" w14:textId="77777777" w:rsidR="007727B2" w:rsidRPr="00CD487B" w:rsidRDefault="007727B2" w:rsidP="007727B2">
            <w:pPr>
              <w:jc w:val="center"/>
              <w:rPr>
                <w:color w:val="000000"/>
                <w:sz w:val="18"/>
                <w:szCs w:val="18"/>
              </w:rPr>
            </w:pPr>
            <w:r w:rsidRPr="00CD487B">
              <w:rPr>
                <w:color w:val="000000"/>
                <w:sz w:val="18"/>
                <w:szCs w:val="18"/>
              </w:rPr>
              <w:t>6.2733</w:t>
            </w:r>
          </w:p>
        </w:tc>
        <w:tc>
          <w:tcPr>
            <w:tcW w:w="1180" w:type="dxa"/>
            <w:tcBorders>
              <w:top w:val="single" w:sz="4" w:space="0" w:color="000000"/>
              <w:left w:val="single" w:sz="4" w:space="0" w:color="000000"/>
              <w:bottom w:val="single" w:sz="4" w:space="0" w:color="000000"/>
              <w:right w:val="single" w:sz="12" w:space="0" w:color="000000"/>
            </w:tcBorders>
            <w:shd w:val="clear" w:color="auto" w:fill="auto"/>
            <w:noWrap/>
            <w:hideMark/>
          </w:tcPr>
          <w:p w14:paraId="6F3BD6D4" w14:textId="77777777" w:rsidR="007727B2" w:rsidRPr="00CD487B" w:rsidRDefault="007727B2" w:rsidP="007727B2">
            <w:pPr>
              <w:jc w:val="center"/>
              <w:rPr>
                <w:color w:val="000000"/>
                <w:sz w:val="18"/>
                <w:szCs w:val="18"/>
              </w:rPr>
            </w:pPr>
            <w:r w:rsidRPr="00CD487B">
              <w:rPr>
                <w:color w:val="000000"/>
                <w:sz w:val="18"/>
                <w:szCs w:val="18"/>
              </w:rPr>
              <w:t>1.22275</w:t>
            </w:r>
          </w:p>
        </w:tc>
      </w:tr>
      <w:tr w:rsidR="007727B2" w:rsidRPr="00CD487B" w14:paraId="76EF810D" w14:textId="77777777" w:rsidTr="00F31256">
        <w:trPr>
          <w:trHeight w:val="300"/>
          <w:jc w:val="center"/>
        </w:trPr>
        <w:tc>
          <w:tcPr>
            <w:tcW w:w="2560" w:type="dxa"/>
            <w:tcBorders>
              <w:top w:val="single" w:sz="4" w:space="0" w:color="000000"/>
              <w:left w:val="single" w:sz="12" w:space="0" w:color="000000"/>
              <w:bottom w:val="single" w:sz="4" w:space="0" w:color="000000"/>
              <w:right w:val="single" w:sz="12" w:space="0" w:color="000000"/>
            </w:tcBorders>
            <w:shd w:val="clear" w:color="000000" w:fill="000000"/>
            <w:hideMark/>
          </w:tcPr>
          <w:p w14:paraId="4AA16356" w14:textId="77777777" w:rsidR="007727B2" w:rsidRPr="00CD487B" w:rsidRDefault="007727B2">
            <w:pPr>
              <w:rPr>
                <w:color w:val="FFFFFF"/>
                <w:sz w:val="16"/>
                <w:szCs w:val="16"/>
              </w:rPr>
            </w:pPr>
            <w:r w:rsidRPr="00CD487B">
              <w:rPr>
                <w:color w:val="FFFFFF"/>
                <w:sz w:val="16"/>
                <w:szCs w:val="16"/>
              </w:rPr>
              <w:t>Estructura del Lenguaje</w:t>
            </w:r>
            <w:r w:rsidR="00460C3D" w:rsidRPr="00CD487B">
              <w:rPr>
                <w:color w:val="FFFFFF"/>
                <w:sz w:val="16"/>
                <w:szCs w:val="16"/>
              </w:rPr>
              <w:t xml:space="preserve"> (EL)</w:t>
            </w:r>
          </w:p>
        </w:tc>
        <w:tc>
          <w:tcPr>
            <w:tcW w:w="130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2C6CA685" w14:textId="77777777" w:rsidR="007727B2" w:rsidRPr="00CD487B" w:rsidRDefault="007727B2" w:rsidP="007727B2">
            <w:pPr>
              <w:jc w:val="center"/>
              <w:rPr>
                <w:color w:val="000000"/>
                <w:sz w:val="18"/>
                <w:szCs w:val="18"/>
              </w:rPr>
            </w:pPr>
            <w:r w:rsidRPr="00CD487B">
              <w:rPr>
                <w:color w:val="000000"/>
                <w:sz w:val="18"/>
                <w:szCs w:val="18"/>
              </w:rPr>
              <w:t>2.00</w:t>
            </w:r>
          </w:p>
        </w:tc>
        <w:tc>
          <w:tcPr>
            <w:tcW w:w="124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5F3D12B5" w14:textId="77777777" w:rsidR="007727B2" w:rsidRPr="00CD487B" w:rsidRDefault="007727B2" w:rsidP="007727B2">
            <w:pPr>
              <w:jc w:val="center"/>
              <w:rPr>
                <w:color w:val="000000"/>
                <w:sz w:val="18"/>
                <w:szCs w:val="18"/>
              </w:rPr>
            </w:pPr>
            <w:r w:rsidRPr="00CD487B">
              <w:rPr>
                <w:color w:val="000000"/>
                <w:sz w:val="18"/>
                <w:szCs w:val="18"/>
              </w:rPr>
              <w:t>8.40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45039427" w14:textId="77777777" w:rsidR="007727B2" w:rsidRPr="00CD487B" w:rsidRDefault="007727B2" w:rsidP="007727B2">
            <w:pPr>
              <w:jc w:val="center"/>
              <w:rPr>
                <w:color w:val="000000"/>
                <w:sz w:val="18"/>
                <w:szCs w:val="18"/>
              </w:rPr>
            </w:pPr>
            <w:r w:rsidRPr="00CD487B">
              <w:rPr>
                <w:color w:val="000000"/>
                <w:sz w:val="18"/>
                <w:szCs w:val="18"/>
              </w:rPr>
              <w:t>4.9000</w:t>
            </w:r>
          </w:p>
        </w:tc>
        <w:tc>
          <w:tcPr>
            <w:tcW w:w="1180" w:type="dxa"/>
            <w:tcBorders>
              <w:top w:val="single" w:sz="4" w:space="0" w:color="000000"/>
              <w:left w:val="single" w:sz="4" w:space="0" w:color="000000"/>
              <w:bottom w:val="single" w:sz="4" w:space="0" w:color="000000"/>
              <w:right w:val="single" w:sz="12" w:space="0" w:color="000000"/>
            </w:tcBorders>
            <w:shd w:val="clear" w:color="D9D9D9" w:fill="D9D9D9"/>
            <w:noWrap/>
            <w:hideMark/>
          </w:tcPr>
          <w:p w14:paraId="35577350" w14:textId="77777777" w:rsidR="007727B2" w:rsidRPr="00CD487B" w:rsidRDefault="007727B2" w:rsidP="007727B2">
            <w:pPr>
              <w:jc w:val="center"/>
              <w:rPr>
                <w:color w:val="000000"/>
                <w:sz w:val="18"/>
                <w:szCs w:val="18"/>
              </w:rPr>
            </w:pPr>
            <w:r w:rsidRPr="00CD487B">
              <w:rPr>
                <w:color w:val="000000"/>
                <w:sz w:val="18"/>
                <w:szCs w:val="18"/>
              </w:rPr>
              <w:t>1.52157</w:t>
            </w:r>
          </w:p>
        </w:tc>
      </w:tr>
      <w:tr w:rsidR="007727B2" w:rsidRPr="00CD487B" w14:paraId="02F3FFDC" w14:textId="77777777" w:rsidTr="00F31256">
        <w:trPr>
          <w:trHeight w:val="300"/>
          <w:jc w:val="center"/>
        </w:trPr>
        <w:tc>
          <w:tcPr>
            <w:tcW w:w="2560" w:type="dxa"/>
            <w:tcBorders>
              <w:top w:val="single" w:sz="4" w:space="0" w:color="000000"/>
              <w:left w:val="single" w:sz="12" w:space="0" w:color="000000"/>
              <w:bottom w:val="single" w:sz="4" w:space="0" w:color="000000"/>
              <w:right w:val="single" w:sz="12" w:space="0" w:color="000000"/>
            </w:tcBorders>
            <w:shd w:val="clear" w:color="000000" w:fill="000000"/>
            <w:hideMark/>
          </w:tcPr>
          <w:p w14:paraId="5D36CA61" w14:textId="77777777" w:rsidR="007727B2" w:rsidRPr="00CD487B" w:rsidRDefault="007727B2">
            <w:pPr>
              <w:rPr>
                <w:color w:val="FFFFFF"/>
                <w:sz w:val="16"/>
                <w:szCs w:val="16"/>
              </w:rPr>
            </w:pPr>
            <w:r w:rsidRPr="00CD487B">
              <w:rPr>
                <w:color w:val="FFFFFF"/>
                <w:sz w:val="16"/>
                <w:szCs w:val="16"/>
              </w:rPr>
              <w:t>Matemáticas</w:t>
            </w:r>
            <w:r w:rsidR="00460C3D" w:rsidRPr="00CD487B">
              <w:rPr>
                <w:color w:val="FFFFFF"/>
                <w:sz w:val="16"/>
                <w:szCs w:val="16"/>
              </w:rPr>
              <w:t xml:space="preserve"> (MOD01)</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FED26B" w14:textId="77777777" w:rsidR="007727B2" w:rsidRPr="00CD487B" w:rsidRDefault="007727B2" w:rsidP="007727B2">
            <w:pPr>
              <w:jc w:val="center"/>
              <w:rPr>
                <w:color w:val="000000"/>
                <w:sz w:val="18"/>
                <w:szCs w:val="18"/>
              </w:rPr>
            </w:pPr>
            <w:r w:rsidRPr="00CD487B">
              <w:rPr>
                <w:color w:val="000000"/>
                <w:sz w:val="18"/>
                <w:szCs w:val="18"/>
              </w:rPr>
              <w:t>3.00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DB0AEA" w14:textId="77777777" w:rsidR="007727B2" w:rsidRPr="00CD487B" w:rsidRDefault="007727B2" w:rsidP="007727B2">
            <w:pPr>
              <w:jc w:val="center"/>
              <w:rPr>
                <w:color w:val="000000"/>
                <w:sz w:val="18"/>
                <w:szCs w:val="18"/>
              </w:rPr>
            </w:pPr>
            <w:r w:rsidRPr="00CD487B">
              <w:rPr>
                <w:color w:val="000000"/>
                <w:sz w:val="18"/>
                <w:szCs w:val="18"/>
              </w:rPr>
              <w:t>8.70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3EAE1D" w14:textId="77777777" w:rsidR="007727B2" w:rsidRPr="00CD487B" w:rsidRDefault="007727B2" w:rsidP="007727B2">
            <w:pPr>
              <w:jc w:val="center"/>
              <w:rPr>
                <w:color w:val="000000"/>
                <w:sz w:val="18"/>
                <w:szCs w:val="18"/>
              </w:rPr>
            </w:pPr>
            <w:r w:rsidRPr="00CD487B">
              <w:rPr>
                <w:color w:val="000000"/>
                <w:sz w:val="18"/>
                <w:szCs w:val="18"/>
              </w:rPr>
              <w:t>5.9767</w:t>
            </w:r>
          </w:p>
        </w:tc>
        <w:tc>
          <w:tcPr>
            <w:tcW w:w="1180" w:type="dxa"/>
            <w:tcBorders>
              <w:top w:val="single" w:sz="4" w:space="0" w:color="000000"/>
              <w:left w:val="single" w:sz="4" w:space="0" w:color="000000"/>
              <w:bottom w:val="single" w:sz="4" w:space="0" w:color="000000"/>
              <w:right w:val="single" w:sz="12" w:space="0" w:color="000000"/>
            </w:tcBorders>
            <w:shd w:val="clear" w:color="auto" w:fill="auto"/>
            <w:noWrap/>
            <w:hideMark/>
          </w:tcPr>
          <w:p w14:paraId="0CAA7916" w14:textId="77777777" w:rsidR="007727B2" w:rsidRPr="00CD487B" w:rsidRDefault="007727B2" w:rsidP="007727B2">
            <w:pPr>
              <w:jc w:val="center"/>
              <w:rPr>
                <w:color w:val="000000"/>
                <w:sz w:val="18"/>
                <w:szCs w:val="18"/>
              </w:rPr>
            </w:pPr>
            <w:r w:rsidRPr="00CD487B">
              <w:rPr>
                <w:color w:val="000000"/>
                <w:sz w:val="18"/>
                <w:szCs w:val="18"/>
              </w:rPr>
              <w:t>1.29792</w:t>
            </w:r>
          </w:p>
        </w:tc>
      </w:tr>
      <w:tr w:rsidR="007727B2" w:rsidRPr="00CD487B" w14:paraId="45BC1795" w14:textId="77777777" w:rsidTr="00F31256">
        <w:trPr>
          <w:trHeight w:val="300"/>
          <w:jc w:val="center"/>
        </w:trPr>
        <w:tc>
          <w:tcPr>
            <w:tcW w:w="2560" w:type="dxa"/>
            <w:tcBorders>
              <w:top w:val="single" w:sz="4" w:space="0" w:color="000000"/>
              <w:left w:val="single" w:sz="12" w:space="0" w:color="000000"/>
              <w:bottom w:val="single" w:sz="4" w:space="0" w:color="000000"/>
              <w:right w:val="single" w:sz="12" w:space="0" w:color="000000"/>
            </w:tcBorders>
            <w:shd w:val="clear" w:color="000000" w:fill="000000"/>
            <w:hideMark/>
          </w:tcPr>
          <w:p w14:paraId="65AB5D9B" w14:textId="77777777" w:rsidR="007727B2" w:rsidRPr="00CD487B" w:rsidRDefault="00EE1357">
            <w:pPr>
              <w:rPr>
                <w:color w:val="FFFFFF"/>
                <w:sz w:val="16"/>
                <w:szCs w:val="16"/>
              </w:rPr>
            </w:pPr>
            <w:r w:rsidRPr="00CD487B">
              <w:rPr>
                <w:color w:val="FFFFFF"/>
                <w:sz w:val="16"/>
                <w:szCs w:val="16"/>
              </w:rPr>
              <w:t xml:space="preserve">Pensamiento </w:t>
            </w:r>
            <w:r w:rsidR="00F31256" w:rsidRPr="00CD487B">
              <w:rPr>
                <w:color w:val="FFFFFF"/>
                <w:sz w:val="16"/>
                <w:szCs w:val="16"/>
              </w:rPr>
              <w:t>Aritmético (</w:t>
            </w:r>
            <w:r w:rsidR="00B1788D" w:rsidRPr="00CD487B">
              <w:rPr>
                <w:color w:val="FFFFFF"/>
                <w:sz w:val="16"/>
                <w:szCs w:val="16"/>
              </w:rPr>
              <w:t>PPA)</w:t>
            </w:r>
          </w:p>
        </w:tc>
        <w:tc>
          <w:tcPr>
            <w:tcW w:w="130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7A32F679" w14:textId="77777777" w:rsidR="007727B2" w:rsidRPr="00CD487B" w:rsidRDefault="007727B2" w:rsidP="007727B2">
            <w:pPr>
              <w:jc w:val="center"/>
              <w:rPr>
                <w:color w:val="000000"/>
                <w:sz w:val="18"/>
                <w:szCs w:val="18"/>
              </w:rPr>
            </w:pPr>
            <w:r w:rsidRPr="00CD487B">
              <w:rPr>
                <w:color w:val="000000"/>
                <w:sz w:val="18"/>
                <w:szCs w:val="18"/>
              </w:rPr>
              <w:t>1.43</w:t>
            </w:r>
          </w:p>
        </w:tc>
        <w:tc>
          <w:tcPr>
            <w:tcW w:w="124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2677C5" w14:textId="77777777" w:rsidR="007727B2" w:rsidRPr="00CD487B" w:rsidRDefault="007727B2" w:rsidP="007727B2">
            <w:pPr>
              <w:jc w:val="center"/>
              <w:rPr>
                <w:color w:val="000000"/>
                <w:sz w:val="18"/>
                <w:szCs w:val="18"/>
              </w:rPr>
            </w:pPr>
            <w:r w:rsidRPr="00CD487B">
              <w:rPr>
                <w:color w:val="000000"/>
                <w:sz w:val="18"/>
                <w:szCs w:val="18"/>
              </w:rPr>
              <w:t>10.00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2ECD8521" w14:textId="77777777" w:rsidR="007727B2" w:rsidRPr="00CD487B" w:rsidRDefault="007727B2" w:rsidP="007727B2">
            <w:pPr>
              <w:jc w:val="center"/>
              <w:rPr>
                <w:color w:val="000000"/>
                <w:sz w:val="18"/>
                <w:szCs w:val="18"/>
              </w:rPr>
            </w:pPr>
            <w:r w:rsidRPr="00CD487B">
              <w:rPr>
                <w:color w:val="000000"/>
                <w:sz w:val="18"/>
                <w:szCs w:val="18"/>
              </w:rPr>
              <w:t>4.7497</w:t>
            </w:r>
          </w:p>
        </w:tc>
        <w:tc>
          <w:tcPr>
            <w:tcW w:w="1180" w:type="dxa"/>
            <w:tcBorders>
              <w:top w:val="single" w:sz="4" w:space="0" w:color="000000"/>
              <w:left w:val="single" w:sz="4" w:space="0" w:color="000000"/>
              <w:bottom w:val="single" w:sz="4" w:space="0" w:color="000000"/>
              <w:right w:val="single" w:sz="12" w:space="0" w:color="000000"/>
            </w:tcBorders>
            <w:shd w:val="clear" w:color="D9D9D9" w:fill="D9D9D9"/>
            <w:noWrap/>
            <w:hideMark/>
          </w:tcPr>
          <w:p w14:paraId="1D78FE2F" w14:textId="77777777" w:rsidR="007727B2" w:rsidRPr="00CD487B" w:rsidRDefault="007727B2" w:rsidP="007727B2">
            <w:pPr>
              <w:jc w:val="center"/>
              <w:rPr>
                <w:color w:val="000000"/>
                <w:sz w:val="18"/>
                <w:szCs w:val="18"/>
              </w:rPr>
            </w:pPr>
            <w:r w:rsidRPr="00CD487B">
              <w:rPr>
                <w:color w:val="000000"/>
                <w:sz w:val="18"/>
                <w:szCs w:val="18"/>
              </w:rPr>
              <w:t>1.99137</w:t>
            </w:r>
          </w:p>
        </w:tc>
      </w:tr>
      <w:tr w:rsidR="007727B2" w:rsidRPr="00CD487B" w14:paraId="73468507" w14:textId="77777777" w:rsidTr="00F31256">
        <w:trPr>
          <w:trHeight w:val="300"/>
          <w:jc w:val="center"/>
        </w:trPr>
        <w:tc>
          <w:tcPr>
            <w:tcW w:w="2560" w:type="dxa"/>
            <w:tcBorders>
              <w:top w:val="single" w:sz="4" w:space="0" w:color="000000"/>
              <w:left w:val="single" w:sz="12" w:space="0" w:color="000000"/>
              <w:bottom w:val="single" w:sz="4" w:space="0" w:color="000000"/>
              <w:right w:val="single" w:sz="12" w:space="0" w:color="000000"/>
            </w:tcBorders>
            <w:shd w:val="clear" w:color="000000" w:fill="000000"/>
            <w:hideMark/>
          </w:tcPr>
          <w:p w14:paraId="5BE1860B" w14:textId="77777777" w:rsidR="007727B2" w:rsidRPr="00CD487B" w:rsidRDefault="00EE1357">
            <w:pPr>
              <w:rPr>
                <w:color w:val="FFFFFF"/>
                <w:sz w:val="16"/>
                <w:szCs w:val="16"/>
              </w:rPr>
            </w:pPr>
            <w:r w:rsidRPr="00CD487B">
              <w:rPr>
                <w:color w:val="FFFFFF"/>
                <w:sz w:val="16"/>
                <w:szCs w:val="16"/>
              </w:rPr>
              <w:t xml:space="preserve">Pensamiento </w:t>
            </w:r>
            <w:r w:rsidR="007727B2" w:rsidRPr="00CD487B">
              <w:rPr>
                <w:color w:val="FFFFFF"/>
                <w:sz w:val="16"/>
                <w:szCs w:val="16"/>
              </w:rPr>
              <w:t>Algebra</w:t>
            </w:r>
            <w:r w:rsidRPr="00CD487B">
              <w:rPr>
                <w:color w:val="FFFFFF"/>
                <w:sz w:val="16"/>
                <w:szCs w:val="16"/>
              </w:rPr>
              <w:t>ico</w:t>
            </w:r>
            <w:r w:rsidR="00B1788D" w:rsidRPr="00CD487B">
              <w:rPr>
                <w:color w:val="FFFFFF"/>
                <w:sz w:val="16"/>
                <w:szCs w:val="16"/>
              </w:rPr>
              <w:t xml:space="preserve"> (PPAL)</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E048CE" w14:textId="77777777" w:rsidR="007727B2" w:rsidRPr="00CD487B" w:rsidRDefault="007727B2" w:rsidP="007727B2">
            <w:pPr>
              <w:jc w:val="center"/>
              <w:rPr>
                <w:color w:val="000000"/>
                <w:sz w:val="18"/>
                <w:szCs w:val="18"/>
              </w:rPr>
            </w:pPr>
            <w:r w:rsidRPr="00CD487B">
              <w:rPr>
                <w:color w:val="000000"/>
                <w:sz w:val="18"/>
                <w:szCs w:val="18"/>
              </w:rPr>
              <w:t>1.11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560DDC" w14:textId="77777777" w:rsidR="007727B2" w:rsidRPr="00CD487B" w:rsidRDefault="007727B2" w:rsidP="007727B2">
            <w:pPr>
              <w:jc w:val="center"/>
              <w:rPr>
                <w:color w:val="000000"/>
                <w:sz w:val="18"/>
                <w:szCs w:val="18"/>
              </w:rPr>
            </w:pPr>
            <w:r w:rsidRPr="00CD487B">
              <w:rPr>
                <w:color w:val="000000"/>
                <w:sz w:val="18"/>
                <w:szCs w:val="18"/>
              </w:rPr>
              <w:t>8.89</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5E70AF" w14:textId="77777777" w:rsidR="007727B2" w:rsidRPr="00CD487B" w:rsidRDefault="007727B2" w:rsidP="007727B2">
            <w:pPr>
              <w:jc w:val="center"/>
              <w:rPr>
                <w:color w:val="000000"/>
                <w:sz w:val="18"/>
                <w:szCs w:val="18"/>
              </w:rPr>
            </w:pPr>
            <w:r w:rsidRPr="00CD487B">
              <w:rPr>
                <w:color w:val="000000"/>
                <w:sz w:val="18"/>
                <w:szCs w:val="18"/>
              </w:rPr>
              <w:t>4.2035</w:t>
            </w:r>
          </w:p>
        </w:tc>
        <w:tc>
          <w:tcPr>
            <w:tcW w:w="1180" w:type="dxa"/>
            <w:tcBorders>
              <w:top w:val="single" w:sz="4" w:space="0" w:color="000000"/>
              <w:left w:val="single" w:sz="4" w:space="0" w:color="000000"/>
              <w:bottom w:val="single" w:sz="4" w:space="0" w:color="000000"/>
              <w:right w:val="single" w:sz="12" w:space="0" w:color="000000"/>
            </w:tcBorders>
            <w:shd w:val="clear" w:color="auto" w:fill="auto"/>
            <w:noWrap/>
            <w:hideMark/>
          </w:tcPr>
          <w:p w14:paraId="3A15D985" w14:textId="77777777" w:rsidR="007727B2" w:rsidRPr="00CD487B" w:rsidRDefault="007727B2" w:rsidP="007727B2">
            <w:pPr>
              <w:jc w:val="center"/>
              <w:rPr>
                <w:color w:val="000000"/>
                <w:sz w:val="18"/>
                <w:szCs w:val="18"/>
              </w:rPr>
            </w:pPr>
            <w:r w:rsidRPr="00CD487B">
              <w:rPr>
                <w:color w:val="000000"/>
                <w:sz w:val="18"/>
                <w:szCs w:val="18"/>
              </w:rPr>
              <w:t>1.85630</w:t>
            </w:r>
          </w:p>
        </w:tc>
      </w:tr>
      <w:tr w:rsidR="007727B2" w:rsidRPr="00CD487B" w14:paraId="066396A0" w14:textId="77777777" w:rsidTr="00F31256">
        <w:trPr>
          <w:trHeight w:val="300"/>
          <w:jc w:val="center"/>
        </w:trPr>
        <w:tc>
          <w:tcPr>
            <w:tcW w:w="2560" w:type="dxa"/>
            <w:tcBorders>
              <w:top w:val="single" w:sz="4" w:space="0" w:color="000000"/>
              <w:left w:val="single" w:sz="12" w:space="0" w:color="000000"/>
              <w:bottom w:val="single" w:sz="4" w:space="0" w:color="000000"/>
              <w:right w:val="single" w:sz="12" w:space="0" w:color="000000"/>
            </w:tcBorders>
            <w:shd w:val="clear" w:color="000000" w:fill="000000"/>
            <w:hideMark/>
          </w:tcPr>
          <w:p w14:paraId="736A42D8" w14:textId="77777777" w:rsidR="007727B2" w:rsidRPr="00CD487B" w:rsidRDefault="00460C3D" w:rsidP="00460C3D">
            <w:pPr>
              <w:rPr>
                <w:color w:val="FFFFFF"/>
                <w:sz w:val="16"/>
                <w:szCs w:val="16"/>
              </w:rPr>
            </w:pPr>
            <w:r w:rsidRPr="00CD487B">
              <w:rPr>
                <w:color w:val="FFFFFF"/>
                <w:sz w:val="16"/>
                <w:szCs w:val="16"/>
              </w:rPr>
              <w:t xml:space="preserve">Pensamiento funcional </w:t>
            </w:r>
            <w:r w:rsidR="00B1788D" w:rsidRPr="00CD487B">
              <w:rPr>
                <w:color w:val="FFFFFF"/>
                <w:sz w:val="16"/>
                <w:szCs w:val="16"/>
              </w:rPr>
              <w:t>(PPF)</w:t>
            </w:r>
          </w:p>
        </w:tc>
        <w:tc>
          <w:tcPr>
            <w:tcW w:w="130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4E93487C" w14:textId="77777777" w:rsidR="007727B2" w:rsidRPr="00CD487B" w:rsidRDefault="007727B2" w:rsidP="007727B2">
            <w:pPr>
              <w:jc w:val="center"/>
              <w:rPr>
                <w:color w:val="000000"/>
                <w:sz w:val="18"/>
                <w:szCs w:val="18"/>
              </w:rPr>
            </w:pPr>
            <w:r w:rsidRPr="00CD487B">
              <w:rPr>
                <w:color w:val="000000"/>
                <w:sz w:val="18"/>
                <w:szCs w:val="18"/>
              </w:rPr>
              <w:t>0.00</w:t>
            </w:r>
          </w:p>
        </w:tc>
        <w:tc>
          <w:tcPr>
            <w:tcW w:w="124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0350AC2B" w14:textId="77777777" w:rsidR="007727B2" w:rsidRPr="00CD487B" w:rsidRDefault="007727B2" w:rsidP="007727B2">
            <w:pPr>
              <w:jc w:val="center"/>
              <w:rPr>
                <w:color w:val="000000"/>
                <w:sz w:val="18"/>
                <w:szCs w:val="18"/>
              </w:rPr>
            </w:pPr>
            <w:r w:rsidRPr="00CD487B">
              <w:rPr>
                <w:color w:val="000000"/>
                <w:sz w:val="18"/>
                <w:szCs w:val="18"/>
              </w:rPr>
              <w:t>6.15</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48E9AF68" w14:textId="77777777" w:rsidR="007727B2" w:rsidRPr="00CD487B" w:rsidRDefault="007727B2" w:rsidP="007727B2">
            <w:pPr>
              <w:jc w:val="center"/>
              <w:rPr>
                <w:color w:val="000000"/>
                <w:sz w:val="18"/>
                <w:szCs w:val="18"/>
              </w:rPr>
            </w:pPr>
            <w:r w:rsidRPr="00CD487B">
              <w:rPr>
                <w:color w:val="000000"/>
                <w:sz w:val="18"/>
                <w:szCs w:val="18"/>
              </w:rPr>
              <w:t>2.7442</w:t>
            </w:r>
          </w:p>
        </w:tc>
        <w:tc>
          <w:tcPr>
            <w:tcW w:w="1180" w:type="dxa"/>
            <w:tcBorders>
              <w:top w:val="single" w:sz="4" w:space="0" w:color="000000"/>
              <w:left w:val="single" w:sz="4" w:space="0" w:color="000000"/>
              <w:bottom w:val="single" w:sz="4" w:space="0" w:color="000000"/>
              <w:right w:val="single" w:sz="12" w:space="0" w:color="000000"/>
            </w:tcBorders>
            <w:shd w:val="clear" w:color="D9D9D9" w:fill="D9D9D9"/>
            <w:noWrap/>
            <w:hideMark/>
          </w:tcPr>
          <w:p w14:paraId="47FB150E" w14:textId="77777777" w:rsidR="007727B2" w:rsidRPr="00CD487B" w:rsidRDefault="007727B2" w:rsidP="007727B2">
            <w:pPr>
              <w:jc w:val="center"/>
              <w:rPr>
                <w:color w:val="000000"/>
                <w:sz w:val="18"/>
                <w:szCs w:val="18"/>
              </w:rPr>
            </w:pPr>
            <w:r w:rsidRPr="00CD487B">
              <w:rPr>
                <w:color w:val="000000"/>
                <w:sz w:val="18"/>
                <w:szCs w:val="18"/>
              </w:rPr>
              <w:t>1.45664</w:t>
            </w:r>
          </w:p>
        </w:tc>
      </w:tr>
    </w:tbl>
    <w:p w14:paraId="3596381D" w14:textId="77777777" w:rsidR="00125A18" w:rsidRDefault="00125A18" w:rsidP="009C2FCC">
      <w:pPr>
        <w:jc w:val="center"/>
      </w:pPr>
      <w:r>
        <w:t>Fuente: Elaboración propia.</w:t>
      </w:r>
    </w:p>
    <w:p w14:paraId="5EF38F05" w14:textId="77777777" w:rsidR="00897DE5" w:rsidRPr="00CD487B" w:rsidRDefault="00EE1357" w:rsidP="00897DE5">
      <w:pPr>
        <w:spacing w:before="240" w:line="360" w:lineRule="auto"/>
        <w:jc w:val="both"/>
      </w:pPr>
      <w:r w:rsidRPr="00CD487B">
        <w:t>Como se puede observar</w:t>
      </w:r>
      <w:r w:rsidR="00B1788D" w:rsidRPr="00CD487B">
        <w:t xml:space="preserve"> en el </w:t>
      </w:r>
      <w:r w:rsidR="00356C41" w:rsidRPr="00CD487B">
        <w:t xml:space="preserve">EXANI </w:t>
      </w:r>
      <w:r w:rsidR="00B1788D" w:rsidRPr="00CD487B">
        <w:t>II</w:t>
      </w:r>
      <w:r w:rsidRPr="00CD487B">
        <w:t>, hay una tendencia apenas aprobatoria en PM</w:t>
      </w:r>
      <w:r w:rsidR="00B36FAD" w:rsidRPr="00CD487B">
        <w:t>,</w:t>
      </w:r>
      <w:r w:rsidRPr="00CD487B">
        <w:t xml:space="preserve"> PA y</w:t>
      </w:r>
      <w:r w:rsidR="00B36FAD" w:rsidRPr="00CD487B">
        <w:t xml:space="preserve"> MOD01. En PM se incluye razonamiento aritmético con el manejo de las operaciones básicas </w:t>
      </w:r>
      <w:r w:rsidR="00B36FAD" w:rsidRPr="00CD487B">
        <w:lastRenderedPageBreak/>
        <w:t>y números decimales y fraccionarios; relaciones de proporcionalidad; razonamiento algebraico de operaciones con monomios y binomios, ecuaciones de primer y segundo grado, sistemas de ecuaciones y representación gráficas de funciones; razonamiento estadístico y probabilístico y razonamiento geométrico y trigonométrico. En PA se maneja la integración de la información a partir de textos, graficas, mapas, tablas; interpretación de relaciones lógicas; reconocimiento de patrones mediante sucesiones; representación espacial de figuras y objetos. En MOD</w:t>
      </w:r>
      <w:r w:rsidR="00F31256" w:rsidRPr="00CD487B">
        <w:t>01 se</w:t>
      </w:r>
      <w:r w:rsidR="00B36FAD" w:rsidRPr="00CD487B">
        <w:t xml:space="preserve"> incluye aritmética mediante problemas con números reales</w:t>
      </w:r>
      <w:r w:rsidR="009459AA" w:rsidRPr="00CD487B">
        <w:t>, notación científica</w:t>
      </w:r>
      <w:r w:rsidR="00B36FAD" w:rsidRPr="00CD487B">
        <w:t xml:space="preserve"> y manejo de proporciones en nivel intermedio, </w:t>
      </w:r>
      <w:r w:rsidR="009459AA" w:rsidRPr="00CD487B">
        <w:t xml:space="preserve">de álgebra las ecuaciones lineales y cuadráticas y operaciones con exponentes y radicales, de geometría el manejo de semejanza, áreas, ecuaciones y pendiente, de cálculo corresponde a operaciones con funciones, limites, derivadas e integrales. </w:t>
      </w:r>
    </w:p>
    <w:p w14:paraId="40C28E87" w14:textId="77777777" w:rsidR="004F1F33" w:rsidRPr="00CD487B" w:rsidRDefault="004F1F33" w:rsidP="00897DE5">
      <w:pPr>
        <w:spacing w:before="240" w:line="360" w:lineRule="auto"/>
        <w:jc w:val="both"/>
      </w:pPr>
      <w:r w:rsidRPr="00CD487B">
        <w:t>Por otro lado, para los contenidos similares que se contemplan en el Pretest se observan valores más bajos</w:t>
      </w:r>
      <w:r w:rsidR="002A7497">
        <w:t>:</w:t>
      </w:r>
      <w:r w:rsidRPr="00CD487B">
        <w:t xml:space="preserve"> los módulos que contemplan álgebra y aritmética PPA y PPAL están cerca del 5</w:t>
      </w:r>
      <w:r w:rsidR="002A7497">
        <w:t>,</w:t>
      </w:r>
      <w:r w:rsidRPr="00CD487B">
        <w:t xml:space="preserve"> mientras el de pensamiento funcional PPF no llega a 3</w:t>
      </w:r>
      <w:r w:rsidR="002A7497">
        <w:t xml:space="preserve"> y</w:t>
      </w:r>
      <w:r w:rsidRPr="00CD487B">
        <w:t xml:space="preserve"> el pensamiento funcional está muy por debajo de la escala.</w:t>
      </w:r>
    </w:p>
    <w:p w14:paraId="02E2B779" w14:textId="4571D477" w:rsidR="00EE1357" w:rsidRDefault="009459AA" w:rsidP="00897DE5">
      <w:pPr>
        <w:spacing w:before="240" w:line="360" w:lineRule="auto"/>
        <w:jc w:val="both"/>
      </w:pPr>
      <w:r w:rsidRPr="00CD487B">
        <w:t>Así, para poder relacionar todos los contenidos se establecen en los tres tipos de pensamiento: Aritmético</w:t>
      </w:r>
      <w:r w:rsidR="00B1788D" w:rsidRPr="00CD487B">
        <w:t xml:space="preserve"> (PPA)</w:t>
      </w:r>
      <w:r w:rsidRPr="00CD487B">
        <w:t xml:space="preserve">, Algebraico </w:t>
      </w:r>
      <w:r w:rsidR="00B1788D" w:rsidRPr="00CD487B">
        <w:t xml:space="preserve">(PPAL) </w:t>
      </w:r>
      <w:r w:rsidRPr="00CD487B">
        <w:t>y Funcional</w:t>
      </w:r>
      <w:r w:rsidR="00B1788D" w:rsidRPr="00CD487B">
        <w:t xml:space="preserve"> (PPF)</w:t>
      </w:r>
      <w:r w:rsidRPr="00CD487B">
        <w:t xml:space="preserve">, </w:t>
      </w:r>
      <w:r w:rsidR="004F1F33" w:rsidRPr="00CD487B">
        <w:t xml:space="preserve">y se requiere comparar con los contenidos que está evaluando el </w:t>
      </w:r>
      <w:r w:rsidR="006B6085" w:rsidRPr="00CD487B">
        <w:t xml:space="preserve">EXANI </w:t>
      </w:r>
      <w:r w:rsidR="004F1F33" w:rsidRPr="00CD487B">
        <w:t>II, lo que produce una primera contradicción en cuanto a escalas de evaluación</w:t>
      </w:r>
      <w:r w:rsidRPr="00CD487B">
        <w:t>.</w:t>
      </w:r>
      <w:r w:rsidR="004F1F33" w:rsidRPr="00CD487B">
        <w:t xml:space="preserve"> Si ahora analizamos el nivel de correlación entre PM, PA, MOD01 con PPA, PPAL y PPF, utilizando </w:t>
      </w:r>
      <w:r w:rsidR="003D75F5" w:rsidRPr="00CD487B">
        <w:t>correlación de Pearson</w:t>
      </w:r>
      <w:r w:rsidR="004F1F33" w:rsidRPr="00CD487B">
        <w:t xml:space="preserve">, se pueden ver los resultados en la </w:t>
      </w:r>
      <w:r w:rsidR="001F5F78">
        <w:t>T</w:t>
      </w:r>
      <w:r w:rsidR="004F1F33" w:rsidRPr="00CD487B">
        <w:t>abla 2</w:t>
      </w:r>
      <w:r w:rsidR="003D75F5" w:rsidRPr="00CD487B">
        <w:t>.</w:t>
      </w:r>
    </w:p>
    <w:p w14:paraId="6B233757" w14:textId="410EE663" w:rsidR="001F5F78" w:rsidRDefault="001F5F78" w:rsidP="00897DE5">
      <w:pPr>
        <w:spacing w:before="240" w:line="360" w:lineRule="auto"/>
        <w:jc w:val="both"/>
      </w:pPr>
    </w:p>
    <w:p w14:paraId="73A93F73" w14:textId="3EF416AA" w:rsidR="001F5F78" w:rsidRDefault="001F5F78" w:rsidP="00897DE5">
      <w:pPr>
        <w:spacing w:before="240" w:line="360" w:lineRule="auto"/>
        <w:jc w:val="both"/>
      </w:pPr>
    </w:p>
    <w:p w14:paraId="35164336" w14:textId="321D4516" w:rsidR="001F5F78" w:rsidRDefault="001F5F78" w:rsidP="00897DE5">
      <w:pPr>
        <w:spacing w:before="240" w:line="360" w:lineRule="auto"/>
        <w:jc w:val="both"/>
      </w:pPr>
    </w:p>
    <w:p w14:paraId="27F027FF" w14:textId="433B34A8" w:rsidR="001F5F78" w:rsidRDefault="001F5F78" w:rsidP="00897DE5">
      <w:pPr>
        <w:spacing w:before="240" w:line="360" w:lineRule="auto"/>
        <w:jc w:val="both"/>
      </w:pPr>
    </w:p>
    <w:p w14:paraId="515FF4C3" w14:textId="693DAD9C" w:rsidR="001F5F78" w:rsidRDefault="001F5F78" w:rsidP="00897DE5">
      <w:pPr>
        <w:spacing w:before="240" w:line="360" w:lineRule="auto"/>
        <w:jc w:val="both"/>
      </w:pPr>
    </w:p>
    <w:p w14:paraId="7E3A3287" w14:textId="77777777" w:rsidR="001F5F78" w:rsidRPr="00CD487B" w:rsidRDefault="001F5F78" w:rsidP="00897DE5">
      <w:pPr>
        <w:spacing w:before="240" w:line="360" w:lineRule="auto"/>
        <w:jc w:val="both"/>
      </w:pPr>
    </w:p>
    <w:p w14:paraId="18311D41" w14:textId="77777777" w:rsidR="00125A18" w:rsidRDefault="00125A18">
      <w:pPr>
        <w:rPr>
          <w:b/>
        </w:rPr>
      </w:pPr>
    </w:p>
    <w:p w14:paraId="2F3BF299" w14:textId="77777777" w:rsidR="00125A18" w:rsidRPr="00CD487B" w:rsidRDefault="00125A18">
      <w:pPr>
        <w:rPr>
          <w:b/>
        </w:rPr>
      </w:pPr>
    </w:p>
    <w:p w14:paraId="29D6A2F6" w14:textId="77777777" w:rsidR="003D75F5" w:rsidRPr="00CD487B" w:rsidRDefault="003D75F5" w:rsidP="00F31256">
      <w:pPr>
        <w:jc w:val="center"/>
      </w:pPr>
      <w:r w:rsidRPr="005B4DB8">
        <w:rPr>
          <w:b/>
        </w:rPr>
        <w:t>Tabla 2.</w:t>
      </w:r>
      <w:r w:rsidRPr="00CD487B">
        <w:t xml:space="preserve"> Correlación de Pearson.</w:t>
      </w:r>
    </w:p>
    <w:tbl>
      <w:tblPr>
        <w:tblW w:w="0" w:type="auto"/>
        <w:tblInd w:w="496" w:type="dxa"/>
        <w:tblLayout w:type="fixed"/>
        <w:tblCellMar>
          <w:left w:w="70" w:type="dxa"/>
          <w:right w:w="70" w:type="dxa"/>
        </w:tblCellMar>
        <w:tblLook w:val="04A0" w:firstRow="1" w:lastRow="0" w:firstColumn="1" w:lastColumn="0" w:noHBand="0" w:noVBand="1"/>
      </w:tblPr>
      <w:tblGrid>
        <w:gridCol w:w="708"/>
        <w:gridCol w:w="1012"/>
        <w:gridCol w:w="831"/>
        <w:gridCol w:w="851"/>
        <w:gridCol w:w="992"/>
        <w:gridCol w:w="850"/>
        <w:gridCol w:w="993"/>
        <w:gridCol w:w="992"/>
        <w:gridCol w:w="919"/>
      </w:tblGrid>
      <w:tr w:rsidR="000E33EB" w:rsidRPr="00897DE5" w14:paraId="4939EECE" w14:textId="77777777" w:rsidTr="00897DE5">
        <w:trPr>
          <w:trHeight w:val="530"/>
        </w:trPr>
        <w:tc>
          <w:tcPr>
            <w:tcW w:w="1720" w:type="dxa"/>
            <w:gridSpan w:val="2"/>
            <w:tcBorders>
              <w:top w:val="single" w:sz="12" w:space="0" w:color="000000"/>
              <w:left w:val="single" w:sz="12" w:space="0" w:color="000000"/>
              <w:bottom w:val="nil"/>
              <w:right w:val="single" w:sz="12" w:space="0" w:color="000000"/>
            </w:tcBorders>
            <w:shd w:val="clear" w:color="000000" w:fill="000000"/>
            <w:vAlign w:val="center"/>
            <w:hideMark/>
          </w:tcPr>
          <w:p w14:paraId="2A3686DE" w14:textId="77777777" w:rsidR="00236027" w:rsidRPr="00CD487B" w:rsidRDefault="00236027" w:rsidP="00897DE5">
            <w:pPr>
              <w:jc w:val="center"/>
              <w:rPr>
                <w:b/>
                <w:bCs/>
                <w:color w:val="FFFFFF"/>
                <w:sz w:val="16"/>
                <w:szCs w:val="16"/>
              </w:rPr>
            </w:pPr>
          </w:p>
        </w:tc>
        <w:tc>
          <w:tcPr>
            <w:tcW w:w="831" w:type="dxa"/>
            <w:tcBorders>
              <w:top w:val="single" w:sz="12" w:space="0" w:color="000000"/>
              <w:left w:val="nil"/>
              <w:bottom w:val="nil"/>
              <w:right w:val="single" w:sz="4" w:space="0" w:color="000000"/>
            </w:tcBorders>
            <w:shd w:val="clear" w:color="000000" w:fill="000000"/>
            <w:vAlign w:val="bottom"/>
            <w:hideMark/>
          </w:tcPr>
          <w:p w14:paraId="08E0C1C7" w14:textId="77777777" w:rsidR="00236027" w:rsidRPr="00CD487B" w:rsidRDefault="00236027" w:rsidP="00897DE5">
            <w:pPr>
              <w:jc w:val="center"/>
              <w:rPr>
                <w:b/>
                <w:bCs/>
                <w:color w:val="FFFFFF"/>
                <w:sz w:val="16"/>
                <w:szCs w:val="16"/>
              </w:rPr>
            </w:pPr>
            <w:r w:rsidRPr="00CD487B">
              <w:rPr>
                <w:b/>
                <w:bCs/>
                <w:color w:val="FFFFFF"/>
                <w:sz w:val="16"/>
                <w:szCs w:val="16"/>
              </w:rPr>
              <w:t>P</w:t>
            </w:r>
            <w:r w:rsidR="00B1788D" w:rsidRPr="00CD487B">
              <w:rPr>
                <w:b/>
                <w:bCs/>
                <w:color w:val="FFFFFF"/>
                <w:sz w:val="16"/>
                <w:szCs w:val="16"/>
              </w:rPr>
              <w:t>M</w:t>
            </w:r>
          </w:p>
        </w:tc>
        <w:tc>
          <w:tcPr>
            <w:tcW w:w="851" w:type="dxa"/>
            <w:tcBorders>
              <w:top w:val="single" w:sz="12" w:space="0" w:color="000000"/>
              <w:left w:val="nil"/>
              <w:bottom w:val="nil"/>
              <w:right w:val="single" w:sz="4" w:space="0" w:color="000000"/>
            </w:tcBorders>
            <w:shd w:val="clear" w:color="000000" w:fill="000000"/>
            <w:vAlign w:val="bottom"/>
            <w:hideMark/>
          </w:tcPr>
          <w:p w14:paraId="31769B94" w14:textId="77777777" w:rsidR="00236027" w:rsidRPr="00CD487B" w:rsidRDefault="00236027" w:rsidP="00897DE5">
            <w:pPr>
              <w:jc w:val="center"/>
              <w:rPr>
                <w:b/>
                <w:bCs/>
                <w:color w:val="FFFFFF"/>
                <w:sz w:val="16"/>
                <w:szCs w:val="16"/>
              </w:rPr>
            </w:pPr>
            <w:r w:rsidRPr="00CD487B">
              <w:rPr>
                <w:b/>
                <w:bCs/>
                <w:color w:val="FFFFFF"/>
                <w:sz w:val="16"/>
                <w:szCs w:val="16"/>
              </w:rPr>
              <w:t>P</w:t>
            </w:r>
            <w:r w:rsidR="000E33EB" w:rsidRPr="00CD487B">
              <w:rPr>
                <w:b/>
                <w:bCs/>
                <w:color w:val="FFFFFF"/>
                <w:sz w:val="16"/>
                <w:szCs w:val="16"/>
              </w:rPr>
              <w:t>A</w:t>
            </w:r>
          </w:p>
        </w:tc>
        <w:tc>
          <w:tcPr>
            <w:tcW w:w="992" w:type="dxa"/>
            <w:tcBorders>
              <w:top w:val="single" w:sz="12" w:space="0" w:color="000000"/>
              <w:left w:val="nil"/>
              <w:bottom w:val="nil"/>
              <w:right w:val="single" w:sz="4" w:space="0" w:color="000000"/>
            </w:tcBorders>
            <w:shd w:val="clear" w:color="000000" w:fill="000000"/>
            <w:vAlign w:val="bottom"/>
            <w:hideMark/>
          </w:tcPr>
          <w:p w14:paraId="2E3B3DA8" w14:textId="77777777" w:rsidR="00236027" w:rsidRPr="00CD487B" w:rsidRDefault="00236027" w:rsidP="00897DE5">
            <w:pPr>
              <w:jc w:val="center"/>
              <w:rPr>
                <w:b/>
                <w:bCs/>
                <w:color w:val="FFFFFF"/>
                <w:sz w:val="16"/>
                <w:szCs w:val="16"/>
              </w:rPr>
            </w:pPr>
            <w:r w:rsidRPr="00CD487B">
              <w:rPr>
                <w:b/>
                <w:bCs/>
                <w:color w:val="FFFFFF"/>
                <w:sz w:val="16"/>
                <w:szCs w:val="16"/>
              </w:rPr>
              <w:t>EL</w:t>
            </w:r>
          </w:p>
        </w:tc>
        <w:tc>
          <w:tcPr>
            <w:tcW w:w="850" w:type="dxa"/>
            <w:tcBorders>
              <w:top w:val="single" w:sz="12" w:space="0" w:color="000000"/>
              <w:left w:val="nil"/>
              <w:bottom w:val="nil"/>
              <w:right w:val="single" w:sz="4" w:space="0" w:color="000000"/>
            </w:tcBorders>
            <w:shd w:val="clear" w:color="000000" w:fill="000000"/>
            <w:vAlign w:val="bottom"/>
            <w:hideMark/>
          </w:tcPr>
          <w:p w14:paraId="31B9150C" w14:textId="77777777" w:rsidR="00236027" w:rsidRPr="00CD487B" w:rsidRDefault="00236027" w:rsidP="00897DE5">
            <w:pPr>
              <w:jc w:val="center"/>
              <w:rPr>
                <w:b/>
                <w:bCs/>
                <w:color w:val="FFFFFF"/>
                <w:sz w:val="16"/>
                <w:szCs w:val="16"/>
              </w:rPr>
            </w:pPr>
            <w:r w:rsidRPr="00CD487B">
              <w:rPr>
                <w:b/>
                <w:bCs/>
                <w:color w:val="FFFFFF"/>
                <w:sz w:val="16"/>
                <w:szCs w:val="16"/>
              </w:rPr>
              <w:t>M</w:t>
            </w:r>
            <w:r w:rsidR="00B1788D" w:rsidRPr="00CD487B">
              <w:rPr>
                <w:b/>
                <w:bCs/>
                <w:color w:val="FFFFFF"/>
                <w:sz w:val="16"/>
                <w:szCs w:val="16"/>
              </w:rPr>
              <w:t>OD01</w:t>
            </w:r>
          </w:p>
        </w:tc>
        <w:tc>
          <w:tcPr>
            <w:tcW w:w="993" w:type="dxa"/>
            <w:tcBorders>
              <w:top w:val="single" w:sz="12" w:space="0" w:color="000000"/>
              <w:left w:val="nil"/>
              <w:bottom w:val="nil"/>
              <w:right w:val="single" w:sz="4" w:space="0" w:color="000000"/>
            </w:tcBorders>
            <w:shd w:val="clear" w:color="000000" w:fill="000000"/>
            <w:vAlign w:val="bottom"/>
            <w:hideMark/>
          </w:tcPr>
          <w:p w14:paraId="24693DFC" w14:textId="77777777" w:rsidR="00236027" w:rsidRPr="00CD487B" w:rsidRDefault="004F1F33" w:rsidP="00897DE5">
            <w:pPr>
              <w:jc w:val="center"/>
              <w:rPr>
                <w:b/>
                <w:bCs/>
                <w:color w:val="FFFFFF"/>
                <w:sz w:val="16"/>
                <w:szCs w:val="16"/>
              </w:rPr>
            </w:pPr>
            <w:r w:rsidRPr="00CD487B">
              <w:rPr>
                <w:b/>
                <w:bCs/>
                <w:color w:val="FFFFFF"/>
                <w:sz w:val="16"/>
                <w:szCs w:val="16"/>
              </w:rPr>
              <w:t>PP</w:t>
            </w:r>
            <w:r w:rsidR="000E33EB" w:rsidRPr="00CD487B">
              <w:rPr>
                <w:b/>
                <w:bCs/>
                <w:color w:val="FFFFFF"/>
                <w:sz w:val="16"/>
                <w:szCs w:val="16"/>
              </w:rPr>
              <w:t>A</w:t>
            </w:r>
          </w:p>
        </w:tc>
        <w:tc>
          <w:tcPr>
            <w:tcW w:w="992" w:type="dxa"/>
            <w:tcBorders>
              <w:top w:val="single" w:sz="12" w:space="0" w:color="000000"/>
              <w:left w:val="nil"/>
              <w:bottom w:val="nil"/>
              <w:right w:val="single" w:sz="4" w:space="0" w:color="000000"/>
            </w:tcBorders>
            <w:shd w:val="clear" w:color="000000" w:fill="000000"/>
            <w:vAlign w:val="bottom"/>
            <w:hideMark/>
          </w:tcPr>
          <w:p w14:paraId="747BB11A" w14:textId="77777777" w:rsidR="00236027" w:rsidRPr="00CD487B" w:rsidRDefault="004F1F33" w:rsidP="00897DE5">
            <w:pPr>
              <w:jc w:val="center"/>
              <w:rPr>
                <w:b/>
                <w:bCs/>
                <w:color w:val="FFFFFF"/>
                <w:sz w:val="16"/>
                <w:szCs w:val="16"/>
              </w:rPr>
            </w:pPr>
            <w:r w:rsidRPr="00CD487B">
              <w:rPr>
                <w:b/>
                <w:bCs/>
                <w:color w:val="FFFFFF"/>
                <w:sz w:val="16"/>
                <w:szCs w:val="16"/>
              </w:rPr>
              <w:t>PP</w:t>
            </w:r>
            <w:r w:rsidR="00236027" w:rsidRPr="00CD487B">
              <w:rPr>
                <w:b/>
                <w:bCs/>
                <w:color w:val="FFFFFF"/>
                <w:sz w:val="16"/>
                <w:szCs w:val="16"/>
              </w:rPr>
              <w:t>A</w:t>
            </w:r>
            <w:r w:rsidRPr="00CD487B">
              <w:rPr>
                <w:b/>
                <w:bCs/>
                <w:color w:val="FFFFFF"/>
                <w:sz w:val="16"/>
                <w:szCs w:val="16"/>
              </w:rPr>
              <w:t>L</w:t>
            </w:r>
          </w:p>
        </w:tc>
        <w:tc>
          <w:tcPr>
            <w:tcW w:w="919" w:type="dxa"/>
            <w:tcBorders>
              <w:top w:val="single" w:sz="12" w:space="0" w:color="000000"/>
              <w:left w:val="nil"/>
              <w:bottom w:val="nil"/>
              <w:right w:val="single" w:sz="12" w:space="0" w:color="000000"/>
            </w:tcBorders>
            <w:shd w:val="clear" w:color="000000" w:fill="000000"/>
            <w:vAlign w:val="bottom"/>
            <w:hideMark/>
          </w:tcPr>
          <w:p w14:paraId="48463A5D" w14:textId="77777777" w:rsidR="00236027" w:rsidRPr="00CD487B" w:rsidRDefault="004F1F33" w:rsidP="00897DE5">
            <w:pPr>
              <w:jc w:val="center"/>
              <w:rPr>
                <w:b/>
                <w:bCs/>
                <w:color w:val="FFFFFF"/>
                <w:sz w:val="16"/>
                <w:szCs w:val="16"/>
              </w:rPr>
            </w:pPr>
            <w:r w:rsidRPr="00CD487B">
              <w:rPr>
                <w:b/>
                <w:bCs/>
                <w:color w:val="FFFFFF"/>
                <w:sz w:val="16"/>
                <w:szCs w:val="16"/>
              </w:rPr>
              <w:t>PP</w:t>
            </w:r>
            <w:r w:rsidR="00B1788D" w:rsidRPr="00CD487B">
              <w:rPr>
                <w:b/>
                <w:bCs/>
                <w:color w:val="FFFFFF"/>
                <w:sz w:val="16"/>
                <w:szCs w:val="16"/>
              </w:rPr>
              <w:t>F</w:t>
            </w:r>
          </w:p>
        </w:tc>
      </w:tr>
      <w:tr w:rsidR="000E33EB" w:rsidRPr="00CD487B" w14:paraId="4E7C913C" w14:textId="77777777" w:rsidTr="00897DE5">
        <w:trPr>
          <w:trHeight w:val="458"/>
        </w:trPr>
        <w:tc>
          <w:tcPr>
            <w:tcW w:w="708" w:type="dxa"/>
            <w:vMerge w:val="restart"/>
            <w:tcBorders>
              <w:top w:val="single" w:sz="8" w:space="0" w:color="auto"/>
              <w:left w:val="single" w:sz="8" w:space="0" w:color="auto"/>
              <w:bottom w:val="single" w:sz="8" w:space="0" w:color="000000"/>
              <w:right w:val="nil"/>
            </w:tcBorders>
            <w:shd w:val="clear" w:color="000000" w:fill="000000"/>
            <w:vAlign w:val="center"/>
            <w:hideMark/>
          </w:tcPr>
          <w:p w14:paraId="4E8B39B0" w14:textId="77777777" w:rsidR="00236027" w:rsidRPr="00897DE5" w:rsidRDefault="00236027" w:rsidP="00897DE5">
            <w:pPr>
              <w:jc w:val="center"/>
              <w:rPr>
                <w:b/>
                <w:bCs/>
                <w:color w:val="FFFFFF"/>
                <w:sz w:val="16"/>
                <w:szCs w:val="16"/>
              </w:rPr>
            </w:pPr>
            <w:r w:rsidRPr="00897DE5">
              <w:rPr>
                <w:b/>
                <w:bCs/>
                <w:color w:val="FFFFFF"/>
                <w:sz w:val="16"/>
                <w:szCs w:val="16"/>
              </w:rPr>
              <w:t>P</w:t>
            </w:r>
            <w:r w:rsidR="00B1788D" w:rsidRPr="00897DE5">
              <w:rPr>
                <w:b/>
                <w:bCs/>
                <w:color w:val="FFFFFF"/>
                <w:sz w:val="16"/>
                <w:szCs w:val="16"/>
              </w:rPr>
              <w:t>M</w:t>
            </w:r>
          </w:p>
        </w:tc>
        <w:tc>
          <w:tcPr>
            <w:tcW w:w="1012" w:type="dxa"/>
            <w:tcBorders>
              <w:top w:val="single" w:sz="8" w:space="0" w:color="auto"/>
              <w:left w:val="nil"/>
              <w:bottom w:val="nil"/>
              <w:right w:val="single" w:sz="12" w:space="0" w:color="000000"/>
            </w:tcBorders>
            <w:shd w:val="clear" w:color="000000" w:fill="D9D9D9"/>
            <w:vAlign w:val="center"/>
            <w:hideMark/>
          </w:tcPr>
          <w:p w14:paraId="4E310182" w14:textId="77777777" w:rsidR="00236027" w:rsidRPr="00897DE5" w:rsidRDefault="00236027" w:rsidP="00897DE5">
            <w:pPr>
              <w:jc w:val="center"/>
              <w:rPr>
                <w:color w:val="000000"/>
                <w:sz w:val="16"/>
                <w:szCs w:val="16"/>
              </w:rPr>
            </w:pPr>
            <w:r w:rsidRPr="00897DE5">
              <w:rPr>
                <w:color w:val="000000"/>
                <w:sz w:val="16"/>
                <w:szCs w:val="16"/>
              </w:rPr>
              <w:t>Correlación de Pearson</w:t>
            </w:r>
          </w:p>
        </w:tc>
        <w:tc>
          <w:tcPr>
            <w:tcW w:w="831" w:type="dxa"/>
            <w:tcBorders>
              <w:top w:val="single" w:sz="8" w:space="0" w:color="auto"/>
              <w:left w:val="nil"/>
              <w:bottom w:val="nil"/>
              <w:right w:val="single" w:sz="4" w:space="0" w:color="000000"/>
            </w:tcBorders>
            <w:shd w:val="clear" w:color="000000" w:fill="D9D9D9"/>
            <w:noWrap/>
            <w:hideMark/>
          </w:tcPr>
          <w:p w14:paraId="4913B9A2" w14:textId="77777777" w:rsidR="00236027" w:rsidRPr="00897DE5" w:rsidRDefault="00236027" w:rsidP="00897DE5">
            <w:pPr>
              <w:jc w:val="right"/>
              <w:rPr>
                <w:color w:val="000000"/>
                <w:sz w:val="16"/>
                <w:szCs w:val="16"/>
              </w:rPr>
            </w:pPr>
            <w:r w:rsidRPr="00897DE5">
              <w:rPr>
                <w:color w:val="000000"/>
                <w:sz w:val="16"/>
                <w:szCs w:val="16"/>
              </w:rPr>
              <w:t>1</w:t>
            </w:r>
          </w:p>
        </w:tc>
        <w:tc>
          <w:tcPr>
            <w:tcW w:w="851" w:type="dxa"/>
            <w:tcBorders>
              <w:top w:val="single" w:sz="8" w:space="0" w:color="auto"/>
              <w:left w:val="nil"/>
              <w:bottom w:val="nil"/>
              <w:right w:val="single" w:sz="4" w:space="0" w:color="000000"/>
            </w:tcBorders>
            <w:shd w:val="clear" w:color="000000" w:fill="D9D9D9"/>
            <w:noWrap/>
            <w:hideMark/>
          </w:tcPr>
          <w:p w14:paraId="14C55ACA" w14:textId="77777777" w:rsidR="00236027" w:rsidRPr="00897DE5" w:rsidRDefault="00236027" w:rsidP="00897DE5">
            <w:pPr>
              <w:jc w:val="right"/>
              <w:rPr>
                <w:b/>
                <w:bCs/>
                <w:color w:val="000000"/>
                <w:sz w:val="16"/>
                <w:szCs w:val="16"/>
              </w:rPr>
            </w:pPr>
            <w:r w:rsidRPr="00897DE5">
              <w:rPr>
                <w:b/>
                <w:bCs/>
                <w:color w:val="000000"/>
                <w:sz w:val="16"/>
                <w:szCs w:val="16"/>
              </w:rPr>
              <w:t>.351</w:t>
            </w:r>
            <w:r w:rsidRPr="00897DE5">
              <w:rPr>
                <w:b/>
                <w:bCs/>
                <w:color w:val="000000"/>
                <w:sz w:val="16"/>
                <w:szCs w:val="16"/>
                <w:vertAlign w:val="superscript"/>
              </w:rPr>
              <w:t>*</w:t>
            </w:r>
          </w:p>
        </w:tc>
        <w:tc>
          <w:tcPr>
            <w:tcW w:w="992" w:type="dxa"/>
            <w:tcBorders>
              <w:top w:val="single" w:sz="8" w:space="0" w:color="auto"/>
              <w:left w:val="nil"/>
              <w:bottom w:val="nil"/>
              <w:right w:val="single" w:sz="4" w:space="0" w:color="000000"/>
            </w:tcBorders>
            <w:shd w:val="clear" w:color="000000" w:fill="D9D9D9"/>
            <w:noWrap/>
            <w:hideMark/>
          </w:tcPr>
          <w:p w14:paraId="7238B02D" w14:textId="77777777" w:rsidR="00236027" w:rsidRPr="00897DE5" w:rsidRDefault="00236027" w:rsidP="00897DE5">
            <w:pPr>
              <w:jc w:val="right"/>
              <w:rPr>
                <w:color w:val="000000"/>
                <w:sz w:val="16"/>
                <w:szCs w:val="16"/>
              </w:rPr>
            </w:pPr>
            <w:r w:rsidRPr="00897DE5">
              <w:rPr>
                <w:color w:val="000000"/>
                <w:sz w:val="16"/>
                <w:szCs w:val="16"/>
              </w:rPr>
              <w:t>.119</w:t>
            </w:r>
          </w:p>
        </w:tc>
        <w:tc>
          <w:tcPr>
            <w:tcW w:w="850" w:type="dxa"/>
            <w:tcBorders>
              <w:top w:val="single" w:sz="8" w:space="0" w:color="auto"/>
              <w:left w:val="nil"/>
              <w:bottom w:val="nil"/>
              <w:right w:val="single" w:sz="4" w:space="0" w:color="000000"/>
            </w:tcBorders>
            <w:shd w:val="clear" w:color="000000" w:fill="D9D9D9"/>
            <w:noWrap/>
            <w:hideMark/>
          </w:tcPr>
          <w:p w14:paraId="03CBA26A" w14:textId="77777777" w:rsidR="00236027" w:rsidRPr="00897DE5" w:rsidRDefault="00236027" w:rsidP="00897DE5">
            <w:pPr>
              <w:jc w:val="right"/>
              <w:rPr>
                <w:b/>
                <w:bCs/>
                <w:color w:val="000000"/>
                <w:sz w:val="16"/>
                <w:szCs w:val="16"/>
              </w:rPr>
            </w:pPr>
            <w:r w:rsidRPr="00897DE5">
              <w:rPr>
                <w:b/>
                <w:bCs/>
                <w:color w:val="000000"/>
                <w:sz w:val="16"/>
                <w:szCs w:val="16"/>
              </w:rPr>
              <w:t>.427</w:t>
            </w:r>
            <w:r w:rsidRPr="00897DE5">
              <w:rPr>
                <w:b/>
                <w:bCs/>
                <w:color w:val="000000"/>
                <w:sz w:val="16"/>
                <w:szCs w:val="16"/>
                <w:vertAlign w:val="superscript"/>
              </w:rPr>
              <w:t>**</w:t>
            </w:r>
          </w:p>
        </w:tc>
        <w:tc>
          <w:tcPr>
            <w:tcW w:w="993" w:type="dxa"/>
            <w:tcBorders>
              <w:top w:val="single" w:sz="8" w:space="0" w:color="auto"/>
              <w:left w:val="nil"/>
              <w:bottom w:val="nil"/>
              <w:right w:val="single" w:sz="4" w:space="0" w:color="000000"/>
            </w:tcBorders>
            <w:shd w:val="clear" w:color="000000" w:fill="D9D9D9"/>
            <w:noWrap/>
            <w:hideMark/>
          </w:tcPr>
          <w:p w14:paraId="36227DEC" w14:textId="77777777" w:rsidR="00236027" w:rsidRPr="00897DE5" w:rsidRDefault="00236027" w:rsidP="00897DE5">
            <w:pPr>
              <w:jc w:val="right"/>
              <w:rPr>
                <w:color w:val="000000"/>
                <w:sz w:val="16"/>
                <w:szCs w:val="16"/>
              </w:rPr>
            </w:pPr>
            <w:r w:rsidRPr="00897DE5">
              <w:rPr>
                <w:color w:val="000000"/>
                <w:sz w:val="16"/>
                <w:szCs w:val="16"/>
              </w:rPr>
              <w:t>.120</w:t>
            </w:r>
          </w:p>
        </w:tc>
        <w:tc>
          <w:tcPr>
            <w:tcW w:w="992" w:type="dxa"/>
            <w:tcBorders>
              <w:top w:val="single" w:sz="8" w:space="0" w:color="auto"/>
              <w:left w:val="nil"/>
              <w:bottom w:val="nil"/>
              <w:right w:val="single" w:sz="4" w:space="0" w:color="000000"/>
            </w:tcBorders>
            <w:shd w:val="clear" w:color="000000" w:fill="D9D9D9"/>
            <w:noWrap/>
            <w:hideMark/>
          </w:tcPr>
          <w:p w14:paraId="6445902A" w14:textId="77777777" w:rsidR="00236027" w:rsidRPr="00897DE5" w:rsidRDefault="00236027" w:rsidP="00897DE5">
            <w:pPr>
              <w:jc w:val="right"/>
              <w:rPr>
                <w:color w:val="000000"/>
                <w:sz w:val="16"/>
                <w:szCs w:val="16"/>
              </w:rPr>
            </w:pPr>
            <w:r w:rsidRPr="00897DE5">
              <w:rPr>
                <w:color w:val="000000"/>
                <w:sz w:val="16"/>
                <w:szCs w:val="16"/>
              </w:rPr>
              <w:t>.041</w:t>
            </w:r>
          </w:p>
        </w:tc>
        <w:tc>
          <w:tcPr>
            <w:tcW w:w="919" w:type="dxa"/>
            <w:tcBorders>
              <w:top w:val="single" w:sz="8" w:space="0" w:color="auto"/>
              <w:left w:val="nil"/>
              <w:bottom w:val="nil"/>
              <w:right w:val="single" w:sz="8" w:space="0" w:color="auto"/>
            </w:tcBorders>
            <w:shd w:val="clear" w:color="000000" w:fill="D9D9D9"/>
            <w:noWrap/>
            <w:hideMark/>
          </w:tcPr>
          <w:p w14:paraId="5BB87565" w14:textId="77777777" w:rsidR="00236027" w:rsidRPr="00897DE5" w:rsidRDefault="00236027" w:rsidP="00897DE5">
            <w:pPr>
              <w:jc w:val="right"/>
              <w:rPr>
                <w:b/>
                <w:bCs/>
                <w:color w:val="000000"/>
                <w:sz w:val="16"/>
                <w:szCs w:val="16"/>
              </w:rPr>
            </w:pPr>
            <w:r w:rsidRPr="00897DE5">
              <w:rPr>
                <w:b/>
                <w:bCs/>
                <w:color w:val="000000"/>
                <w:sz w:val="16"/>
                <w:szCs w:val="16"/>
              </w:rPr>
              <w:t>-.310</w:t>
            </w:r>
            <w:r w:rsidRPr="00897DE5">
              <w:rPr>
                <w:b/>
                <w:bCs/>
                <w:color w:val="000000"/>
                <w:sz w:val="16"/>
                <w:szCs w:val="16"/>
                <w:vertAlign w:val="superscript"/>
              </w:rPr>
              <w:t>*</w:t>
            </w:r>
          </w:p>
        </w:tc>
      </w:tr>
      <w:tr w:rsidR="000E33EB" w:rsidRPr="00897DE5" w14:paraId="3A70108A" w14:textId="77777777" w:rsidTr="00897DE5">
        <w:trPr>
          <w:trHeight w:val="394"/>
        </w:trPr>
        <w:tc>
          <w:tcPr>
            <w:tcW w:w="708" w:type="dxa"/>
            <w:vMerge/>
            <w:tcBorders>
              <w:top w:val="single" w:sz="8" w:space="0" w:color="auto"/>
              <w:left w:val="single" w:sz="8" w:space="0" w:color="auto"/>
              <w:bottom w:val="single" w:sz="8" w:space="0" w:color="000000"/>
              <w:right w:val="nil"/>
            </w:tcBorders>
            <w:vAlign w:val="center"/>
            <w:hideMark/>
          </w:tcPr>
          <w:p w14:paraId="1BDC9A11" w14:textId="77777777" w:rsidR="00236027" w:rsidRPr="00897DE5" w:rsidRDefault="00236027" w:rsidP="00897DE5">
            <w:pPr>
              <w:jc w:val="center"/>
              <w:rPr>
                <w:b/>
                <w:bCs/>
                <w:color w:val="FFFFFF"/>
                <w:sz w:val="16"/>
                <w:szCs w:val="16"/>
              </w:rPr>
            </w:pPr>
          </w:p>
        </w:tc>
        <w:tc>
          <w:tcPr>
            <w:tcW w:w="1012" w:type="dxa"/>
            <w:tcBorders>
              <w:top w:val="nil"/>
              <w:left w:val="nil"/>
              <w:bottom w:val="nil"/>
              <w:right w:val="single" w:sz="12" w:space="0" w:color="000000"/>
            </w:tcBorders>
            <w:shd w:val="clear" w:color="000000" w:fill="D9D9D9"/>
            <w:vAlign w:val="center"/>
            <w:hideMark/>
          </w:tcPr>
          <w:p w14:paraId="790F4DE5" w14:textId="77777777" w:rsidR="00236027" w:rsidRPr="00897DE5" w:rsidRDefault="00236027" w:rsidP="00897DE5">
            <w:pPr>
              <w:jc w:val="center"/>
              <w:rPr>
                <w:color w:val="000000"/>
                <w:sz w:val="16"/>
                <w:szCs w:val="16"/>
              </w:rPr>
            </w:pPr>
            <w:r w:rsidRPr="00897DE5">
              <w:rPr>
                <w:color w:val="000000"/>
                <w:sz w:val="16"/>
                <w:szCs w:val="16"/>
              </w:rPr>
              <w:t>Sig. (unilateral)</w:t>
            </w:r>
          </w:p>
        </w:tc>
        <w:tc>
          <w:tcPr>
            <w:tcW w:w="831" w:type="dxa"/>
            <w:tcBorders>
              <w:top w:val="nil"/>
              <w:left w:val="nil"/>
              <w:bottom w:val="nil"/>
              <w:right w:val="single" w:sz="4" w:space="0" w:color="000000"/>
            </w:tcBorders>
            <w:shd w:val="clear" w:color="000000" w:fill="D9D9D9"/>
            <w:hideMark/>
          </w:tcPr>
          <w:p w14:paraId="5B2C5495" w14:textId="77777777" w:rsidR="00236027" w:rsidRPr="00897DE5" w:rsidRDefault="00236027" w:rsidP="00897DE5">
            <w:pPr>
              <w:rPr>
                <w:color w:val="000000"/>
                <w:sz w:val="16"/>
                <w:szCs w:val="16"/>
              </w:rPr>
            </w:pPr>
            <w:r w:rsidRPr="00897DE5">
              <w:rPr>
                <w:color w:val="000000"/>
                <w:sz w:val="16"/>
                <w:szCs w:val="16"/>
              </w:rPr>
              <w:t> </w:t>
            </w:r>
          </w:p>
        </w:tc>
        <w:tc>
          <w:tcPr>
            <w:tcW w:w="851" w:type="dxa"/>
            <w:tcBorders>
              <w:top w:val="nil"/>
              <w:left w:val="nil"/>
              <w:bottom w:val="nil"/>
              <w:right w:val="single" w:sz="4" w:space="0" w:color="000000"/>
            </w:tcBorders>
            <w:shd w:val="clear" w:color="000000" w:fill="D9D9D9"/>
            <w:noWrap/>
            <w:hideMark/>
          </w:tcPr>
          <w:p w14:paraId="4EB5C4D9" w14:textId="77777777" w:rsidR="00236027" w:rsidRPr="00897DE5" w:rsidRDefault="00236027" w:rsidP="00897DE5">
            <w:pPr>
              <w:jc w:val="right"/>
              <w:rPr>
                <w:color w:val="000000"/>
                <w:sz w:val="16"/>
                <w:szCs w:val="16"/>
              </w:rPr>
            </w:pPr>
            <w:r w:rsidRPr="00897DE5">
              <w:rPr>
                <w:color w:val="000000"/>
                <w:sz w:val="16"/>
                <w:szCs w:val="16"/>
              </w:rPr>
              <w:t>.029</w:t>
            </w:r>
          </w:p>
        </w:tc>
        <w:tc>
          <w:tcPr>
            <w:tcW w:w="992" w:type="dxa"/>
            <w:tcBorders>
              <w:top w:val="nil"/>
              <w:left w:val="nil"/>
              <w:bottom w:val="nil"/>
              <w:right w:val="single" w:sz="4" w:space="0" w:color="000000"/>
            </w:tcBorders>
            <w:shd w:val="clear" w:color="000000" w:fill="D9D9D9"/>
            <w:noWrap/>
            <w:hideMark/>
          </w:tcPr>
          <w:p w14:paraId="2E4DA82D" w14:textId="77777777" w:rsidR="00236027" w:rsidRPr="00897DE5" w:rsidRDefault="00236027" w:rsidP="00897DE5">
            <w:pPr>
              <w:jc w:val="right"/>
              <w:rPr>
                <w:color w:val="000000"/>
                <w:sz w:val="16"/>
                <w:szCs w:val="16"/>
              </w:rPr>
            </w:pPr>
            <w:r w:rsidRPr="00897DE5">
              <w:rPr>
                <w:color w:val="000000"/>
                <w:sz w:val="16"/>
                <w:szCs w:val="16"/>
              </w:rPr>
              <w:t>.265</w:t>
            </w:r>
          </w:p>
        </w:tc>
        <w:tc>
          <w:tcPr>
            <w:tcW w:w="850" w:type="dxa"/>
            <w:tcBorders>
              <w:top w:val="nil"/>
              <w:left w:val="nil"/>
              <w:bottom w:val="nil"/>
              <w:right w:val="single" w:sz="4" w:space="0" w:color="000000"/>
            </w:tcBorders>
            <w:shd w:val="clear" w:color="000000" w:fill="D9D9D9"/>
            <w:noWrap/>
            <w:hideMark/>
          </w:tcPr>
          <w:p w14:paraId="74399D09" w14:textId="77777777" w:rsidR="00236027" w:rsidRPr="00897DE5" w:rsidRDefault="00236027" w:rsidP="00897DE5">
            <w:pPr>
              <w:jc w:val="right"/>
              <w:rPr>
                <w:color w:val="000000"/>
                <w:sz w:val="16"/>
                <w:szCs w:val="16"/>
              </w:rPr>
            </w:pPr>
            <w:r w:rsidRPr="00897DE5">
              <w:rPr>
                <w:color w:val="000000"/>
                <w:sz w:val="16"/>
                <w:szCs w:val="16"/>
              </w:rPr>
              <w:t>.009</w:t>
            </w:r>
          </w:p>
        </w:tc>
        <w:tc>
          <w:tcPr>
            <w:tcW w:w="993" w:type="dxa"/>
            <w:tcBorders>
              <w:top w:val="nil"/>
              <w:left w:val="nil"/>
              <w:bottom w:val="nil"/>
              <w:right w:val="single" w:sz="4" w:space="0" w:color="000000"/>
            </w:tcBorders>
            <w:shd w:val="clear" w:color="000000" w:fill="D9D9D9"/>
            <w:noWrap/>
            <w:hideMark/>
          </w:tcPr>
          <w:p w14:paraId="614A688A" w14:textId="77777777" w:rsidR="00236027" w:rsidRPr="00897DE5" w:rsidRDefault="00236027" w:rsidP="00897DE5">
            <w:pPr>
              <w:jc w:val="right"/>
              <w:rPr>
                <w:color w:val="000000"/>
                <w:sz w:val="16"/>
                <w:szCs w:val="16"/>
              </w:rPr>
            </w:pPr>
            <w:r w:rsidRPr="00897DE5">
              <w:rPr>
                <w:color w:val="000000"/>
                <w:sz w:val="16"/>
                <w:szCs w:val="16"/>
              </w:rPr>
              <w:t>.263</w:t>
            </w:r>
          </w:p>
        </w:tc>
        <w:tc>
          <w:tcPr>
            <w:tcW w:w="992" w:type="dxa"/>
            <w:tcBorders>
              <w:top w:val="nil"/>
              <w:left w:val="nil"/>
              <w:bottom w:val="nil"/>
              <w:right w:val="single" w:sz="4" w:space="0" w:color="000000"/>
            </w:tcBorders>
            <w:shd w:val="clear" w:color="000000" w:fill="D9D9D9"/>
            <w:noWrap/>
            <w:hideMark/>
          </w:tcPr>
          <w:p w14:paraId="7E996326" w14:textId="77777777" w:rsidR="00236027" w:rsidRPr="00897DE5" w:rsidRDefault="00236027" w:rsidP="00897DE5">
            <w:pPr>
              <w:jc w:val="right"/>
              <w:rPr>
                <w:color w:val="000000"/>
                <w:sz w:val="16"/>
                <w:szCs w:val="16"/>
              </w:rPr>
            </w:pPr>
            <w:r w:rsidRPr="00897DE5">
              <w:rPr>
                <w:color w:val="000000"/>
                <w:sz w:val="16"/>
                <w:szCs w:val="16"/>
              </w:rPr>
              <w:t>.414</w:t>
            </w:r>
          </w:p>
        </w:tc>
        <w:tc>
          <w:tcPr>
            <w:tcW w:w="919" w:type="dxa"/>
            <w:tcBorders>
              <w:top w:val="nil"/>
              <w:left w:val="nil"/>
              <w:bottom w:val="nil"/>
              <w:right w:val="single" w:sz="8" w:space="0" w:color="auto"/>
            </w:tcBorders>
            <w:shd w:val="clear" w:color="000000" w:fill="D9D9D9"/>
            <w:noWrap/>
            <w:hideMark/>
          </w:tcPr>
          <w:p w14:paraId="5D7DB405" w14:textId="77777777" w:rsidR="00236027" w:rsidRPr="00897DE5" w:rsidRDefault="00236027" w:rsidP="00897DE5">
            <w:pPr>
              <w:jc w:val="right"/>
              <w:rPr>
                <w:color w:val="000000"/>
                <w:sz w:val="16"/>
                <w:szCs w:val="16"/>
              </w:rPr>
            </w:pPr>
            <w:r w:rsidRPr="00897DE5">
              <w:rPr>
                <w:color w:val="000000"/>
                <w:sz w:val="16"/>
                <w:szCs w:val="16"/>
              </w:rPr>
              <w:t>.048</w:t>
            </w:r>
          </w:p>
        </w:tc>
      </w:tr>
      <w:tr w:rsidR="000E33EB" w:rsidRPr="00897DE5" w14:paraId="361527A6" w14:textId="77777777" w:rsidTr="00897DE5">
        <w:trPr>
          <w:trHeight w:val="146"/>
        </w:trPr>
        <w:tc>
          <w:tcPr>
            <w:tcW w:w="708" w:type="dxa"/>
            <w:vMerge/>
            <w:tcBorders>
              <w:top w:val="single" w:sz="8" w:space="0" w:color="auto"/>
              <w:left w:val="single" w:sz="8" w:space="0" w:color="auto"/>
              <w:bottom w:val="single" w:sz="8" w:space="0" w:color="000000"/>
              <w:right w:val="nil"/>
            </w:tcBorders>
            <w:vAlign w:val="center"/>
            <w:hideMark/>
          </w:tcPr>
          <w:p w14:paraId="7837471C" w14:textId="77777777" w:rsidR="00236027" w:rsidRPr="00897DE5" w:rsidRDefault="00236027" w:rsidP="00897DE5">
            <w:pPr>
              <w:jc w:val="center"/>
              <w:rPr>
                <w:b/>
                <w:bCs/>
                <w:color w:val="FFFFFF"/>
                <w:sz w:val="16"/>
                <w:szCs w:val="16"/>
              </w:rPr>
            </w:pPr>
          </w:p>
        </w:tc>
        <w:tc>
          <w:tcPr>
            <w:tcW w:w="1012" w:type="dxa"/>
            <w:tcBorders>
              <w:top w:val="nil"/>
              <w:left w:val="nil"/>
              <w:bottom w:val="single" w:sz="8" w:space="0" w:color="auto"/>
              <w:right w:val="single" w:sz="12" w:space="0" w:color="000000"/>
            </w:tcBorders>
            <w:shd w:val="clear" w:color="000000" w:fill="D9D9D9"/>
            <w:vAlign w:val="center"/>
            <w:hideMark/>
          </w:tcPr>
          <w:p w14:paraId="7BAFFA39" w14:textId="77777777" w:rsidR="00236027" w:rsidRPr="00897DE5" w:rsidRDefault="00236027" w:rsidP="00897DE5">
            <w:pPr>
              <w:jc w:val="center"/>
              <w:rPr>
                <w:color w:val="000000"/>
                <w:sz w:val="16"/>
                <w:szCs w:val="16"/>
              </w:rPr>
            </w:pPr>
            <w:r w:rsidRPr="00897DE5">
              <w:rPr>
                <w:color w:val="000000"/>
                <w:sz w:val="16"/>
                <w:szCs w:val="16"/>
              </w:rPr>
              <w:t>N</w:t>
            </w:r>
          </w:p>
        </w:tc>
        <w:tc>
          <w:tcPr>
            <w:tcW w:w="831" w:type="dxa"/>
            <w:tcBorders>
              <w:top w:val="nil"/>
              <w:left w:val="nil"/>
              <w:bottom w:val="single" w:sz="8" w:space="0" w:color="auto"/>
              <w:right w:val="single" w:sz="4" w:space="0" w:color="000000"/>
            </w:tcBorders>
            <w:shd w:val="clear" w:color="000000" w:fill="D9D9D9"/>
            <w:noWrap/>
            <w:hideMark/>
          </w:tcPr>
          <w:p w14:paraId="291F630E" w14:textId="77777777" w:rsidR="00236027" w:rsidRPr="00897DE5" w:rsidRDefault="00236027" w:rsidP="00897DE5">
            <w:pPr>
              <w:jc w:val="right"/>
              <w:rPr>
                <w:color w:val="000000"/>
                <w:sz w:val="16"/>
                <w:szCs w:val="16"/>
              </w:rPr>
            </w:pPr>
            <w:r w:rsidRPr="00897DE5">
              <w:rPr>
                <w:color w:val="000000"/>
                <w:sz w:val="16"/>
                <w:szCs w:val="16"/>
              </w:rPr>
              <w:t>30</w:t>
            </w:r>
          </w:p>
        </w:tc>
        <w:tc>
          <w:tcPr>
            <w:tcW w:w="851" w:type="dxa"/>
            <w:tcBorders>
              <w:top w:val="nil"/>
              <w:left w:val="nil"/>
              <w:bottom w:val="single" w:sz="8" w:space="0" w:color="auto"/>
              <w:right w:val="single" w:sz="4" w:space="0" w:color="000000"/>
            </w:tcBorders>
            <w:shd w:val="clear" w:color="000000" w:fill="D9D9D9"/>
            <w:noWrap/>
            <w:hideMark/>
          </w:tcPr>
          <w:p w14:paraId="3427DDCA" w14:textId="77777777" w:rsidR="00236027" w:rsidRPr="00897DE5" w:rsidRDefault="00236027" w:rsidP="00897DE5">
            <w:pPr>
              <w:jc w:val="right"/>
              <w:rPr>
                <w:color w:val="000000"/>
                <w:sz w:val="16"/>
                <w:szCs w:val="16"/>
              </w:rPr>
            </w:pPr>
            <w:r w:rsidRPr="00897DE5">
              <w:rPr>
                <w:color w:val="000000"/>
                <w:sz w:val="16"/>
                <w:szCs w:val="16"/>
              </w:rPr>
              <w:t>30</w:t>
            </w:r>
          </w:p>
        </w:tc>
        <w:tc>
          <w:tcPr>
            <w:tcW w:w="992" w:type="dxa"/>
            <w:tcBorders>
              <w:top w:val="nil"/>
              <w:left w:val="nil"/>
              <w:bottom w:val="single" w:sz="8" w:space="0" w:color="auto"/>
              <w:right w:val="single" w:sz="4" w:space="0" w:color="000000"/>
            </w:tcBorders>
            <w:shd w:val="clear" w:color="000000" w:fill="D9D9D9"/>
            <w:noWrap/>
            <w:hideMark/>
          </w:tcPr>
          <w:p w14:paraId="78744FB8" w14:textId="77777777" w:rsidR="00236027" w:rsidRPr="00897DE5" w:rsidRDefault="00236027" w:rsidP="00897DE5">
            <w:pPr>
              <w:jc w:val="right"/>
              <w:rPr>
                <w:color w:val="000000"/>
                <w:sz w:val="16"/>
                <w:szCs w:val="16"/>
              </w:rPr>
            </w:pPr>
            <w:r w:rsidRPr="00897DE5">
              <w:rPr>
                <w:color w:val="000000"/>
                <w:sz w:val="16"/>
                <w:szCs w:val="16"/>
              </w:rPr>
              <w:t>30</w:t>
            </w:r>
          </w:p>
        </w:tc>
        <w:tc>
          <w:tcPr>
            <w:tcW w:w="850" w:type="dxa"/>
            <w:tcBorders>
              <w:top w:val="nil"/>
              <w:left w:val="nil"/>
              <w:bottom w:val="single" w:sz="8" w:space="0" w:color="auto"/>
              <w:right w:val="single" w:sz="4" w:space="0" w:color="000000"/>
            </w:tcBorders>
            <w:shd w:val="clear" w:color="000000" w:fill="D9D9D9"/>
            <w:noWrap/>
            <w:hideMark/>
          </w:tcPr>
          <w:p w14:paraId="21232EAC" w14:textId="77777777" w:rsidR="00236027" w:rsidRPr="00897DE5" w:rsidRDefault="00236027" w:rsidP="00897DE5">
            <w:pPr>
              <w:jc w:val="right"/>
              <w:rPr>
                <w:color w:val="000000"/>
                <w:sz w:val="16"/>
                <w:szCs w:val="16"/>
              </w:rPr>
            </w:pPr>
            <w:r w:rsidRPr="00897DE5">
              <w:rPr>
                <w:color w:val="000000"/>
                <w:sz w:val="16"/>
                <w:szCs w:val="16"/>
              </w:rPr>
              <w:t>30</w:t>
            </w:r>
          </w:p>
        </w:tc>
        <w:tc>
          <w:tcPr>
            <w:tcW w:w="993" w:type="dxa"/>
            <w:tcBorders>
              <w:top w:val="nil"/>
              <w:left w:val="nil"/>
              <w:bottom w:val="single" w:sz="8" w:space="0" w:color="auto"/>
              <w:right w:val="single" w:sz="4" w:space="0" w:color="000000"/>
            </w:tcBorders>
            <w:shd w:val="clear" w:color="000000" w:fill="D9D9D9"/>
            <w:noWrap/>
            <w:hideMark/>
          </w:tcPr>
          <w:p w14:paraId="5DC23474" w14:textId="77777777" w:rsidR="00236027" w:rsidRPr="00897DE5" w:rsidRDefault="00236027" w:rsidP="00897DE5">
            <w:pPr>
              <w:jc w:val="right"/>
              <w:rPr>
                <w:color w:val="000000"/>
                <w:sz w:val="16"/>
                <w:szCs w:val="16"/>
              </w:rPr>
            </w:pPr>
            <w:r w:rsidRPr="00897DE5">
              <w:rPr>
                <w:color w:val="000000"/>
                <w:sz w:val="16"/>
                <w:szCs w:val="16"/>
              </w:rPr>
              <w:t>30</w:t>
            </w:r>
          </w:p>
        </w:tc>
        <w:tc>
          <w:tcPr>
            <w:tcW w:w="992" w:type="dxa"/>
            <w:tcBorders>
              <w:top w:val="nil"/>
              <w:left w:val="nil"/>
              <w:bottom w:val="single" w:sz="8" w:space="0" w:color="auto"/>
              <w:right w:val="single" w:sz="4" w:space="0" w:color="000000"/>
            </w:tcBorders>
            <w:shd w:val="clear" w:color="000000" w:fill="D9D9D9"/>
            <w:noWrap/>
            <w:hideMark/>
          </w:tcPr>
          <w:p w14:paraId="7E633A47" w14:textId="77777777" w:rsidR="00236027" w:rsidRPr="00897DE5" w:rsidRDefault="00236027" w:rsidP="00897DE5">
            <w:pPr>
              <w:jc w:val="right"/>
              <w:rPr>
                <w:color w:val="000000"/>
                <w:sz w:val="16"/>
                <w:szCs w:val="16"/>
              </w:rPr>
            </w:pPr>
            <w:r w:rsidRPr="00897DE5">
              <w:rPr>
                <w:color w:val="000000"/>
                <w:sz w:val="16"/>
                <w:szCs w:val="16"/>
              </w:rPr>
              <w:t>30</w:t>
            </w:r>
          </w:p>
        </w:tc>
        <w:tc>
          <w:tcPr>
            <w:tcW w:w="919" w:type="dxa"/>
            <w:tcBorders>
              <w:top w:val="nil"/>
              <w:left w:val="nil"/>
              <w:bottom w:val="single" w:sz="8" w:space="0" w:color="auto"/>
              <w:right w:val="single" w:sz="8" w:space="0" w:color="auto"/>
            </w:tcBorders>
            <w:shd w:val="clear" w:color="000000" w:fill="D9D9D9"/>
            <w:noWrap/>
            <w:hideMark/>
          </w:tcPr>
          <w:p w14:paraId="3FBFA476" w14:textId="77777777" w:rsidR="00236027" w:rsidRPr="00897DE5" w:rsidRDefault="00236027" w:rsidP="00897DE5">
            <w:pPr>
              <w:jc w:val="right"/>
              <w:rPr>
                <w:color w:val="000000"/>
                <w:sz w:val="16"/>
                <w:szCs w:val="16"/>
              </w:rPr>
            </w:pPr>
            <w:r w:rsidRPr="00897DE5">
              <w:rPr>
                <w:color w:val="000000"/>
                <w:sz w:val="16"/>
                <w:szCs w:val="16"/>
              </w:rPr>
              <w:t>30</w:t>
            </w:r>
          </w:p>
        </w:tc>
      </w:tr>
      <w:tr w:rsidR="000E33EB" w:rsidRPr="00CD487B" w14:paraId="3BDC56A0" w14:textId="77777777" w:rsidTr="00897DE5">
        <w:trPr>
          <w:trHeight w:val="362"/>
        </w:trPr>
        <w:tc>
          <w:tcPr>
            <w:tcW w:w="708" w:type="dxa"/>
            <w:vMerge w:val="restart"/>
            <w:tcBorders>
              <w:top w:val="nil"/>
              <w:left w:val="single" w:sz="8" w:space="0" w:color="auto"/>
              <w:bottom w:val="single" w:sz="8" w:space="0" w:color="000000"/>
              <w:right w:val="nil"/>
            </w:tcBorders>
            <w:shd w:val="clear" w:color="000000" w:fill="000000"/>
            <w:vAlign w:val="center"/>
            <w:hideMark/>
          </w:tcPr>
          <w:p w14:paraId="649ECA8B" w14:textId="77777777" w:rsidR="00236027" w:rsidRPr="00897DE5" w:rsidRDefault="00236027" w:rsidP="00897DE5">
            <w:pPr>
              <w:jc w:val="center"/>
              <w:rPr>
                <w:b/>
                <w:bCs/>
                <w:color w:val="FFFFFF"/>
                <w:sz w:val="16"/>
                <w:szCs w:val="16"/>
              </w:rPr>
            </w:pPr>
            <w:r w:rsidRPr="00897DE5">
              <w:rPr>
                <w:b/>
                <w:bCs/>
                <w:color w:val="FFFFFF"/>
                <w:sz w:val="16"/>
                <w:szCs w:val="16"/>
              </w:rPr>
              <w:t>P</w:t>
            </w:r>
            <w:r w:rsidR="00B1788D" w:rsidRPr="00897DE5">
              <w:rPr>
                <w:b/>
                <w:bCs/>
                <w:color w:val="FFFFFF"/>
                <w:sz w:val="16"/>
                <w:szCs w:val="16"/>
              </w:rPr>
              <w:t>A</w:t>
            </w:r>
          </w:p>
        </w:tc>
        <w:tc>
          <w:tcPr>
            <w:tcW w:w="1012" w:type="dxa"/>
            <w:tcBorders>
              <w:top w:val="nil"/>
              <w:left w:val="nil"/>
              <w:bottom w:val="nil"/>
              <w:right w:val="single" w:sz="12" w:space="0" w:color="000000"/>
            </w:tcBorders>
            <w:shd w:val="clear" w:color="auto" w:fill="auto"/>
            <w:vAlign w:val="center"/>
            <w:hideMark/>
          </w:tcPr>
          <w:p w14:paraId="3ACD1C06" w14:textId="77777777" w:rsidR="00236027" w:rsidRPr="00897DE5" w:rsidRDefault="00236027" w:rsidP="00897DE5">
            <w:pPr>
              <w:jc w:val="center"/>
              <w:rPr>
                <w:color w:val="000000"/>
                <w:sz w:val="16"/>
                <w:szCs w:val="16"/>
              </w:rPr>
            </w:pPr>
            <w:r w:rsidRPr="00897DE5">
              <w:rPr>
                <w:color w:val="000000"/>
                <w:sz w:val="16"/>
                <w:szCs w:val="16"/>
              </w:rPr>
              <w:t>Correlación de Pearson</w:t>
            </w:r>
          </w:p>
        </w:tc>
        <w:tc>
          <w:tcPr>
            <w:tcW w:w="831" w:type="dxa"/>
            <w:tcBorders>
              <w:top w:val="nil"/>
              <w:left w:val="nil"/>
              <w:bottom w:val="nil"/>
              <w:right w:val="single" w:sz="4" w:space="0" w:color="000000"/>
            </w:tcBorders>
            <w:shd w:val="clear" w:color="auto" w:fill="auto"/>
            <w:noWrap/>
            <w:hideMark/>
          </w:tcPr>
          <w:p w14:paraId="69B8F0BD" w14:textId="77777777" w:rsidR="00236027" w:rsidRPr="00897DE5" w:rsidRDefault="00236027" w:rsidP="00897DE5">
            <w:pPr>
              <w:jc w:val="right"/>
              <w:rPr>
                <w:b/>
                <w:bCs/>
                <w:color w:val="000000"/>
                <w:sz w:val="16"/>
                <w:szCs w:val="16"/>
              </w:rPr>
            </w:pPr>
            <w:r w:rsidRPr="00897DE5">
              <w:rPr>
                <w:b/>
                <w:bCs/>
                <w:color w:val="000000"/>
                <w:sz w:val="16"/>
                <w:szCs w:val="16"/>
              </w:rPr>
              <w:t>.351</w:t>
            </w:r>
            <w:r w:rsidRPr="00897DE5">
              <w:rPr>
                <w:b/>
                <w:bCs/>
                <w:color w:val="000000"/>
                <w:sz w:val="16"/>
                <w:szCs w:val="16"/>
                <w:vertAlign w:val="superscript"/>
              </w:rPr>
              <w:t>*</w:t>
            </w:r>
          </w:p>
        </w:tc>
        <w:tc>
          <w:tcPr>
            <w:tcW w:w="851" w:type="dxa"/>
            <w:tcBorders>
              <w:top w:val="nil"/>
              <w:left w:val="nil"/>
              <w:bottom w:val="nil"/>
              <w:right w:val="single" w:sz="4" w:space="0" w:color="000000"/>
            </w:tcBorders>
            <w:shd w:val="clear" w:color="auto" w:fill="auto"/>
            <w:noWrap/>
            <w:hideMark/>
          </w:tcPr>
          <w:p w14:paraId="76F86556" w14:textId="77777777" w:rsidR="00236027" w:rsidRPr="00897DE5" w:rsidRDefault="00236027" w:rsidP="00897DE5">
            <w:pPr>
              <w:jc w:val="right"/>
              <w:rPr>
                <w:color w:val="000000"/>
                <w:sz w:val="16"/>
                <w:szCs w:val="16"/>
              </w:rPr>
            </w:pPr>
            <w:r w:rsidRPr="00897DE5">
              <w:rPr>
                <w:color w:val="000000"/>
                <w:sz w:val="16"/>
                <w:szCs w:val="16"/>
              </w:rPr>
              <w:t>1</w:t>
            </w:r>
          </w:p>
        </w:tc>
        <w:tc>
          <w:tcPr>
            <w:tcW w:w="992" w:type="dxa"/>
            <w:tcBorders>
              <w:top w:val="nil"/>
              <w:left w:val="nil"/>
              <w:bottom w:val="nil"/>
              <w:right w:val="single" w:sz="4" w:space="0" w:color="000000"/>
            </w:tcBorders>
            <w:shd w:val="clear" w:color="auto" w:fill="auto"/>
            <w:noWrap/>
            <w:hideMark/>
          </w:tcPr>
          <w:p w14:paraId="32549CEA" w14:textId="77777777" w:rsidR="00236027" w:rsidRPr="00897DE5" w:rsidRDefault="00236027" w:rsidP="00897DE5">
            <w:pPr>
              <w:jc w:val="right"/>
              <w:rPr>
                <w:color w:val="000000"/>
                <w:sz w:val="16"/>
                <w:szCs w:val="16"/>
              </w:rPr>
            </w:pPr>
            <w:r w:rsidRPr="00897DE5">
              <w:rPr>
                <w:color w:val="000000"/>
                <w:sz w:val="16"/>
                <w:szCs w:val="16"/>
              </w:rPr>
              <w:t>.125</w:t>
            </w:r>
          </w:p>
        </w:tc>
        <w:tc>
          <w:tcPr>
            <w:tcW w:w="850" w:type="dxa"/>
            <w:tcBorders>
              <w:top w:val="nil"/>
              <w:left w:val="nil"/>
              <w:bottom w:val="nil"/>
              <w:right w:val="single" w:sz="4" w:space="0" w:color="000000"/>
            </w:tcBorders>
            <w:shd w:val="clear" w:color="auto" w:fill="auto"/>
            <w:noWrap/>
            <w:hideMark/>
          </w:tcPr>
          <w:p w14:paraId="73147C78" w14:textId="77777777" w:rsidR="00236027" w:rsidRPr="00897DE5" w:rsidRDefault="00236027" w:rsidP="00897DE5">
            <w:pPr>
              <w:jc w:val="right"/>
              <w:rPr>
                <w:color w:val="000000"/>
                <w:sz w:val="16"/>
                <w:szCs w:val="16"/>
              </w:rPr>
            </w:pPr>
            <w:r w:rsidRPr="00897DE5">
              <w:rPr>
                <w:color w:val="000000"/>
                <w:sz w:val="16"/>
                <w:szCs w:val="16"/>
              </w:rPr>
              <w:t>.198</w:t>
            </w:r>
          </w:p>
        </w:tc>
        <w:tc>
          <w:tcPr>
            <w:tcW w:w="993" w:type="dxa"/>
            <w:tcBorders>
              <w:top w:val="nil"/>
              <w:left w:val="nil"/>
              <w:bottom w:val="nil"/>
              <w:right w:val="single" w:sz="4" w:space="0" w:color="000000"/>
            </w:tcBorders>
            <w:shd w:val="clear" w:color="auto" w:fill="auto"/>
            <w:noWrap/>
            <w:hideMark/>
          </w:tcPr>
          <w:p w14:paraId="73F80206" w14:textId="77777777" w:rsidR="00236027" w:rsidRPr="00897DE5" w:rsidRDefault="00236027" w:rsidP="00897DE5">
            <w:pPr>
              <w:jc w:val="right"/>
              <w:rPr>
                <w:color w:val="000000"/>
                <w:sz w:val="16"/>
                <w:szCs w:val="16"/>
              </w:rPr>
            </w:pPr>
            <w:r w:rsidRPr="00897DE5">
              <w:rPr>
                <w:color w:val="000000"/>
                <w:sz w:val="16"/>
                <w:szCs w:val="16"/>
              </w:rPr>
              <w:t>.064</w:t>
            </w:r>
          </w:p>
        </w:tc>
        <w:tc>
          <w:tcPr>
            <w:tcW w:w="992" w:type="dxa"/>
            <w:tcBorders>
              <w:top w:val="nil"/>
              <w:left w:val="nil"/>
              <w:bottom w:val="nil"/>
              <w:right w:val="single" w:sz="4" w:space="0" w:color="000000"/>
            </w:tcBorders>
            <w:shd w:val="clear" w:color="auto" w:fill="auto"/>
            <w:noWrap/>
            <w:hideMark/>
          </w:tcPr>
          <w:p w14:paraId="0C7298E5" w14:textId="77777777" w:rsidR="00236027" w:rsidRPr="00897DE5" w:rsidRDefault="00236027" w:rsidP="00897DE5">
            <w:pPr>
              <w:jc w:val="right"/>
              <w:rPr>
                <w:color w:val="000000"/>
                <w:sz w:val="16"/>
                <w:szCs w:val="16"/>
              </w:rPr>
            </w:pPr>
            <w:r w:rsidRPr="00897DE5">
              <w:rPr>
                <w:color w:val="000000"/>
                <w:sz w:val="16"/>
                <w:szCs w:val="16"/>
              </w:rPr>
              <w:t>.098</w:t>
            </w:r>
          </w:p>
        </w:tc>
        <w:tc>
          <w:tcPr>
            <w:tcW w:w="919" w:type="dxa"/>
            <w:tcBorders>
              <w:top w:val="nil"/>
              <w:left w:val="nil"/>
              <w:bottom w:val="nil"/>
              <w:right w:val="single" w:sz="8" w:space="0" w:color="auto"/>
            </w:tcBorders>
            <w:shd w:val="clear" w:color="auto" w:fill="auto"/>
            <w:noWrap/>
            <w:hideMark/>
          </w:tcPr>
          <w:p w14:paraId="23602E48" w14:textId="77777777" w:rsidR="00236027" w:rsidRPr="00897DE5" w:rsidRDefault="00236027" w:rsidP="00897DE5">
            <w:pPr>
              <w:jc w:val="right"/>
              <w:rPr>
                <w:color w:val="000000"/>
                <w:sz w:val="16"/>
                <w:szCs w:val="16"/>
              </w:rPr>
            </w:pPr>
            <w:r w:rsidRPr="00897DE5">
              <w:rPr>
                <w:color w:val="000000"/>
                <w:sz w:val="16"/>
                <w:szCs w:val="16"/>
              </w:rPr>
              <w:t>.085</w:t>
            </w:r>
          </w:p>
        </w:tc>
      </w:tr>
      <w:tr w:rsidR="000E33EB" w:rsidRPr="00897DE5" w14:paraId="67D29C26" w14:textId="77777777" w:rsidTr="00897DE5">
        <w:trPr>
          <w:trHeight w:val="284"/>
        </w:trPr>
        <w:tc>
          <w:tcPr>
            <w:tcW w:w="708" w:type="dxa"/>
            <w:vMerge/>
            <w:tcBorders>
              <w:top w:val="nil"/>
              <w:left w:val="single" w:sz="8" w:space="0" w:color="auto"/>
              <w:bottom w:val="single" w:sz="8" w:space="0" w:color="000000"/>
              <w:right w:val="nil"/>
            </w:tcBorders>
            <w:vAlign w:val="center"/>
            <w:hideMark/>
          </w:tcPr>
          <w:p w14:paraId="0EF40322" w14:textId="77777777" w:rsidR="00236027" w:rsidRPr="00897DE5" w:rsidRDefault="00236027" w:rsidP="00897DE5">
            <w:pPr>
              <w:jc w:val="center"/>
              <w:rPr>
                <w:b/>
                <w:bCs/>
                <w:color w:val="FFFFFF"/>
                <w:sz w:val="16"/>
                <w:szCs w:val="16"/>
              </w:rPr>
            </w:pPr>
          </w:p>
        </w:tc>
        <w:tc>
          <w:tcPr>
            <w:tcW w:w="1012" w:type="dxa"/>
            <w:tcBorders>
              <w:top w:val="nil"/>
              <w:left w:val="nil"/>
              <w:bottom w:val="nil"/>
              <w:right w:val="single" w:sz="12" w:space="0" w:color="000000"/>
            </w:tcBorders>
            <w:shd w:val="clear" w:color="auto" w:fill="auto"/>
            <w:vAlign w:val="center"/>
            <w:hideMark/>
          </w:tcPr>
          <w:p w14:paraId="4228DC02" w14:textId="77777777" w:rsidR="00236027" w:rsidRPr="00897DE5" w:rsidRDefault="00236027" w:rsidP="00897DE5">
            <w:pPr>
              <w:jc w:val="center"/>
              <w:rPr>
                <w:color w:val="000000"/>
                <w:sz w:val="16"/>
                <w:szCs w:val="16"/>
              </w:rPr>
            </w:pPr>
            <w:r w:rsidRPr="00897DE5">
              <w:rPr>
                <w:color w:val="000000"/>
                <w:sz w:val="16"/>
                <w:szCs w:val="16"/>
              </w:rPr>
              <w:t>Sig. (unilateral)</w:t>
            </w:r>
          </w:p>
        </w:tc>
        <w:tc>
          <w:tcPr>
            <w:tcW w:w="831" w:type="dxa"/>
            <w:tcBorders>
              <w:top w:val="nil"/>
              <w:left w:val="nil"/>
              <w:bottom w:val="nil"/>
              <w:right w:val="single" w:sz="4" w:space="0" w:color="000000"/>
            </w:tcBorders>
            <w:shd w:val="clear" w:color="auto" w:fill="auto"/>
            <w:noWrap/>
            <w:hideMark/>
          </w:tcPr>
          <w:p w14:paraId="348D1C75" w14:textId="77777777" w:rsidR="00236027" w:rsidRPr="00897DE5" w:rsidRDefault="00236027" w:rsidP="00897DE5">
            <w:pPr>
              <w:jc w:val="right"/>
              <w:rPr>
                <w:color w:val="000000"/>
                <w:sz w:val="16"/>
                <w:szCs w:val="16"/>
              </w:rPr>
            </w:pPr>
            <w:r w:rsidRPr="00897DE5">
              <w:rPr>
                <w:color w:val="000000"/>
                <w:sz w:val="16"/>
                <w:szCs w:val="16"/>
              </w:rPr>
              <w:t>.029</w:t>
            </w:r>
          </w:p>
        </w:tc>
        <w:tc>
          <w:tcPr>
            <w:tcW w:w="851" w:type="dxa"/>
            <w:tcBorders>
              <w:top w:val="nil"/>
              <w:left w:val="nil"/>
              <w:bottom w:val="nil"/>
              <w:right w:val="single" w:sz="4" w:space="0" w:color="000000"/>
            </w:tcBorders>
            <w:shd w:val="clear" w:color="auto" w:fill="auto"/>
            <w:hideMark/>
          </w:tcPr>
          <w:p w14:paraId="24898547" w14:textId="77777777" w:rsidR="00236027" w:rsidRPr="00897DE5" w:rsidRDefault="00236027" w:rsidP="00897DE5">
            <w:pPr>
              <w:rPr>
                <w:color w:val="000000"/>
                <w:sz w:val="16"/>
                <w:szCs w:val="16"/>
              </w:rPr>
            </w:pPr>
            <w:r w:rsidRPr="00897DE5">
              <w:rPr>
                <w:color w:val="000000"/>
                <w:sz w:val="16"/>
                <w:szCs w:val="16"/>
              </w:rPr>
              <w:t> </w:t>
            </w:r>
          </w:p>
        </w:tc>
        <w:tc>
          <w:tcPr>
            <w:tcW w:w="992" w:type="dxa"/>
            <w:tcBorders>
              <w:top w:val="nil"/>
              <w:left w:val="nil"/>
              <w:bottom w:val="nil"/>
              <w:right w:val="single" w:sz="4" w:space="0" w:color="000000"/>
            </w:tcBorders>
            <w:shd w:val="clear" w:color="auto" w:fill="auto"/>
            <w:noWrap/>
            <w:hideMark/>
          </w:tcPr>
          <w:p w14:paraId="4ACAC74A" w14:textId="77777777" w:rsidR="00236027" w:rsidRPr="00897DE5" w:rsidRDefault="00236027" w:rsidP="00897DE5">
            <w:pPr>
              <w:jc w:val="right"/>
              <w:rPr>
                <w:color w:val="000000"/>
                <w:sz w:val="16"/>
                <w:szCs w:val="16"/>
              </w:rPr>
            </w:pPr>
            <w:r w:rsidRPr="00897DE5">
              <w:rPr>
                <w:color w:val="000000"/>
                <w:sz w:val="16"/>
                <w:szCs w:val="16"/>
              </w:rPr>
              <w:t>.255</w:t>
            </w:r>
          </w:p>
        </w:tc>
        <w:tc>
          <w:tcPr>
            <w:tcW w:w="850" w:type="dxa"/>
            <w:tcBorders>
              <w:top w:val="nil"/>
              <w:left w:val="nil"/>
              <w:bottom w:val="nil"/>
              <w:right w:val="single" w:sz="4" w:space="0" w:color="000000"/>
            </w:tcBorders>
            <w:shd w:val="clear" w:color="auto" w:fill="auto"/>
            <w:noWrap/>
            <w:hideMark/>
          </w:tcPr>
          <w:p w14:paraId="604C3B32" w14:textId="77777777" w:rsidR="00236027" w:rsidRPr="00897DE5" w:rsidRDefault="00236027" w:rsidP="00897DE5">
            <w:pPr>
              <w:jc w:val="right"/>
              <w:rPr>
                <w:color w:val="000000"/>
                <w:sz w:val="16"/>
                <w:szCs w:val="16"/>
              </w:rPr>
            </w:pPr>
            <w:r w:rsidRPr="00897DE5">
              <w:rPr>
                <w:color w:val="000000"/>
                <w:sz w:val="16"/>
                <w:szCs w:val="16"/>
              </w:rPr>
              <w:t>.148</w:t>
            </w:r>
          </w:p>
        </w:tc>
        <w:tc>
          <w:tcPr>
            <w:tcW w:w="993" w:type="dxa"/>
            <w:tcBorders>
              <w:top w:val="nil"/>
              <w:left w:val="nil"/>
              <w:bottom w:val="nil"/>
              <w:right w:val="single" w:sz="4" w:space="0" w:color="000000"/>
            </w:tcBorders>
            <w:shd w:val="clear" w:color="auto" w:fill="auto"/>
            <w:noWrap/>
            <w:hideMark/>
          </w:tcPr>
          <w:p w14:paraId="6787DAC8" w14:textId="77777777" w:rsidR="00236027" w:rsidRPr="00897DE5" w:rsidRDefault="00236027" w:rsidP="00897DE5">
            <w:pPr>
              <w:jc w:val="right"/>
              <w:rPr>
                <w:color w:val="000000"/>
                <w:sz w:val="16"/>
                <w:szCs w:val="16"/>
              </w:rPr>
            </w:pPr>
            <w:r w:rsidRPr="00897DE5">
              <w:rPr>
                <w:color w:val="000000"/>
                <w:sz w:val="16"/>
                <w:szCs w:val="16"/>
              </w:rPr>
              <w:t>.369</w:t>
            </w:r>
          </w:p>
        </w:tc>
        <w:tc>
          <w:tcPr>
            <w:tcW w:w="992" w:type="dxa"/>
            <w:tcBorders>
              <w:top w:val="nil"/>
              <w:left w:val="nil"/>
              <w:bottom w:val="nil"/>
              <w:right w:val="single" w:sz="4" w:space="0" w:color="000000"/>
            </w:tcBorders>
            <w:shd w:val="clear" w:color="auto" w:fill="auto"/>
            <w:noWrap/>
            <w:hideMark/>
          </w:tcPr>
          <w:p w14:paraId="61E120E4" w14:textId="77777777" w:rsidR="00236027" w:rsidRPr="00897DE5" w:rsidRDefault="00236027" w:rsidP="00897DE5">
            <w:pPr>
              <w:jc w:val="right"/>
              <w:rPr>
                <w:color w:val="000000"/>
                <w:sz w:val="16"/>
                <w:szCs w:val="16"/>
              </w:rPr>
            </w:pPr>
            <w:r w:rsidRPr="00897DE5">
              <w:rPr>
                <w:color w:val="000000"/>
                <w:sz w:val="16"/>
                <w:szCs w:val="16"/>
              </w:rPr>
              <w:t>.304</w:t>
            </w:r>
          </w:p>
        </w:tc>
        <w:tc>
          <w:tcPr>
            <w:tcW w:w="919" w:type="dxa"/>
            <w:tcBorders>
              <w:top w:val="nil"/>
              <w:left w:val="nil"/>
              <w:bottom w:val="nil"/>
              <w:right w:val="single" w:sz="8" w:space="0" w:color="auto"/>
            </w:tcBorders>
            <w:shd w:val="clear" w:color="auto" w:fill="auto"/>
            <w:noWrap/>
            <w:hideMark/>
          </w:tcPr>
          <w:p w14:paraId="14B7BCCC" w14:textId="77777777" w:rsidR="00236027" w:rsidRPr="00897DE5" w:rsidRDefault="00236027" w:rsidP="00897DE5">
            <w:pPr>
              <w:jc w:val="right"/>
              <w:rPr>
                <w:color w:val="000000"/>
                <w:sz w:val="16"/>
                <w:szCs w:val="16"/>
              </w:rPr>
            </w:pPr>
            <w:r w:rsidRPr="00897DE5">
              <w:rPr>
                <w:color w:val="000000"/>
                <w:sz w:val="16"/>
                <w:szCs w:val="16"/>
              </w:rPr>
              <w:t>.327</w:t>
            </w:r>
          </w:p>
        </w:tc>
      </w:tr>
      <w:tr w:rsidR="000E33EB" w:rsidRPr="00897DE5" w14:paraId="148A803B" w14:textId="77777777" w:rsidTr="00897DE5">
        <w:trPr>
          <w:trHeight w:val="176"/>
        </w:trPr>
        <w:tc>
          <w:tcPr>
            <w:tcW w:w="708" w:type="dxa"/>
            <w:vMerge/>
            <w:tcBorders>
              <w:top w:val="nil"/>
              <w:left w:val="single" w:sz="8" w:space="0" w:color="auto"/>
              <w:bottom w:val="single" w:sz="8" w:space="0" w:color="000000"/>
              <w:right w:val="nil"/>
            </w:tcBorders>
            <w:vAlign w:val="center"/>
            <w:hideMark/>
          </w:tcPr>
          <w:p w14:paraId="15BD46EF" w14:textId="77777777" w:rsidR="00236027" w:rsidRPr="00897DE5" w:rsidRDefault="00236027" w:rsidP="00897DE5">
            <w:pPr>
              <w:jc w:val="center"/>
              <w:rPr>
                <w:b/>
                <w:bCs/>
                <w:color w:val="FFFFFF"/>
                <w:sz w:val="16"/>
                <w:szCs w:val="16"/>
              </w:rPr>
            </w:pPr>
          </w:p>
        </w:tc>
        <w:tc>
          <w:tcPr>
            <w:tcW w:w="1012" w:type="dxa"/>
            <w:tcBorders>
              <w:top w:val="nil"/>
              <w:left w:val="nil"/>
              <w:bottom w:val="single" w:sz="8" w:space="0" w:color="auto"/>
              <w:right w:val="single" w:sz="12" w:space="0" w:color="000000"/>
            </w:tcBorders>
            <w:shd w:val="clear" w:color="auto" w:fill="auto"/>
            <w:vAlign w:val="center"/>
            <w:hideMark/>
          </w:tcPr>
          <w:p w14:paraId="1956EC3C" w14:textId="77777777" w:rsidR="00236027" w:rsidRPr="00897DE5" w:rsidRDefault="00236027" w:rsidP="00897DE5">
            <w:pPr>
              <w:jc w:val="center"/>
              <w:rPr>
                <w:color w:val="000000"/>
                <w:sz w:val="16"/>
                <w:szCs w:val="16"/>
              </w:rPr>
            </w:pPr>
            <w:r w:rsidRPr="00897DE5">
              <w:rPr>
                <w:color w:val="000000"/>
                <w:sz w:val="16"/>
                <w:szCs w:val="16"/>
              </w:rPr>
              <w:t>N</w:t>
            </w:r>
          </w:p>
        </w:tc>
        <w:tc>
          <w:tcPr>
            <w:tcW w:w="831" w:type="dxa"/>
            <w:tcBorders>
              <w:top w:val="nil"/>
              <w:left w:val="nil"/>
              <w:bottom w:val="single" w:sz="8" w:space="0" w:color="auto"/>
              <w:right w:val="single" w:sz="4" w:space="0" w:color="000000"/>
            </w:tcBorders>
            <w:shd w:val="clear" w:color="auto" w:fill="auto"/>
            <w:noWrap/>
            <w:hideMark/>
          </w:tcPr>
          <w:p w14:paraId="36B1701F" w14:textId="77777777" w:rsidR="00236027" w:rsidRPr="00897DE5" w:rsidRDefault="00236027" w:rsidP="00897DE5">
            <w:pPr>
              <w:jc w:val="right"/>
              <w:rPr>
                <w:color w:val="000000"/>
                <w:sz w:val="16"/>
                <w:szCs w:val="16"/>
              </w:rPr>
            </w:pPr>
            <w:r w:rsidRPr="00897DE5">
              <w:rPr>
                <w:color w:val="000000"/>
                <w:sz w:val="16"/>
                <w:szCs w:val="16"/>
              </w:rPr>
              <w:t>30</w:t>
            </w:r>
          </w:p>
        </w:tc>
        <w:tc>
          <w:tcPr>
            <w:tcW w:w="851" w:type="dxa"/>
            <w:tcBorders>
              <w:top w:val="nil"/>
              <w:left w:val="nil"/>
              <w:bottom w:val="single" w:sz="8" w:space="0" w:color="auto"/>
              <w:right w:val="single" w:sz="4" w:space="0" w:color="000000"/>
            </w:tcBorders>
            <w:shd w:val="clear" w:color="auto" w:fill="auto"/>
            <w:noWrap/>
            <w:hideMark/>
          </w:tcPr>
          <w:p w14:paraId="50272330" w14:textId="77777777" w:rsidR="00236027" w:rsidRPr="00897DE5" w:rsidRDefault="00236027" w:rsidP="00897DE5">
            <w:pPr>
              <w:jc w:val="right"/>
              <w:rPr>
                <w:color w:val="000000"/>
                <w:sz w:val="16"/>
                <w:szCs w:val="16"/>
              </w:rPr>
            </w:pPr>
            <w:r w:rsidRPr="00897DE5">
              <w:rPr>
                <w:color w:val="000000"/>
                <w:sz w:val="16"/>
                <w:szCs w:val="16"/>
              </w:rPr>
              <w:t>30</w:t>
            </w:r>
          </w:p>
        </w:tc>
        <w:tc>
          <w:tcPr>
            <w:tcW w:w="992" w:type="dxa"/>
            <w:tcBorders>
              <w:top w:val="nil"/>
              <w:left w:val="nil"/>
              <w:bottom w:val="single" w:sz="8" w:space="0" w:color="auto"/>
              <w:right w:val="single" w:sz="4" w:space="0" w:color="000000"/>
            </w:tcBorders>
            <w:shd w:val="clear" w:color="auto" w:fill="auto"/>
            <w:noWrap/>
            <w:hideMark/>
          </w:tcPr>
          <w:p w14:paraId="087DBEAF" w14:textId="77777777" w:rsidR="00236027" w:rsidRPr="00897DE5" w:rsidRDefault="00236027" w:rsidP="00897DE5">
            <w:pPr>
              <w:jc w:val="right"/>
              <w:rPr>
                <w:color w:val="000000"/>
                <w:sz w:val="16"/>
                <w:szCs w:val="16"/>
              </w:rPr>
            </w:pPr>
            <w:r w:rsidRPr="00897DE5">
              <w:rPr>
                <w:color w:val="000000"/>
                <w:sz w:val="16"/>
                <w:szCs w:val="16"/>
              </w:rPr>
              <w:t>30</w:t>
            </w:r>
          </w:p>
        </w:tc>
        <w:tc>
          <w:tcPr>
            <w:tcW w:w="850" w:type="dxa"/>
            <w:tcBorders>
              <w:top w:val="nil"/>
              <w:left w:val="nil"/>
              <w:bottom w:val="single" w:sz="8" w:space="0" w:color="auto"/>
              <w:right w:val="single" w:sz="4" w:space="0" w:color="000000"/>
            </w:tcBorders>
            <w:shd w:val="clear" w:color="auto" w:fill="auto"/>
            <w:noWrap/>
            <w:hideMark/>
          </w:tcPr>
          <w:p w14:paraId="5B08F5AC" w14:textId="77777777" w:rsidR="00236027" w:rsidRPr="00897DE5" w:rsidRDefault="00236027" w:rsidP="00897DE5">
            <w:pPr>
              <w:jc w:val="right"/>
              <w:rPr>
                <w:color w:val="000000"/>
                <w:sz w:val="16"/>
                <w:szCs w:val="16"/>
              </w:rPr>
            </w:pPr>
            <w:r w:rsidRPr="00897DE5">
              <w:rPr>
                <w:color w:val="000000"/>
                <w:sz w:val="16"/>
                <w:szCs w:val="16"/>
              </w:rPr>
              <w:t>30</w:t>
            </w:r>
          </w:p>
        </w:tc>
        <w:tc>
          <w:tcPr>
            <w:tcW w:w="993" w:type="dxa"/>
            <w:tcBorders>
              <w:top w:val="nil"/>
              <w:left w:val="nil"/>
              <w:bottom w:val="single" w:sz="8" w:space="0" w:color="auto"/>
              <w:right w:val="single" w:sz="4" w:space="0" w:color="000000"/>
            </w:tcBorders>
            <w:shd w:val="clear" w:color="auto" w:fill="auto"/>
            <w:noWrap/>
            <w:hideMark/>
          </w:tcPr>
          <w:p w14:paraId="01C5A6DF" w14:textId="77777777" w:rsidR="00236027" w:rsidRPr="00897DE5" w:rsidRDefault="00236027" w:rsidP="00897DE5">
            <w:pPr>
              <w:jc w:val="right"/>
              <w:rPr>
                <w:color w:val="000000"/>
                <w:sz w:val="16"/>
                <w:szCs w:val="16"/>
              </w:rPr>
            </w:pPr>
            <w:r w:rsidRPr="00897DE5">
              <w:rPr>
                <w:color w:val="000000"/>
                <w:sz w:val="16"/>
                <w:szCs w:val="16"/>
              </w:rPr>
              <w:t>30</w:t>
            </w:r>
          </w:p>
        </w:tc>
        <w:tc>
          <w:tcPr>
            <w:tcW w:w="992" w:type="dxa"/>
            <w:tcBorders>
              <w:top w:val="nil"/>
              <w:left w:val="nil"/>
              <w:bottom w:val="single" w:sz="8" w:space="0" w:color="auto"/>
              <w:right w:val="single" w:sz="4" w:space="0" w:color="000000"/>
            </w:tcBorders>
            <w:shd w:val="clear" w:color="auto" w:fill="auto"/>
            <w:noWrap/>
            <w:hideMark/>
          </w:tcPr>
          <w:p w14:paraId="169F7542" w14:textId="77777777" w:rsidR="00236027" w:rsidRPr="00897DE5" w:rsidRDefault="00236027" w:rsidP="00897DE5">
            <w:pPr>
              <w:jc w:val="right"/>
              <w:rPr>
                <w:color w:val="000000"/>
                <w:sz w:val="16"/>
                <w:szCs w:val="16"/>
              </w:rPr>
            </w:pPr>
            <w:r w:rsidRPr="00897DE5">
              <w:rPr>
                <w:color w:val="000000"/>
                <w:sz w:val="16"/>
                <w:szCs w:val="16"/>
              </w:rPr>
              <w:t>30</w:t>
            </w:r>
          </w:p>
        </w:tc>
        <w:tc>
          <w:tcPr>
            <w:tcW w:w="919" w:type="dxa"/>
            <w:tcBorders>
              <w:top w:val="nil"/>
              <w:left w:val="nil"/>
              <w:bottom w:val="single" w:sz="8" w:space="0" w:color="auto"/>
              <w:right w:val="single" w:sz="8" w:space="0" w:color="auto"/>
            </w:tcBorders>
            <w:shd w:val="clear" w:color="auto" w:fill="auto"/>
            <w:noWrap/>
            <w:hideMark/>
          </w:tcPr>
          <w:p w14:paraId="7E6219F3" w14:textId="77777777" w:rsidR="00236027" w:rsidRPr="00897DE5" w:rsidRDefault="00236027" w:rsidP="00897DE5">
            <w:pPr>
              <w:jc w:val="right"/>
              <w:rPr>
                <w:color w:val="000000"/>
                <w:sz w:val="16"/>
                <w:szCs w:val="16"/>
              </w:rPr>
            </w:pPr>
            <w:r w:rsidRPr="00897DE5">
              <w:rPr>
                <w:color w:val="000000"/>
                <w:sz w:val="16"/>
                <w:szCs w:val="16"/>
              </w:rPr>
              <w:t>30</w:t>
            </w:r>
          </w:p>
        </w:tc>
      </w:tr>
      <w:tr w:rsidR="000E33EB" w:rsidRPr="00897DE5" w14:paraId="0A589BD4" w14:textId="77777777" w:rsidTr="00897DE5">
        <w:trPr>
          <w:trHeight w:val="464"/>
        </w:trPr>
        <w:tc>
          <w:tcPr>
            <w:tcW w:w="708" w:type="dxa"/>
            <w:vMerge w:val="restart"/>
            <w:tcBorders>
              <w:top w:val="nil"/>
              <w:left w:val="single" w:sz="8" w:space="0" w:color="auto"/>
              <w:bottom w:val="single" w:sz="8" w:space="0" w:color="000000"/>
              <w:right w:val="nil"/>
            </w:tcBorders>
            <w:shd w:val="clear" w:color="000000" w:fill="000000"/>
            <w:vAlign w:val="center"/>
            <w:hideMark/>
          </w:tcPr>
          <w:p w14:paraId="20662224" w14:textId="77777777" w:rsidR="00236027" w:rsidRPr="00897DE5" w:rsidRDefault="00236027" w:rsidP="00897DE5">
            <w:pPr>
              <w:jc w:val="center"/>
              <w:rPr>
                <w:b/>
                <w:bCs/>
                <w:color w:val="FFFFFF"/>
                <w:sz w:val="16"/>
                <w:szCs w:val="16"/>
              </w:rPr>
            </w:pPr>
            <w:r w:rsidRPr="00897DE5">
              <w:rPr>
                <w:b/>
                <w:bCs/>
                <w:color w:val="FFFFFF"/>
                <w:sz w:val="16"/>
                <w:szCs w:val="16"/>
              </w:rPr>
              <w:t>EL</w:t>
            </w:r>
          </w:p>
        </w:tc>
        <w:tc>
          <w:tcPr>
            <w:tcW w:w="1012" w:type="dxa"/>
            <w:tcBorders>
              <w:top w:val="nil"/>
              <w:left w:val="nil"/>
              <w:bottom w:val="nil"/>
              <w:right w:val="single" w:sz="12" w:space="0" w:color="000000"/>
            </w:tcBorders>
            <w:shd w:val="clear" w:color="000000" w:fill="D9D9D9"/>
            <w:vAlign w:val="center"/>
            <w:hideMark/>
          </w:tcPr>
          <w:p w14:paraId="0938763B" w14:textId="77777777" w:rsidR="00236027" w:rsidRPr="00897DE5" w:rsidRDefault="00236027" w:rsidP="00897DE5">
            <w:pPr>
              <w:jc w:val="center"/>
              <w:rPr>
                <w:color w:val="000000"/>
                <w:sz w:val="16"/>
                <w:szCs w:val="16"/>
              </w:rPr>
            </w:pPr>
            <w:r w:rsidRPr="00897DE5">
              <w:rPr>
                <w:color w:val="000000"/>
                <w:sz w:val="16"/>
                <w:szCs w:val="16"/>
              </w:rPr>
              <w:t>Correlación de Pearson</w:t>
            </w:r>
          </w:p>
        </w:tc>
        <w:tc>
          <w:tcPr>
            <w:tcW w:w="831" w:type="dxa"/>
            <w:tcBorders>
              <w:top w:val="nil"/>
              <w:left w:val="nil"/>
              <w:bottom w:val="nil"/>
              <w:right w:val="single" w:sz="4" w:space="0" w:color="000000"/>
            </w:tcBorders>
            <w:shd w:val="clear" w:color="000000" w:fill="D9D9D9"/>
            <w:noWrap/>
            <w:hideMark/>
          </w:tcPr>
          <w:p w14:paraId="561C5CEB" w14:textId="77777777" w:rsidR="00236027" w:rsidRPr="00897DE5" w:rsidRDefault="00236027" w:rsidP="00897DE5">
            <w:pPr>
              <w:jc w:val="right"/>
              <w:rPr>
                <w:color w:val="000000"/>
                <w:sz w:val="16"/>
                <w:szCs w:val="16"/>
              </w:rPr>
            </w:pPr>
            <w:r w:rsidRPr="00897DE5">
              <w:rPr>
                <w:color w:val="000000"/>
                <w:sz w:val="16"/>
                <w:szCs w:val="16"/>
              </w:rPr>
              <w:t>.119</w:t>
            </w:r>
          </w:p>
        </w:tc>
        <w:tc>
          <w:tcPr>
            <w:tcW w:w="851" w:type="dxa"/>
            <w:tcBorders>
              <w:top w:val="nil"/>
              <w:left w:val="nil"/>
              <w:bottom w:val="nil"/>
              <w:right w:val="single" w:sz="4" w:space="0" w:color="000000"/>
            </w:tcBorders>
            <w:shd w:val="clear" w:color="000000" w:fill="D9D9D9"/>
            <w:noWrap/>
            <w:hideMark/>
          </w:tcPr>
          <w:p w14:paraId="19259903" w14:textId="77777777" w:rsidR="00236027" w:rsidRPr="00897DE5" w:rsidRDefault="00236027" w:rsidP="00897DE5">
            <w:pPr>
              <w:jc w:val="right"/>
              <w:rPr>
                <w:color w:val="000000"/>
                <w:sz w:val="16"/>
                <w:szCs w:val="16"/>
              </w:rPr>
            </w:pPr>
            <w:r w:rsidRPr="00897DE5">
              <w:rPr>
                <w:color w:val="000000"/>
                <w:sz w:val="16"/>
                <w:szCs w:val="16"/>
              </w:rPr>
              <w:t>.125</w:t>
            </w:r>
          </w:p>
        </w:tc>
        <w:tc>
          <w:tcPr>
            <w:tcW w:w="992" w:type="dxa"/>
            <w:tcBorders>
              <w:top w:val="nil"/>
              <w:left w:val="nil"/>
              <w:bottom w:val="nil"/>
              <w:right w:val="single" w:sz="4" w:space="0" w:color="000000"/>
            </w:tcBorders>
            <w:shd w:val="clear" w:color="000000" w:fill="D9D9D9"/>
            <w:noWrap/>
            <w:hideMark/>
          </w:tcPr>
          <w:p w14:paraId="526BC24F" w14:textId="77777777" w:rsidR="00236027" w:rsidRPr="00897DE5" w:rsidRDefault="00236027" w:rsidP="00897DE5">
            <w:pPr>
              <w:jc w:val="right"/>
              <w:rPr>
                <w:color w:val="000000"/>
                <w:sz w:val="16"/>
                <w:szCs w:val="16"/>
              </w:rPr>
            </w:pPr>
            <w:r w:rsidRPr="00897DE5">
              <w:rPr>
                <w:color w:val="000000"/>
                <w:sz w:val="16"/>
                <w:szCs w:val="16"/>
              </w:rPr>
              <w:t>1</w:t>
            </w:r>
          </w:p>
        </w:tc>
        <w:tc>
          <w:tcPr>
            <w:tcW w:w="850" w:type="dxa"/>
            <w:tcBorders>
              <w:top w:val="nil"/>
              <w:left w:val="nil"/>
              <w:bottom w:val="nil"/>
              <w:right w:val="single" w:sz="4" w:space="0" w:color="000000"/>
            </w:tcBorders>
            <w:shd w:val="clear" w:color="000000" w:fill="D9D9D9"/>
            <w:noWrap/>
            <w:hideMark/>
          </w:tcPr>
          <w:p w14:paraId="0B0A2FB6" w14:textId="77777777" w:rsidR="00236027" w:rsidRPr="00897DE5" w:rsidRDefault="00236027" w:rsidP="00897DE5">
            <w:pPr>
              <w:jc w:val="right"/>
              <w:rPr>
                <w:color w:val="000000"/>
                <w:sz w:val="16"/>
                <w:szCs w:val="16"/>
              </w:rPr>
            </w:pPr>
            <w:r w:rsidRPr="00897DE5">
              <w:rPr>
                <w:color w:val="000000"/>
                <w:sz w:val="16"/>
                <w:szCs w:val="16"/>
              </w:rPr>
              <w:t>-.003</w:t>
            </w:r>
          </w:p>
        </w:tc>
        <w:tc>
          <w:tcPr>
            <w:tcW w:w="993" w:type="dxa"/>
            <w:tcBorders>
              <w:top w:val="nil"/>
              <w:left w:val="nil"/>
              <w:bottom w:val="nil"/>
              <w:right w:val="single" w:sz="4" w:space="0" w:color="000000"/>
            </w:tcBorders>
            <w:shd w:val="clear" w:color="000000" w:fill="D9D9D9"/>
            <w:noWrap/>
            <w:hideMark/>
          </w:tcPr>
          <w:p w14:paraId="20D518E2" w14:textId="77777777" w:rsidR="00236027" w:rsidRPr="00897DE5" w:rsidRDefault="00236027" w:rsidP="00897DE5">
            <w:pPr>
              <w:jc w:val="right"/>
              <w:rPr>
                <w:b/>
                <w:bCs/>
                <w:color w:val="000000"/>
                <w:sz w:val="16"/>
                <w:szCs w:val="16"/>
              </w:rPr>
            </w:pPr>
            <w:r w:rsidRPr="00897DE5">
              <w:rPr>
                <w:b/>
                <w:bCs/>
                <w:color w:val="000000"/>
                <w:sz w:val="16"/>
                <w:szCs w:val="16"/>
              </w:rPr>
              <w:t>.355</w:t>
            </w:r>
            <w:r w:rsidRPr="00897DE5">
              <w:rPr>
                <w:b/>
                <w:bCs/>
                <w:color w:val="000000"/>
                <w:sz w:val="16"/>
                <w:szCs w:val="16"/>
                <w:vertAlign w:val="superscript"/>
              </w:rPr>
              <w:t>*</w:t>
            </w:r>
          </w:p>
        </w:tc>
        <w:tc>
          <w:tcPr>
            <w:tcW w:w="992" w:type="dxa"/>
            <w:tcBorders>
              <w:top w:val="nil"/>
              <w:left w:val="nil"/>
              <w:bottom w:val="nil"/>
              <w:right w:val="single" w:sz="4" w:space="0" w:color="000000"/>
            </w:tcBorders>
            <w:shd w:val="clear" w:color="000000" w:fill="D9D9D9"/>
            <w:noWrap/>
            <w:hideMark/>
          </w:tcPr>
          <w:p w14:paraId="2A285FAF" w14:textId="77777777" w:rsidR="00236027" w:rsidRPr="00897DE5" w:rsidRDefault="00236027" w:rsidP="00897DE5">
            <w:pPr>
              <w:jc w:val="right"/>
              <w:rPr>
                <w:color w:val="000000"/>
                <w:sz w:val="16"/>
                <w:szCs w:val="16"/>
              </w:rPr>
            </w:pPr>
            <w:r w:rsidRPr="00897DE5">
              <w:rPr>
                <w:color w:val="000000"/>
                <w:sz w:val="16"/>
                <w:szCs w:val="16"/>
              </w:rPr>
              <w:t>.134</w:t>
            </w:r>
          </w:p>
        </w:tc>
        <w:tc>
          <w:tcPr>
            <w:tcW w:w="919" w:type="dxa"/>
            <w:tcBorders>
              <w:top w:val="nil"/>
              <w:left w:val="nil"/>
              <w:bottom w:val="nil"/>
              <w:right w:val="single" w:sz="8" w:space="0" w:color="auto"/>
            </w:tcBorders>
            <w:shd w:val="clear" w:color="000000" w:fill="D9D9D9"/>
            <w:noWrap/>
            <w:hideMark/>
          </w:tcPr>
          <w:p w14:paraId="69EB7E49" w14:textId="77777777" w:rsidR="00236027" w:rsidRPr="00897DE5" w:rsidRDefault="00236027" w:rsidP="00897DE5">
            <w:pPr>
              <w:jc w:val="right"/>
              <w:rPr>
                <w:color w:val="000000"/>
                <w:sz w:val="16"/>
                <w:szCs w:val="16"/>
              </w:rPr>
            </w:pPr>
            <w:r w:rsidRPr="00897DE5">
              <w:rPr>
                <w:color w:val="000000"/>
                <w:sz w:val="16"/>
                <w:szCs w:val="16"/>
              </w:rPr>
              <w:t>.172</w:t>
            </w:r>
          </w:p>
        </w:tc>
      </w:tr>
      <w:tr w:rsidR="000E33EB" w:rsidRPr="00CD487B" w14:paraId="17C07ECF" w14:textId="77777777" w:rsidTr="00897DE5">
        <w:trPr>
          <w:trHeight w:val="356"/>
        </w:trPr>
        <w:tc>
          <w:tcPr>
            <w:tcW w:w="708" w:type="dxa"/>
            <w:vMerge/>
            <w:tcBorders>
              <w:top w:val="nil"/>
              <w:left w:val="single" w:sz="8" w:space="0" w:color="auto"/>
              <w:bottom w:val="single" w:sz="8" w:space="0" w:color="000000"/>
              <w:right w:val="nil"/>
            </w:tcBorders>
            <w:vAlign w:val="center"/>
            <w:hideMark/>
          </w:tcPr>
          <w:p w14:paraId="045EB750" w14:textId="77777777" w:rsidR="00236027" w:rsidRPr="00897DE5" w:rsidRDefault="00236027" w:rsidP="00897DE5">
            <w:pPr>
              <w:jc w:val="center"/>
              <w:rPr>
                <w:b/>
                <w:bCs/>
                <w:color w:val="FFFFFF"/>
                <w:sz w:val="16"/>
                <w:szCs w:val="16"/>
              </w:rPr>
            </w:pPr>
          </w:p>
        </w:tc>
        <w:tc>
          <w:tcPr>
            <w:tcW w:w="1012" w:type="dxa"/>
            <w:tcBorders>
              <w:top w:val="nil"/>
              <w:left w:val="nil"/>
              <w:bottom w:val="nil"/>
              <w:right w:val="single" w:sz="12" w:space="0" w:color="000000"/>
            </w:tcBorders>
            <w:shd w:val="clear" w:color="000000" w:fill="D9D9D9"/>
            <w:vAlign w:val="center"/>
            <w:hideMark/>
          </w:tcPr>
          <w:p w14:paraId="40AB1A61" w14:textId="77777777" w:rsidR="00236027" w:rsidRPr="00897DE5" w:rsidRDefault="00236027" w:rsidP="00897DE5">
            <w:pPr>
              <w:jc w:val="center"/>
              <w:rPr>
                <w:color w:val="000000"/>
                <w:sz w:val="16"/>
                <w:szCs w:val="16"/>
              </w:rPr>
            </w:pPr>
            <w:r w:rsidRPr="00897DE5">
              <w:rPr>
                <w:color w:val="000000"/>
                <w:sz w:val="16"/>
                <w:szCs w:val="16"/>
              </w:rPr>
              <w:t>Sig. (unilateral)</w:t>
            </w:r>
          </w:p>
        </w:tc>
        <w:tc>
          <w:tcPr>
            <w:tcW w:w="831" w:type="dxa"/>
            <w:tcBorders>
              <w:top w:val="nil"/>
              <w:left w:val="nil"/>
              <w:bottom w:val="nil"/>
              <w:right w:val="single" w:sz="4" w:space="0" w:color="000000"/>
            </w:tcBorders>
            <w:shd w:val="clear" w:color="000000" w:fill="D9D9D9"/>
            <w:noWrap/>
            <w:hideMark/>
          </w:tcPr>
          <w:p w14:paraId="7F1FDC6B" w14:textId="77777777" w:rsidR="00236027" w:rsidRPr="00897DE5" w:rsidRDefault="00236027" w:rsidP="00897DE5">
            <w:pPr>
              <w:jc w:val="right"/>
              <w:rPr>
                <w:color w:val="000000"/>
                <w:sz w:val="16"/>
                <w:szCs w:val="16"/>
              </w:rPr>
            </w:pPr>
            <w:r w:rsidRPr="00897DE5">
              <w:rPr>
                <w:color w:val="000000"/>
                <w:sz w:val="16"/>
                <w:szCs w:val="16"/>
              </w:rPr>
              <w:t>.265</w:t>
            </w:r>
          </w:p>
        </w:tc>
        <w:tc>
          <w:tcPr>
            <w:tcW w:w="851" w:type="dxa"/>
            <w:tcBorders>
              <w:top w:val="nil"/>
              <w:left w:val="nil"/>
              <w:bottom w:val="nil"/>
              <w:right w:val="single" w:sz="4" w:space="0" w:color="000000"/>
            </w:tcBorders>
            <w:shd w:val="clear" w:color="000000" w:fill="D9D9D9"/>
            <w:noWrap/>
            <w:hideMark/>
          </w:tcPr>
          <w:p w14:paraId="0457E544" w14:textId="77777777" w:rsidR="00236027" w:rsidRPr="00897DE5" w:rsidRDefault="00236027" w:rsidP="00897DE5">
            <w:pPr>
              <w:jc w:val="right"/>
              <w:rPr>
                <w:color w:val="000000"/>
                <w:sz w:val="16"/>
                <w:szCs w:val="16"/>
              </w:rPr>
            </w:pPr>
            <w:r w:rsidRPr="00897DE5">
              <w:rPr>
                <w:color w:val="000000"/>
                <w:sz w:val="16"/>
                <w:szCs w:val="16"/>
              </w:rPr>
              <w:t>.255</w:t>
            </w:r>
          </w:p>
        </w:tc>
        <w:tc>
          <w:tcPr>
            <w:tcW w:w="992" w:type="dxa"/>
            <w:tcBorders>
              <w:top w:val="nil"/>
              <w:left w:val="nil"/>
              <w:bottom w:val="nil"/>
              <w:right w:val="single" w:sz="4" w:space="0" w:color="000000"/>
            </w:tcBorders>
            <w:shd w:val="clear" w:color="000000" w:fill="D9D9D9"/>
            <w:hideMark/>
          </w:tcPr>
          <w:p w14:paraId="3B0326DD" w14:textId="77777777" w:rsidR="00236027" w:rsidRPr="00897DE5" w:rsidRDefault="00236027" w:rsidP="00897DE5">
            <w:pPr>
              <w:rPr>
                <w:color w:val="000000"/>
                <w:sz w:val="16"/>
                <w:szCs w:val="16"/>
              </w:rPr>
            </w:pPr>
            <w:r w:rsidRPr="00897DE5">
              <w:rPr>
                <w:color w:val="000000"/>
                <w:sz w:val="16"/>
                <w:szCs w:val="16"/>
              </w:rPr>
              <w:t> </w:t>
            </w:r>
          </w:p>
        </w:tc>
        <w:tc>
          <w:tcPr>
            <w:tcW w:w="850" w:type="dxa"/>
            <w:tcBorders>
              <w:top w:val="nil"/>
              <w:left w:val="nil"/>
              <w:bottom w:val="nil"/>
              <w:right w:val="single" w:sz="4" w:space="0" w:color="000000"/>
            </w:tcBorders>
            <w:shd w:val="clear" w:color="000000" w:fill="D9D9D9"/>
            <w:noWrap/>
            <w:hideMark/>
          </w:tcPr>
          <w:p w14:paraId="02F6B8DE" w14:textId="77777777" w:rsidR="00236027" w:rsidRPr="00897DE5" w:rsidRDefault="00236027" w:rsidP="00897DE5">
            <w:pPr>
              <w:jc w:val="right"/>
              <w:rPr>
                <w:color w:val="000000"/>
                <w:sz w:val="16"/>
                <w:szCs w:val="16"/>
              </w:rPr>
            </w:pPr>
            <w:r w:rsidRPr="00897DE5">
              <w:rPr>
                <w:color w:val="000000"/>
                <w:sz w:val="16"/>
                <w:szCs w:val="16"/>
              </w:rPr>
              <w:t>.493</w:t>
            </w:r>
          </w:p>
        </w:tc>
        <w:tc>
          <w:tcPr>
            <w:tcW w:w="993" w:type="dxa"/>
            <w:tcBorders>
              <w:top w:val="nil"/>
              <w:left w:val="nil"/>
              <w:bottom w:val="nil"/>
              <w:right w:val="single" w:sz="4" w:space="0" w:color="000000"/>
            </w:tcBorders>
            <w:shd w:val="clear" w:color="000000" w:fill="D9D9D9"/>
            <w:noWrap/>
            <w:hideMark/>
          </w:tcPr>
          <w:p w14:paraId="4E1EC230" w14:textId="77777777" w:rsidR="00236027" w:rsidRPr="00897DE5" w:rsidRDefault="00236027" w:rsidP="00897DE5">
            <w:pPr>
              <w:jc w:val="right"/>
              <w:rPr>
                <w:color w:val="000000"/>
                <w:sz w:val="16"/>
                <w:szCs w:val="16"/>
              </w:rPr>
            </w:pPr>
            <w:r w:rsidRPr="00897DE5">
              <w:rPr>
                <w:color w:val="000000"/>
                <w:sz w:val="16"/>
                <w:szCs w:val="16"/>
              </w:rPr>
              <w:t>.027</w:t>
            </w:r>
          </w:p>
        </w:tc>
        <w:tc>
          <w:tcPr>
            <w:tcW w:w="992" w:type="dxa"/>
            <w:tcBorders>
              <w:top w:val="nil"/>
              <w:left w:val="nil"/>
              <w:bottom w:val="nil"/>
              <w:right w:val="single" w:sz="4" w:space="0" w:color="000000"/>
            </w:tcBorders>
            <w:shd w:val="clear" w:color="000000" w:fill="D9D9D9"/>
            <w:noWrap/>
            <w:hideMark/>
          </w:tcPr>
          <w:p w14:paraId="0D0C855B" w14:textId="77777777" w:rsidR="00236027" w:rsidRPr="00897DE5" w:rsidRDefault="00236027" w:rsidP="00897DE5">
            <w:pPr>
              <w:jc w:val="right"/>
              <w:rPr>
                <w:color w:val="000000"/>
                <w:sz w:val="16"/>
                <w:szCs w:val="16"/>
              </w:rPr>
            </w:pPr>
            <w:r w:rsidRPr="00897DE5">
              <w:rPr>
                <w:color w:val="000000"/>
                <w:sz w:val="16"/>
                <w:szCs w:val="16"/>
              </w:rPr>
              <w:t>.241</w:t>
            </w:r>
          </w:p>
        </w:tc>
        <w:tc>
          <w:tcPr>
            <w:tcW w:w="919" w:type="dxa"/>
            <w:tcBorders>
              <w:top w:val="nil"/>
              <w:left w:val="nil"/>
              <w:bottom w:val="nil"/>
              <w:right w:val="single" w:sz="8" w:space="0" w:color="auto"/>
            </w:tcBorders>
            <w:shd w:val="clear" w:color="000000" w:fill="D9D9D9"/>
            <w:noWrap/>
            <w:hideMark/>
          </w:tcPr>
          <w:p w14:paraId="3464BD57" w14:textId="77777777" w:rsidR="00236027" w:rsidRPr="00897DE5" w:rsidRDefault="00236027" w:rsidP="00897DE5">
            <w:pPr>
              <w:jc w:val="right"/>
              <w:rPr>
                <w:color w:val="000000"/>
                <w:sz w:val="16"/>
                <w:szCs w:val="16"/>
              </w:rPr>
            </w:pPr>
            <w:r w:rsidRPr="00897DE5">
              <w:rPr>
                <w:color w:val="000000"/>
                <w:sz w:val="16"/>
                <w:szCs w:val="16"/>
              </w:rPr>
              <w:t>.182</w:t>
            </w:r>
          </w:p>
        </w:tc>
      </w:tr>
      <w:tr w:rsidR="000E33EB" w:rsidRPr="00897DE5" w14:paraId="2B821762" w14:textId="77777777" w:rsidTr="00897DE5">
        <w:trPr>
          <w:trHeight w:val="250"/>
        </w:trPr>
        <w:tc>
          <w:tcPr>
            <w:tcW w:w="708" w:type="dxa"/>
            <w:vMerge/>
            <w:tcBorders>
              <w:top w:val="nil"/>
              <w:left w:val="single" w:sz="8" w:space="0" w:color="auto"/>
              <w:bottom w:val="single" w:sz="8" w:space="0" w:color="000000"/>
              <w:right w:val="nil"/>
            </w:tcBorders>
            <w:vAlign w:val="center"/>
            <w:hideMark/>
          </w:tcPr>
          <w:p w14:paraId="4ECD9A9F" w14:textId="77777777" w:rsidR="00236027" w:rsidRPr="00897DE5" w:rsidRDefault="00236027" w:rsidP="00897DE5">
            <w:pPr>
              <w:jc w:val="center"/>
              <w:rPr>
                <w:b/>
                <w:bCs/>
                <w:color w:val="FFFFFF"/>
                <w:sz w:val="16"/>
                <w:szCs w:val="16"/>
              </w:rPr>
            </w:pPr>
          </w:p>
        </w:tc>
        <w:tc>
          <w:tcPr>
            <w:tcW w:w="1012" w:type="dxa"/>
            <w:tcBorders>
              <w:top w:val="nil"/>
              <w:left w:val="nil"/>
              <w:bottom w:val="single" w:sz="8" w:space="0" w:color="auto"/>
              <w:right w:val="single" w:sz="12" w:space="0" w:color="000000"/>
            </w:tcBorders>
            <w:shd w:val="clear" w:color="000000" w:fill="D9D9D9"/>
            <w:vAlign w:val="center"/>
            <w:hideMark/>
          </w:tcPr>
          <w:p w14:paraId="40B1B448" w14:textId="77777777" w:rsidR="00236027" w:rsidRPr="00897DE5" w:rsidRDefault="00236027" w:rsidP="00897DE5">
            <w:pPr>
              <w:jc w:val="center"/>
              <w:rPr>
                <w:color w:val="000000"/>
                <w:sz w:val="16"/>
                <w:szCs w:val="16"/>
              </w:rPr>
            </w:pPr>
            <w:r w:rsidRPr="00897DE5">
              <w:rPr>
                <w:color w:val="000000"/>
                <w:sz w:val="16"/>
                <w:szCs w:val="16"/>
              </w:rPr>
              <w:t>N</w:t>
            </w:r>
          </w:p>
        </w:tc>
        <w:tc>
          <w:tcPr>
            <w:tcW w:w="831" w:type="dxa"/>
            <w:tcBorders>
              <w:top w:val="nil"/>
              <w:left w:val="nil"/>
              <w:bottom w:val="single" w:sz="8" w:space="0" w:color="auto"/>
              <w:right w:val="single" w:sz="4" w:space="0" w:color="000000"/>
            </w:tcBorders>
            <w:shd w:val="clear" w:color="000000" w:fill="D9D9D9"/>
            <w:noWrap/>
            <w:hideMark/>
          </w:tcPr>
          <w:p w14:paraId="7C5E04EB" w14:textId="77777777" w:rsidR="00236027" w:rsidRPr="00897DE5" w:rsidRDefault="00236027" w:rsidP="00897DE5">
            <w:pPr>
              <w:jc w:val="right"/>
              <w:rPr>
                <w:color w:val="000000"/>
                <w:sz w:val="16"/>
                <w:szCs w:val="16"/>
              </w:rPr>
            </w:pPr>
            <w:r w:rsidRPr="00897DE5">
              <w:rPr>
                <w:color w:val="000000"/>
                <w:sz w:val="16"/>
                <w:szCs w:val="16"/>
              </w:rPr>
              <w:t>30</w:t>
            </w:r>
          </w:p>
        </w:tc>
        <w:tc>
          <w:tcPr>
            <w:tcW w:w="851" w:type="dxa"/>
            <w:tcBorders>
              <w:top w:val="nil"/>
              <w:left w:val="nil"/>
              <w:bottom w:val="single" w:sz="8" w:space="0" w:color="auto"/>
              <w:right w:val="single" w:sz="4" w:space="0" w:color="000000"/>
            </w:tcBorders>
            <w:shd w:val="clear" w:color="000000" w:fill="D9D9D9"/>
            <w:noWrap/>
            <w:hideMark/>
          </w:tcPr>
          <w:p w14:paraId="3DEFB89D" w14:textId="77777777" w:rsidR="00236027" w:rsidRPr="00897DE5" w:rsidRDefault="00236027" w:rsidP="00897DE5">
            <w:pPr>
              <w:jc w:val="right"/>
              <w:rPr>
                <w:color w:val="000000"/>
                <w:sz w:val="16"/>
                <w:szCs w:val="16"/>
              </w:rPr>
            </w:pPr>
            <w:r w:rsidRPr="00897DE5">
              <w:rPr>
                <w:color w:val="000000"/>
                <w:sz w:val="16"/>
                <w:szCs w:val="16"/>
              </w:rPr>
              <w:t>30</w:t>
            </w:r>
          </w:p>
        </w:tc>
        <w:tc>
          <w:tcPr>
            <w:tcW w:w="992" w:type="dxa"/>
            <w:tcBorders>
              <w:top w:val="nil"/>
              <w:left w:val="nil"/>
              <w:bottom w:val="single" w:sz="8" w:space="0" w:color="auto"/>
              <w:right w:val="single" w:sz="4" w:space="0" w:color="000000"/>
            </w:tcBorders>
            <w:shd w:val="clear" w:color="000000" w:fill="D9D9D9"/>
            <w:noWrap/>
            <w:hideMark/>
          </w:tcPr>
          <w:p w14:paraId="308A21A6" w14:textId="77777777" w:rsidR="00236027" w:rsidRPr="00897DE5" w:rsidRDefault="00236027" w:rsidP="00897DE5">
            <w:pPr>
              <w:jc w:val="right"/>
              <w:rPr>
                <w:color w:val="000000"/>
                <w:sz w:val="16"/>
                <w:szCs w:val="16"/>
              </w:rPr>
            </w:pPr>
            <w:r w:rsidRPr="00897DE5">
              <w:rPr>
                <w:color w:val="000000"/>
                <w:sz w:val="16"/>
                <w:szCs w:val="16"/>
              </w:rPr>
              <w:t>30</w:t>
            </w:r>
          </w:p>
        </w:tc>
        <w:tc>
          <w:tcPr>
            <w:tcW w:w="850" w:type="dxa"/>
            <w:tcBorders>
              <w:top w:val="nil"/>
              <w:left w:val="nil"/>
              <w:bottom w:val="single" w:sz="8" w:space="0" w:color="auto"/>
              <w:right w:val="single" w:sz="4" w:space="0" w:color="000000"/>
            </w:tcBorders>
            <w:shd w:val="clear" w:color="000000" w:fill="D9D9D9"/>
            <w:noWrap/>
            <w:hideMark/>
          </w:tcPr>
          <w:p w14:paraId="3E39A323" w14:textId="77777777" w:rsidR="00236027" w:rsidRPr="00897DE5" w:rsidRDefault="00236027" w:rsidP="00897DE5">
            <w:pPr>
              <w:jc w:val="right"/>
              <w:rPr>
                <w:color w:val="000000"/>
                <w:sz w:val="16"/>
                <w:szCs w:val="16"/>
              </w:rPr>
            </w:pPr>
            <w:r w:rsidRPr="00897DE5">
              <w:rPr>
                <w:color w:val="000000"/>
                <w:sz w:val="16"/>
                <w:szCs w:val="16"/>
              </w:rPr>
              <w:t>30</w:t>
            </w:r>
          </w:p>
        </w:tc>
        <w:tc>
          <w:tcPr>
            <w:tcW w:w="993" w:type="dxa"/>
            <w:tcBorders>
              <w:top w:val="nil"/>
              <w:left w:val="nil"/>
              <w:bottom w:val="single" w:sz="8" w:space="0" w:color="auto"/>
              <w:right w:val="single" w:sz="4" w:space="0" w:color="000000"/>
            </w:tcBorders>
            <w:shd w:val="clear" w:color="000000" w:fill="D9D9D9"/>
            <w:noWrap/>
            <w:hideMark/>
          </w:tcPr>
          <w:p w14:paraId="44345AA5" w14:textId="77777777" w:rsidR="00236027" w:rsidRPr="00897DE5" w:rsidRDefault="00236027" w:rsidP="00897DE5">
            <w:pPr>
              <w:jc w:val="right"/>
              <w:rPr>
                <w:color w:val="000000"/>
                <w:sz w:val="16"/>
                <w:szCs w:val="16"/>
              </w:rPr>
            </w:pPr>
            <w:r w:rsidRPr="00897DE5">
              <w:rPr>
                <w:color w:val="000000"/>
                <w:sz w:val="16"/>
                <w:szCs w:val="16"/>
              </w:rPr>
              <w:t>30</w:t>
            </w:r>
          </w:p>
        </w:tc>
        <w:tc>
          <w:tcPr>
            <w:tcW w:w="992" w:type="dxa"/>
            <w:tcBorders>
              <w:top w:val="nil"/>
              <w:left w:val="nil"/>
              <w:bottom w:val="single" w:sz="8" w:space="0" w:color="auto"/>
              <w:right w:val="single" w:sz="4" w:space="0" w:color="000000"/>
            </w:tcBorders>
            <w:shd w:val="clear" w:color="000000" w:fill="D9D9D9"/>
            <w:noWrap/>
            <w:hideMark/>
          </w:tcPr>
          <w:p w14:paraId="2786391F" w14:textId="77777777" w:rsidR="00236027" w:rsidRPr="00897DE5" w:rsidRDefault="00236027" w:rsidP="00897DE5">
            <w:pPr>
              <w:jc w:val="right"/>
              <w:rPr>
                <w:color w:val="000000"/>
                <w:sz w:val="16"/>
                <w:szCs w:val="16"/>
              </w:rPr>
            </w:pPr>
            <w:r w:rsidRPr="00897DE5">
              <w:rPr>
                <w:color w:val="000000"/>
                <w:sz w:val="16"/>
                <w:szCs w:val="16"/>
              </w:rPr>
              <w:t>30</w:t>
            </w:r>
          </w:p>
        </w:tc>
        <w:tc>
          <w:tcPr>
            <w:tcW w:w="919" w:type="dxa"/>
            <w:tcBorders>
              <w:top w:val="nil"/>
              <w:left w:val="nil"/>
              <w:bottom w:val="single" w:sz="8" w:space="0" w:color="auto"/>
              <w:right w:val="single" w:sz="8" w:space="0" w:color="auto"/>
            </w:tcBorders>
            <w:shd w:val="clear" w:color="000000" w:fill="D9D9D9"/>
            <w:noWrap/>
            <w:hideMark/>
          </w:tcPr>
          <w:p w14:paraId="634A112F" w14:textId="77777777" w:rsidR="00236027" w:rsidRPr="00897DE5" w:rsidRDefault="00236027" w:rsidP="00897DE5">
            <w:pPr>
              <w:jc w:val="right"/>
              <w:rPr>
                <w:color w:val="000000"/>
                <w:sz w:val="16"/>
                <w:szCs w:val="16"/>
              </w:rPr>
            </w:pPr>
            <w:r w:rsidRPr="00897DE5">
              <w:rPr>
                <w:color w:val="000000"/>
                <w:sz w:val="16"/>
                <w:szCs w:val="16"/>
              </w:rPr>
              <w:t>30</w:t>
            </w:r>
          </w:p>
        </w:tc>
      </w:tr>
      <w:tr w:rsidR="000E33EB" w:rsidRPr="00CD487B" w14:paraId="17BAE612" w14:textId="77777777" w:rsidTr="00897DE5">
        <w:trPr>
          <w:trHeight w:val="325"/>
        </w:trPr>
        <w:tc>
          <w:tcPr>
            <w:tcW w:w="708" w:type="dxa"/>
            <w:vMerge w:val="restart"/>
            <w:tcBorders>
              <w:top w:val="nil"/>
              <w:left w:val="single" w:sz="8" w:space="0" w:color="auto"/>
              <w:bottom w:val="single" w:sz="8" w:space="0" w:color="000000"/>
              <w:right w:val="nil"/>
            </w:tcBorders>
            <w:shd w:val="clear" w:color="000000" w:fill="000000"/>
            <w:vAlign w:val="center"/>
            <w:hideMark/>
          </w:tcPr>
          <w:p w14:paraId="38C7E63D" w14:textId="77777777" w:rsidR="00236027" w:rsidRPr="00CD487B" w:rsidRDefault="00B1788D" w:rsidP="00897DE5">
            <w:pPr>
              <w:jc w:val="center"/>
              <w:rPr>
                <w:b/>
                <w:bCs/>
                <w:color w:val="FFFFFF"/>
                <w:sz w:val="16"/>
                <w:szCs w:val="16"/>
              </w:rPr>
            </w:pPr>
            <w:r w:rsidRPr="00CD487B">
              <w:rPr>
                <w:b/>
                <w:bCs/>
                <w:color w:val="FFFFFF"/>
                <w:sz w:val="16"/>
                <w:szCs w:val="16"/>
              </w:rPr>
              <w:t>MOD01</w:t>
            </w:r>
          </w:p>
        </w:tc>
        <w:tc>
          <w:tcPr>
            <w:tcW w:w="1012" w:type="dxa"/>
            <w:tcBorders>
              <w:top w:val="nil"/>
              <w:left w:val="nil"/>
              <w:bottom w:val="nil"/>
              <w:right w:val="single" w:sz="12" w:space="0" w:color="000000"/>
            </w:tcBorders>
            <w:shd w:val="clear" w:color="auto" w:fill="auto"/>
            <w:vAlign w:val="center"/>
            <w:hideMark/>
          </w:tcPr>
          <w:p w14:paraId="67D8919E" w14:textId="77777777" w:rsidR="00236027" w:rsidRPr="00CD487B" w:rsidRDefault="00236027" w:rsidP="00897DE5">
            <w:pPr>
              <w:jc w:val="center"/>
              <w:rPr>
                <w:color w:val="000000"/>
                <w:sz w:val="16"/>
                <w:szCs w:val="16"/>
              </w:rPr>
            </w:pPr>
            <w:r w:rsidRPr="00CD487B">
              <w:rPr>
                <w:color w:val="000000"/>
                <w:sz w:val="16"/>
                <w:szCs w:val="16"/>
              </w:rPr>
              <w:t>Correlación de Pearson</w:t>
            </w:r>
          </w:p>
        </w:tc>
        <w:tc>
          <w:tcPr>
            <w:tcW w:w="831" w:type="dxa"/>
            <w:tcBorders>
              <w:top w:val="nil"/>
              <w:left w:val="nil"/>
              <w:bottom w:val="nil"/>
              <w:right w:val="single" w:sz="4" w:space="0" w:color="000000"/>
            </w:tcBorders>
            <w:shd w:val="clear" w:color="auto" w:fill="auto"/>
            <w:noWrap/>
            <w:hideMark/>
          </w:tcPr>
          <w:p w14:paraId="7A5743F8" w14:textId="77777777" w:rsidR="00236027" w:rsidRPr="00CD487B" w:rsidRDefault="00236027" w:rsidP="00897DE5">
            <w:pPr>
              <w:jc w:val="right"/>
              <w:rPr>
                <w:b/>
                <w:bCs/>
                <w:color w:val="000000"/>
                <w:sz w:val="16"/>
                <w:szCs w:val="16"/>
              </w:rPr>
            </w:pPr>
            <w:r w:rsidRPr="00CD487B">
              <w:rPr>
                <w:b/>
                <w:bCs/>
                <w:color w:val="000000"/>
                <w:sz w:val="16"/>
                <w:szCs w:val="16"/>
              </w:rPr>
              <w:t>.427</w:t>
            </w:r>
            <w:r w:rsidRPr="00CD487B">
              <w:rPr>
                <w:b/>
                <w:bCs/>
                <w:color w:val="000000"/>
                <w:sz w:val="16"/>
                <w:szCs w:val="16"/>
                <w:vertAlign w:val="superscript"/>
              </w:rPr>
              <w:t>**</w:t>
            </w:r>
          </w:p>
        </w:tc>
        <w:tc>
          <w:tcPr>
            <w:tcW w:w="851" w:type="dxa"/>
            <w:tcBorders>
              <w:top w:val="nil"/>
              <w:left w:val="nil"/>
              <w:bottom w:val="nil"/>
              <w:right w:val="single" w:sz="4" w:space="0" w:color="000000"/>
            </w:tcBorders>
            <w:shd w:val="clear" w:color="auto" w:fill="auto"/>
            <w:noWrap/>
            <w:hideMark/>
          </w:tcPr>
          <w:p w14:paraId="00D77EAE" w14:textId="77777777" w:rsidR="00236027" w:rsidRPr="00CD487B" w:rsidRDefault="00236027" w:rsidP="00897DE5">
            <w:pPr>
              <w:jc w:val="right"/>
              <w:rPr>
                <w:color w:val="000000"/>
                <w:sz w:val="16"/>
                <w:szCs w:val="16"/>
              </w:rPr>
            </w:pPr>
            <w:r w:rsidRPr="00CD487B">
              <w:rPr>
                <w:color w:val="000000"/>
                <w:sz w:val="16"/>
                <w:szCs w:val="16"/>
              </w:rPr>
              <w:t>.198</w:t>
            </w:r>
          </w:p>
        </w:tc>
        <w:tc>
          <w:tcPr>
            <w:tcW w:w="992" w:type="dxa"/>
            <w:tcBorders>
              <w:top w:val="nil"/>
              <w:left w:val="nil"/>
              <w:bottom w:val="nil"/>
              <w:right w:val="single" w:sz="4" w:space="0" w:color="000000"/>
            </w:tcBorders>
            <w:shd w:val="clear" w:color="auto" w:fill="auto"/>
            <w:noWrap/>
            <w:hideMark/>
          </w:tcPr>
          <w:p w14:paraId="662376CE" w14:textId="77777777" w:rsidR="00236027" w:rsidRPr="00CD487B" w:rsidRDefault="00236027" w:rsidP="00897DE5">
            <w:pPr>
              <w:jc w:val="right"/>
              <w:rPr>
                <w:color w:val="000000"/>
                <w:sz w:val="16"/>
                <w:szCs w:val="16"/>
              </w:rPr>
            </w:pPr>
            <w:r w:rsidRPr="00CD487B">
              <w:rPr>
                <w:color w:val="000000"/>
                <w:sz w:val="16"/>
                <w:szCs w:val="16"/>
              </w:rPr>
              <w:t>-.003</w:t>
            </w:r>
          </w:p>
        </w:tc>
        <w:tc>
          <w:tcPr>
            <w:tcW w:w="850" w:type="dxa"/>
            <w:tcBorders>
              <w:top w:val="nil"/>
              <w:left w:val="nil"/>
              <w:bottom w:val="nil"/>
              <w:right w:val="single" w:sz="4" w:space="0" w:color="000000"/>
            </w:tcBorders>
            <w:shd w:val="clear" w:color="auto" w:fill="auto"/>
            <w:noWrap/>
            <w:hideMark/>
          </w:tcPr>
          <w:p w14:paraId="7991B35F" w14:textId="77777777" w:rsidR="00236027" w:rsidRPr="00CD487B" w:rsidRDefault="00236027" w:rsidP="00897DE5">
            <w:pPr>
              <w:jc w:val="right"/>
              <w:rPr>
                <w:color w:val="000000"/>
                <w:sz w:val="16"/>
                <w:szCs w:val="16"/>
              </w:rPr>
            </w:pPr>
            <w:r w:rsidRPr="00CD487B">
              <w:rPr>
                <w:color w:val="000000"/>
                <w:sz w:val="16"/>
                <w:szCs w:val="16"/>
              </w:rPr>
              <w:t>1</w:t>
            </w:r>
          </w:p>
        </w:tc>
        <w:tc>
          <w:tcPr>
            <w:tcW w:w="993" w:type="dxa"/>
            <w:tcBorders>
              <w:top w:val="nil"/>
              <w:left w:val="nil"/>
              <w:bottom w:val="nil"/>
              <w:right w:val="single" w:sz="4" w:space="0" w:color="000000"/>
            </w:tcBorders>
            <w:shd w:val="clear" w:color="auto" w:fill="auto"/>
            <w:noWrap/>
            <w:hideMark/>
          </w:tcPr>
          <w:p w14:paraId="659B3673" w14:textId="77777777" w:rsidR="00236027" w:rsidRPr="00CD487B" w:rsidRDefault="00236027" w:rsidP="00897DE5">
            <w:pPr>
              <w:jc w:val="right"/>
              <w:rPr>
                <w:color w:val="000000"/>
                <w:sz w:val="16"/>
                <w:szCs w:val="16"/>
              </w:rPr>
            </w:pPr>
            <w:r w:rsidRPr="00CD487B">
              <w:rPr>
                <w:color w:val="000000"/>
                <w:sz w:val="16"/>
                <w:szCs w:val="16"/>
              </w:rPr>
              <w:t>.224</w:t>
            </w:r>
          </w:p>
        </w:tc>
        <w:tc>
          <w:tcPr>
            <w:tcW w:w="992" w:type="dxa"/>
            <w:tcBorders>
              <w:top w:val="nil"/>
              <w:left w:val="nil"/>
              <w:bottom w:val="nil"/>
              <w:right w:val="single" w:sz="4" w:space="0" w:color="000000"/>
            </w:tcBorders>
            <w:shd w:val="clear" w:color="auto" w:fill="auto"/>
            <w:noWrap/>
            <w:hideMark/>
          </w:tcPr>
          <w:p w14:paraId="0E84CC32" w14:textId="77777777" w:rsidR="00236027" w:rsidRPr="00CD487B" w:rsidRDefault="00236027" w:rsidP="00897DE5">
            <w:pPr>
              <w:jc w:val="right"/>
              <w:rPr>
                <w:b/>
                <w:bCs/>
                <w:color w:val="000000"/>
                <w:sz w:val="16"/>
                <w:szCs w:val="16"/>
              </w:rPr>
            </w:pPr>
            <w:r w:rsidRPr="00CD487B">
              <w:rPr>
                <w:b/>
                <w:bCs/>
                <w:color w:val="000000"/>
                <w:sz w:val="16"/>
                <w:szCs w:val="16"/>
              </w:rPr>
              <w:t>-.312</w:t>
            </w:r>
            <w:r w:rsidRPr="00CD487B">
              <w:rPr>
                <w:b/>
                <w:bCs/>
                <w:color w:val="000000"/>
                <w:sz w:val="16"/>
                <w:szCs w:val="16"/>
                <w:vertAlign w:val="superscript"/>
              </w:rPr>
              <w:t>*</w:t>
            </w:r>
          </w:p>
        </w:tc>
        <w:tc>
          <w:tcPr>
            <w:tcW w:w="919" w:type="dxa"/>
            <w:tcBorders>
              <w:top w:val="nil"/>
              <w:left w:val="nil"/>
              <w:bottom w:val="nil"/>
              <w:right w:val="single" w:sz="8" w:space="0" w:color="auto"/>
            </w:tcBorders>
            <w:shd w:val="clear" w:color="auto" w:fill="auto"/>
            <w:noWrap/>
            <w:hideMark/>
          </w:tcPr>
          <w:p w14:paraId="179A5BA7" w14:textId="77777777" w:rsidR="00236027" w:rsidRPr="00CD487B" w:rsidRDefault="00236027" w:rsidP="00897DE5">
            <w:pPr>
              <w:jc w:val="right"/>
              <w:rPr>
                <w:color w:val="000000"/>
                <w:sz w:val="16"/>
                <w:szCs w:val="16"/>
              </w:rPr>
            </w:pPr>
            <w:r w:rsidRPr="00CD487B">
              <w:rPr>
                <w:color w:val="000000"/>
                <w:sz w:val="16"/>
                <w:szCs w:val="16"/>
              </w:rPr>
              <w:t>.095</w:t>
            </w:r>
          </w:p>
        </w:tc>
      </w:tr>
      <w:tr w:rsidR="000E33EB" w:rsidRPr="00CD487B" w14:paraId="27B68B76" w14:textId="77777777" w:rsidTr="00897DE5">
        <w:trPr>
          <w:trHeight w:val="402"/>
        </w:trPr>
        <w:tc>
          <w:tcPr>
            <w:tcW w:w="708" w:type="dxa"/>
            <w:vMerge/>
            <w:tcBorders>
              <w:top w:val="nil"/>
              <w:left w:val="single" w:sz="8" w:space="0" w:color="auto"/>
              <w:bottom w:val="single" w:sz="8" w:space="0" w:color="000000"/>
              <w:right w:val="nil"/>
            </w:tcBorders>
            <w:vAlign w:val="center"/>
            <w:hideMark/>
          </w:tcPr>
          <w:p w14:paraId="7818F031" w14:textId="77777777" w:rsidR="00236027" w:rsidRPr="00897DE5" w:rsidRDefault="00236027" w:rsidP="00897DE5">
            <w:pPr>
              <w:jc w:val="center"/>
              <w:rPr>
                <w:b/>
                <w:bCs/>
                <w:color w:val="FFFFFF"/>
                <w:sz w:val="16"/>
                <w:szCs w:val="16"/>
              </w:rPr>
            </w:pPr>
          </w:p>
        </w:tc>
        <w:tc>
          <w:tcPr>
            <w:tcW w:w="1012" w:type="dxa"/>
            <w:tcBorders>
              <w:top w:val="nil"/>
              <w:left w:val="nil"/>
              <w:bottom w:val="nil"/>
              <w:right w:val="single" w:sz="12" w:space="0" w:color="000000"/>
            </w:tcBorders>
            <w:shd w:val="clear" w:color="auto" w:fill="auto"/>
            <w:vAlign w:val="center"/>
            <w:hideMark/>
          </w:tcPr>
          <w:p w14:paraId="6FC375B8" w14:textId="77777777" w:rsidR="00236027" w:rsidRPr="00CD487B" w:rsidRDefault="00236027" w:rsidP="00897DE5">
            <w:pPr>
              <w:jc w:val="center"/>
              <w:rPr>
                <w:color w:val="000000"/>
                <w:sz w:val="16"/>
                <w:szCs w:val="16"/>
              </w:rPr>
            </w:pPr>
            <w:r w:rsidRPr="00897DE5">
              <w:rPr>
                <w:color w:val="000000"/>
                <w:sz w:val="16"/>
                <w:szCs w:val="16"/>
              </w:rPr>
              <w:t>Sig. (unilateral)</w:t>
            </w:r>
          </w:p>
        </w:tc>
        <w:tc>
          <w:tcPr>
            <w:tcW w:w="831" w:type="dxa"/>
            <w:tcBorders>
              <w:top w:val="nil"/>
              <w:left w:val="nil"/>
              <w:bottom w:val="nil"/>
              <w:right w:val="single" w:sz="4" w:space="0" w:color="000000"/>
            </w:tcBorders>
            <w:shd w:val="clear" w:color="auto" w:fill="auto"/>
            <w:noWrap/>
            <w:hideMark/>
          </w:tcPr>
          <w:p w14:paraId="3887FFAB" w14:textId="77777777" w:rsidR="00236027" w:rsidRPr="00CD487B" w:rsidRDefault="00236027" w:rsidP="00897DE5">
            <w:pPr>
              <w:jc w:val="right"/>
              <w:rPr>
                <w:color w:val="000000"/>
                <w:sz w:val="16"/>
                <w:szCs w:val="16"/>
              </w:rPr>
            </w:pPr>
            <w:r w:rsidRPr="00CD487B">
              <w:rPr>
                <w:color w:val="000000"/>
                <w:sz w:val="16"/>
                <w:szCs w:val="16"/>
              </w:rPr>
              <w:t>.009</w:t>
            </w:r>
          </w:p>
        </w:tc>
        <w:tc>
          <w:tcPr>
            <w:tcW w:w="851" w:type="dxa"/>
            <w:tcBorders>
              <w:top w:val="nil"/>
              <w:left w:val="nil"/>
              <w:bottom w:val="nil"/>
              <w:right w:val="single" w:sz="4" w:space="0" w:color="000000"/>
            </w:tcBorders>
            <w:shd w:val="clear" w:color="auto" w:fill="auto"/>
            <w:noWrap/>
            <w:hideMark/>
          </w:tcPr>
          <w:p w14:paraId="54680548" w14:textId="77777777" w:rsidR="00236027" w:rsidRPr="00CD487B" w:rsidRDefault="00236027" w:rsidP="00897DE5">
            <w:pPr>
              <w:jc w:val="right"/>
              <w:rPr>
                <w:color w:val="000000"/>
                <w:sz w:val="16"/>
                <w:szCs w:val="16"/>
              </w:rPr>
            </w:pPr>
            <w:r w:rsidRPr="00CD487B">
              <w:rPr>
                <w:color w:val="000000"/>
                <w:sz w:val="16"/>
                <w:szCs w:val="16"/>
              </w:rPr>
              <w:t>.148</w:t>
            </w:r>
          </w:p>
        </w:tc>
        <w:tc>
          <w:tcPr>
            <w:tcW w:w="992" w:type="dxa"/>
            <w:tcBorders>
              <w:top w:val="nil"/>
              <w:left w:val="nil"/>
              <w:bottom w:val="nil"/>
              <w:right w:val="single" w:sz="4" w:space="0" w:color="000000"/>
            </w:tcBorders>
            <w:shd w:val="clear" w:color="auto" w:fill="auto"/>
            <w:noWrap/>
            <w:hideMark/>
          </w:tcPr>
          <w:p w14:paraId="359F83E8" w14:textId="77777777" w:rsidR="00236027" w:rsidRPr="00CD487B" w:rsidRDefault="00236027" w:rsidP="00897DE5">
            <w:pPr>
              <w:jc w:val="right"/>
              <w:rPr>
                <w:color w:val="000000"/>
                <w:sz w:val="16"/>
                <w:szCs w:val="16"/>
              </w:rPr>
            </w:pPr>
            <w:r w:rsidRPr="00CD487B">
              <w:rPr>
                <w:color w:val="000000"/>
                <w:sz w:val="16"/>
                <w:szCs w:val="16"/>
              </w:rPr>
              <w:t>.493</w:t>
            </w:r>
          </w:p>
        </w:tc>
        <w:tc>
          <w:tcPr>
            <w:tcW w:w="850" w:type="dxa"/>
            <w:tcBorders>
              <w:top w:val="nil"/>
              <w:left w:val="nil"/>
              <w:bottom w:val="nil"/>
              <w:right w:val="single" w:sz="4" w:space="0" w:color="000000"/>
            </w:tcBorders>
            <w:shd w:val="clear" w:color="auto" w:fill="auto"/>
            <w:hideMark/>
          </w:tcPr>
          <w:p w14:paraId="43943293" w14:textId="77777777" w:rsidR="00236027" w:rsidRPr="00CD487B" w:rsidRDefault="00236027" w:rsidP="00897DE5">
            <w:pPr>
              <w:rPr>
                <w:color w:val="000000"/>
                <w:sz w:val="16"/>
                <w:szCs w:val="16"/>
              </w:rPr>
            </w:pPr>
            <w:r w:rsidRPr="00CD487B">
              <w:rPr>
                <w:color w:val="000000"/>
                <w:sz w:val="16"/>
                <w:szCs w:val="16"/>
              </w:rPr>
              <w:t> </w:t>
            </w:r>
          </w:p>
        </w:tc>
        <w:tc>
          <w:tcPr>
            <w:tcW w:w="993" w:type="dxa"/>
            <w:tcBorders>
              <w:top w:val="nil"/>
              <w:left w:val="nil"/>
              <w:bottom w:val="nil"/>
              <w:right w:val="single" w:sz="4" w:space="0" w:color="000000"/>
            </w:tcBorders>
            <w:shd w:val="clear" w:color="auto" w:fill="auto"/>
            <w:noWrap/>
            <w:hideMark/>
          </w:tcPr>
          <w:p w14:paraId="2764FC55" w14:textId="77777777" w:rsidR="00236027" w:rsidRPr="00CD487B" w:rsidRDefault="00236027" w:rsidP="00897DE5">
            <w:pPr>
              <w:jc w:val="right"/>
              <w:rPr>
                <w:color w:val="000000"/>
                <w:sz w:val="16"/>
                <w:szCs w:val="16"/>
              </w:rPr>
            </w:pPr>
            <w:r w:rsidRPr="00CD487B">
              <w:rPr>
                <w:color w:val="000000"/>
                <w:sz w:val="16"/>
                <w:szCs w:val="16"/>
              </w:rPr>
              <w:t>.117</w:t>
            </w:r>
          </w:p>
        </w:tc>
        <w:tc>
          <w:tcPr>
            <w:tcW w:w="992" w:type="dxa"/>
            <w:tcBorders>
              <w:top w:val="nil"/>
              <w:left w:val="nil"/>
              <w:bottom w:val="nil"/>
              <w:right w:val="single" w:sz="4" w:space="0" w:color="000000"/>
            </w:tcBorders>
            <w:shd w:val="clear" w:color="auto" w:fill="auto"/>
            <w:noWrap/>
            <w:hideMark/>
          </w:tcPr>
          <w:p w14:paraId="683114EE" w14:textId="77777777" w:rsidR="00236027" w:rsidRPr="00CD487B" w:rsidRDefault="00236027" w:rsidP="00897DE5">
            <w:pPr>
              <w:jc w:val="right"/>
              <w:rPr>
                <w:color w:val="000000"/>
                <w:sz w:val="16"/>
                <w:szCs w:val="16"/>
              </w:rPr>
            </w:pPr>
            <w:r w:rsidRPr="00CD487B">
              <w:rPr>
                <w:color w:val="000000"/>
                <w:sz w:val="16"/>
                <w:szCs w:val="16"/>
              </w:rPr>
              <w:t>.047</w:t>
            </w:r>
          </w:p>
        </w:tc>
        <w:tc>
          <w:tcPr>
            <w:tcW w:w="919" w:type="dxa"/>
            <w:tcBorders>
              <w:top w:val="nil"/>
              <w:left w:val="nil"/>
              <w:bottom w:val="nil"/>
              <w:right w:val="single" w:sz="8" w:space="0" w:color="auto"/>
            </w:tcBorders>
            <w:shd w:val="clear" w:color="auto" w:fill="auto"/>
            <w:noWrap/>
            <w:hideMark/>
          </w:tcPr>
          <w:p w14:paraId="3DFCD650" w14:textId="77777777" w:rsidR="00236027" w:rsidRPr="00CD487B" w:rsidRDefault="00236027" w:rsidP="00897DE5">
            <w:pPr>
              <w:jc w:val="right"/>
              <w:rPr>
                <w:color w:val="000000"/>
                <w:sz w:val="16"/>
                <w:szCs w:val="16"/>
              </w:rPr>
            </w:pPr>
            <w:r w:rsidRPr="00CD487B">
              <w:rPr>
                <w:color w:val="000000"/>
                <w:sz w:val="16"/>
                <w:szCs w:val="16"/>
              </w:rPr>
              <w:t>.308</w:t>
            </w:r>
          </w:p>
        </w:tc>
      </w:tr>
      <w:tr w:rsidR="000E33EB" w:rsidRPr="00897DE5" w14:paraId="3811E3C1" w14:textId="77777777" w:rsidTr="00897DE5">
        <w:trPr>
          <w:trHeight w:val="224"/>
        </w:trPr>
        <w:tc>
          <w:tcPr>
            <w:tcW w:w="708" w:type="dxa"/>
            <w:vMerge/>
            <w:tcBorders>
              <w:top w:val="nil"/>
              <w:left w:val="single" w:sz="8" w:space="0" w:color="auto"/>
              <w:bottom w:val="single" w:sz="8" w:space="0" w:color="000000"/>
              <w:right w:val="nil"/>
            </w:tcBorders>
            <w:vAlign w:val="center"/>
            <w:hideMark/>
          </w:tcPr>
          <w:p w14:paraId="211103E3" w14:textId="77777777" w:rsidR="00236027" w:rsidRPr="00897DE5" w:rsidRDefault="00236027" w:rsidP="00897DE5">
            <w:pPr>
              <w:jc w:val="center"/>
              <w:rPr>
                <w:b/>
                <w:bCs/>
                <w:color w:val="FFFFFF"/>
                <w:sz w:val="16"/>
                <w:szCs w:val="16"/>
              </w:rPr>
            </w:pPr>
          </w:p>
        </w:tc>
        <w:tc>
          <w:tcPr>
            <w:tcW w:w="1012" w:type="dxa"/>
            <w:tcBorders>
              <w:top w:val="nil"/>
              <w:left w:val="nil"/>
              <w:bottom w:val="single" w:sz="8" w:space="0" w:color="auto"/>
              <w:right w:val="single" w:sz="12" w:space="0" w:color="000000"/>
            </w:tcBorders>
            <w:shd w:val="clear" w:color="auto" w:fill="auto"/>
            <w:vAlign w:val="center"/>
            <w:hideMark/>
          </w:tcPr>
          <w:p w14:paraId="24CEE306" w14:textId="77777777" w:rsidR="00236027" w:rsidRPr="00CD487B" w:rsidRDefault="00236027" w:rsidP="00897DE5">
            <w:pPr>
              <w:jc w:val="center"/>
              <w:rPr>
                <w:color w:val="000000"/>
                <w:sz w:val="16"/>
                <w:szCs w:val="16"/>
              </w:rPr>
            </w:pPr>
            <w:r w:rsidRPr="00897DE5">
              <w:rPr>
                <w:color w:val="000000"/>
                <w:sz w:val="16"/>
                <w:szCs w:val="16"/>
              </w:rPr>
              <w:t>N</w:t>
            </w:r>
          </w:p>
        </w:tc>
        <w:tc>
          <w:tcPr>
            <w:tcW w:w="831" w:type="dxa"/>
            <w:tcBorders>
              <w:top w:val="nil"/>
              <w:left w:val="nil"/>
              <w:bottom w:val="single" w:sz="8" w:space="0" w:color="auto"/>
              <w:right w:val="single" w:sz="4" w:space="0" w:color="000000"/>
            </w:tcBorders>
            <w:shd w:val="clear" w:color="auto" w:fill="auto"/>
            <w:noWrap/>
            <w:hideMark/>
          </w:tcPr>
          <w:p w14:paraId="2FE82291" w14:textId="77777777" w:rsidR="00236027" w:rsidRPr="00CD487B" w:rsidRDefault="00236027" w:rsidP="00897DE5">
            <w:pPr>
              <w:jc w:val="right"/>
              <w:rPr>
                <w:color w:val="000000"/>
                <w:sz w:val="16"/>
                <w:szCs w:val="16"/>
              </w:rPr>
            </w:pPr>
            <w:r w:rsidRPr="00CD487B">
              <w:rPr>
                <w:color w:val="000000"/>
                <w:sz w:val="16"/>
                <w:szCs w:val="16"/>
              </w:rPr>
              <w:t>30</w:t>
            </w:r>
          </w:p>
        </w:tc>
        <w:tc>
          <w:tcPr>
            <w:tcW w:w="851" w:type="dxa"/>
            <w:tcBorders>
              <w:top w:val="nil"/>
              <w:left w:val="nil"/>
              <w:bottom w:val="single" w:sz="8" w:space="0" w:color="auto"/>
              <w:right w:val="single" w:sz="4" w:space="0" w:color="000000"/>
            </w:tcBorders>
            <w:shd w:val="clear" w:color="auto" w:fill="auto"/>
            <w:noWrap/>
            <w:hideMark/>
          </w:tcPr>
          <w:p w14:paraId="7782CFCB" w14:textId="77777777" w:rsidR="00236027" w:rsidRPr="00CD487B" w:rsidRDefault="00236027" w:rsidP="00897DE5">
            <w:pPr>
              <w:jc w:val="right"/>
              <w:rPr>
                <w:color w:val="000000"/>
                <w:sz w:val="16"/>
                <w:szCs w:val="16"/>
              </w:rPr>
            </w:pPr>
            <w:r w:rsidRPr="00CD487B">
              <w:rPr>
                <w:color w:val="000000"/>
                <w:sz w:val="16"/>
                <w:szCs w:val="16"/>
              </w:rPr>
              <w:t>30</w:t>
            </w:r>
          </w:p>
        </w:tc>
        <w:tc>
          <w:tcPr>
            <w:tcW w:w="992" w:type="dxa"/>
            <w:tcBorders>
              <w:top w:val="nil"/>
              <w:left w:val="nil"/>
              <w:bottom w:val="single" w:sz="8" w:space="0" w:color="auto"/>
              <w:right w:val="single" w:sz="4" w:space="0" w:color="000000"/>
            </w:tcBorders>
            <w:shd w:val="clear" w:color="auto" w:fill="auto"/>
            <w:noWrap/>
            <w:hideMark/>
          </w:tcPr>
          <w:p w14:paraId="706A84A5" w14:textId="77777777" w:rsidR="00236027" w:rsidRPr="00CD487B" w:rsidRDefault="00236027" w:rsidP="00897DE5">
            <w:pPr>
              <w:jc w:val="right"/>
              <w:rPr>
                <w:color w:val="000000"/>
                <w:sz w:val="16"/>
                <w:szCs w:val="16"/>
              </w:rPr>
            </w:pPr>
            <w:r w:rsidRPr="00CD487B">
              <w:rPr>
                <w:color w:val="000000"/>
                <w:sz w:val="16"/>
                <w:szCs w:val="16"/>
              </w:rPr>
              <w:t>30</w:t>
            </w:r>
          </w:p>
        </w:tc>
        <w:tc>
          <w:tcPr>
            <w:tcW w:w="850" w:type="dxa"/>
            <w:tcBorders>
              <w:top w:val="nil"/>
              <w:left w:val="nil"/>
              <w:bottom w:val="single" w:sz="8" w:space="0" w:color="auto"/>
              <w:right w:val="single" w:sz="4" w:space="0" w:color="000000"/>
            </w:tcBorders>
            <w:shd w:val="clear" w:color="auto" w:fill="auto"/>
            <w:noWrap/>
            <w:hideMark/>
          </w:tcPr>
          <w:p w14:paraId="416FAF58" w14:textId="77777777" w:rsidR="00236027" w:rsidRPr="00CD487B" w:rsidRDefault="00236027" w:rsidP="00897DE5">
            <w:pPr>
              <w:jc w:val="right"/>
              <w:rPr>
                <w:color w:val="000000"/>
                <w:sz w:val="16"/>
                <w:szCs w:val="16"/>
              </w:rPr>
            </w:pPr>
            <w:r w:rsidRPr="00CD487B">
              <w:rPr>
                <w:color w:val="000000"/>
                <w:sz w:val="16"/>
                <w:szCs w:val="16"/>
              </w:rPr>
              <w:t>30</w:t>
            </w:r>
          </w:p>
        </w:tc>
        <w:tc>
          <w:tcPr>
            <w:tcW w:w="993" w:type="dxa"/>
            <w:tcBorders>
              <w:top w:val="nil"/>
              <w:left w:val="nil"/>
              <w:bottom w:val="single" w:sz="8" w:space="0" w:color="auto"/>
              <w:right w:val="single" w:sz="4" w:space="0" w:color="000000"/>
            </w:tcBorders>
            <w:shd w:val="clear" w:color="auto" w:fill="auto"/>
            <w:noWrap/>
            <w:hideMark/>
          </w:tcPr>
          <w:p w14:paraId="74A6911E" w14:textId="77777777" w:rsidR="00236027" w:rsidRPr="00CD487B" w:rsidRDefault="00236027" w:rsidP="00897DE5">
            <w:pPr>
              <w:jc w:val="right"/>
              <w:rPr>
                <w:color w:val="000000"/>
                <w:sz w:val="16"/>
                <w:szCs w:val="16"/>
              </w:rPr>
            </w:pPr>
            <w:r w:rsidRPr="00CD487B">
              <w:rPr>
                <w:color w:val="000000"/>
                <w:sz w:val="16"/>
                <w:szCs w:val="16"/>
              </w:rPr>
              <w:t>30</w:t>
            </w:r>
          </w:p>
        </w:tc>
        <w:tc>
          <w:tcPr>
            <w:tcW w:w="992" w:type="dxa"/>
            <w:tcBorders>
              <w:top w:val="nil"/>
              <w:left w:val="nil"/>
              <w:bottom w:val="single" w:sz="8" w:space="0" w:color="auto"/>
              <w:right w:val="single" w:sz="4" w:space="0" w:color="000000"/>
            </w:tcBorders>
            <w:shd w:val="clear" w:color="auto" w:fill="auto"/>
            <w:noWrap/>
            <w:hideMark/>
          </w:tcPr>
          <w:p w14:paraId="351A170C" w14:textId="77777777" w:rsidR="00236027" w:rsidRPr="00CD487B" w:rsidRDefault="00236027" w:rsidP="00897DE5">
            <w:pPr>
              <w:jc w:val="right"/>
              <w:rPr>
                <w:color w:val="000000"/>
                <w:sz w:val="16"/>
                <w:szCs w:val="16"/>
              </w:rPr>
            </w:pPr>
            <w:r w:rsidRPr="00CD487B">
              <w:rPr>
                <w:color w:val="000000"/>
                <w:sz w:val="16"/>
                <w:szCs w:val="16"/>
              </w:rPr>
              <w:t>30</w:t>
            </w:r>
          </w:p>
        </w:tc>
        <w:tc>
          <w:tcPr>
            <w:tcW w:w="919" w:type="dxa"/>
            <w:tcBorders>
              <w:top w:val="nil"/>
              <w:left w:val="nil"/>
              <w:bottom w:val="single" w:sz="8" w:space="0" w:color="auto"/>
              <w:right w:val="single" w:sz="8" w:space="0" w:color="auto"/>
            </w:tcBorders>
            <w:shd w:val="clear" w:color="auto" w:fill="auto"/>
            <w:noWrap/>
            <w:hideMark/>
          </w:tcPr>
          <w:p w14:paraId="44F2F79C" w14:textId="77777777" w:rsidR="00236027" w:rsidRPr="00CD487B" w:rsidRDefault="00236027" w:rsidP="00897DE5">
            <w:pPr>
              <w:jc w:val="right"/>
              <w:rPr>
                <w:color w:val="000000"/>
                <w:sz w:val="16"/>
                <w:szCs w:val="16"/>
              </w:rPr>
            </w:pPr>
            <w:r w:rsidRPr="00CD487B">
              <w:rPr>
                <w:color w:val="000000"/>
                <w:sz w:val="16"/>
                <w:szCs w:val="16"/>
              </w:rPr>
              <w:t>30</w:t>
            </w:r>
          </w:p>
        </w:tc>
      </w:tr>
      <w:tr w:rsidR="000E33EB" w:rsidRPr="00897DE5" w14:paraId="084AF01E" w14:textId="77777777" w:rsidTr="00897DE5">
        <w:trPr>
          <w:trHeight w:val="480"/>
        </w:trPr>
        <w:tc>
          <w:tcPr>
            <w:tcW w:w="708" w:type="dxa"/>
            <w:vMerge w:val="restart"/>
            <w:tcBorders>
              <w:top w:val="nil"/>
              <w:left w:val="single" w:sz="8" w:space="0" w:color="auto"/>
              <w:bottom w:val="single" w:sz="8" w:space="0" w:color="000000"/>
              <w:right w:val="nil"/>
            </w:tcBorders>
            <w:shd w:val="clear" w:color="000000" w:fill="000000"/>
            <w:vAlign w:val="center"/>
            <w:hideMark/>
          </w:tcPr>
          <w:p w14:paraId="215B32EA" w14:textId="77777777" w:rsidR="00236027" w:rsidRPr="00897DE5" w:rsidRDefault="004F1F33" w:rsidP="00897DE5">
            <w:pPr>
              <w:jc w:val="center"/>
              <w:rPr>
                <w:b/>
                <w:bCs/>
                <w:color w:val="FFFFFF"/>
                <w:sz w:val="16"/>
                <w:szCs w:val="16"/>
              </w:rPr>
            </w:pPr>
            <w:r w:rsidRPr="00897DE5">
              <w:rPr>
                <w:b/>
                <w:bCs/>
                <w:color w:val="FFFFFF"/>
                <w:sz w:val="16"/>
                <w:szCs w:val="16"/>
              </w:rPr>
              <w:t>PP</w:t>
            </w:r>
            <w:r w:rsidR="000E33EB" w:rsidRPr="00897DE5">
              <w:rPr>
                <w:b/>
                <w:bCs/>
                <w:color w:val="FFFFFF"/>
                <w:sz w:val="16"/>
                <w:szCs w:val="16"/>
              </w:rPr>
              <w:t>A</w:t>
            </w:r>
          </w:p>
        </w:tc>
        <w:tc>
          <w:tcPr>
            <w:tcW w:w="1012" w:type="dxa"/>
            <w:tcBorders>
              <w:top w:val="nil"/>
              <w:left w:val="nil"/>
              <w:bottom w:val="nil"/>
              <w:right w:val="single" w:sz="12" w:space="0" w:color="000000"/>
            </w:tcBorders>
            <w:shd w:val="clear" w:color="000000" w:fill="D9D9D9"/>
            <w:vAlign w:val="center"/>
            <w:hideMark/>
          </w:tcPr>
          <w:p w14:paraId="42BCFFA4" w14:textId="77777777" w:rsidR="00236027" w:rsidRPr="00897DE5" w:rsidRDefault="00236027" w:rsidP="00897DE5">
            <w:pPr>
              <w:jc w:val="center"/>
              <w:rPr>
                <w:color w:val="000000"/>
                <w:sz w:val="16"/>
                <w:szCs w:val="16"/>
              </w:rPr>
            </w:pPr>
            <w:r w:rsidRPr="00897DE5">
              <w:rPr>
                <w:color w:val="000000"/>
                <w:sz w:val="16"/>
                <w:szCs w:val="16"/>
              </w:rPr>
              <w:t>Correlación de Pearson</w:t>
            </w:r>
          </w:p>
        </w:tc>
        <w:tc>
          <w:tcPr>
            <w:tcW w:w="831" w:type="dxa"/>
            <w:tcBorders>
              <w:top w:val="nil"/>
              <w:left w:val="nil"/>
              <w:bottom w:val="nil"/>
              <w:right w:val="single" w:sz="4" w:space="0" w:color="000000"/>
            </w:tcBorders>
            <w:shd w:val="clear" w:color="000000" w:fill="D9D9D9"/>
            <w:noWrap/>
            <w:hideMark/>
          </w:tcPr>
          <w:p w14:paraId="67A81F1A" w14:textId="77777777" w:rsidR="00236027" w:rsidRPr="00897DE5" w:rsidRDefault="00236027" w:rsidP="00897DE5">
            <w:pPr>
              <w:jc w:val="right"/>
              <w:rPr>
                <w:color w:val="000000"/>
                <w:sz w:val="16"/>
                <w:szCs w:val="16"/>
              </w:rPr>
            </w:pPr>
            <w:r w:rsidRPr="00897DE5">
              <w:rPr>
                <w:color w:val="000000"/>
                <w:sz w:val="16"/>
                <w:szCs w:val="16"/>
              </w:rPr>
              <w:t>.120</w:t>
            </w:r>
          </w:p>
        </w:tc>
        <w:tc>
          <w:tcPr>
            <w:tcW w:w="851" w:type="dxa"/>
            <w:tcBorders>
              <w:top w:val="nil"/>
              <w:left w:val="nil"/>
              <w:bottom w:val="nil"/>
              <w:right w:val="single" w:sz="4" w:space="0" w:color="000000"/>
            </w:tcBorders>
            <w:shd w:val="clear" w:color="000000" w:fill="D9D9D9"/>
            <w:noWrap/>
            <w:hideMark/>
          </w:tcPr>
          <w:p w14:paraId="37BE1132" w14:textId="77777777" w:rsidR="00236027" w:rsidRPr="00897DE5" w:rsidRDefault="00236027" w:rsidP="00897DE5">
            <w:pPr>
              <w:jc w:val="right"/>
              <w:rPr>
                <w:color w:val="000000"/>
                <w:sz w:val="16"/>
                <w:szCs w:val="16"/>
              </w:rPr>
            </w:pPr>
            <w:r w:rsidRPr="00897DE5">
              <w:rPr>
                <w:color w:val="000000"/>
                <w:sz w:val="16"/>
                <w:szCs w:val="16"/>
              </w:rPr>
              <w:t>.064</w:t>
            </w:r>
          </w:p>
        </w:tc>
        <w:tc>
          <w:tcPr>
            <w:tcW w:w="992" w:type="dxa"/>
            <w:tcBorders>
              <w:top w:val="nil"/>
              <w:left w:val="nil"/>
              <w:bottom w:val="nil"/>
              <w:right w:val="single" w:sz="4" w:space="0" w:color="000000"/>
            </w:tcBorders>
            <w:shd w:val="clear" w:color="000000" w:fill="D9D9D9"/>
            <w:noWrap/>
            <w:hideMark/>
          </w:tcPr>
          <w:p w14:paraId="11A68275" w14:textId="77777777" w:rsidR="00236027" w:rsidRPr="00897DE5" w:rsidRDefault="00236027" w:rsidP="00897DE5">
            <w:pPr>
              <w:jc w:val="right"/>
              <w:rPr>
                <w:color w:val="000000"/>
                <w:sz w:val="16"/>
                <w:szCs w:val="16"/>
              </w:rPr>
            </w:pPr>
            <w:r w:rsidRPr="00897DE5">
              <w:rPr>
                <w:color w:val="000000"/>
                <w:sz w:val="16"/>
                <w:szCs w:val="16"/>
              </w:rPr>
              <w:t>.355</w:t>
            </w:r>
            <w:r w:rsidRPr="00897DE5">
              <w:rPr>
                <w:color w:val="000000"/>
                <w:sz w:val="16"/>
                <w:szCs w:val="16"/>
                <w:vertAlign w:val="superscript"/>
              </w:rPr>
              <w:t>*</w:t>
            </w:r>
          </w:p>
        </w:tc>
        <w:tc>
          <w:tcPr>
            <w:tcW w:w="850" w:type="dxa"/>
            <w:tcBorders>
              <w:top w:val="nil"/>
              <w:left w:val="nil"/>
              <w:bottom w:val="nil"/>
              <w:right w:val="single" w:sz="4" w:space="0" w:color="000000"/>
            </w:tcBorders>
            <w:shd w:val="clear" w:color="000000" w:fill="D9D9D9"/>
            <w:noWrap/>
            <w:hideMark/>
          </w:tcPr>
          <w:p w14:paraId="3BE78D6F" w14:textId="77777777" w:rsidR="00236027" w:rsidRPr="00897DE5" w:rsidRDefault="00236027" w:rsidP="00897DE5">
            <w:pPr>
              <w:jc w:val="right"/>
              <w:rPr>
                <w:color w:val="000000"/>
                <w:sz w:val="16"/>
                <w:szCs w:val="16"/>
              </w:rPr>
            </w:pPr>
            <w:r w:rsidRPr="00897DE5">
              <w:rPr>
                <w:color w:val="000000"/>
                <w:sz w:val="16"/>
                <w:szCs w:val="16"/>
              </w:rPr>
              <w:t>.224</w:t>
            </w:r>
          </w:p>
        </w:tc>
        <w:tc>
          <w:tcPr>
            <w:tcW w:w="993" w:type="dxa"/>
            <w:tcBorders>
              <w:top w:val="nil"/>
              <w:left w:val="nil"/>
              <w:bottom w:val="nil"/>
              <w:right w:val="single" w:sz="4" w:space="0" w:color="000000"/>
            </w:tcBorders>
            <w:shd w:val="clear" w:color="000000" w:fill="D9D9D9"/>
            <w:noWrap/>
            <w:hideMark/>
          </w:tcPr>
          <w:p w14:paraId="3D29A760" w14:textId="77777777" w:rsidR="00236027" w:rsidRPr="00897DE5" w:rsidRDefault="00236027" w:rsidP="00897DE5">
            <w:pPr>
              <w:jc w:val="right"/>
              <w:rPr>
                <w:color w:val="000000"/>
                <w:sz w:val="16"/>
                <w:szCs w:val="16"/>
              </w:rPr>
            </w:pPr>
            <w:r w:rsidRPr="00897DE5">
              <w:rPr>
                <w:color w:val="000000"/>
                <w:sz w:val="16"/>
                <w:szCs w:val="16"/>
              </w:rPr>
              <w:t>1</w:t>
            </w:r>
          </w:p>
        </w:tc>
        <w:tc>
          <w:tcPr>
            <w:tcW w:w="992" w:type="dxa"/>
            <w:tcBorders>
              <w:top w:val="nil"/>
              <w:left w:val="nil"/>
              <w:bottom w:val="nil"/>
              <w:right w:val="single" w:sz="4" w:space="0" w:color="000000"/>
            </w:tcBorders>
            <w:shd w:val="clear" w:color="000000" w:fill="D9D9D9"/>
            <w:noWrap/>
            <w:hideMark/>
          </w:tcPr>
          <w:p w14:paraId="0206F5BB" w14:textId="77777777" w:rsidR="00236027" w:rsidRPr="00897DE5" w:rsidRDefault="00236027" w:rsidP="00897DE5">
            <w:pPr>
              <w:jc w:val="right"/>
              <w:rPr>
                <w:color w:val="000000"/>
                <w:sz w:val="16"/>
                <w:szCs w:val="16"/>
              </w:rPr>
            </w:pPr>
            <w:r w:rsidRPr="00897DE5">
              <w:rPr>
                <w:color w:val="000000"/>
                <w:sz w:val="16"/>
                <w:szCs w:val="16"/>
              </w:rPr>
              <w:t>.151</w:t>
            </w:r>
          </w:p>
        </w:tc>
        <w:tc>
          <w:tcPr>
            <w:tcW w:w="919" w:type="dxa"/>
            <w:tcBorders>
              <w:top w:val="nil"/>
              <w:left w:val="nil"/>
              <w:bottom w:val="nil"/>
              <w:right w:val="single" w:sz="8" w:space="0" w:color="auto"/>
            </w:tcBorders>
            <w:shd w:val="clear" w:color="000000" w:fill="D9D9D9"/>
            <w:noWrap/>
            <w:hideMark/>
          </w:tcPr>
          <w:p w14:paraId="600DB0F7" w14:textId="77777777" w:rsidR="00236027" w:rsidRPr="00897DE5" w:rsidRDefault="00236027" w:rsidP="00897DE5">
            <w:pPr>
              <w:jc w:val="right"/>
              <w:rPr>
                <w:color w:val="000000"/>
                <w:sz w:val="16"/>
                <w:szCs w:val="16"/>
              </w:rPr>
            </w:pPr>
            <w:r w:rsidRPr="00897DE5">
              <w:rPr>
                <w:color w:val="000000"/>
                <w:sz w:val="16"/>
                <w:szCs w:val="16"/>
              </w:rPr>
              <w:t>.244</w:t>
            </w:r>
          </w:p>
        </w:tc>
      </w:tr>
      <w:tr w:rsidR="000E33EB" w:rsidRPr="00CD487B" w14:paraId="4930AF80" w14:textId="77777777" w:rsidTr="00897DE5">
        <w:trPr>
          <w:trHeight w:val="480"/>
        </w:trPr>
        <w:tc>
          <w:tcPr>
            <w:tcW w:w="708" w:type="dxa"/>
            <w:vMerge/>
            <w:tcBorders>
              <w:top w:val="nil"/>
              <w:left w:val="single" w:sz="8" w:space="0" w:color="auto"/>
              <w:bottom w:val="single" w:sz="8" w:space="0" w:color="000000"/>
              <w:right w:val="nil"/>
            </w:tcBorders>
            <w:vAlign w:val="center"/>
            <w:hideMark/>
          </w:tcPr>
          <w:p w14:paraId="3DEA6718" w14:textId="77777777" w:rsidR="00236027" w:rsidRPr="00897DE5" w:rsidRDefault="00236027" w:rsidP="00897DE5">
            <w:pPr>
              <w:jc w:val="center"/>
              <w:rPr>
                <w:b/>
                <w:bCs/>
                <w:color w:val="FFFFFF"/>
                <w:sz w:val="16"/>
                <w:szCs w:val="16"/>
              </w:rPr>
            </w:pPr>
          </w:p>
        </w:tc>
        <w:tc>
          <w:tcPr>
            <w:tcW w:w="1012" w:type="dxa"/>
            <w:tcBorders>
              <w:top w:val="nil"/>
              <w:left w:val="nil"/>
              <w:bottom w:val="nil"/>
              <w:right w:val="single" w:sz="12" w:space="0" w:color="000000"/>
            </w:tcBorders>
            <w:shd w:val="clear" w:color="000000" w:fill="D9D9D9"/>
            <w:vAlign w:val="center"/>
            <w:hideMark/>
          </w:tcPr>
          <w:p w14:paraId="6481E666" w14:textId="77777777" w:rsidR="00236027" w:rsidRPr="00CD487B" w:rsidRDefault="00236027" w:rsidP="00897DE5">
            <w:pPr>
              <w:jc w:val="center"/>
              <w:rPr>
                <w:color w:val="000000"/>
                <w:sz w:val="16"/>
                <w:szCs w:val="16"/>
              </w:rPr>
            </w:pPr>
            <w:r w:rsidRPr="00897DE5">
              <w:rPr>
                <w:color w:val="000000"/>
                <w:sz w:val="16"/>
                <w:szCs w:val="16"/>
              </w:rPr>
              <w:t>Sig. (unilateral)</w:t>
            </w:r>
          </w:p>
        </w:tc>
        <w:tc>
          <w:tcPr>
            <w:tcW w:w="831" w:type="dxa"/>
            <w:tcBorders>
              <w:top w:val="nil"/>
              <w:left w:val="nil"/>
              <w:bottom w:val="nil"/>
              <w:right w:val="single" w:sz="4" w:space="0" w:color="000000"/>
            </w:tcBorders>
            <w:shd w:val="clear" w:color="000000" w:fill="D9D9D9"/>
            <w:noWrap/>
            <w:hideMark/>
          </w:tcPr>
          <w:p w14:paraId="6670B95C" w14:textId="77777777" w:rsidR="00236027" w:rsidRPr="00CD487B" w:rsidRDefault="00236027" w:rsidP="00897DE5">
            <w:pPr>
              <w:jc w:val="right"/>
              <w:rPr>
                <w:color w:val="000000"/>
                <w:sz w:val="16"/>
                <w:szCs w:val="16"/>
              </w:rPr>
            </w:pPr>
            <w:r w:rsidRPr="00CD487B">
              <w:rPr>
                <w:color w:val="000000"/>
                <w:sz w:val="16"/>
                <w:szCs w:val="16"/>
              </w:rPr>
              <w:t>.263</w:t>
            </w:r>
          </w:p>
        </w:tc>
        <w:tc>
          <w:tcPr>
            <w:tcW w:w="851" w:type="dxa"/>
            <w:tcBorders>
              <w:top w:val="nil"/>
              <w:left w:val="nil"/>
              <w:bottom w:val="nil"/>
              <w:right w:val="single" w:sz="4" w:space="0" w:color="000000"/>
            </w:tcBorders>
            <w:shd w:val="clear" w:color="000000" w:fill="D9D9D9"/>
            <w:noWrap/>
            <w:hideMark/>
          </w:tcPr>
          <w:p w14:paraId="0D83E441" w14:textId="77777777" w:rsidR="00236027" w:rsidRPr="00CD487B" w:rsidRDefault="00236027" w:rsidP="00897DE5">
            <w:pPr>
              <w:jc w:val="right"/>
              <w:rPr>
                <w:color w:val="000000"/>
                <w:sz w:val="16"/>
                <w:szCs w:val="16"/>
              </w:rPr>
            </w:pPr>
            <w:r w:rsidRPr="00CD487B">
              <w:rPr>
                <w:color w:val="000000"/>
                <w:sz w:val="16"/>
                <w:szCs w:val="16"/>
              </w:rPr>
              <w:t>.369</w:t>
            </w:r>
          </w:p>
        </w:tc>
        <w:tc>
          <w:tcPr>
            <w:tcW w:w="992" w:type="dxa"/>
            <w:tcBorders>
              <w:top w:val="nil"/>
              <w:left w:val="nil"/>
              <w:bottom w:val="nil"/>
              <w:right w:val="single" w:sz="4" w:space="0" w:color="000000"/>
            </w:tcBorders>
            <w:shd w:val="clear" w:color="000000" w:fill="D9D9D9"/>
            <w:noWrap/>
            <w:hideMark/>
          </w:tcPr>
          <w:p w14:paraId="17D83F53" w14:textId="77777777" w:rsidR="00236027" w:rsidRPr="00CD487B" w:rsidRDefault="00236027" w:rsidP="00897DE5">
            <w:pPr>
              <w:jc w:val="right"/>
              <w:rPr>
                <w:color w:val="000000"/>
                <w:sz w:val="16"/>
                <w:szCs w:val="16"/>
              </w:rPr>
            </w:pPr>
            <w:r w:rsidRPr="00CD487B">
              <w:rPr>
                <w:color w:val="000000"/>
                <w:sz w:val="16"/>
                <w:szCs w:val="16"/>
              </w:rPr>
              <w:t>.027</w:t>
            </w:r>
          </w:p>
        </w:tc>
        <w:tc>
          <w:tcPr>
            <w:tcW w:w="850" w:type="dxa"/>
            <w:tcBorders>
              <w:top w:val="nil"/>
              <w:left w:val="nil"/>
              <w:bottom w:val="nil"/>
              <w:right w:val="single" w:sz="4" w:space="0" w:color="000000"/>
            </w:tcBorders>
            <w:shd w:val="clear" w:color="000000" w:fill="D9D9D9"/>
            <w:noWrap/>
            <w:hideMark/>
          </w:tcPr>
          <w:p w14:paraId="5E01FEFC" w14:textId="77777777" w:rsidR="00236027" w:rsidRPr="00CD487B" w:rsidRDefault="00236027" w:rsidP="00897DE5">
            <w:pPr>
              <w:jc w:val="right"/>
              <w:rPr>
                <w:color w:val="000000"/>
                <w:sz w:val="16"/>
                <w:szCs w:val="16"/>
              </w:rPr>
            </w:pPr>
            <w:r w:rsidRPr="00CD487B">
              <w:rPr>
                <w:color w:val="000000"/>
                <w:sz w:val="16"/>
                <w:szCs w:val="16"/>
              </w:rPr>
              <w:t>.117</w:t>
            </w:r>
          </w:p>
        </w:tc>
        <w:tc>
          <w:tcPr>
            <w:tcW w:w="993" w:type="dxa"/>
            <w:tcBorders>
              <w:top w:val="nil"/>
              <w:left w:val="nil"/>
              <w:bottom w:val="nil"/>
              <w:right w:val="single" w:sz="4" w:space="0" w:color="000000"/>
            </w:tcBorders>
            <w:shd w:val="clear" w:color="000000" w:fill="D9D9D9"/>
            <w:hideMark/>
          </w:tcPr>
          <w:p w14:paraId="0D9FED5B" w14:textId="77777777" w:rsidR="00236027" w:rsidRPr="00CD487B" w:rsidRDefault="00236027" w:rsidP="00897DE5">
            <w:pPr>
              <w:rPr>
                <w:color w:val="000000"/>
                <w:sz w:val="16"/>
                <w:szCs w:val="16"/>
              </w:rPr>
            </w:pPr>
            <w:r w:rsidRPr="00CD487B">
              <w:rPr>
                <w:color w:val="000000"/>
                <w:sz w:val="16"/>
                <w:szCs w:val="16"/>
              </w:rPr>
              <w:t> </w:t>
            </w:r>
          </w:p>
        </w:tc>
        <w:tc>
          <w:tcPr>
            <w:tcW w:w="992" w:type="dxa"/>
            <w:tcBorders>
              <w:top w:val="nil"/>
              <w:left w:val="nil"/>
              <w:bottom w:val="nil"/>
              <w:right w:val="single" w:sz="4" w:space="0" w:color="000000"/>
            </w:tcBorders>
            <w:shd w:val="clear" w:color="000000" w:fill="D9D9D9"/>
            <w:noWrap/>
            <w:hideMark/>
          </w:tcPr>
          <w:p w14:paraId="4B616D70" w14:textId="77777777" w:rsidR="00236027" w:rsidRPr="00CD487B" w:rsidRDefault="00236027" w:rsidP="00897DE5">
            <w:pPr>
              <w:jc w:val="right"/>
              <w:rPr>
                <w:color w:val="000000"/>
                <w:sz w:val="16"/>
                <w:szCs w:val="16"/>
              </w:rPr>
            </w:pPr>
            <w:r w:rsidRPr="00CD487B">
              <w:rPr>
                <w:color w:val="000000"/>
                <w:sz w:val="16"/>
                <w:szCs w:val="16"/>
              </w:rPr>
              <w:t>.186</w:t>
            </w:r>
          </w:p>
        </w:tc>
        <w:tc>
          <w:tcPr>
            <w:tcW w:w="919" w:type="dxa"/>
            <w:tcBorders>
              <w:top w:val="nil"/>
              <w:left w:val="nil"/>
              <w:bottom w:val="nil"/>
              <w:right w:val="single" w:sz="8" w:space="0" w:color="auto"/>
            </w:tcBorders>
            <w:shd w:val="clear" w:color="000000" w:fill="D9D9D9"/>
            <w:noWrap/>
            <w:hideMark/>
          </w:tcPr>
          <w:p w14:paraId="73B0300F" w14:textId="77777777" w:rsidR="00236027" w:rsidRPr="00CD487B" w:rsidRDefault="00236027" w:rsidP="00897DE5">
            <w:pPr>
              <w:jc w:val="right"/>
              <w:rPr>
                <w:color w:val="000000"/>
                <w:sz w:val="16"/>
                <w:szCs w:val="16"/>
              </w:rPr>
            </w:pPr>
            <w:r w:rsidRPr="00CD487B">
              <w:rPr>
                <w:color w:val="000000"/>
                <w:sz w:val="16"/>
                <w:szCs w:val="16"/>
              </w:rPr>
              <w:t>.073</w:t>
            </w:r>
          </w:p>
        </w:tc>
      </w:tr>
      <w:tr w:rsidR="000E33EB" w:rsidRPr="00897DE5" w14:paraId="19F3F5E0" w14:textId="77777777" w:rsidTr="00897DE5">
        <w:trPr>
          <w:trHeight w:val="256"/>
        </w:trPr>
        <w:tc>
          <w:tcPr>
            <w:tcW w:w="708" w:type="dxa"/>
            <w:vMerge/>
            <w:tcBorders>
              <w:top w:val="nil"/>
              <w:left w:val="single" w:sz="8" w:space="0" w:color="auto"/>
              <w:bottom w:val="single" w:sz="8" w:space="0" w:color="000000"/>
              <w:right w:val="nil"/>
            </w:tcBorders>
            <w:vAlign w:val="center"/>
            <w:hideMark/>
          </w:tcPr>
          <w:p w14:paraId="6BC9ABAC" w14:textId="77777777" w:rsidR="00236027" w:rsidRPr="00897DE5" w:rsidRDefault="00236027" w:rsidP="00897DE5">
            <w:pPr>
              <w:jc w:val="center"/>
              <w:rPr>
                <w:b/>
                <w:bCs/>
                <w:color w:val="FFFFFF"/>
                <w:sz w:val="16"/>
                <w:szCs w:val="16"/>
              </w:rPr>
            </w:pPr>
          </w:p>
        </w:tc>
        <w:tc>
          <w:tcPr>
            <w:tcW w:w="1012" w:type="dxa"/>
            <w:tcBorders>
              <w:top w:val="nil"/>
              <w:left w:val="nil"/>
              <w:bottom w:val="single" w:sz="8" w:space="0" w:color="auto"/>
              <w:right w:val="single" w:sz="12" w:space="0" w:color="000000"/>
            </w:tcBorders>
            <w:shd w:val="clear" w:color="000000" w:fill="D9D9D9"/>
            <w:vAlign w:val="center"/>
            <w:hideMark/>
          </w:tcPr>
          <w:p w14:paraId="32CBCE16" w14:textId="77777777" w:rsidR="00236027" w:rsidRPr="00897DE5" w:rsidRDefault="00236027" w:rsidP="00897DE5">
            <w:pPr>
              <w:jc w:val="center"/>
              <w:rPr>
                <w:color w:val="000000"/>
                <w:sz w:val="16"/>
                <w:szCs w:val="16"/>
              </w:rPr>
            </w:pPr>
            <w:r w:rsidRPr="00897DE5">
              <w:rPr>
                <w:color w:val="000000"/>
                <w:sz w:val="16"/>
                <w:szCs w:val="16"/>
              </w:rPr>
              <w:t>N</w:t>
            </w:r>
          </w:p>
        </w:tc>
        <w:tc>
          <w:tcPr>
            <w:tcW w:w="831" w:type="dxa"/>
            <w:tcBorders>
              <w:top w:val="nil"/>
              <w:left w:val="nil"/>
              <w:bottom w:val="single" w:sz="8" w:space="0" w:color="auto"/>
              <w:right w:val="single" w:sz="4" w:space="0" w:color="000000"/>
            </w:tcBorders>
            <w:shd w:val="clear" w:color="000000" w:fill="D9D9D9"/>
            <w:noWrap/>
            <w:hideMark/>
          </w:tcPr>
          <w:p w14:paraId="4FADEB59" w14:textId="77777777" w:rsidR="00236027" w:rsidRPr="00897DE5" w:rsidRDefault="00236027" w:rsidP="00897DE5">
            <w:pPr>
              <w:jc w:val="right"/>
              <w:rPr>
                <w:color w:val="000000"/>
                <w:sz w:val="16"/>
                <w:szCs w:val="16"/>
              </w:rPr>
            </w:pPr>
            <w:r w:rsidRPr="00897DE5">
              <w:rPr>
                <w:color w:val="000000"/>
                <w:sz w:val="16"/>
                <w:szCs w:val="16"/>
              </w:rPr>
              <w:t>30</w:t>
            </w:r>
          </w:p>
        </w:tc>
        <w:tc>
          <w:tcPr>
            <w:tcW w:w="851" w:type="dxa"/>
            <w:tcBorders>
              <w:top w:val="nil"/>
              <w:left w:val="nil"/>
              <w:bottom w:val="single" w:sz="8" w:space="0" w:color="auto"/>
              <w:right w:val="single" w:sz="4" w:space="0" w:color="000000"/>
            </w:tcBorders>
            <w:shd w:val="clear" w:color="000000" w:fill="D9D9D9"/>
            <w:noWrap/>
            <w:hideMark/>
          </w:tcPr>
          <w:p w14:paraId="5E2A8880" w14:textId="77777777" w:rsidR="00236027" w:rsidRPr="00897DE5" w:rsidRDefault="00236027" w:rsidP="00897DE5">
            <w:pPr>
              <w:jc w:val="right"/>
              <w:rPr>
                <w:color w:val="000000"/>
                <w:sz w:val="16"/>
                <w:szCs w:val="16"/>
              </w:rPr>
            </w:pPr>
            <w:r w:rsidRPr="00897DE5">
              <w:rPr>
                <w:color w:val="000000"/>
                <w:sz w:val="16"/>
                <w:szCs w:val="16"/>
              </w:rPr>
              <w:t>30</w:t>
            </w:r>
          </w:p>
        </w:tc>
        <w:tc>
          <w:tcPr>
            <w:tcW w:w="992" w:type="dxa"/>
            <w:tcBorders>
              <w:top w:val="nil"/>
              <w:left w:val="nil"/>
              <w:bottom w:val="single" w:sz="8" w:space="0" w:color="auto"/>
              <w:right w:val="single" w:sz="4" w:space="0" w:color="000000"/>
            </w:tcBorders>
            <w:shd w:val="clear" w:color="000000" w:fill="D9D9D9"/>
            <w:noWrap/>
            <w:hideMark/>
          </w:tcPr>
          <w:p w14:paraId="20C3882B" w14:textId="77777777" w:rsidR="00236027" w:rsidRPr="00897DE5" w:rsidRDefault="00236027" w:rsidP="00897DE5">
            <w:pPr>
              <w:jc w:val="right"/>
              <w:rPr>
                <w:color w:val="000000"/>
                <w:sz w:val="16"/>
                <w:szCs w:val="16"/>
              </w:rPr>
            </w:pPr>
            <w:r w:rsidRPr="00897DE5">
              <w:rPr>
                <w:color w:val="000000"/>
                <w:sz w:val="16"/>
                <w:szCs w:val="16"/>
              </w:rPr>
              <w:t>30</w:t>
            </w:r>
          </w:p>
        </w:tc>
        <w:tc>
          <w:tcPr>
            <w:tcW w:w="850" w:type="dxa"/>
            <w:tcBorders>
              <w:top w:val="nil"/>
              <w:left w:val="nil"/>
              <w:bottom w:val="single" w:sz="8" w:space="0" w:color="auto"/>
              <w:right w:val="single" w:sz="4" w:space="0" w:color="000000"/>
            </w:tcBorders>
            <w:shd w:val="clear" w:color="000000" w:fill="D9D9D9"/>
            <w:noWrap/>
            <w:hideMark/>
          </w:tcPr>
          <w:p w14:paraId="084BA228" w14:textId="77777777" w:rsidR="00236027" w:rsidRPr="00897DE5" w:rsidRDefault="00236027" w:rsidP="00897DE5">
            <w:pPr>
              <w:jc w:val="right"/>
              <w:rPr>
                <w:color w:val="000000"/>
                <w:sz w:val="16"/>
                <w:szCs w:val="16"/>
              </w:rPr>
            </w:pPr>
            <w:r w:rsidRPr="00897DE5">
              <w:rPr>
                <w:color w:val="000000"/>
                <w:sz w:val="16"/>
                <w:szCs w:val="16"/>
              </w:rPr>
              <w:t>30</w:t>
            </w:r>
          </w:p>
        </w:tc>
        <w:tc>
          <w:tcPr>
            <w:tcW w:w="993" w:type="dxa"/>
            <w:tcBorders>
              <w:top w:val="nil"/>
              <w:left w:val="nil"/>
              <w:bottom w:val="single" w:sz="8" w:space="0" w:color="auto"/>
              <w:right w:val="single" w:sz="4" w:space="0" w:color="000000"/>
            </w:tcBorders>
            <w:shd w:val="clear" w:color="000000" w:fill="D9D9D9"/>
            <w:noWrap/>
            <w:hideMark/>
          </w:tcPr>
          <w:p w14:paraId="5898856A" w14:textId="77777777" w:rsidR="00236027" w:rsidRPr="00897DE5" w:rsidRDefault="00236027" w:rsidP="00897DE5">
            <w:pPr>
              <w:jc w:val="right"/>
              <w:rPr>
                <w:color w:val="000000"/>
                <w:sz w:val="16"/>
                <w:szCs w:val="16"/>
              </w:rPr>
            </w:pPr>
            <w:r w:rsidRPr="00897DE5">
              <w:rPr>
                <w:color w:val="000000"/>
                <w:sz w:val="16"/>
                <w:szCs w:val="16"/>
              </w:rPr>
              <w:t>37</w:t>
            </w:r>
          </w:p>
        </w:tc>
        <w:tc>
          <w:tcPr>
            <w:tcW w:w="992" w:type="dxa"/>
            <w:tcBorders>
              <w:top w:val="nil"/>
              <w:left w:val="nil"/>
              <w:bottom w:val="single" w:sz="8" w:space="0" w:color="auto"/>
              <w:right w:val="single" w:sz="4" w:space="0" w:color="000000"/>
            </w:tcBorders>
            <w:shd w:val="clear" w:color="000000" w:fill="D9D9D9"/>
            <w:noWrap/>
            <w:hideMark/>
          </w:tcPr>
          <w:p w14:paraId="6E4305C7" w14:textId="77777777" w:rsidR="00236027" w:rsidRPr="00897DE5" w:rsidRDefault="00236027" w:rsidP="00897DE5">
            <w:pPr>
              <w:jc w:val="right"/>
              <w:rPr>
                <w:color w:val="000000"/>
                <w:sz w:val="16"/>
                <w:szCs w:val="16"/>
              </w:rPr>
            </w:pPr>
            <w:r w:rsidRPr="00897DE5">
              <w:rPr>
                <w:color w:val="000000"/>
                <w:sz w:val="16"/>
                <w:szCs w:val="16"/>
              </w:rPr>
              <w:t>37</w:t>
            </w:r>
          </w:p>
        </w:tc>
        <w:tc>
          <w:tcPr>
            <w:tcW w:w="919" w:type="dxa"/>
            <w:tcBorders>
              <w:top w:val="nil"/>
              <w:left w:val="nil"/>
              <w:bottom w:val="single" w:sz="8" w:space="0" w:color="auto"/>
              <w:right w:val="single" w:sz="8" w:space="0" w:color="auto"/>
            </w:tcBorders>
            <w:shd w:val="clear" w:color="000000" w:fill="D9D9D9"/>
            <w:noWrap/>
            <w:hideMark/>
          </w:tcPr>
          <w:p w14:paraId="1C418E11" w14:textId="77777777" w:rsidR="00236027" w:rsidRPr="00897DE5" w:rsidRDefault="00236027" w:rsidP="00897DE5">
            <w:pPr>
              <w:jc w:val="right"/>
              <w:rPr>
                <w:color w:val="000000"/>
                <w:sz w:val="16"/>
                <w:szCs w:val="16"/>
              </w:rPr>
            </w:pPr>
            <w:r w:rsidRPr="00897DE5">
              <w:rPr>
                <w:color w:val="000000"/>
                <w:sz w:val="16"/>
                <w:szCs w:val="16"/>
              </w:rPr>
              <w:t>37</w:t>
            </w:r>
          </w:p>
        </w:tc>
      </w:tr>
      <w:tr w:rsidR="000E33EB" w:rsidRPr="00897DE5" w14:paraId="09DAF1FA" w14:textId="77777777" w:rsidTr="00897DE5">
        <w:trPr>
          <w:trHeight w:val="480"/>
        </w:trPr>
        <w:tc>
          <w:tcPr>
            <w:tcW w:w="708" w:type="dxa"/>
            <w:vMerge w:val="restart"/>
            <w:tcBorders>
              <w:top w:val="nil"/>
              <w:left w:val="single" w:sz="8" w:space="0" w:color="auto"/>
              <w:bottom w:val="single" w:sz="8" w:space="0" w:color="000000"/>
              <w:right w:val="nil"/>
            </w:tcBorders>
            <w:shd w:val="clear" w:color="000000" w:fill="000000"/>
            <w:vAlign w:val="center"/>
            <w:hideMark/>
          </w:tcPr>
          <w:p w14:paraId="3F2C41BB" w14:textId="77777777" w:rsidR="00236027" w:rsidRPr="00897DE5" w:rsidRDefault="004F1F33" w:rsidP="00897DE5">
            <w:pPr>
              <w:jc w:val="center"/>
              <w:rPr>
                <w:b/>
                <w:bCs/>
                <w:color w:val="FFFFFF"/>
                <w:sz w:val="16"/>
                <w:szCs w:val="16"/>
              </w:rPr>
            </w:pPr>
            <w:r w:rsidRPr="00897DE5">
              <w:rPr>
                <w:b/>
                <w:bCs/>
                <w:color w:val="FFFFFF"/>
                <w:sz w:val="16"/>
                <w:szCs w:val="16"/>
              </w:rPr>
              <w:t>PP</w:t>
            </w:r>
            <w:r w:rsidR="00236027" w:rsidRPr="00897DE5">
              <w:rPr>
                <w:b/>
                <w:bCs/>
                <w:color w:val="FFFFFF"/>
                <w:sz w:val="16"/>
                <w:szCs w:val="16"/>
              </w:rPr>
              <w:t>A</w:t>
            </w:r>
            <w:r w:rsidRPr="00897DE5">
              <w:rPr>
                <w:b/>
                <w:bCs/>
                <w:color w:val="FFFFFF"/>
                <w:sz w:val="16"/>
                <w:szCs w:val="16"/>
              </w:rPr>
              <w:t>L</w:t>
            </w:r>
          </w:p>
        </w:tc>
        <w:tc>
          <w:tcPr>
            <w:tcW w:w="1012" w:type="dxa"/>
            <w:tcBorders>
              <w:top w:val="nil"/>
              <w:left w:val="nil"/>
              <w:bottom w:val="nil"/>
              <w:right w:val="single" w:sz="12" w:space="0" w:color="000000"/>
            </w:tcBorders>
            <w:shd w:val="clear" w:color="auto" w:fill="auto"/>
            <w:vAlign w:val="center"/>
            <w:hideMark/>
          </w:tcPr>
          <w:p w14:paraId="1FE274FB" w14:textId="77777777" w:rsidR="00236027" w:rsidRPr="00897DE5" w:rsidRDefault="00236027" w:rsidP="00897DE5">
            <w:pPr>
              <w:jc w:val="center"/>
              <w:rPr>
                <w:color w:val="000000"/>
                <w:sz w:val="16"/>
                <w:szCs w:val="16"/>
              </w:rPr>
            </w:pPr>
            <w:r w:rsidRPr="00897DE5">
              <w:rPr>
                <w:color w:val="000000"/>
                <w:sz w:val="16"/>
                <w:szCs w:val="16"/>
              </w:rPr>
              <w:t>Correlación de Pearson</w:t>
            </w:r>
          </w:p>
        </w:tc>
        <w:tc>
          <w:tcPr>
            <w:tcW w:w="831" w:type="dxa"/>
            <w:tcBorders>
              <w:top w:val="nil"/>
              <w:left w:val="nil"/>
              <w:bottom w:val="nil"/>
              <w:right w:val="single" w:sz="4" w:space="0" w:color="000000"/>
            </w:tcBorders>
            <w:shd w:val="clear" w:color="auto" w:fill="auto"/>
            <w:noWrap/>
            <w:hideMark/>
          </w:tcPr>
          <w:p w14:paraId="4DAE970D" w14:textId="77777777" w:rsidR="00236027" w:rsidRPr="00897DE5" w:rsidRDefault="00236027" w:rsidP="00897DE5">
            <w:pPr>
              <w:jc w:val="right"/>
              <w:rPr>
                <w:color w:val="000000"/>
                <w:sz w:val="16"/>
                <w:szCs w:val="16"/>
              </w:rPr>
            </w:pPr>
            <w:r w:rsidRPr="00897DE5">
              <w:rPr>
                <w:color w:val="000000"/>
                <w:sz w:val="16"/>
                <w:szCs w:val="16"/>
              </w:rPr>
              <w:t>.041</w:t>
            </w:r>
          </w:p>
        </w:tc>
        <w:tc>
          <w:tcPr>
            <w:tcW w:w="851" w:type="dxa"/>
            <w:tcBorders>
              <w:top w:val="nil"/>
              <w:left w:val="nil"/>
              <w:bottom w:val="nil"/>
              <w:right w:val="single" w:sz="4" w:space="0" w:color="000000"/>
            </w:tcBorders>
            <w:shd w:val="clear" w:color="auto" w:fill="auto"/>
            <w:noWrap/>
            <w:hideMark/>
          </w:tcPr>
          <w:p w14:paraId="3DE5ADB5" w14:textId="77777777" w:rsidR="00236027" w:rsidRPr="00897DE5" w:rsidRDefault="00236027" w:rsidP="00897DE5">
            <w:pPr>
              <w:jc w:val="right"/>
              <w:rPr>
                <w:color w:val="000000"/>
                <w:sz w:val="16"/>
                <w:szCs w:val="16"/>
              </w:rPr>
            </w:pPr>
            <w:r w:rsidRPr="00897DE5">
              <w:rPr>
                <w:color w:val="000000"/>
                <w:sz w:val="16"/>
                <w:szCs w:val="16"/>
              </w:rPr>
              <w:t>.098</w:t>
            </w:r>
          </w:p>
        </w:tc>
        <w:tc>
          <w:tcPr>
            <w:tcW w:w="992" w:type="dxa"/>
            <w:tcBorders>
              <w:top w:val="nil"/>
              <w:left w:val="nil"/>
              <w:bottom w:val="nil"/>
              <w:right w:val="single" w:sz="4" w:space="0" w:color="000000"/>
            </w:tcBorders>
            <w:shd w:val="clear" w:color="auto" w:fill="auto"/>
            <w:noWrap/>
            <w:hideMark/>
          </w:tcPr>
          <w:p w14:paraId="2F45C662" w14:textId="77777777" w:rsidR="00236027" w:rsidRPr="00897DE5" w:rsidRDefault="00236027" w:rsidP="00897DE5">
            <w:pPr>
              <w:jc w:val="right"/>
              <w:rPr>
                <w:color w:val="000000"/>
                <w:sz w:val="16"/>
                <w:szCs w:val="16"/>
              </w:rPr>
            </w:pPr>
            <w:r w:rsidRPr="00897DE5">
              <w:rPr>
                <w:color w:val="000000"/>
                <w:sz w:val="16"/>
                <w:szCs w:val="16"/>
              </w:rPr>
              <w:t>.134</w:t>
            </w:r>
          </w:p>
        </w:tc>
        <w:tc>
          <w:tcPr>
            <w:tcW w:w="850" w:type="dxa"/>
            <w:tcBorders>
              <w:top w:val="nil"/>
              <w:left w:val="nil"/>
              <w:bottom w:val="nil"/>
              <w:right w:val="single" w:sz="4" w:space="0" w:color="000000"/>
            </w:tcBorders>
            <w:shd w:val="clear" w:color="auto" w:fill="auto"/>
            <w:noWrap/>
            <w:hideMark/>
          </w:tcPr>
          <w:p w14:paraId="22D857F9" w14:textId="77777777" w:rsidR="00236027" w:rsidRPr="00897DE5" w:rsidRDefault="00236027" w:rsidP="00897DE5">
            <w:pPr>
              <w:jc w:val="right"/>
              <w:rPr>
                <w:b/>
                <w:bCs/>
                <w:color w:val="000000"/>
                <w:sz w:val="16"/>
                <w:szCs w:val="16"/>
              </w:rPr>
            </w:pPr>
            <w:r w:rsidRPr="00897DE5">
              <w:rPr>
                <w:b/>
                <w:bCs/>
                <w:color w:val="000000"/>
                <w:sz w:val="16"/>
                <w:szCs w:val="16"/>
              </w:rPr>
              <w:t>-.312</w:t>
            </w:r>
            <w:r w:rsidRPr="00897DE5">
              <w:rPr>
                <w:b/>
                <w:bCs/>
                <w:color w:val="000000"/>
                <w:sz w:val="16"/>
                <w:szCs w:val="16"/>
                <w:vertAlign w:val="superscript"/>
              </w:rPr>
              <w:t>*</w:t>
            </w:r>
          </w:p>
        </w:tc>
        <w:tc>
          <w:tcPr>
            <w:tcW w:w="993" w:type="dxa"/>
            <w:tcBorders>
              <w:top w:val="nil"/>
              <w:left w:val="nil"/>
              <w:bottom w:val="nil"/>
              <w:right w:val="single" w:sz="4" w:space="0" w:color="000000"/>
            </w:tcBorders>
            <w:shd w:val="clear" w:color="auto" w:fill="auto"/>
            <w:noWrap/>
            <w:hideMark/>
          </w:tcPr>
          <w:p w14:paraId="60B3B20A" w14:textId="77777777" w:rsidR="00236027" w:rsidRPr="00897DE5" w:rsidRDefault="00236027" w:rsidP="00897DE5">
            <w:pPr>
              <w:jc w:val="right"/>
              <w:rPr>
                <w:color w:val="000000"/>
                <w:sz w:val="16"/>
                <w:szCs w:val="16"/>
              </w:rPr>
            </w:pPr>
            <w:r w:rsidRPr="00897DE5">
              <w:rPr>
                <w:color w:val="000000"/>
                <w:sz w:val="16"/>
                <w:szCs w:val="16"/>
              </w:rPr>
              <w:t>.151</w:t>
            </w:r>
          </w:p>
        </w:tc>
        <w:tc>
          <w:tcPr>
            <w:tcW w:w="992" w:type="dxa"/>
            <w:tcBorders>
              <w:top w:val="nil"/>
              <w:left w:val="nil"/>
              <w:bottom w:val="nil"/>
              <w:right w:val="single" w:sz="4" w:space="0" w:color="000000"/>
            </w:tcBorders>
            <w:shd w:val="clear" w:color="auto" w:fill="auto"/>
            <w:noWrap/>
            <w:hideMark/>
          </w:tcPr>
          <w:p w14:paraId="68C20784" w14:textId="77777777" w:rsidR="00236027" w:rsidRPr="00897DE5" w:rsidRDefault="00236027" w:rsidP="00897DE5">
            <w:pPr>
              <w:jc w:val="right"/>
              <w:rPr>
                <w:color w:val="000000"/>
                <w:sz w:val="16"/>
                <w:szCs w:val="16"/>
              </w:rPr>
            </w:pPr>
            <w:r w:rsidRPr="00897DE5">
              <w:rPr>
                <w:color w:val="000000"/>
                <w:sz w:val="16"/>
                <w:szCs w:val="16"/>
              </w:rPr>
              <w:t>1</w:t>
            </w:r>
          </w:p>
        </w:tc>
        <w:tc>
          <w:tcPr>
            <w:tcW w:w="919" w:type="dxa"/>
            <w:tcBorders>
              <w:top w:val="nil"/>
              <w:left w:val="nil"/>
              <w:bottom w:val="nil"/>
              <w:right w:val="single" w:sz="8" w:space="0" w:color="auto"/>
            </w:tcBorders>
            <w:shd w:val="clear" w:color="auto" w:fill="auto"/>
            <w:noWrap/>
            <w:hideMark/>
          </w:tcPr>
          <w:p w14:paraId="76A743A4" w14:textId="77777777" w:rsidR="00236027" w:rsidRPr="00897DE5" w:rsidRDefault="00236027" w:rsidP="00897DE5">
            <w:pPr>
              <w:jc w:val="right"/>
              <w:rPr>
                <w:color w:val="000000"/>
                <w:sz w:val="16"/>
                <w:szCs w:val="16"/>
              </w:rPr>
            </w:pPr>
            <w:r w:rsidRPr="00897DE5">
              <w:rPr>
                <w:color w:val="000000"/>
                <w:sz w:val="16"/>
                <w:szCs w:val="16"/>
              </w:rPr>
              <w:t>.216</w:t>
            </w:r>
          </w:p>
        </w:tc>
      </w:tr>
      <w:tr w:rsidR="000E33EB" w:rsidRPr="00897DE5" w14:paraId="6A269BEE" w14:textId="77777777" w:rsidTr="00897DE5">
        <w:trPr>
          <w:trHeight w:val="480"/>
        </w:trPr>
        <w:tc>
          <w:tcPr>
            <w:tcW w:w="708" w:type="dxa"/>
            <w:vMerge/>
            <w:tcBorders>
              <w:top w:val="nil"/>
              <w:left w:val="single" w:sz="8" w:space="0" w:color="auto"/>
              <w:bottom w:val="single" w:sz="8" w:space="0" w:color="000000"/>
              <w:right w:val="nil"/>
            </w:tcBorders>
            <w:vAlign w:val="center"/>
            <w:hideMark/>
          </w:tcPr>
          <w:p w14:paraId="2F81BFFD" w14:textId="77777777" w:rsidR="00236027" w:rsidRPr="00897DE5" w:rsidRDefault="00236027" w:rsidP="00897DE5">
            <w:pPr>
              <w:jc w:val="center"/>
              <w:rPr>
                <w:b/>
                <w:bCs/>
                <w:color w:val="FFFFFF"/>
                <w:sz w:val="16"/>
                <w:szCs w:val="16"/>
              </w:rPr>
            </w:pPr>
          </w:p>
        </w:tc>
        <w:tc>
          <w:tcPr>
            <w:tcW w:w="1012" w:type="dxa"/>
            <w:tcBorders>
              <w:top w:val="nil"/>
              <w:left w:val="nil"/>
              <w:bottom w:val="nil"/>
              <w:right w:val="single" w:sz="12" w:space="0" w:color="000000"/>
            </w:tcBorders>
            <w:shd w:val="clear" w:color="auto" w:fill="auto"/>
            <w:vAlign w:val="center"/>
            <w:hideMark/>
          </w:tcPr>
          <w:p w14:paraId="1FAF2148" w14:textId="77777777" w:rsidR="00236027" w:rsidRPr="00CD487B" w:rsidRDefault="00236027" w:rsidP="00897DE5">
            <w:pPr>
              <w:jc w:val="center"/>
              <w:rPr>
                <w:color w:val="000000"/>
                <w:sz w:val="16"/>
                <w:szCs w:val="16"/>
              </w:rPr>
            </w:pPr>
            <w:r w:rsidRPr="00897DE5">
              <w:rPr>
                <w:color w:val="000000"/>
                <w:sz w:val="16"/>
                <w:szCs w:val="16"/>
              </w:rPr>
              <w:t>Sig. (unilateral)</w:t>
            </w:r>
          </w:p>
        </w:tc>
        <w:tc>
          <w:tcPr>
            <w:tcW w:w="831" w:type="dxa"/>
            <w:tcBorders>
              <w:top w:val="nil"/>
              <w:left w:val="nil"/>
              <w:bottom w:val="nil"/>
              <w:right w:val="single" w:sz="4" w:space="0" w:color="000000"/>
            </w:tcBorders>
            <w:shd w:val="clear" w:color="auto" w:fill="auto"/>
            <w:noWrap/>
            <w:hideMark/>
          </w:tcPr>
          <w:p w14:paraId="1C9C8EDD" w14:textId="77777777" w:rsidR="00236027" w:rsidRPr="00CD487B" w:rsidRDefault="00236027" w:rsidP="00897DE5">
            <w:pPr>
              <w:jc w:val="right"/>
              <w:rPr>
                <w:color w:val="000000"/>
                <w:sz w:val="16"/>
                <w:szCs w:val="16"/>
              </w:rPr>
            </w:pPr>
            <w:r w:rsidRPr="00CD487B">
              <w:rPr>
                <w:color w:val="000000"/>
                <w:sz w:val="16"/>
                <w:szCs w:val="16"/>
              </w:rPr>
              <w:t>.414</w:t>
            </w:r>
          </w:p>
        </w:tc>
        <w:tc>
          <w:tcPr>
            <w:tcW w:w="851" w:type="dxa"/>
            <w:tcBorders>
              <w:top w:val="nil"/>
              <w:left w:val="nil"/>
              <w:bottom w:val="nil"/>
              <w:right w:val="single" w:sz="4" w:space="0" w:color="000000"/>
            </w:tcBorders>
            <w:shd w:val="clear" w:color="auto" w:fill="auto"/>
            <w:noWrap/>
            <w:hideMark/>
          </w:tcPr>
          <w:p w14:paraId="3D21879B" w14:textId="77777777" w:rsidR="00236027" w:rsidRPr="00CD487B" w:rsidRDefault="00236027" w:rsidP="00897DE5">
            <w:pPr>
              <w:jc w:val="right"/>
              <w:rPr>
                <w:color w:val="000000"/>
                <w:sz w:val="16"/>
                <w:szCs w:val="16"/>
              </w:rPr>
            </w:pPr>
            <w:r w:rsidRPr="00CD487B">
              <w:rPr>
                <w:color w:val="000000"/>
                <w:sz w:val="16"/>
                <w:szCs w:val="16"/>
              </w:rPr>
              <w:t>.304</w:t>
            </w:r>
          </w:p>
        </w:tc>
        <w:tc>
          <w:tcPr>
            <w:tcW w:w="992" w:type="dxa"/>
            <w:tcBorders>
              <w:top w:val="nil"/>
              <w:left w:val="nil"/>
              <w:bottom w:val="nil"/>
              <w:right w:val="single" w:sz="4" w:space="0" w:color="000000"/>
            </w:tcBorders>
            <w:shd w:val="clear" w:color="auto" w:fill="auto"/>
            <w:noWrap/>
            <w:hideMark/>
          </w:tcPr>
          <w:p w14:paraId="4A5C1E8C" w14:textId="77777777" w:rsidR="00236027" w:rsidRPr="00CD487B" w:rsidRDefault="00236027" w:rsidP="00897DE5">
            <w:pPr>
              <w:jc w:val="right"/>
              <w:rPr>
                <w:color w:val="000000"/>
                <w:sz w:val="16"/>
                <w:szCs w:val="16"/>
              </w:rPr>
            </w:pPr>
            <w:r w:rsidRPr="00CD487B">
              <w:rPr>
                <w:color w:val="000000"/>
                <w:sz w:val="16"/>
                <w:szCs w:val="16"/>
              </w:rPr>
              <w:t>.241</w:t>
            </w:r>
          </w:p>
        </w:tc>
        <w:tc>
          <w:tcPr>
            <w:tcW w:w="850" w:type="dxa"/>
            <w:tcBorders>
              <w:top w:val="nil"/>
              <w:left w:val="nil"/>
              <w:bottom w:val="nil"/>
              <w:right w:val="single" w:sz="4" w:space="0" w:color="000000"/>
            </w:tcBorders>
            <w:shd w:val="clear" w:color="auto" w:fill="auto"/>
            <w:noWrap/>
            <w:hideMark/>
          </w:tcPr>
          <w:p w14:paraId="4B0CC783" w14:textId="77777777" w:rsidR="00236027" w:rsidRPr="00CD487B" w:rsidRDefault="00236027" w:rsidP="00897DE5">
            <w:pPr>
              <w:jc w:val="right"/>
              <w:rPr>
                <w:color w:val="000000"/>
                <w:sz w:val="16"/>
                <w:szCs w:val="16"/>
              </w:rPr>
            </w:pPr>
            <w:r w:rsidRPr="00CD487B">
              <w:rPr>
                <w:color w:val="000000"/>
                <w:sz w:val="16"/>
                <w:szCs w:val="16"/>
              </w:rPr>
              <w:t>.047</w:t>
            </w:r>
          </w:p>
        </w:tc>
        <w:tc>
          <w:tcPr>
            <w:tcW w:w="993" w:type="dxa"/>
            <w:tcBorders>
              <w:top w:val="nil"/>
              <w:left w:val="nil"/>
              <w:bottom w:val="nil"/>
              <w:right w:val="single" w:sz="4" w:space="0" w:color="000000"/>
            </w:tcBorders>
            <w:shd w:val="clear" w:color="auto" w:fill="auto"/>
            <w:noWrap/>
            <w:hideMark/>
          </w:tcPr>
          <w:p w14:paraId="444EC096" w14:textId="77777777" w:rsidR="00236027" w:rsidRPr="00CD487B" w:rsidRDefault="00236027" w:rsidP="00897DE5">
            <w:pPr>
              <w:jc w:val="right"/>
              <w:rPr>
                <w:color w:val="000000"/>
                <w:sz w:val="16"/>
                <w:szCs w:val="16"/>
              </w:rPr>
            </w:pPr>
            <w:r w:rsidRPr="00CD487B">
              <w:rPr>
                <w:color w:val="000000"/>
                <w:sz w:val="16"/>
                <w:szCs w:val="16"/>
              </w:rPr>
              <w:t>.186</w:t>
            </w:r>
          </w:p>
        </w:tc>
        <w:tc>
          <w:tcPr>
            <w:tcW w:w="992" w:type="dxa"/>
            <w:tcBorders>
              <w:top w:val="nil"/>
              <w:left w:val="nil"/>
              <w:bottom w:val="nil"/>
              <w:right w:val="single" w:sz="4" w:space="0" w:color="000000"/>
            </w:tcBorders>
            <w:shd w:val="clear" w:color="auto" w:fill="auto"/>
            <w:hideMark/>
          </w:tcPr>
          <w:p w14:paraId="1C3F05B9" w14:textId="77777777" w:rsidR="00236027" w:rsidRPr="00CD487B" w:rsidRDefault="00236027" w:rsidP="00897DE5">
            <w:pPr>
              <w:rPr>
                <w:color w:val="000000"/>
                <w:sz w:val="16"/>
                <w:szCs w:val="16"/>
              </w:rPr>
            </w:pPr>
            <w:r w:rsidRPr="00CD487B">
              <w:rPr>
                <w:color w:val="000000"/>
                <w:sz w:val="16"/>
                <w:szCs w:val="16"/>
              </w:rPr>
              <w:t> </w:t>
            </w:r>
          </w:p>
        </w:tc>
        <w:tc>
          <w:tcPr>
            <w:tcW w:w="919" w:type="dxa"/>
            <w:tcBorders>
              <w:top w:val="nil"/>
              <w:left w:val="nil"/>
              <w:bottom w:val="nil"/>
              <w:right w:val="single" w:sz="8" w:space="0" w:color="auto"/>
            </w:tcBorders>
            <w:shd w:val="clear" w:color="auto" w:fill="auto"/>
            <w:noWrap/>
            <w:hideMark/>
          </w:tcPr>
          <w:p w14:paraId="38CB4BC5" w14:textId="77777777" w:rsidR="00236027" w:rsidRPr="00CD487B" w:rsidRDefault="00236027" w:rsidP="00897DE5">
            <w:pPr>
              <w:jc w:val="right"/>
              <w:rPr>
                <w:color w:val="000000"/>
                <w:sz w:val="16"/>
                <w:szCs w:val="16"/>
              </w:rPr>
            </w:pPr>
            <w:r w:rsidRPr="00CD487B">
              <w:rPr>
                <w:color w:val="000000"/>
                <w:sz w:val="16"/>
                <w:szCs w:val="16"/>
              </w:rPr>
              <w:t>.099</w:t>
            </w:r>
          </w:p>
        </w:tc>
      </w:tr>
      <w:tr w:rsidR="000E33EB" w:rsidRPr="00897DE5" w14:paraId="66F8824A" w14:textId="77777777" w:rsidTr="00897DE5">
        <w:trPr>
          <w:trHeight w:val="260"/>
        </w:trPr>
        <w:tc>
          <w:tcPr>
            <w:tcW w:w="708" w:type="dxa"/>
            <w:vMerge/>
            <w:tcBorders>
              <w:top w:val="nil"/>
              <w:left w:val="single" w:sz="8" w:space="0" w:color="auto"/>
              <w:bottom w:val="single" w:sz="8" w:space="0" w:color="000000"/>
              <w:right w:val="nil"/>
            </w:tcBorders>
            <w:vAlign w:val="center"/>
            <w:hideMark/>
          </w:tcPr>
          <w:p w14:paraId="6638F1B8" w14:textId="77777777" w:rsidR="00236027" w:rsidRPr="00897DE5" w:rsidRDefault="00236027" w:rsidP="00897DE5">
            <w:pPr>
              <w:jc w:val="center"/>
              <w:rPr>
                <w:b/>
                <w:bCs/>
                <w:color w:val="FFFFFF"/>
                <w:sz w:val="16"/>
                <w:szCs w:val="16"/>
              </w:rPr>
            </w:pPr>
          </w:p>
        </w:tc>
        <w:tc>
          <w:tcPr>
            <w:tcW w:w="1012" w:type="dxa"/>
            <w:tcBorders>
              <w:top w:val="nil"/>
              <w:left w:val="nil"/>
              <w:bottom w:val="single" w:sz="8" w:space="0" w:color="auto"/>
              <w:right w:val="single" w:sz="12" w:space="0" w:color="000000"/>
            </w:tcBorders>
            <w:shd w:val="clear" w:color="auto" w:fill="auto"/>
            <w:vAlign w:val="center"/>
            <w:hideMark/>
          </w:tcPr>
          <w:p w14:paraId="319E0E24" w14:textId="77777777" w:rsidR="00236027" w:rsidRPr="00CD487B" w:rsidRDefault="00236027" w:rsidP="00897DE5">
            <w:pPr>
              <w:jc w:val="center"/>
              <w:rPr>
                <w:color w:val="000000"/>
                <w:sz w:val="16"/>
                <w:szCs w:val="16"/>
              </w:rPr>
            </w:pPr>
            <w:r w:rsidRPr="00897DE5">
              <w:rPr>
                <w:color w:val="000000"/>
                <w:sz w:val="16"/>
                <w:szCs w:val="16"/>
              </w:rPr>
              <w:t>N</w:t>
            </w:r>
          </w:p>
        </w:tc>
        <w:tc>
          <w:tcPr>
            <w:tcW w:w="831" w:type="dxa"/>
            <w:tcBorders>
              <w:top w:val="nil"/>
              <w:left w:val="nil"/>
              <w:bottom w:val="single" w:sz="8" w:space="0" w:color="auto"/>
              <w:right w:val="single" w:sz="4" w:space="0" w:color="000000"/>
            </w:tcBorders>
            <w:shd w:val="clear" w:color="auto" w:fill="auto"/>
            <w:noWrap/>
            <w:hideMark/>
          </w:tcPr>
          <w:p w14:paraId="17913CF1" w14:textId="77777777" w:rsidR="00236027" w:rsidRPr="00CD487B" w:rsidRDefault="00236027" w:rsidP="00897DE5">
            <w:pPr>
              <w:jc w:val="right"/>
              <w:rPr>
                <w:color w:val="000000"/>
                <w:sz w:val="16"/>
                <w:szCs w:val="16"/>
              </w:rPr>
            </w:pPr>
            <w:r w:rsidRPr="00CD487B">
              <w:rPr>
                <w:color w:val="000000"/>
                <w:sz w:val="16"/>
                <w:szCs w:val="16"/>
              </w:rPr>
              <w:t>30</w:t>
            </w:r>
          </w:p>
        </w:tc>
        <w:tc>
          <w:tcPr>
            <w:tcW w:w="851" w:type="dxa"/>
            <w:tcBorders>
              <w:top w:val="nil"/>
              <w:left w:val="nil"/>
              <w:bottom w:val="single" w:sz="8" w:space="0" w:color="auto"/>
              <w:right w:val="single" w:sz="4" w:space="0" w:color="000000"/>
            </w:tcBorders>
            <w:shd w:val="clear" w:color="auto" w:fill="auto"/>
            <w:noWrap/>
            <w:hideMark/>
          </w:tcPr>
          <w:p w14:paraId="39DBB66E" w14:textId="77777777" w:rsidR="00236027" w:rsidRPr="00CD487B" w:rsidRDefault="00236027" w:rsidP="00897DE5">
            <w:pPr>
              <w:jc w:val="right"/>
              <w:rPr>
                <w:color w:val="000000"/>
                <w:sz w:val="16"/>
                <w:szCs w:val="16"/>
              </w:rPr>
            </w:pPr>
            <w:r w:rsidRPr="00CD487B">
              <w:rPr>
                <w:color w:val="000000"/>
                <w:sz w:val="16"/>
                <w:szCs w:val="16"/>
              </w:rPr>
              <w:t>30</w:t>
            </w:r>
          </w:p>
        </w:tc>
        <w:tc>
          <w:tcPr>
            <w:tcW w:w="992" w:type="dxa"/>
            <w:tcBorders>
              <w:top w:val="nil"/>
              <w:left w:val="nil"/>
              <w:bottom w:val="single" w:sz="8" w:space="0" w:color="auto"/>
              <w:right w:val="single" w:sz="4" w:space="0" w:color="000000"/>
            </w:tcBorders>
            <w:shd w:val="clear" w:color="auto" w:fill="auto"/>
            <w:noWrap/>
            <w:hideMark/>
          </w:tcPr>
          <w:p w14:paraId="3CF25B60" w14:textId="77777777" w:rsidR="00236027" w:rsidRPr="00CD487B" w:rsidRDefault="00236027" w:rsidP="00897DE5">
            <w:pPr>
              <w:jc w:val="right"/>
              <w:rPr>
                <w:color w:val="000000"/>
                <w:sz w:val="16"/>
                <w:szCs w:val="16"/>
              </w:rPr>
            </w:pPr>
            <w:r w:rsidRPr="00CD487B">
              <w:rPr>
                <w:color w:val="000000"/>
                <w:sz w:val="16"/>
                <w:szCs w:val="16"/>
              </w:rPr>
              <w:t>30</w:t>
            </w:r>
          </w:p>
        </w:tc>
        <w:tc>
          <w:tcPr>
            <w:tcW w:w="850" w:type="dxa"/>
            <w:tcBorders>
              <w:top w:val="nil"/>
              <w:left w:val="nil"/>
              <w:bottom w:val="single" w:sz="8" w:space="0" w:color="auto"/>
              <w:right w:val="single" w:sz="4" w:space="0" w:color="000000"/>
            </w:tcBorders>
            <w:shd w:val="clear" w:color="auto" w:fill="auto"/>
            <w:noWrap/>
            <w:hideMark/>
          </w:tcPr>
          <w:p w14:paraId="38A83B4E" w14:textId="77777777" w:rsidR="00236027" w:rsidRPr="00CD487B" w:rsidRDefault="00236027" w:rsidP="00897DE5">
            <w:pPr>
              <w:jc w:val="right"/>
              <w:rPr>
                <w:color w:val="000000"/>
                <w:sz w:val="16"/>
                <w:szCs w:val="16"/>
              </w:rPr>
            </w:pPr>
            <w:r w:rsidRPr="00CD487B">
              <w:rPr>
                <w:color w:val="000000"/>
                <w:sz w:val="16"/>
                <w:szCs w:val="16"/>
              </w:rPr>
              <w:t>30</w:t>
            </w:r>
          </w:p>
        </w:tc>
        <w:tc>
          <w:tcPr>
            <w:tcW w:w="993" w:type="dxa"/>
            <w:tcBorders>
              <w:top w:val="nil"/>
              <w:left w:val="nil"/>
              <w:bottom w:val="single" w:sz="8" w:space="0" w:color="auto"/>
              <w:right w:val="single" w:sz="4" w:space="0" w:color="000000"/>
            </w:tcBorders>
            <w:shd w:val="clear" w:color="auto" w:fill="auto"/>
            <w:noWrap/>
            <w:hideMark/>
          </w:tcPr>
          <w:p w14:paraId="28F7F97A" w14:textId="77777777" w:rsidR="00236027" w:rsidRPr="00CD487B" w:rsidRDefault="00236027" w:rsidP="00897DE5">
            <w:pPr>
              <w:jc w:val="right"/>
              <w:rPr>
                <w:color w:val="000000"/>
                <w:sz w:val="16"/>
                <w:szCs w:val="16"/>
              </w:rPr>
            </w:pPr>
            <w:r w:rsidRPr="00CD487B">
              <w:rPr>
                <w:color w:val="000000"/>
                <w:sz w:val="16"/>
                <w:szCs w:val="16"/>
              </w:rPr>
              <w:t>37</w:t>
            </w:r>
          </w:p>
        </w:tc>
        <w:tc>
          <w:tcPr>
            <w:tcW w:w="992" w:type="dxa"/>
            <w:tcBorders>
              <w:top w:val="nil"/>
              <w:left w:val="nil"/>
              <w:bottom w:val="single" w:sz="8" w:space="0" w:color="auto"/>
              <w:right w:val="single" w:sz="4" w:space="0" w:color="000000"/>
            </w:tcBorders>
            <w:shd w:val="clear" w:color="auto" w:fill="auto"/>
            <w:noWrap/>
            <w:hideMark/>
          </w:tcPr>
          <w:p w14:paraId="4C2A8480" w14:textId="77777777" w:rsidR="00236027" w:rsidRPr="00CD487B" w:rsidRDefault="00236027" w:rsidP="00897DE5">
            <w:pPr>
              <w:jc w:val="right"/>
              <w:rPr>
                <w:color w:val="000000"/>
                <w:sz w:val="16"/>
                <w:szCs w:val="16"/>
              </w:rPr>
            </w:pPr>
            <w:r w:rsidRPr="00CD487B">
              <w:rPr>
                <w:color w:val="000000"/>
                <w:sz w:val="16"/>
                <w:szCs w:val="16"/>
              </w:rPr>
              <w:t>37</w:t>
            </w:r>
          </w:p>
        </w:tc>
        <w:tc>
          <w:tcPr>
            <w:tcW w:w="919" w:type="dxa"/>
            <w:tcBorders>
              <w:top w:val="nil"/>
              <w:left w:val="nil"/>
              <w:bottom w:val="single" w:sz="8" w:space="0" w:color="auto"/>
              <w:right w:val="single" w:sz="8" w:space="0" w:color="auto"/>
            </w:tcBorders>
            <w:shd w:val="clear" w:color="auto" w:fill="auto"/>
            <w:noWrap/>
            <w:hideMark/>
          </w:tcPr>
          <w:p w14:paraId="162A11C5" w14:textId="77777777" w:rsidR="00236027" w:rsidRPr="00CD487B" w:rsidRDefault="00236027" w:rsidP="00897DE5">
            <w:pPr>
              <w:jc w:val="right"/>
              <w:rPr>
                <w:color w:val="000000"/>
                <w:sz w:val="16"/>
                <w:szCs w:val="16"/>
              </w:rPr>
            </w:pPr>
            <w:r w:rsidRPr="00CD487B">
              <w:rPr>
                <w:color w:val="000000"/>
                <w:sz w:val="16"/>
                <w:szCs w:val="16"/>
              </w:rPr>
              <w:t>37</w:t>
            </w:r>
          </w:p>
        </w:tc>
      </w:tr>
      <w:tr w:rsidR="000E33EB" w:rsidRPr="00CD487B" w14:paraId="0F87A9BE" w14:textId="77777777" w:rsidTr="00897DE5">
        <w:trPr>
          <w:trHeight w:val="480"/>
        </w:trPr>
        <w:tc>
          <w:tcPr>
            <w:tcW w:w="708" w:type="dxa"/>
            <w:vMerge w:val="restart"/>
            <w:tcBorders>
              <w:top w:val="nil"/>
              <w:left w:val="single" w:sz="8" w:space="0" w:color="auto"/>
              <w:bottom w:val="single" w:sz="8" w:space="0" w:color="000000"/>
              <w:right w:val="nil"/>
            </w:tcBorders>
            <w:shd w:val="clear" w:color="000000" w:fill="000000"/>
            <w:vAlign w:val="center"/>
            <w:hideMark/>
          </w:tcPr>
          <w:p w14:paraId="66AB34E9" w14:textId="77777777" w:rsidR="00236027" w:rsidRPr="00897DE5" w:rsidRDefault="004F1F33" w:rsidP="00897DE5">
            <w:pPr>
              <w:jc w:val="center"/>
              <w:rPr>
                <w:b/>
                <w:bCs/>
                <w:color w:val="FFFFFF"/>
                <w:sz w:val="16"/>
                <w:szCs w:val="16"/>
              </w:rPr>
            </w:pPr>
            <w:r w:rsidRPr="00897DE5">
              <w:rPr>
                <w:b/>
                <w:bCs/>
                <w:color w:val="FFFFFF"/>
                <w:sz w:val="16"/>
                <w:szCs w:val="16"/>
              </w:rPr>
              <w:t>PP</w:t>
            </w:r>
            <w:r w:rsidR="00B1788D" w:rsidRPr="00897DE5">
              <w:rPr>
                <w:b/>
                <w:bCs/>
                <w:color w:val="FFFFFF"/>
                <w:sz w:val="16"/>
                <w:szCs w:val="16"/>
              </w:rPr>
              <w:t>F</w:t>
            </w:r>
          </w:p>
        </w:tc>
        <w:tc>
          <w:tcPr>
            <w:tcW w:w="1012" w:type="dxa"/>
            <w:tcBorders>
              <w:top w:val="nil"/>
              <w:left w:val="nil"/>
              <w:bottom w:val="nil"/>
              <w:right w:val="single" w:sz="12" w:space="0" w:color="000000"/>
            </w:tcBorders>
            <w:shd w:val="clear" w:color="000000" w:fill="D9D9D9"/>
            <w:vAlign w:val="center"/>
            <w:hideMark/>
          </w:tcPr>
          <w:p w14:paraId="5119BB4A" w14:textId="77777777" w:rsidR="00236027" w:rsidRPr="00CD487B" w:rsidRDefault="00236027" w:rsidP="00897DE5">
            <w:pPr>
              <w:jc w:val="center"/>
              <w:rPr>
                <w:color w:val="000000"/>
                <w:sz w:val="16"/>
                <w:szCs w:val="16"/>
              </w:rPr>
            </w:pPr>
            <w:r w:rsidRPr="00897DE5">
              <w:rPr>
                <w:color w:val="000000"/>
                <w:sz w:val="16"/>
                <w:szCs w:val="16"/>
              </w:rPr>
              <w:t>Corr</w:t>
            </w:r>
            <w:r w:rsidRPr="00CD487B">
              <w:rPr>
                <w:color w:val="000000"/>
                <w:sz w:val="16"/>
                <w:szCs w:val="16"/>
              </w:rPr>
              <w:t>elación de Pearson</w:t>
            </w:r>
          </w:p>
        </w:tc>
        <w:tc>
          <w:tcPr>
            <w:tcW w:w="831" w:type="dxa"/>
            <w:tcBorders>
              <w:top w:val="nil"/>
              <w:left w:val="nil"/>
              <w:bottom w:val="nil"/>
              <w:right w:val="single" w:sz="4" w:space="0" w:color="000000"/>
            </w:tcBorders>
            <w:shd w:val="clear" w:color="000000" w:fill="D9D9D9"/>
            <w:noWrap/>
            <w:hideMark/>
          </w:tcPr>
          <w:p w14:paraId="6332EE42" w14:textId="77777777" w:rsidR="00236027" w:rsidRPr="00CD487B" w:rsidRDefault="00236027" w:rsidP="00897DE5">
            <w:pPr>
              <w:jc w:val="right"/>
              <w:rPr>
                <w:b/>
                <w:bCs/>
                <w:color w:val="000000"/>
                <w:sz w:val="16"/>
                <w:szCs w:val="16"/>
              </w:rPr>
            </w:pPr>
            <w:r w:rsidRPr="00CD487B">
              <w:rPr>
                <w:b/>
                <w:bCs/>
                <w:color w:val="000000"/>
                <w:sz w:val="16"/>
                <w:szCs w:val="16"/>
              </w:rPr>
              <w:t>-.310</w:t>
            </w:r>
            <w:r w:rsidRPr="00CD487B">
              <w:rPr>
                <w:b/>
                <w:bCs/>
                <w:color w:val="000000"/>
                <w:sz w:val="16"/>
                <w:szCs w:val="16"/>
                <w:vertAlign w:val="superscript"/>
              </w:rPr>
              <w:t>*</w:t>
            </w:r>
          </w:p>
        </w:tc>
        <w:tc>
          <w:tcPr>
            <w:tcW w:w="851" w:type="dxa"/>
            <w:tcBorders>
              <w:top w:val="nil"/>
              <w:left w:val="nil"/>
              <w:bottom w:val="nil"/>
              <w:right w:val="single" w:sz="4" w:space="0" w:color="000000"/>
            </w:tcBorders>
            <w:shd w:val="clear" w:color="000000" w:fill="D9D9D9"/>
            <w:noWrap/>
            <w:hideMark/>
          </w:tcPr>
          <w:p w14:paraId="33EB34CA" w14:textId="77777777" w:rsidR="00236027" w:rsidRPr="00CD487B" w:rsidRDefault="00236027" w:rsidP="00897DE5">
            <w:pPr>
              <w:jc w:val="right"/>
              <w:rPr>
                <w:color w:val="000000"/>
                <w:sz w:val="16"/>
                <w:szCs w:val="16"/>
              </w:rPr>
            </w:pPr>
            <w:r w:rsidRPr="00CD487B">
              <w:rPr>
                <w:color w:val="000000"/>
                <w:sz w:val="16"/>
                <w:szCs w:val="16"/>
              </w:rPr>
              <w:t>.085</w:t>
            </w:r>
          </w:p>
        </w:tc>
        <w:tc>
          <w:tcPr>
            <w:tcW w:w="992" w:type="dxa"/>
            <w:tcBorders>
              <w:top w:val="nil"/>
              <w:left w:val="nil"/>
              <w:bottom w:val="nil"/>
              <w:right w:val="single" w:sz="4" w:space="0" w:color="000000"/>
            </w:tcBorders>
            <w:shd w:val="clear" w:color="000000" w:fill="D9D9D9"/>
            <w:noWrap/>
            <w:hideMark/>
          </w:tcPr>
          <w:p w14:paraId="615508EA" w14:textId="77777777" w:rsidR="00236027" w:rsidRPr="00CD487B" w:rsidRDefault="00236027" w:rsidP="00897DE5">
            <w:pPr>
              <w:jc w:val="right"/>
              <w:rPr>
                <w:color w:val="000000"/>
                <w:sz w:val="16"/>
                <w:szCs w:val="16"/>
              </w:rPr>
            </w:pPr>
            <w:r w:rsidRPr="00CD487B">
              <w:rPr>
                <w:color w:val="000000"/>
                <w:sz w:val="16"/>
                <w:szCs w:val="16"/>
              </w:rPr>
              <w:t>.172</w:t>
            </w:r>
          </w:p>
        </w:tc>
        <w:tc>
          <w:tcPr>
            <w:tcW w:w="850" w:type="dxa"/>
            <w:tcBorders>
              <w:top w:val="nil"/>
              <w:left w:val="nil"/>
              <w:bottom w:val="nil"/>
              <w:right w:val="single" w:sz="4" w:space="0" w:color="000000"/>
            </w:tcBorders>
            <w:shd w:val="clear" w:color="000000" w:fill="D9D9D9"/>
            <w:noWrap/>
            <w:hideMark/>
          </w:tcPr>
          <w:p w14:paraId="1643E98E" w14:textId="77777777" w:rsidR="00236027" w:rsidRPr="00CD487B" w:rsidRDefault="00236027" w:rsidP="00897DE5">
            <w:pPr>
              <w:jc w:val="right"/>
              <w:rPr>
                <w:color w:val="000000"/>
                <w:sz w:val="16"/>
                <w:szCs w:val="16"/>
              </w:rPr>
            </w:pPr>
            <w:r w:rsidRPr="00CD487B">
              <w:rPr>
                <w:color w:val="000000"/>
                <w:sz w:val="16"/>
                <w:szCs w:val="16"/>
              </w:rPr>
              <w:t>.095</w:t>
            </w:r>
          </w:p>
        </w:tc>
        <w:tc>
          <w:tcPr>
            <w:tcW w:w="993" w:type="dxa"/>
            <w:tcBorders>
              <w:top w:val="nil"/>
              <w:left w:val="nil"/>
              <w:bottom w:val="nil"/>
              <w:right w:val="single" w:sz="4" w:space="0" w:color="000000"/>
            </w:tcBorders>
            <w:shd w:val="clear" w:color="000000" w:fill="D9D9D9"/>
            <w:noWrap/>
            <w:hideMark/>
          </w:tcPr>
          <w:p w14:paraId="46639951" w14:textId="77777777" w:rsidR="00236027" w:rsidRPr="00CD487B" w:rsidRDefault="00236027" w:rsidP="00897DE5">
            <w:pPr>
              <w:jc w:val="right"/>
              <w:rPr>
                <w:color w:val="000000"/>
                <w:sz w:val="16"/>
                <w:szCs w:val="16"/>
              </w:rPr>
            </w:pPr>
            <w:r w:rsidRPr="00CD487B">
              <w:rPr>
                <w:color w:val="000000"/>
                <w:sz w:val="16"/>
                <w:szCs w:val="16"/>
              </w:rPr>
              <w:t>.244</w:t>
            </w:r>
          </w:p>
        </w:tc>
        <w:tc>
          <w:tcPr>
            <w:tcW w:w="992" w:type="dxa"/>
            <w:tcBorders>
              <w:top w:val="nil"/>
              <w:left w:val="nil"/>
              <w:bottom w:val="nil"/>
              <w:right w:val="single" w:sz="4" w:space="0" w:color="000000"/>
            </w:tcBorders>
            <w:shd w:val="clear" w:color="000000" w:fill="D9D9D9"/>
            <w:noWrap/>
            <w:hideMark/>
          </w:tcPr>
          <w:p w14:paraId="75FDA31F" w14:textId="77777777" w:rsidR="00236027" w:rsidRPr="00CD487B" w:rsidRDefault="00236027" w:rsidP="00897DE5">
            <w:pPr>
              <w:jc w:val="right"/>
              <w:rPr>
                <w:color w:val="000000"/>
                <w:sz w:val="16"/>
                <w:szCs w:val="16"/>
              </w:rPr>
            </w:pPr>
            <w:r w:rsidRPr="00CD487B">
              <w:rPr>
                <w:color w:val="000000"/>
                <w:sz w:val="16"/>
                <w:szCs w:val="16"/>
              </w:rPr>
              <w:t>.216</w:t>
            </w:r>
          </w:p>
        </w:tc>
        <w:tc>
          <w:tcPr>
            <w:tcW w:w="919" w:type="dxa"/>
            <w:tcBorders>
              <w:top w:val="nil"/>
              <w:left w:val="nil"/>
              <w:bottom w:val="nil"/>
              <w:right w:val="single" w:sz="8" w:space="0" w:color="auto"/>
            </w:tcBorders>
            <w:shd w:val="clear" w:color="000000" w:fill="D9D9D9"/>
            <w:noWrap/>
            <w:hideMark/>
          </w:tcPr>
          <w:p w14:paraId="1E67CF47" w14:textId="77777777" w:rsidR="00236027" w:rsidRPr="00CD487B" w:rsidRDefault="00236027" w:rsidP="00897DE5">
            <w:pPr>
              <w:jc w:val="right"/>
              <w:rPr>
                <w:color w:val="000000"/>
                <w:sz w:val="16"/>
                <w:szCs w:val="16"/>
              </w:rPr>
            </w:pPr>
            <w:r w:rsidRPr="00CD487B">
              <w:rPr>
                <w:color w:val="000000"/>
                <w:sz w:val="16"/>
                <w:szCs w:val="16"/>
              </w:rPr>
              <w:t>1</w:t>
            </w:r>
          </w:p>
        </w:tc>
      </w:tr>
      <w:tr w:rsidR="000E33EB" w:rsidRPr="00897DE5" w14:paraId="1FB086DE" w14:textId="77777777" w:rsidTr="00897DE5">
        <w:trPr>
          <w:trHeight w:val="480"/>
        </w:trPr>
        <w:tc>
          <w:tcPr>
            <w:tcW w:w="708" w:type="dxa"/>
            <w:vMerge/>
            <w:tcBorders>
              <w:top w:val="nil"/>
              <w:left w:val="single" w:sz="8" w:space="0" w:color="auto"/>
              <w:bottom w:val="single" w:sz="8" w:space="0" w:color="000000"/>
              <w:right w:val="nil"/>
            </w:tcBorders>
            <w:vAlign w:val="center"/>
            <w:hideMark/>
          </w:tcPr>
          <w:p w14:paraId="6287946B" w14:textId="77777777" w:rsidR="00236027" w:rsidRPr="00897DE5" w:rsidRDefault="00236027" w:rsidP="00897DE5">
            <w:pPr>
              <w:jc w:val="center"/>
              <w:rPr>
                <w:b/>
                <w:bCs/>
                <w:color w:val="FFFFFF"/>
                <w:sz w:val="16"/>
                <w:szCs w:val="16"/>
              </w:rPr>
            </w:pPr>
          </w:p>
        </w:tc>
        <w:tc>
          <w:tcPr>
            <w:tcW w:w="1012" w:type="dxa"/>
            <w:tcBorders>
              <w:top w:val="nil"/>
              <w:left w:val="nil"/>
              <w:bottom w:val="nil"/>
              <w:right w:val="single" w:sz="12" w:space="0" w:color="000000"/>
            </w:tcBorders>
            <w:shd w:val="clear" w:color="000000" w:fill="D9D9D9"/>
            <w:vAlign w:val="center"/>
            <w:hideMark/>
          </w:tcPr>
          <w:p w14:paraId="0655C822" w14:textId="77777777" w:rsidR="00236027" w:rsidRPr="00CD487B" w:rsidRDefault="00236027" w:rsidP="00897DE5">
            <w:pPr>
              <w:jc w:val="center"/>
              <w:rPr>
                <w:color w:val="000000"/>
                <w:sz w:val="16"/>
                <w:szCs w:val="16"/>
              </w:rPr>
            </w:pPr>
            <w:r w:rsidRPr="00897DE5">
              <w:rPr>
                <w:color w:val="000000"/>
                <w:sz w:val="16"/>
                <w:szCs w:val="16"/>
              </w:rPr>
              <w:t>Sig. (unilateral)</w:t>
            </w:r>
          </w:p>
        </w:tc>
        <w:tc>
          <w:tcPr>
            <w:tcW w:w="831" w:type="dxa"/>
            <w:tcBorders>
              <w:top w:val="nil"/>
              <w:left w:val="nil"/>
              <w:bottom w:val="nil"/>
              <w:right w:val="single" w:sz="4" w:space="0" w:color="000000"/>
            </w:tcBorders>
            <w:shd w:val="clear" w:color="000000" w:fill="D9D9D9"/>
            <w:noWrap/>
            <w:hideMark/>
          </w:tcPr>
          <w:p w14:paraId="23EB6C1D" w14:textId="77777777" w:rsidR="00236027" w:rsidRPr="00CD487B" w:rsidRDefault="00236027" w:rsidP="00897DE5">
            <w:pPr>
              <w:jc w:val="right"/>
              <w:rPr>
                <w:color w:val="000000"/>
                <w:sz w:val="16"/>
                <w:szCs w:val="16"/>
              </w:rPr>
            </w:pPr>
            <w:r w:rsidRPr="00CD487B">
              <w:rPr>
                <w:color w:val="000000"/>
                <w:sz w:val="16"/>
                <w:szCs w:val="16"/>
              </w:rPr>
              <w:t>.048</w:t>
            </w:r>
          </w:p>
        </w:tc>
        <w:tc>
          <w:tcPr>
            <w:tcW w:w="851" w:type="dxa"/>
            <w:tcBorders>
              <w:top w:val="nil"/>
              <w:left w:val="nil"/>
              <w:bottom w:val="nil"/>
              <w:right w:val="single" w:sz="4" w:space="0" w:color="000000"/>
            </w:tcBorders>
            <w:shd w:val="clear" w:color="000000" w:fill="D9D9D9"/>
            <w:noWrap/>
            <w:hideMark/>
          </w:tcPr>
          <w:p w14:paraId="199F4B03" w14:textId="77777777" w:rsidR="00236027" w:rsidRPr="00CD487B" w:rsidRDefault="00236027" w:rsidP="00897DE5">
            <w:pPr>
              <w:jc w:val="right"/>
              <w:rPr>
                <w:color w:val="000000"/>
                <w:sz w:val="16"/>
                <w:szCs w:val="16"/>
              </w:rPr>
            </w:pPr>
            <w:r w:rsidRPr="00CD487B">
              <w:rPr>
                <w:color w:val="000000"/>
                <w:sz w:val="16"/>
                <w:szCs w:val="16"/>
              </w:rPr>
              <w:t>.327</w:t>
            </w:r>
          </w:p>
        </w:tc>
        <w:tc>
          <w:tcPr>
            <w:tcW w:w="992" w:type="dxa"/>
            <w:tcBorders>
              <w:top w:val="nil"/>
              <w:left w:val="nil"/>
              <w:bottom w:val="nil"/>
              <w:right w:val="single" w:sz="4" w:space="0" w:color="000000"/>
            </w:tcBorders>
            <w:shd w:val="clear" w:color="000000" w:fill="D9D9D9"/>
            <w:noWrap/>
            <w:hideMark/>
          </w:tcPr>
          <w:p w14:paraId="0F0D6798" w14:textId="77777777" w:rsidR="00236027" w:rsidRPr="00CD487B" w:rsidRDefault="00236027" w:rsidP="00897DE5">
            <w:pPr>
              <w:jc w:val="right"/>
              <w:rPr>
                <w:color w:val="000000"/>
                <w:sz w:val="16"/>
                <w:szCs w:val="16"/>
              </w:rPr>
            </w:pPr>
            <w:r w:rsidRPr="00CD487B">
              <w:rPr>
                <w:color w:val="000000"/>
                <w:sz w:val="16"/>
                <w:szCs w:val="16"/>
              </w:rPr>
              <w:t>.182</w:t>
            </w:r>
          </w:p>
        </w:tc>
        <w:tc>
          <w:tcPr>
            <w:tcW w:w="850" w:type="dxa"/>
            <w:tcBorders>
              <w:top w:val="nil"/>
              <w:left w:val="nil"/>
              <w:bottom w:val="nil"/>
              <w:right w:val="single" w:sz="4" w:space="0" w:color="000000"/>
            </w:tcBorders>
            <w:shd w:val="clear" w:color="000000" w:fill="D9D9D9"/>
            <w:noWrap/>
            <w:hideMark/>
          </w:tcPr>
          <w:p w14:paraId="104BD9DC" w14:textId="77777777" w:rsidR="00236027" w:rsidRPr="00CD487B" w:rsidRDefault="00236027" w:rsidP="00897DE5">
            <w:pPr>
              <w:jc w:val="right"/>
              <w:rPr>
                <w:color w:val="000000"/>
                <w:sz w:val="16"/>
                <w:szCs w:val="16"/>
              </w:rPr>
            </w:pPr>
            <w:r w:rsidRPr="00CD487B">
              <w:rPr>
                <w:color w:val="000000"/>
                <w:sz w:val="16"/>
                <w:szCs w:val="16"/>
              </w:rPr>
              <w:t>.308</w:t>
            </w:r>
          </w:p>
        </w:tc>
        <w:tc>
          <w:tcPr>
            <w:tcW w:w="993" w:type="dxa"/>
            <w:tcBorders>
              <w:top w:val="nil"/>
              <w:left w:val="nil"/>
              <w:bottom w:val="nil"/>
              <w:right w:val="single" w:sz="4" w:space="0" w:color="000000"/>
            </w:tcBorders>
            <w:shd w:val="clear" w:color="000000" w:fill="D9D9D9"/>
            <w:noWrap/>
            <w:hideMark/>
          </w:tcPr>
          <w:p w14:paraId="48F183C5" w14:textId="77777777" w:rsidR="00236027" w:rsidRPr="00CD487B" w:rsidRDefault="00236027" w:rsidP="00897DE5">
            <w:pPr>
              <w:jc w:val="right"/>
              <w:rPr>
                <w:color w:val="000000"/>
                <w:sz w:val="16"/>
                <w:szCs w:val="16"/>
              </w:rPr>
            </w:pPr>
            <w:r w:rsidRPr="00CD487B">
              <w:rPr>
                <w:color w:val="000000"/>
                <w:sz w:val="16"/>
                <w:szCs w:val="16"/>
              </w:rPr>
              <w:t>.073</w:t>
            </w:r>
          </w:p>
        </w:tc>
        <w:tc>
          <w:tcPr>
            <w:tcW w:w="992" w:type="dxa"/>
            <w:tcBorders>
              <w:top w:val="nil"/>
              <w:left w:val="nil"/>
              <w:bottom w:val="nil"/>
              <w:right w:val="single" w:sz="4" w:space="0" w:color="000000"/>
            </w:tcBorders>
            <w:shd w:val="clear" w:color="000000" w:fill="D9D9D9"/>
            <w:noWrap/>
            <w:hideMark/>
          </w:tcPr>
          <w:p w14:paraId="7458F4E7" w14:textId="77777777" w:rsidR="00236027" w:rsidRPr="00CD487B" w:rsidRDefault="00236027" w:rsidP="00897DE5">
            <w:pPr>
              <w:jc w:val="right"/>
              <w:rPr>
                <w:color w:val="000000"/>
                <w:sz w:val="16"/>
                <w:szCs w:val="16"/>
              </w:rPr>
            </w:pPr>
            <w:r w:rsidRPr="00CD487B">
              <w:rPr>
                <w:color w:val="000000"/>
                <w:sz w:val="16"/>
                <w:szCs w:val="16"/>
              </w:rPr>
              <w:t>.099</w:t>
            </w:r>
          </w:p>
        </w:tc>
        <w:tc>
          <w:tcPr>
            <w:tcW w:w="919" w:type="dxa"/>
            <w:tcBorders>
              <w:top w:val="nil"/>
              <w:left w:val="nil"/>
              <w:bottom w:val="nil"/>
              <w:right w:val="single" w:sz="8" w:space="0" w:color="auto"/>
            </w:tcBorders>
            <w:shd w:val="clear" w:color="000000" w:fill="D9D9D9"/>
            <w:hideMark/>
          </w:tcPr>
          <w:p w14:paraId="13B8480B" w14:textId="77777777" w:rsidR="00236027" w:rsidRPr="00CD487B" w:rsidRDefault="00236027" w:rsidP="00897DE5">
            <w:pPr>
              <w:rPr>
                <w:color w:val="000000"/>
                <w:sz w:val="16"/>
                <w:szCs w:val="16"/>
              </w:rPr>
            </w:pPr>
            <w:r w:rsidRPr="00CD487B">
              <w:rPr>
                <w:color w:val="000000"/>
                <w:sz w:val="16"/>
                <w:szCs w:val="16"/>
              </w:rPr>
              <w:t> </w:t>
            </w:r>
          </w:p>
        </w:tc>
      </w:tr>
      <w:tr w:rsidR="000E33EB" w:rsidRPr="00897DE5" w14:paraId="53BB62EE" w14:textId="77777777" w:rsidTr="00897DE5">
        <w:trPr>
          <w:trHeight w:val="265"/>
        </w:trPr>
        <w:tc>
          <w:tcPr>
            <w:tcW w:w="708" w:type="dxa"/>
            <w:vMerge/>
            <w:tcBorders>
              <w:top w:val="nil"/>
              <w:left w:val="single" w:sz="8" w:space="0" w:color="auto"/>
              <w:bottom w:val="single" w:sz="8" w:space="0" w:color="000000"/>
              <w:right w:val="nil"/>
            </w:tcBorders>
            <w:vAlign w:val="center"/>
            <w:hideMark/>
          </w:tcPr>
          <w:p w14:paraId="5232C751" w14:textId="77777777" w:rsidR="00236027" w:rsidRPr="00897DE5" w:rsidRDefault="00236027" w:rsidP="00897DE5">
            <w:pPr>
              <w:jc w:val="center"/>
              <w:rPr>
                <w:b/>
                <w:bCs/>
                <w:color w:val="FFFFFF"/>
                <w:sz w:val="18"/>
                <w:szCs w:val="20"/>
              </w:rPr>
            </w:pPr>
          </w:p>
        </w:tc>
        <w:tc>
          <w:tcPr>
            <w:tcW w:w="1012" w:type="dxa"/>
            <w:tcBorders>
              <w:top w:val="nil"/>
              <w:left w:val="nil"/>
              <w:bottom w:val="single" w:sz="8" w:space="0" w:color="auto"/>
              <w:right w:val="single" w:sz="12" w:space="0" w:color="000000"/>
            </w:tcBorders>
            <w:shd w:val="clear" w:color="000000" w:fill="D9D9D9"/>
            <w:vAlign w:val="center"/>
            <w:hideMark/>
          </w:tcPr>
          <w:p w14:paraId="01155202" w14:textId="77777777" w:rsidR="00236027" w:rsidRPr="00CD487B" w:rsidRDefault="00236027" w:rsidP="00897DE5">
            <w:pPr>
              <w:jc w:val="center"/>
              <w:rPr>
                <w:color w:val="000000"/>
                <w:sz w:val="18"/>
                <w:szCs w:val="20"/>
              </w:rPr>
            </w:pPr>
            <w:r w:rsidRPr="00897DE5">
              <w:rPr>
                <w:color w:val="000000"/>
                <w:sz w:val="18"/>
                <w:szCs w:val="20"/>
              </w:rPr>
              <w:t>N</w:t>
            </w:r>
          </w:p>
        </w:tc>
        <w:tc>
          <w:tcPr>
            <w:tcW w:w="831" w:type="dxa"/>
            <w:tcBorders>
              <w:top w:val="nil"/>
              <w:left w:val="nil"/>
              <w:bottom w:val="single" w:sz="8" w:space="0" w:color="auto"/>
              <w:right w:val="single" w:sz="4" w:space="0" w:color="000000"/>
            </w:tcBorders>
            <w:shd w:val="clear" w:color="000000" w:fill="D9D9D9"/>
            <w:noWrap/>
            <w:hideMark/>
          </w:tcPr>
          <w:p w14:paraId="29F7D990" w14:textId="77777777" w:rsidR="00236027" w:rsidRPr="00CD487B" w:rsidRDefault="00236027" w:rsidP="00897DE5">
            <w:pPr>
              <w:jc w:val="right"/>
              <w:rPr>
                <w:color w:val="000000"/>
                <w:sz w:val="18"/>
                <w:szCs w:val="20"/>
              </w:rPr>
            </w:pPr>
            <w:r w:rsidRPr="00CD487B">
              <w:rPr>
                <w:color w:val="000000"/>
                <w:sz w:val="18"/>
                <w:szCs w:val="20"/>
              </w:rPr>
              <w:t>30</w:t>
            </w:r>
          </w:p>
        </w:tc>
        <w:tc>
          <w:tcPr>
            <w:tcW w:w="851" w:type="dxa"/>
            <w:tcBorders>
              <w:top w:val="nil"/>
              <w:left w:val="nil"/>
              <w:bottom w:val="single" w:sz="8" w:space="0" w:color="auto"/>
              <w:right w:val="single" w:sz="4" w:space="0" w:color="000000"/>
            </w:tcBorders>
            <w:shd w:val="clear" w:color="000000" w:fill="D9D9D9"/>
            <w:noWrap/>
            <w:hideMark/>
          </w:tcPr>
          <w:p w14:paraId="2462440E" w14:textId="77777777" w:rsidR="00236027" w:rsidRPr="00CD487B" w:rsidRDefault="00236027" w:rsidP="00897DE5">
            <w:pPr>
              <w:jc w:val="right"/>
              <w:rPr>
                <w:color w:val="000000"/>
                <w:sz w:val="18"/>
                <w:szCs w:val="20"/>
              </w:rPr>
            </w:pPr>
            <w:r w:rsidRPr="00CD487B">
              <w:rPr>
                <w:color w:val="000000"/>
                <w:sz w:val="18"/>
                <w:szCs w:val="20"/>
              </w:rPr>
              <w:t>30</w:t>
            </w:r>
          </w:p>
        </w:tc>
        <w:tc>
          <w:tcPr>
            <w:tcW w:w="992" w:type="dxa"/>
            <w:tcBorders>
              <w:top w:val="nil"/>
              <w:left w:val="nil"/>
              <w:bottom w:val="single" w:sz="8" w:space="0" w:color="auto"/>
              <w:right w:val="single" w:sz="4" w:space="0" w:color="000000"/>
            </w:tcBorders>
            <w:shd w:val="clear" w:color="000000" w:fill="D9D9D9"/>
            <w:noWrap/>
            <w:hideMark/>
          </w:tcPr>
          <w:p w14:paraId="68D98ACA" w14:textId="77777777" w:rsidR="00236027" w:rsidRPr="00CD487B" w:rsidRDefault="00236027" w:rsidP="00897DE5">
            <w:pPr>
              <w:jc w:val="right"/>
              <w:rPr>
                <w:color w:val="000000"/>
                <w:sz w:val="18"/>
                <w:szCs w:val="20"/>
              </w:rPr>
            </w:pPr>
            <w:r w:rsidRPr="00CD487B">
              <w:rPr>
                <w:color w:val="000000"/>
                <w:sz w:val="18"/>
                <w:szCs w:val="20"/>
              </w:rPr>
              <w:t>30</w:t>
            </w:r>
          </w:p>
        </w:tc>
        <w:tc>
          <w:tcPr>
            <w:tcW w:w="850" w:type="dxa"/>
            <w:tcBorders>
              <w:top w:val="nil"/>
              <w:left w:val="nil"/>
              <w:bottom w:val="single" w:sz="8" w:space="0" w:color="auto"/>
              <w:right w:val="single" w:sz="4" w:space="0" w:color="000000"/>
            </w:tcBorders>
            <w:shd w:val="clear" w:color="000000" w:fill="D9D9D9"/>
            <w:noWrap/>
            <w:hideMark/>
          </w:tcPr>
          <w:p w14:paraId="7CAE4454" w14:textId="77777777" w:rsidR="00236027" w:rsidRPr="00CD487B" w:rsidRDefault="00236027" w:rsidP="00897DE5">
            <w:pPr>
              <w:jc w:val="right"/>
              <w:rPr>
                <w:color w:val="000000"/>
                <w:sz w:val="18"/>
                <w:szCs w:val="20"/>
              </w:rPr>
            </w:pPr>
            <w:r w:rsidRPr="00CD487B">
              <w:rPr>
                <w:color w:val="000000"/>
                <w:sz w:val="18"/>
                <w:szCs w:val="20"/>
              </w:rPr>
              <w:t>30</w:t>
            </w:r>
          </w:p>
        </w:tc>
        <w:tc>
          <w:tcPr>
            <w:tcW w:w="993" w:type="dxa"/>
            <w:tcBorders>
              <w:top w:val="nil"/>
              <w:left w:val="nil"/>
              <w:bottom w:val="single" w:sz="8" w:space="0" w:color="auto"/>
              <w:right w:val="single" w:sz="4" w:space="0" w:color="000000"/>
            </w:tcBorders>
            <w:shd w:val="clear" w:color="000000" w:fill="D9D9D9"/>
            <w:noWrap/>
            <w:hideMark/>
          </w:tcPr>
          <w:p w14:paraId="4480440D" w14:textId="77777777" w:rsidR="00236027" w:rsidRPr="00CD487B" w:rsidRDefault="00236027" w:rsidP="00897DE5">
            <w:pPr>
              <w:jc w:val="right"/>
              <w:rPr>
                <w:color w:val="000000"/>
                <w:sz w:val="18"/>
                <w:szCs w:val="20"/>
              </w:rPr>
            </w:pPr>
            <w:r w:rsidRPr="00CD487B">
              <w:rPr>
                <w:color w:val="000000"/>
                <w:sz w:val="18"/>
                <w:szCs w:val="20"/>
              </w:rPr>
              <w:t>37</w:t>
            </w:r>
          </w:p>
        </w:tc>
        <w:tc>
          <w:tcPr>
            <w:tcW w:w="992" w:type="dxa"/>
            <w:tcBorders>
              <w:top w:val="nil"/>
              <w:left w:val="nil"/>
              <w:bottom w:val="single" w:sz="8" w:space="0" w:color="auto"/>
              <w:right w:val="single" w:sz="4" w:space="0" w:color="000000"/>
            </w:tcBorders>
            <w:shd w:val="clear" w:color="000000" w:fill="D9D9D9"/>
            <w:noWrap/>
            <w:hideMark/>
          </w:tcPr>
          <w:p w14:paraId="07BF722E" w14:textId="77777777" w:rsidR="00236027" w:rsidRPr="00CD487B" w:rsidRDefault="00236027" w:rsidP="00897DE5">
            <w:pPr>
              <w:jc w:val="right"/>
              <w:rPr>
                <w:color w:val="000000"/>
                <w:sz w:val="18"/>
                <w:szCs w:val="20"/>
              </w:rPr>
            </w:pPr>
            <w:r w:rsidRPr="00CD487B">
              <w:rPr>
                <w:color w:val="000000"/>
                <w:sz w:val="18"/>
                <w:szCs w:val="20"/>
              </w:rPr>
              <w:t>37</w:t>
            </w:r>
          </w:p>
        </w:tc>
        <w:tc>
          <w:tcPr>
            <w:tcW w:w="919" w:type="dxa"/>
            <w:tcBorders>
              <w:top w:val="nil"/>
              <w:left w:val="nil"/>
              <w:bottom w:val="single" w:sz="8" w:space="0" w:color="auto"/>
              <w:right w:val="single" w:sz="8" w:space="0" w:color="auto"/>
            </w:tcBorders>
            <w:shd w:val="clear" w:color="000000" w:fill="D9D9D9"/>
            <w:noWrap/>
            <w:hideMark/>
          </w:tcPr>
          <w:p w14:paraId="568BFED0" w14:textId="77777777" w:rsidR="00236027" w:rsidRPr="00CD487B" w:rsidRDefault="00236027" w:rsidP="00897DE5">
            <w:pPr>
              <w:jc w:val="right"/>
              <w:rPr>
                <w:color w:val="000000"/>
                <w:sz w:val="18"/>
                <w:szCs w:val="20"/>
              </w:rPr>
            </w:pPr>
            <w:r w:rsidRPr="00CD487B">
              <w:rPr>
                <w:color w:val="000000"/>
                <w:sz w:val="18"/>
                <w:szCs w:val="20"/>
              </w:rPr>
              <w:t>37</w:t>
            </w:r>
          </w:p>
        </w:tc>
      </w:tr>
      <w:tr w:rsidR="00236027" w:rsidRPr="00897DE5" w14:paraId="61C4AD69" w14:textId="77777777" w:rsidTr="00897DE5">
        <w:trPr>
          <w:trHeight w:val="300"/>
        </w:trPr>
        <w:tc>
          <w:tcPr>
            <w:tcW w:w="8148" w:type="dxa"/>
            <w:gridSpan w:val="9"/>
            <w:tcBorders>
              <w:top w:val="nil"/>
              <w:left w:val="nil"/>
              <w:bottom w:val="nil"/>
              <w:right w:val="nil"/>
            </w:tcBorders>
            <w:shd w:val="clear" w:color="auto" w:fill="auto"/>
            <w:vAlign w:val="center"/>
            <w:hideMark/>
          </w:tcPr>
          <w:p w14:paraId="56CF177B" w14:textId="77777777" w:rsidR="00236027" w:rsidRPr="005B4DB8" w:rsidRDefault="00897DE5" w:rsidP="009C2FCC">
            <w:pPr>
              <w:rPr>
                <w:i/>
                <w:iCs/>
                <w:color w:val="000000"/>
              </w:rPr>
            </w:pPr>
            <w:r w:rsidRPr="005B4DB8">
              <w:rPr>
                <w:i/>
                <w:iCs/>
                <w:color w:val="000000"/>
              </w:rPr>
              <w:t>*</w:t>
            </w:r>
            <w:r w:rsidR="00236027" w:rsidRPr="005B4DB8">
              <w:rPr>
                <w:i/>
                <w:iCs/>
                <w:color w:val="000000"/>
              </w:rPr>
              <w:t xml:space="preserve"> </w:t>
            </w:r>
            <w:r w:rsidRPr="005B4DB8">
              <w:rPr>
                <w:i/>
                <w:iCs/>
                <w:color w:val="000000"/>
              </w:rPr>
              <w:t xml:space="preserve">   </w:t>
            </w:r>
            <w:r w:rsidR="00236027" w:rsidRPr="005B4DB8">
              <w:rPr>
                <w:i/>
                <w:iCs/>
                <w:color w:val="000000"/>
              </w:rPr>
              <w:t>La correlación es significativa al nivel 0,05 (unilateral).</w:t>
            </w:r>
          </w:p>
        </w:tc>
      </w:tr>
      <w:tr w:rsidR="00236027" w:rsidRPr="00897DE5" w14:paraId="413B78A7" w14:textId="77777777" w:rsidTr="00897DE5">
        <w:trPr>
          <w:trHeight w:val="300"/>
        </w:trPr>
        <w:tc>
          <w:tcPr>
            <w:tcW w:w="8148" w:type="dxa"/>
            <w:gridSpan w:val="9"/>
            <w:tcBorders>
              <w:top w:val="nil"/>
              <w:left w:val="nil"/>
              <w:bottom w:val="nil"/>
              <w:right w:val="nil"/>
            </w:tcBorders>
            <w:shd w:val="clear" w:color="auto" w:fill="auto"/>
            <w:vAlign w:val="center"/>
            <w:hideMark/>
          </w:tcPr>
          <w:p w14:paraId="513D8C48" w14:textId="77777777" w:rsidR="00236027" w:rsidRPr="005B4DB8" w:rsidRDefault="00897DE5" w:rsidP="009C2FCC">
            <w:pPr>
              <w:rPr>
                <w:i/>
                <w:iCs/>
                <w:color w:val="000000"/>
              </w:rPr>
            </w:pPr>
            <w:r w:rsidRPr="005B4DB8">
              <w:rPr>
                <w:i/>
                <w:iCs/>
                <w:color w:val="000000"/>
              </w:rPr>
              <w:t>**</w:t>
            </w:r>
            <w:r w:rsidR="00236027" w:rsidRPr="005B4DB8">
              <w:rPr>
                <w:i/>
                <w:iCs/>
                <w:color w:val="000000"/>
              </w:rPr>
              <w:t xml:space="preserve"> La correlación es significante al nivel 0,01 (unilateral).</w:t>
            </w:r>
          </w:p>
        </w:tc>
      </w:tr>
    </w:tbl>
    <w:p w14:paraId="219077FC" w14:textId="77777777" w:rsidR="00125A18" w:rsidRDefault="00125A18" w:rsidP="009C2FCC">
      <w:pPr>
        <w:jc w:val="center"/>
      </w:pPr>
      <w:r>
        <w:t>Fuente: Elaboración propia.</w:t>
      </w:r>
    </w:p>
    <w:p w14:paraId="7FD0256D" w14:textId="77777777" w:rsidR="009C2FCC" w:rsidRDefault="009C2FCC" w:rsidP="00897DE5">
      <w:pPr>
        <w:spacing w:before="240" w:line="360" w:lineRule="auto"/>
        <w:jc w:val="both"/>
      </w:pPr>
    </w:p>
    <w:p w14:paraId="3E57C5CE" w14:textId="77777777" w:rsidR="003D75F5" w:rsidRDefault="003D75F5" w:rsidP="00897DE5">
      <w:pPr>
        <w:spacing w:before="240" w:line="360" w:lineRule="auto"/>
        <w:jc w:val="both"/>
      </w:pPr>
      <w:r w:rsidRPr="00897DE5">
        <w:t>L</w:t>
      </w:r>
      <w:r w:rsidRPr="00CD487B">
        <w:t xml:space="preserve">a tabla 2 describe las correlaciones de Pearson de </w:t>
      </w:r>
      <w:r w:rsidR="004F1F33" w:rsidRPr="00CD487B">
        <w:t xml:space="preserve">cada una de las categorías contempladas en </w:t>
      </w:r>
      <w:r w:rsidR="00F8576B" w:rsidRPr="00CD487B">
        <w:t xml:space="preserve">EXANI </w:t>
      </w:r>
      <w:r w:rsidR="004F1F33" w:rsidRPr="00CD487B">
        <w:t xml:space="preserve">II y </w:t>
      </w:r>
      <w:proofErr w:type="spellStart"/>
      <w:r w:rsidR="004F1F33" w:rsidRPr="00CD487B">
        <w:t>Pretest</w:t>
      </w:r>
      <w:proofErr w:type="spellEnd"/>
      <w:r w:rsidR="004F1F33" w:rsidRPr="00CD487B">
        <w:t xml:space="preserve">, </w:t>
      </w:r>
      <w:r w:rsidR="002A7497">
        <w:t>en que</w:t>
      </w:r>
      <w:r w:rsidR="004F1F33" w:rsidRPr="00CD487B">
        <w:t xml:space="preserve"> </w:t>
      </w:r>
      <w:r w:rsidR="00F8576B" w:rsidRPr="00CD487B">
        <w:t>sobresale</w:t>
      </w:r>
      <w:r w:rsidR="004F1F33" w:rsidRPr="00CD487B">
        <w:t xml:space="preserve"> </w:t>
      </w:r>
      <w:r w:rsidR="002A7497">
        <w:t xml:space="preserve">la </w:t>
      </w:r>
      <w:r w:rsidR="004F1F33" w:rsidRPr="00CD487B">
        <w:t>poca</w:t>
      </w:r>
      <w:r w:rsidRPr="00CD487B">
        <w:t xml:space="preserve"> </w:t>
      </w:r>
      <w:r w:rsidR="004F1F33" w:rsidRPr="00CD487B">
        <w:t>relación</w:t>
      </w:r>
      <w:r w:rsidR="002A7497">
        <w:t>,</w:t>
      </w:r>
      <w:r w:rsidR="004F1F33" w:rsidRPr="00CD487B">
        <w:t xml:space="preserve"> a pesar de que explícitamente se describen los contenidos que ambos están evaluando</w:t>
      </w:r>
      <w:r w:rsidR="002A7497">
        <w:t xml:space="preserve"> y</w:t>
      </w:r>
      <w:r w:rsidR="004F1F33" w:rsidRPr="00CD487B">
        <w:t xml:space="preserve"> que confirma la contradicción inicial en cuanto a escalas de evaluación. De manera particular, los únicos módulos de ambas pruebas que tienen una relación significativa son </w:t>
      </w:r>
      <w:r w:rsidR="002A7497">
        <w:t>l</w:t>
      </w:r>
      <w:r w:rsidR="004F1F33" w:rsidRPr="00CD487B">
        <w:t xml:space="preserve">os módulos PM y MOD01 del </w:t>
      </w:r>
      <w:r w:rsidR="00F8576B" w:rsidRPr="00CD487B">
        <w:t xml:space="preserve">EXANI </w:t>
      </w:r>
      <w:r w:rsidR="004F1F33" w:rsidRPr="00CD487B">
        <w:t xml:space="preserve">II al duplicar el tipo de contenidos que está evaluando, </w:t>
      </w:r>
      <w:r w:rsidR="002A7497">
        <w:t xml:space="preserve">y </w:t>
      </w:r>
      <w:r w:rsidR="004F1F33" w:rsidRPr="00CD487B">
        <w:t>ambos incluyen aritmética y álgebra,</w:t>
      </w:r>
      <w:r w:rsidR="00906E28" w:rsidRPr="00CD487B">
        <w:t xml:space="preserve"> pero </w:t>
      </w:r>
      <w:r w:rsidR="00906E28" w:rsidRPr="00CD487B">
        <w:lastRenderedPageBreak/>
        <w:t xml:space="preserve">no se correlaciona con ningún modulo del Pretest. Por otro lado, hay una correlación menor pero existente entre PM y MOD01 del </w:t>
      </w:r>
      <w:r w:rsidR="00F8576B" w:rsidRPr="00CD487B">
        <w:t xml:space="preserve">EXANI </w:t>
      </w:r>
      <w:r w:rsidR="00906E28" w:rsidRPr="00CD487B">
        <w:t>y PPF PPAL del Pretest respectivamente. Estos resultados indican que debe elaborarse un análisis más profundo de los contenidos, para establecer o negar una verdadera relación entre contenidos y calificaciones</w:t>
      </w:r>
      <w:r w:rsidR="002A7497">
        <w:t>,</w:t>
      </w:r>
      <w:r w:rsidR="00906E28" w:rsidRPr="00CD487B">
        <w:t xml:space="preserve"> lo cual realizaremos con la t</w:t>
      </w:r>
      <w:r w:rsidR="00694E9A" w:rsidRPr="00CD487B">
        <w:t xml:space="preserve"> de </w:t>
      </w:r>
      <w:proofErr w:type="spellStart"/>
      <w:r w:rsidR="00F8576B" w:rsidRPr="00CD487B">
        <w:t>s</w:t>
      </w:r>
      <w:r w:rsidR="00906E28" w:rsidRPr="00CD487B">
        <w:t>tudent</w:t>
      </w:r>
      <w:proofErr w:type="spellEnd"/>
      <w:r w:rsidR="00906E28" w:rsidRPr="00CD487B">
        <w:t xml:space="preserve"> </w:t>
      </w:r>
      <w:r w:rsidR="002A7497">
        <w:t>(</w:t>
      </w:r>
      <w:r w:rsidR="00906E28" w:rsidRPr="00CD487B">
        <w:t xml:space="preserve">ver </w:t>
      </w:r>
      <w:r w:rsidR="002A7497">
        <w:t>T</w:t>
      </w:r>
      <w:r w:rsidR="00906E28" w:rsidRPr="00CD487B">
        <w:t>abla 3</w:t>
      </w:r>
      <w:r w:rsidR="002A7497">
        <w:t>)</w:t>
      </w:r>
      <w:r w:rsidR="00906E28" w:rsidRPr="00CD487B">
        <w:t xml:space="preserve">. </w:t>
      </w:r>
      <w:r w:rsidR="004F1F33" w:rsidRPr="00CD487B">
        <w:t xml:space="preserve">  </w:t>
      </w:r>
    </w:p>
    <w:p w14:paraId="484C3FB6" w14:textId="77777777" w:rsidR="003B3F5D" w:rsidRPr="00CD487B" w:rsidRDefault="003B3F5D">
      <w:pPr>
        <w:rPr>
          <w:b/>
        </w:rPr>
      </w:pPr>
    </w:p>
    <w:p w14:paraId="3034F4B9" w14:textId="77777777" w:rsidR="0064737D" w:rsidRPr="00CD487B" w:rsidRDefault="00906E28" w:rsidP="00DB2B12">
      <w:pPr>
        <w:jc w:val="center"/>
        <w:rPr>
          <w:b/>
        </w:rPr>
      </w:pPr>
      <w:r w:rsidRPr="005B4DB8">
        <w:rPr>
          <w:b/>
        </w:rPr>
        <w:t>Tabla 3.</w:t>
      </w:r>
      <w:r w:rsidRPr="00CD487B">
        <w:t xml:space="preserve"> </w:t>
      </w:r>
      <w:r w:rsidR="0084619F" w:rsidRPr="00CD487B">
        <w:t xml:space="preserve">Diferencia relacionada entre el </w:t>
      </w:r>
      <w:r w:rsidRPr="00CD487B">
        <w:t>Pretest</w:t>
      </w:r>
      <w:r w:rsidR="0084619F" w:rsidRPr="00CD487B">
        <w:t xml:space="preserve"> y el </w:t>
      </w:r>
      <w:r w:rsidR="00F8576B" w:rsidRPr="00CD487B">
        <w:t xml:space="preserve">EXANI </w:t>
      </w:r>
      <w:r w:rsidRPr="00CD487B">
        <w:t>(categoría PM)</w:t>
      </w:r>
      <w:r w:rsidR="002A7497">
        <w:t>.</w:t>
      </w:r>
    </w:p>
    <w:tbl>
      <w:tblPr>
        <w:tblW w:w="9360" w:type="dxa"/>
        <w:tblInd w:w="55" w:type="dxa"/>
        <w:tblCellMar>
          <w:left w:w="70" w:type="dxa"/>
          <w:right w:w="70" w:type="dxa"/>
        </w:tblCellMar>
        <w:tblLook w:val="04A0" w:firstRow="1" w:lastRow="0" w:firstColumn="1" w:lastColumn="0" w:noHBand="0" w:noVBand="1"/>
      </w:tblPr>
      <w:tblGrid>
        <w:gridCol w:w="1200"/>
        <w:gridCol w:w="1060"/>
        <w:gridCol w:w="1120"/>
        <w:gridCol w:w="1100"/>
        <w:gridCol w:w="1120"/>
        <w:gridCol w:w="1100"/>
        <w:gridCol w:w="900"/>
        <w:gridCol w:w="820"/>
        <w:gridCol w:w="940"/>
      </w:tblGrid>
      <w:tr w:rsidR="0064737D" w:rsidRPr="00897DE5" w14:paraId="50DC7EEB" w14:textId="77777777" w:rsidTr="00F4369C">
        <w:trPr>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000000"/>
            <w:vAlign w:val="bottom"/>
            <w:hideMark/>
          </w:tcPr>
          <w:p w14:paraId="7A9D1B3F" w14:textId="77777777" w:rsidR="0064737D" w:rsidRPr="00CD487B" w:rsidRDefault="0064737D" w:rsidP="00897DE5">
            <w:pPr>
              <w:rPr>
                <w:color w:val="FFFFFF"/>
                <w:sz w:val="18"/>
                <w:szCs w:val="18"/>
              </w:rPr>
            </w:pPr>
            <w:r w:rsidRPr="00CD487B">
              <w:rPr>
                <w:color w:val="FFFFFF"/>
                <w:sz w:val="18"/>
                <w:szCs w:val="18"/>
              </w:rPr>
              <w:t> </w:t>
            </w:r>
          </w:p>
        </w:tc>
        <w:tc>
          <w:tcPr>
            <w:tcW w:w="5500" w:type="dxa"/>
            <w:gridSpan w:val="5"/>
            <w:tcBorders>
              <w:top w:val="single" w:sz="12" w:space="0" w:color="000000"/>
              <w:left w:val="nil"/>
              <w:bottom w:val="single" w:sz="4" w:space="0" w:color="000000"/>
              <w:right w:val="single" w:sz="4" w:space="0" w:color="000000"/>
            </w:tcBorders>
            <w:shd w:val="clear" w:color="auto" w:fill="000000"/>
            <w:vAlign w:val="bottom"/>
            <w:hideMark/>
          </w:tcPr>
          <w:p w14:paraId="782B2902" w14:textId="77777777" w:rsidR="0064737D" w:rsidRPr="00CD487B" w:rsidRDefault="00DB2B12" w:rsidP="00897DE5">
            <w:pPr>
              <w:jc w:val="center"/>
              <w:rPr>
                <w:b/>
                <w:bCs/>
                <w:color w:val="FFFFFF"/>
                <w:sz w:val="18"/>
                <w:szCs w:val="18"/>
              </w:rPr>
            </w:pPr>
            <w:r w:rsidRPr="00CD487B">
              <w:rPr>
                <w:b/>
                <w:bCs/>
                <w:color w:val="FFFFFF"/>
                <w:sz w:val="18"/>
                <w:szCs w:val="18"/>
              </w:rPr>
              <w:t>Diferencias relacionadas Student</w:t>
            </w:r>
          </w:p>
        </w:tc>
        <w:tc>
          <w:tcPr>
            <w:tcW w:w="900" w:type="dxa"/>
            <w:vMerge w:val="restart"/>
            <w:tcBorders>
              <w:top w:val="single" w:sz="12" w:space="0" w:color="000000"/>
              <w:left w:val="single" w:sz="4" w:space="0" w:color="000000"/>
              <w:bottom w:val="single" w:sz="12" w:space="0" w:color="000000"/>
              <w:right w:val="single" w:sz="4" w:space="0" w:color="000000"/>
            </w:tcBorders>
            <w:shd w:val="clear" w:color="auto" w:fill="000000"/>
            <w:vAlign w:val="bottom"/>
            <w:hideMark/>
          </w:tcPr>
          <w:p w14:paraId="2AD12BF0" w14:textId="77777777" w:rsidR="0064737D" w:rsidRPr="00CD487B" w:rsidRDefault="0064737D" w:rsidP="00897DE5">
            <w:pPr>
              <w:jc w:val="center"/>
              <w:rPr>
                <w:b/>
                <w:bCs/>
                <w:color w:val="FFFFFF"/>
                <w:sz w:val="18"/>
                <w:szCs w:val="18"/>
              </w:rPr>
            </w:pPr>
            <w:r w:rsidRPr="00CD487B">
              <w:rPr>
                <w:b/>
                <w:bCs/>
                <w:color w:val="FFFFFF"/>
                <w:sz w:val="18"/>
                <w:szCs w:val="18"/>
              </w:rPr>
              <w:t>t</w:t>
            </w:r>
          </w:p>
        </w:tc>
        <w:tc>
          <w:tcPr>
            <w:tcW w:w="820" w:type="dxa"/>
            <w:vMerge w:val="restart"/>
            <w:tcBorders>
              <w:top w:val="single" w:sz="12" w:space="0" w:color="000000"/>
              <w:left w:val="single" w:sz="4" w:space="0" w:color="000000"/>
              <w:bottom w:val="single" w:sz="12" w:space="0" w:color="000000"/>
              <w:right w:val="single" w:sz="4" w:space="0" w:color="000000"/>
            </w:tcBorders>
            <w:shd w:val="clear" w:color="auto" w:fill="000000"/>
            <w:vAlign w:val="bottom"/>
            <w:hideMark/>
          </w:tcPr>
          <w:p w14:paraId="358F538E" w14:textId="77777777" w:rsidR="0064737D" w:rsidRPr="00CD487B" w:rsidRDefault="0064737D" w:rsidP="00897DE5">
            <w:pPr>
              <w:jc w:val="center"/>
              <w:rPr>
                <w:b/>
                <w:bCs/>
                <w:color w:val="FFFFFF"/>
                <w:sz w:val="18"/>
                <w:szCs w:val="18"/>
              </w:rPr>
            </w:pPr>
            <w:proofErr w:type="spellStart"/>
            <w:r w:rsidRPr="00CD487B">
              <w:rPr>
                <w:b/>
                <w:bCs/>
                <w:color w:val="FFFFFF"/>
                <w:sz w:val="18"/>
                <w:szCs w:val="18"/>
              </w:rPr>
              <w:t>gl</w:t>
            </w:r>
            <w:proofErr w:type="spellEnd"/>
          </w:p>
        </w:tc>
        <w:tc>
          <w:tcPr>
            <w:tcW w:w="940" w:type="dxa"/>
            <w:vMerge w:val="restart"/>
            <w:tcBorders>
              <w:top w:val="single" w:sz="12" w:space="0" w:color="000000"/>
              <w:left w:val="single" w:sz="4" w:space="0" w:color="000000"/>
              <w:bottom w:val="single" w:sz="12" w:space="0" w:color="000000"/>
              <w:right w:val="single" w:sz="12" w:space="0" w:color="000000"/>
            </w:tcBorders>
            <w:shd w:val="clear" w:color="auto" w:fill="000000"/>
            <w:vAlign w:val="bottom"/>
            <w:hideMark/>
          </w:tcPr>
          <w:p w14:paraId="56853F5C" w14:textId="77777777" w:rsidR="0064737D" w:rsidRPr="00CD487B" w:rsidRDefault="0064737D" w:rsidP="00897DE5">
            <w:pPr>
              <w:jc w:val="center"/>
              <w:rPr>
                <w:b/>
                <w:bCs/>
                <w:color w:val="FFFFFF"/>
                <w:sz w:val="18"/>
                <w:szCs w:val="18"/>
              </w:rPr>
            </w:pPr>
            <w:r w:rsidRPr="00CD487B">
              <w:rPr>
                <w:b/>
                <w:bCs/>
                <w:color w:val="FFFFFF"/>
                <w:sz w:val="18"/>
                <w:szCs w:val="18"/>
              </w:rPr>
              <w:t>Sig. (bilateral)</w:t>
            </w:r>
          </w:p>
        </w:tc>
      </w:tr>
      <w:tr w:rsidR="0064737D" w:rsidRPr="00CD487B" w14:paraId="418064CD" w14:textId="77777777" w:rsidTr="00F4369C">
        <w:trPr>
          <w:trHeight w:val="300"/>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35FDD6B0" w14:textId="77777777" w:rsidR="0064737D" w:rsidRPr="00897DE5" w:rsidRDefault="0064737D" w:rsidP="00897DE5">
            <w:pPr>
              <w:rPr>
                <w:color w:val="000000"/>
                <w:sz w:val="18"/>
                <w:szCs w:val="18"/>
              </w:rPr>
            </w:pPr>
          </w:p>
        </w:tc>
        <w:tc>
          <w:tcPr>
            <w:tcW w:w="1060" w:type="dxa"/>
            <w:vMerge w:val="restart"/>
            <w:tcBorders>
              <w:top w:val="nil"/>
              <w:left w:val="nil"/>
              <w:bottom w:val="single" w:sz="12" w:space="0" w:color="000000"/>
              <w:right w:val="single" w:sz="4" w:space="0" w:color="000000"/>
            </w:tcBorders>
            <w:shd w:val="clear" w:color="auto" w:fill="000000"/>
            <w:vAlign w:val="bottom"/>
            <w:hideMark/>
          </w:tcPr>
          <w:p w14:paraId="6621E531" w14:textId="77777777" w:rsidR="0064737D" w:rsidRPr="00CD487B" w:rsidRDefault="0064737D" w:rsidP="00897DE5">
            <w:pPr>
              <w:jc w:val="center"/>
              <w:rPr>
                <w:b/>
                <w:bCs/>
                <w:color w:val="FFFFFF"/>
                <w:sz w:val="18"/>
                <w:szCs w:val="18"/>
              </w:rPr>
            </w:pPr>
            <w:r w:rsidRPr="00897DE5">
              <w:rPr>
                <w:b/>
                <w:bCs/>
                <w:color w:val="FFFFFF"/>
                <w:sz w:val="18"/>
                <w:szCs w:val="18"/>
              </w:rPr>
              <w:t>Media</w:t>
            </w:r>
          </w:p>
        </w:tc>
        <w:tc>
          <w:tcPr>
            <w:tcW w:w="1120" w:type="dxa"/>
            <w:vMerge w:val="restart"/>
            <w:tcBorders>
              <w:top w:val="nil"/>
              <w:left w:val="single" w:sz="4" w:space="0" w:color="000000"/>
              <w:bottom w:val="single" w:sz="12" w:space="0" w:color="000000"/>
              <w:right w:val="single" w:sz="4" w:space="0" w:color="000000"/>
            </w:tcBorders>
            <w:shd w:val="clear" w:color="auto" w:fill="000000"/>
            <w:vAlign w:val="bottom"/>
            <w:hideMark/>
          </w:tcPr>
          <w:p w14:paraId="3D627F0A" w14:textId="77777777" w:rsidR="0064737D" w:rsidRPr="00CD487B" w:rsidRDefault="0064737D" w:rsidP="00897DE5">
            <w:pPr>
              <w:jc w:val="center"/>
              <w:rPr>
                <w:b/>
                <w:bCs/>
                <w:color w:val="FFFFFF"/>
                <w:sz w:val="18"/>
                <w:szCs w:val="18"/>
              </w:rPr>
            </w:pPr>
            <w:r w:rsidRPr="00CD487B">
              <w:rPr>
                <w:b/>
                <w:bCs/>
                <w:color w:val="FFFFFF"/>
                <w:sz w:val="18"/>
                <w:szCs w:val="18"/>
              </w:rPr>
              <w:t>Desviación típ</w:t>
            </w:r>
            <w:r w:rsidR="00DB2B12" w:rsidRPr="00CD487B">
              <w:rPr>
                <w:b/>
                <w:bCs/>
                <w:color w:val="FFFFFF"/>
                <w:sz w:val="18"/>
                <w:szCs w:val="18"/>
              </w:rPr>
              <w:t>ica</w:t>
            </w:r>
          </w:p>
        </w:tc>
        <w:tc>
          <w:tcPr>
            <w:tcW w:w="1100" w:type="dxa"/>
            <w:vMerge w:val="restart"/>
            <w:tcBorders>
              <w:top w:val="nil"/>
              <w:left w:val="single" w:sz="4" w:space="0" w:color="000000"/>
              <w:bottom w:val="single" w:sz="12" w:space="0" w:color="000000"/>
              <w:right w:val="single" w:sz="4" w:space="0" w:color="000000"/>
            </w:tcBorders>
            <w:shd w:val="clear" w:color="auto" w:fill="000000"/>
            <w:vAlign w:val="bottom"/>
            <w:hideMark/>
          </w:tcPr>
          <w:p w14:paraId="06B06E3D" w14:textId="77777777" w:rsidR="0064737D" w:rsidRPr="00CD487B" w:rsidRDefault="0064737D" w:rsidP="00897DE5">
            <w:pPr>
              <w:jc w:val="center"/>
              <w:rPr>
                <w:b/>
                <w:bCs/>
                <w:color w:val="FFFFFF"/>
                <w:sz w:val="18"/>
                <w:szCs w:val="18"/>
              </w:rPr>
            </w:pPr>
            <w:r w:rsidRPr="00CD487B">
              <w:rPr>
                <w:b/>
                <w:bCs/>
                <w:color w:val="FFFFFF"/>
                <w:sz w:val="18"/>
                <w:szCs w:val="18"/>
              </w:rPr>
              <w:t>Error típ</w:t>
            </w:r>
            <w:r w:rsidR="00DB2B12" w:rsidRPr="00CD487B">
              <w:rPr>
                <w:b/>
                <w:bCs/>
                <w:color w:val="FFFFFF"/>
                <w:sz w:val="18"/>
                <w:szCs w:val="18"/>
              </w:rPr>
              <w:t>ico</w:t>
            </w:r>
            <w:r w:rsidRPr="00CD487B">
              <w:rPr>
                <w:b/>
                <w:bCs/>
                <w:color w:val="FFFFFF"/>
                <w:sz w:val="18"/>
                <w:szCs w:val="18"/>
              </w:rPr>
              <w:t xml:space="preserve"> de la media</w:t>
            </w:r>
          </w:p>
        </w:tc>
        <w:tc>
          <w:tcPr>
            <w:tcW w:w="2220" w:type="dxa"/>
            <w:gridSpan w:val="2"/>
            <w:tcBorders>
              <w:top w:val="single" w:sz="4" w:space="0" w:color="000000"/>
              <w:left w:val="nil"/>
              <w:bottom w:val="single" w:sz="4" w:space="0" w:color="000000"/>
              <w:right w:val="single" w:sz="4" w:space="0" w:color="000000"/>
            </w:tcBorders>
            <w:shd w:val="clear" w:color="auto" w:fill="000000"/>
            <w:vAlign w:val="bottom"/>
            <w:hideMark/>
          </w:tcPr>
          <w:p w14:paraId="3981D834" w14:textId="77777777" w:rsidR="0064737D" w:rsidRPr="00CD487B" w:rsidRDefault="0064737D" w:rsidP="00897DE5">
            <w:pPr>
              <w:jc w:val="center"/>
              <w:rPr>
                <w:b/>
                <w:bCs/>
                <w:color w:val="FFFFFF"/>
                <w:sz w:val="18"/>
                <w:szCs w:val="18"/>
              </w:rPr>
            </w:pPr>
            <w:r w:rsidRPr="00CD487B">
              <w:rPr>
                <w:b/>
                <w:bCs/>
                <w:color w:val="FFFFFF"/>
                <w:sz w:val="18"/>
                <w:szCs w:val="18"/>
              </w:rPr>
              <w:t>95% Intervalo de confianza para la diferencia</w:t>
            </w:r>
          </w:p>
        </w:tc>
        <w:tc>
          <w:tcPr>
            <w:tcW w:w="900" w:type="dxa"/>
            <w:vMerge/>
            <w:tcBorders>
              <w:top w:val="single" w:sz="12" w:space="0" w:color="000000"/>
              <w:left w:val="single" w:sz="4" w:space="0" w:color="000000"/>
              <w:bottom w:val="single" w:sz="12" w:space="0" w:color="000000"/>
              <w:right w:val="single" w:sz="4" w:space="0" w:color="000000"/>
            </w:tcBorders>
            <w:vAlign w:val="center"/>
            <w:hideMark/>
          </w:tcPr>
          <w:p w14:paraId="455005A7" w14:textId="77777777" w:rsidR="0064737D" w:rsidRPr="00897DE5" w:rsidRDefault="0064737D" w:rsidP="00897DE5">
            <w:pPr>
              <w:rPr>
                <w:b/>
                <w:bCs/>
                <w:color w:val="000000"/>
                <w:sz w:val="18"/>
                <w:szCs w:val="18"/>
              </w:rPr>
            </w:pPr>
          </w:p>
        </w:tc>
        <w:tc>
          <w:tcPr>
            <w:tcW w:w="820" w:type="dxa"/>
            <w:vMerge/>
            <w:tcBorders>
              <w:top w:val="single" w:sz="12" w:space="0" w:color="000000"/>
              <w:left w:val="single" w:sz="4" w:space="0" w:color="000000"/>
              <w:bottom w:val="single" w:sz="12" w:space="0" w:color="000000"/>
              <w:right w:val="single" w:sz="4" w:space="0" w:color="000000"/>
            </w:tcBorders>
            <w:vAlign w:val="center"/>
            <w:hideMark/>
          </w:tcPr>
          <w:p w14:paraId="29F5AB71" w14:textId="77777777" w:rsidR="0064737D" w:rsidRPr="00897DE5" w:rsidRDefault="0064737D" w:rsidP="00897DE5">
            <w:pPr>
              <w:rPr>
                <w:b/>
                <w:bCs/>
                <w:color w:val="000000"/>
                <w:sz w:val="18"/>
                <w:szCs w:val="18"/>
              </w:rPr>
            </w:pPr>
          </w:p>
        </w:tc>
        <w:tc>
          <w:tcPr>
            <w:tcW w:w="940" w:type="dxa"/>
            <w:vMerge/>
            <w:tcBorders>
              <w:top w:val="single" w:sz="12" w:space="0" w:color="000000"/>
              <w:left w:val="single" w:sz="4" w:space="0" w:color="000000"/>
              <w:bottom w:val="single" w:sz="12" w:space="0" w:color="000000"/>
              <w:right w:val="single" w:sz="12" w:space="0" w:color="000000"/>
            </w:tcBorders>
            <w:vAlign w:val="center"/>
            <w:hideMark/>
          </w:tcPr>
          <w:p w14:paraId="50BEC460" w14:textId="77777777" w:rsidR="0064737D" w:rsidRPr="00897DE5" w:rsidRDefault="0064737D" w:rsidP="00897DE5">
            <w:pPr>
              <w:rPr>
                <w:b/>
                <w:bCs/>
                <w:color w:val="000000"/>
                <w:sz w:val="18"/>
                <w:szCs w:val="18"/>
              </w:rPr>
            </w:pPr>
          </w:p>
        </w:tc>
      </w:tr>
      <w:tr w:rsidR="0064737D" w:rsidRPr="00897DE5" w14:paraId="20380C82" w14:textId="77777777" w:rsidTr="00F4369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75A7E2B6" w14:textId="77777777" w:rsidR="0064737D" w:rsidRPr="00897DE5" w:rsidRDefault="0064737D" w:rsidP="00897DE5">
            <w:pPr>
              <w:rPr>
                <w:color w:val="000000"/>
                <w:sz w:val="18"/>
                <w:szCs w:val="18"/>
              </w:rPr>
            </w:pPr>
          </w:p>
        </w:tc>
        <w:tc>
          <w:tcPr>
            <w:tcW w:w="1060" w:type="dxa"/>
            <w:vMerge/>
            <w:tcBorders>
              <w:top w:val="nil"/>
              <w:left w:val="nil"/>
              <w:bottom w:val="single" w:sz="12" w:space="0" w:color="000000"/>
              <w:right w:val="single" w:sz="4" w:space="0" w:color="000000"/>
            </w:tcBorders>
            <w:shd w:val="clear" w:color="auto" w:fill="000000"/>
            <w:vAlign w:val="center"/>
            <w:hideMark/>
          </w:tcPr>
          <w:p w14:paraId="44B162F1" w14:textId="77777777" w:rsidR="0064737D" w:rsidRPr="00897DE5" w:rsidRDefault="0064737D" w:rsidP="00897DE5">
            <w:pPr>
              <w:rPr>
                <w:b/>
                <w:bCs/>
                <w:color w:val="FFFFFF"/>
                <w:sz w:val="18"/>
                <w:szCs w:val="18"/>
              </w:rPr>
            </w:pPr>
          </w:p>
        </w:tc>
        <w:tc>
          <w:tcPr>
            <w:tcW w:w="1120" w:type="dxa"/>
            <w:vMerge/>
            <w:tcBorders>
              <w:top w:val="nil"/>
              <w:left w:val="single" w:sz="4" w:space="0" w:color="000000"/>
              <w:bottom w:val="single" w:sz="12" w:space="0" w:color="000000"/>
              <w:right w:val="single" w:sz="4" w:space="0" w:color="000000"/>
            </w:tcBorders>
            <w:shd w:val="clear" w:color="auto" w:fill="000000"/>
            <w:vAlign w:val="center"/>
            <w:hideMark/>
          </w:tcPr>
          <w:p w14:paraId="642D9715" w14:textId="77777777" w:rsidR="0064737D" w:rsidRPr="00897DE5" w:rsidRDefault="0064737D" w:rsidP="00897DE5">
            <w:pPr>
              <w:rPr>
                <w:b/>
                <w:bCs/>
                <w:color w:val="FFFFFF"/>
                <w:sz w:val="18"/>
                <w:szCs w:val="18"/>
              </w:rPr>
            </w:pPr>
          </w:p>
        </w:tc>
        <w:tc>
          <w:tcPr>
            <w:tcW w:w="1100" w:type="dxa"/>
            <w:vMerge/>
            <w:tcBorders>
              <w:top w:val="nil"/>
              <w:left w:val="single" w:sz="4" w:space="0" w:color="000000"/>
              <w:bottom w:val="single" w:sz="12" w:space="0" w:color="000000"/>
              <w:right w:val="single" w:sz="4" w:space="0" w:color="000000"/>
            </w:tcBorders>
            <w:shd w:val="clear" w:color="auto" w:fill="000000"/>
            <w:vAlign w:val="center"/>
            <w:hideMark/>
          </w:tcPr>
          <w:p w14:paraId="4409F12C" w14:textId="77777777" w:rsidR="0064737D" w:rsidRPr="00897DE5" w:rsidRDefault="0064737D" w:rsidP="00897DE5">
            <w:pPr>
              <w:rPr>
                <w:b/>
                <w:bCs/>
                <w:color w:val="FFFFFF"/>
                <w:sz w:val="18"/>
                <w:szCs w:val="18"/>
              </w:rPr>
            </w:pPr>
          </w:p>
        </w:tc>
        <w:tc>
          <w:tcPr>
            <w:tcW w:w="1120" w:type="dxa"/>
            <w:tcBorders>
              <w:top w:val="nil"/>
              <w:left w:val="nil"/>
              <w:bottom w:val="single" w:sz="12" w:space="0" w:color="000000"/>
              <w:right w:val="single" w:sz="4" w:space="0" w:color="000000"/>
            </w:tcBorders>
            <w:shd w:val="clear" w:color="auto" w:fill="000000"/>
            <w:vAlign w:val="bottom"/>
            <w:hideMark/>
          </w:tcPr>
          <w:p w14:paraId="4C75F814" w14:textId="77777777" w:rsidR="0064737D" w:rsidRPr="00CD487B" w:rsidRDefault="0064737D" w:rsidP="00897DE5">
            <w:pPr>
              <w:jc w:val="center"/>
              <w:rPr>
                <w:b/>
                <w:bCs/>
                <w:color w:val="FFFFFF"/>
                <w:sz w:val="18"/>
                <w:szCs w:val="18"/>
              </w:rPr>
            </w:pPr>
            <w:r w:rsidRPr="00897DE5">
              <w:rPr>
                <w:b/>
                <w:bCs/>
                <w:color w:val="FFFFFF"/>
                <w:sz w:val="18"/>
                <w:szCs w:val="18"/>
              </w:rPr>
              <w:t>Inferior</w:t>
            </w:r>
          </w:p>
        </w:tc>
        <w:tc>
          <w:tcPr>
            <w:tcW w:w="1100" w:type="dxa"/>
            <w:tcBorders>
              <w:top w:val="nil"/>
              <w:left w:val="nil"/>
              <w:bottom w:val="single" w:sz="12" w:space="0" w:color="000000"/>
              <w:right w:val="single" w:sz="4" w:space="0" w:color="000000"/>
            </w:tcBorders>
            <w:shd w:val="clear" w:color="auto" w:fill="000000"/>
            <w:vAlign w:val="bottom"/>
            <w:hideMark/>
          </w:tcPr>
          <w:p w14:paraId="64BB01F6" w14:textId="77777777" w:rsidR="0064737D" w:rsidRPr="00CD487B" w:rsidRDefault="0064737D" w:rsidP="00897DE5">
            <w:pPr>
              <w:jc w:val="center"/>
              <w:rPr>
                <w:b/>
                <w:bCs/>
                <w:color w:val="FFFFFF"/>
                <w:sz w:val="18"/>
                <w:szCs w:val="18"/>
              </w:rPr>
            </w:pPr>
            <w:r w:rsidRPr="00CD487B">
              <w:rPr>
                <w:b/>
                <w:bCs/>
                <w:color w:val="FFFFFF"/>
                <w:sz w:val="18"/>
                <w:szCs w:val="18"/>
              </w:rPr>
              <w:t>Superior</w:t>
            </w:r>
          </w:p>
        </w:tc>
        <w:tc>
          <w:tcPr>
            <w:tcW w:w="900" w:type="dxa"/>
            <w:vMerge/>
            <w:tcBorders>
              <w:top w:val="single" w:sz="12" w:space="0" w:color="000000"/>
              <w:left w:val="single" w:sz="4" w:space="0" w:color="000000"/>
              <w:bottom w:val="single" w:sz="12" w:space="0" w:color="000000"/>
              <w:right w:val="single" w:sz="4" w:space="0" w:color="000000"/>
            </w:tcBorders>
            <w:vAlign w:val="center"/>
            <w:hideMark/>
          </w:tcPr>
          <w:p w14:paraId="75472D61" w14:textId="77777777" w:rsidR="0064737D" w:rsidRPr="00897DE5" w:rsidRDefault="0064737D" w:rsidP="00897DE5">
            <w:pPr>
              <w:rPr>
                <w:b/>
                <w:bCs/>
                <w:color w:val="000000"/>
                <w:sz w:val="18"/>
                <w:szCs w:val="18"/>
              </w:rPr>
            </w:pPr>
          </w:p>
        </w:tc>
        <w:tc>
          <w:tcPr>
            <w:tcW w:w="820" w:type="dxa"/>
            <w:vMerge/>
            <w:tcBorders>
              <w:top w:val="single" w:sz="12" w:space="0" w:color="000000"/>
              <w:left w:val="single" w:sz="4" w:space="0" w:color="000000"/>
              <w:bottom w:val="single" w:sz="12" w:space="0" w:color="000000"/>
              <w:right w:val="single" w:sz="4" w:space="0" w:color="000000"/>
            </w:tcBorders>
            <w:vAlign w:val="center"/>
            <w:hideMark/>
          </w:tcPr>
          <w:p w14:paraId="46A4DB79" w14:textId="77777777" w:rsidR="0064737D" w:rsidRPr="00897DE5" w:rsidRDefault="0064737D" w:rsidP="00897DE5">
            <w:pPr>
              <w:rPr>
                <w:b/>
                <w:bCs/>
                <w:color w:val="000000"/>
                <w:sz w:val="18"/>
                <w:szCs w:val="18"/>
              </w:rPr>
            </w:pPr>
          </w:p>
        </w:tc>
        <w:tc>
          <w:tcPr>
            <w:tcW w:w="940" w:type="dxa"/>
            <w:vMerge/>
            <w:tcBorders>
              <w:top w:val="single" w:sz="12" w:space="0" w:color="000000"/>
              <w:left w:val="single" w:sz="4" w:space="0" w:color="000000"/>
              <w:bottom w:val="single" w:sz="12" w:space="0" w:color="000000"/>
              <w:right w:val="single" w:sz="12" w:space="0" w:color="000000"/>
            </w:tcBorders>
            <w:vAlign w:val="center"/>
            <w:hideMark/>
          </w:tcPr>
          <w:p w14:paraId="3D8486E6" w14:textId="77777777" w:rsidR="0064737D" w:rsidRPr="00897DE5" w:rsidRDefault="0064737D" w:rsidP="00897DE5">
            <w:pPr>
              <w:rPr>
                <w:b/>
                <w:bCs/>
                <w:color w:val="000000"/>
                <w:sz w:val="18"/>
                <w:szCs w:val="18"/>
              </w:rPr>
            </w:pPr>
          </w:p>
        </w:tc>
      </w:tr>
      <w:tr w:rsidR="0064737D" w:rsidRPr="00CD487B" w14:paraId="5E1F8214" w14:textId="77777777" w:rsidTr="00F4369C">
        <w:trPr>
          <w:trHeight w:val="495"/>
        </w:trPr>
        <w:tc>
          <w:tcPr>
            <w:tcW w:w="1200" w:type="dxa"/>
            <w:tcBorders>
              <w:top w:val="nil"/>
              <w:left w:val="single" w:sz="8" w:space="0" w:color="auto"/>
              <w:bottom w:val="nil"/>
              <w:right w:val="single" w:sz="8" w:space="0" w:color="auto"/>
            </w:tcBorders>
            <w:shd w:val="clear" w:color="auto" w:fill="000000"/>
            <w:hideMark/>
          </w:tcPr>
          <w:p w14:paraId="2144A0BC" w14:textId="77777777" w:rsidR="0064737D" w:rsidRPr="00897DE5" w:rsidRDefault="00897DE5" w:rsidP="00897DE5">
            <w:pPr>
              <w:rPr>
                <w:color w:val="FFFFFF"/>
                <w:sz w:val="18"/>
                <w:szCs w:val="18"/>
              </w:rPr>
            </w:pPr>
            <w:proofErr w:type="spellStart"/>
            <w:r>
              <w:rPr>
                <w:color w:val="FFFFFF"/>
                <w:sz w:val="18"/>
                <w:szCs w:val="18"/>
              </w:rPr>
              <w:t>PensaMat</w:t>
            </w:r>
            <w:proofErr w:type="spellEnd"/>
            <w:r>
              <w:rPr>
                <w:color w:val="FFFFFF"/>
                <w:sz w:val="18"/>
                <w:szCs w:val="18"/>
              </w:rPr>
              <w:t xml:space="preserve"> - Aritméti</w:t>
            </w:r>
            <w:r w:rsidR="0064737D" w:rsidRPr="00897DE5">
              <w:rPr>
                <w:color w:val="FFFFFF"/>
                <w:sz w:val="18"/>
                <w:szCs w:val="18"/>
              </w:rPr>
              <w:t>ca</w:t>
            </w:r>
          </w:p>
        </w:tc>
        <w:tc>
          <w:tcPr>
            <w:tcW w:w="1060" w:type="dxa"/>
            <w:tcBorders>
              <w:top w:val="nil"/>
              <w:left w:val="nil"/>
              <w:bottom w:val="nil"/>
              <w:right w:val="single" w:sz="4" w:space="0" w:color="000000"/>
            </w:tcBorders>
            <w:shd w:val="clear" w:color="auto" w:fill="auto"/>
            <w:noWrap/>
            <w:hideMark/>
          </w:tcPr>
          <w:p w14:paraId="60D7070A" w14:textId="77777777" w:rsidR="0064737D" w:rsidRPr="00897DE5" w:rsidRDefault="0064737D" w:rsidP="00897DE5">
            <w:pPr>
              <w:jc w:val="right"/>
              <w:rPr>
                <w:color w:val="000000"/>
                <w:sz w:val="18"/>
                <w:szCs w:val="18"/>
              </w:rPr>
            </w:pPr>
            <w:r w:rsidRPr="00897DE5">
              <w:rPr>
                <w:color w:val="000000"/>
                <w:sz w:val="18"/>
                <w:szCs w:val="18"/>
              </w:rPr>
              <w:t>1.59567</w:t>
            </w:r>
          </w:p>
        </w:tc>
        <w:tc>
          <w:tcPr>
            <w:tcW w:w="1120" w:type="dxa"/>
            <w:tcBorders>
              <w:top w:val="nil"/>
              <w:left w:val="nil"/>
              <w:bottom w:val="nil"/>
              <w:right w:val="single" w:sz="4" w:space="0" w:color="000000"/>
            </w:tcBorders>
            <w:shd w:val="clear" w:color="auto" w:fill="auto"/>
            <w:noWrap/>
            <w:hideMark/>
          </w:tcPr>
          <w:p w14:paraId="3435F40F" w14:textId="77777777" w:rsidR="0064737D" w:rsidRPr="00897DE5" w:rsidRDefault="0064737D" w:rsidP="00897DE5">
            <w:pPr>
              <w:jc w:val="right"/>
              <w:rPr>
                <w:color w:val="000000"/>
                <w:sz w:val="18"/>
                <w:szCs w:val="18"/>
              </w:rPr>
            </w:pPr>
            <w:r w:rsidRPr="00897DE5">
              <w:rPr>
                <w:color w:val="000000"/>
                <w:sz w:val="18"/>
                <w:szCs w:val="18"/>
              </w:rPr>
              <w:t>2.18711</w:t>
            </w:r>
          </w:p>
        </w:tc>
        <w:tc>
          <w:tcPr>
            <w:tcW w:w="1100" w:type="dxa"/>
            <w:tcBorders>
              <w:top w:val="nil"/>
              <w:left w:val="nil"/>
              <w:bottom w:val="nil"/>
              <w:right w:val="single" w:sz="4" w:space="0" w:color="000000"/>
            </w:tcBorders>
            <w:shd w:val="clear" w:color="auto" w:fill="auto"/>
            <w:noWrap/>
            <w:hideMark/>
          </w:tcPr>
          <w:p w14:paraId="14E0ACBB" w14:textId="77777777" w:rsidR="0064737D" w:rsidRPr="00897DE5" w:rsidRDefault="0064737D" w:rsidP="00897DE5">
            <w:pPr>
              <w:jc w:val="right"/>
              <w:rPr>
                <w:color w:val="000000"/>
                <w:sz w:val="18"/>
                <w:szCs w:val="18"/>
              </w:rPr>
            </w:pPr>
            <w:r w:rsidRPr="00897DE5">
              <w:rPr>
                <w:color w:val="000000"/>
                <w:sz w:val="18"/>
                <w:szCs w:val="18"/>
              </w:rPr>
              <w:t>.39931</w:t>
            </w:r>
          </w:p>
        </w:tc>
        <w:tc>
          <w:tcPr>
            <w:tcW w:w="1120" w:type="dxa"/>
            <w:tcBorders>
              <w:top w:val="nil"/>
              <w:left w:val="nil"/>
              <w:bottom w:val="nil"/>
              <w:right w:val="single" w:sz="4" w:space="0" w:color="000000"/>
            </w:tcBorders>
            <w:shd w:val="clear" w:color="auto" w:fill="auto"/>
            <w:noWrap/>
            <w:hideMark/>
          </w:tcPr>
          <w:p w14:paraId="0A4F4E24" w14:textId="77777777" w:rsidR="0064737D" w:rsidRPr="00897DE5" w:rsidRDefault="0064737D" w:rsidP="00897DE5">
            <w:pPr>
              <w:jc w:val="right"/>
              <w:rPr>
                <w:color w:val="000000"/>
                <w:sz w:val="18"/>
                <w:szCs w:val="18"/>
              </w:rPr>
            </w:pPr>
            <w:r w:rsidRPr="00897DE5">
              <w:rPr>
                <w:color w:val="000000"/>
                <w:sz w:val="18"/>
                <w:szCs w:val="18"/>
              </w:rPr>
              <w:t>.77898</w:t>
            </w:r>
          </w:p>
        </w:tc>
        <w:tc>
          <w:tcPr>
            <w:tcW w:w="1100" w:type="dxa"/>
            <w:tcBorders>
              <w:top w:val="nil"/>
              <w:left w:val="nil"/>
              <w:bottom w:val="nil"/>
              <w:right w:val="single" w:sz="4" w:space="0" w:color="000000"/>
            </w:tcBorders>
            <w:shd w:val="clear" w:color="auto" w:fill="auto"/>
            <w:noWrap/>
            <w:hideMark/>
          </w:tcPr>
          <w:p w14:paraId="1F756424" w14:textId="77777777" w:rsidR="0064737D" w:rsidRPr="00897DE5" w:rsidRDefault="0064737D" w:rsidP="00897DE5">
            <w:pPr>
              <w:jc w:val="right"/>
              <w:rPr>
                <w:color w:val="000000"/>
                <w:sz w:val="18"/>
                <w:szCs w:val="18"/>
              </w:rPr>
            </w:pPr>
            <w:r w:rsidRPr="00897DE5">
              <w:rPr>
                <w:color w:val="000000"/>
                <w:sz w:val="18"/>
                <w:szCs w:val="18"/>
              </w:rPr>
              <w:t>2.41235</w:t>
            </w:r>
          </w:p>
        </w:tc>
        <w:tc>
          <w:tcPr>
            <w:tcW w:w="900" w:type="dxa"/>
            <w:tcBorders>
              <w:top w:val="nil"/>
              <w:left w:val="nil"/>
              <w:bottom w:val="nil"/>
              <w:right w:val="single" w:sz="4" w:space="0" w:color="000000"/>
            </w:tcBorders>
            <w:shd w:val="clear" w:color="auto" w:fill="auto"/>
            <w:noWrap/>
            <w:hideMark/>
          </w:tcPr>
          <w:p w14:paraId="758F813B" w14:textId="77777777" w:rsidR="0064737D" w:rsidRPr="00897DE5" w:rsidRDefault="0064737D" w:rsidP="00897DE5">
            <w:pPr>
              <w:jc w:val="right"/>
              <w:rPr>
                <w:color w:val="000000"/>
                <w:sz w:val="18"/>
                <w:szCs w:val="18"/>
              </w:rPr>
            </w:pPr>
            <w:r w:rsidRPr="00897DE5">
              <w:rPr>
                <w:color w:val="000000"/>
                <w:sz w:val="18"/>
                <w:szCs w:val="18"/>
              </w:rPr>
              <w:t>3.996</w:t>
            </w:r>
          </w:p>
        </w:tc>
        <w:tc>
          <w:tcPr>
            <w:tcW w:w="820" w:type="dxa"/>
            <w:tcBorders>
              <w:top w:val="nil"/>
              <w:left w:val="nil"/>
              <w:bottom w:val="nil"/>
              <w:right w:val="single" w:sz="4" w:space="0" w:color="000000"/>
            </w:tcBorders>
            <w:shd w:val="clear" w:color="auto" w:fill="auto"/>
            <w:noWrap/>
            <w:hideMark/>
          </w:tcPr>
          <w:p w14:paraId="1D5DB191" w14:textId="77777777" w:rsidR="0064737D" w:rsidRPr="00897DE5" w:rsidRDefault="0064737D" w:rsidP="00897DE5">
            <w:pPr>
              <w:jc w:val="right"/>
              <w:rPr>
                <w:color w:val="000000"/>
                <w:sz w:val="18"/>
                <w:szCs w:val="18"/>
              </w:rPr>
            </w:pPr>
            <w:r w:rsidRPr="00897DE5">
              <w:rPr>
                <w:color w:val="000000"/>
                <w:sz w:val="18"/>
                <w:szCs w:val="18"/>
              </w:rPr>
              <w:t>29</w:t>
            </w:r>
          </w:p>
        </w:tc>
        <w:tc>
          <w:tcPr>
            <w:tcW w:w="940" w:type="dxa"/>
            <w:tcBorders>
              <w:top w:val="nil"/>
              <w:left w:val="nil"/>
              <w:bottom w:val="nil"/>
              <w:right w:val="single" w:sz="12" w:space="0" w:color="000000"/>
            </w:tcBorders>
            <w:shd w:val="clear" w:color="auto" w:fill="auto"/>
            <w:noWrap/>
            <w:hideMark/>
          </w:tcPr>
          <w:p w14:paraId="2E71C857" w14:textId="77777777" w:rsidR="0064737D" w:rsidRPr="00897DE5" w:rsidRDefault="0064737D" w:rsidP="00897DE5">
            <w:pPr>
              <w:jc w:val="right"/>
              <w:rPr>
                <w:color w:val="000000"/>
                <w:sz w:val="18"/>
                <w:szCs w:val="18"/>
              </w:rPr>
            </w:pPr>
            <w:r w:rsidRPr="00897DE5">
              <w:rPr>
                <w:color w:val="000000"/>
                <w:sz w:val="18"/>
                <w:szCs w:val="18"/>
              </w:rPr>
              <w:t>.000</w:t>
            </w:r>
          </w:p>
        </w:tc>
      </w:tr>
      <w:tr w:rsidR="0064737D" w:rsidRPr="00CD487B" w14:paraId="52093FE3" w14:textId="77777777" w:rsidTr="00F4369C">
        <w:trPr>
          <w:trHeight w:val="480"/>
        </w:trPr>
        <w:tc>
          <w:tcPr>
            <w:tcW w:w="1200" w:type="dxa"/>
            <w:tcBorders>
              <w:top w:val="nil"/>
              <w:left w:val="single" w:sz="8" w:space="0" w:color="auto"/>
              <w:bottom w:val="nil"/>
              <w:right w:val="single" w:sz="8" w:space="0" w:color="auto"/>
            </w:tcBorders>
            <w:shd w:val="clear" w:color="auto" w:fill="000000"/>
            <w:hideMark/>
          </w:tcPr>
          <w:p w14:paraId="79CE1640" w14:textId="77777777" w:rsidR="0064737D" w:rsidRPr="00CD487B" w:rsidRDefault="0064737D" w:rsidP="00897DE5">
            <w:pPr>
              <w:rPr>
                <w:color w:val="FFFFFF"/>
                <w:sz w:val="18"/>
                <w:szCs w:val="18"/>
              </w:rPr>
            </w:pPr>
            <w:proofErr w:type="spellStart"/>
            <w:r w:rsidRPr="00CD487B">
              <w:rPr>
                <w:color w:val="FFFFFF"/>
                <w:sz w:val="18"/>
                <w:szCs w:val="18"/>
              </w:rPr>
              <w:t>PensaMat</w:t>
            </w:r>
            <w:proofErr w:type="spellEnd"/>
            <w:r w:rsidRPr="00CD487B">
              <w:rPr>
                <w:color w:val="FFFFFF"/>
                <w:sz w:val="18"/>
                <w:szCs w:val="18"/>
              </w:rPr>
              <w:t xml:space="preserve"> - Algebra</w:t>
            </w:r>
          </w:p>
        </w:tc>
        <w:tc>
          <w:tcPr>
            <w:tcW w:w="1060" w:type="dxa"/>
            <w:tcBorders>
              <w:top w:val="nil"/>
              <w:left w:val="nil"/>
              <w:bottom w:val="nil"/>
              <w:right w:val="single" w:sz="4" w:space="0" w:color="000000"/>
            </w:tcBorders>
            <w:shd w:val="clear" w:color="auto" w:fill="BFBFBF"/>
            <w:noWrap/>
            <w:hideMark/>
          </w:tcPr>
          <w:p w14:paraId="72387F0C" w14:textId="77777777" w:rsidR="0064737D" w:rsidRPr="00CD487B" w:rsidRDefault="0064737D" w:rsidP="00897DE5">
            <w:pPr>
              <w:jc w:val="right"/>
              <w:rPr>
                <w:color w:val="000000"/>
                <w:sz w:val="18"/>
                <w:szCs w:val="18"/>
              </w:rPr>
            </w:pPr>
            <w:r w:rsidRPr="00CD487B">
              <w:rPr>
                <w:color w:val="000000"/>
                <w:sz w:val="18"/>
                <w:szCs w:val="18"/>
              </w:rPr>
              <w:t>2.08900</w:t>
            </w:r>
          </w:p>
        </w:tc>
        <w:tc>
          <w:tcPr>
            <w:tcW w:w="1120" w:type="dxa"/>
            <w:tcBorders>
              <w:top w:val="nil"/>
              <w:left w:val="nil"/>
              <w:bottom w:val="nil"/>
              <w:right w:val="single" w:sz="4" w:space="0" w:color="000000"/>
            </w:tcBorders>
            <w:shd w:val="clear" w:color="auto" w:fill="BFBFBF"/>
            <w:noWrap/>
            <w:hideMark/>
          </w:tcPr>
          <w:p w14:paraId="7C6EDB7A" w14:textId="77777777" w:rsidR="0064737D" w:rsidRPr="00CD487B" w:rsidRDefault="0064737D" w:rsidP="00897DE5">
            <w:pPr>
              <w:jc w:val="right"/>
              <w:rPr>
                <w:color w:val="000000"/>
                <w:sz w:val="18"/>
                <w:szCs w:val="18"/>
              </w:rPr>
            </w:pPr>
            <w:r w:rsidRPr="00CD487B">
              <w:rPr>
                <w:color w:val="000000"/>
                <w:sz w:val="18"/>
                <w:szCs w:val="18"/>
              </w:rPr>
              <w:t>2.23468</w:t>
            </w:r>
          </w:p>
        </w:tc>
        <w:tc>
          <w:tcPr>
            <w:tcW w:w="1100" w:type="dxa"/>
            <w:tcBorders>
              <w:top w:val="nil"/>
              <w:left w:val="nil"/>
              <w:bottom w:val="nil"/>
              <w:right w:val="single" w:sz="4" w:space="0" w:color="000000"/>
            </w:tcBorders>
            <w:shd w:val="clear" w:color="auto" w:fill="BFBFBF"/>
            <w:noWrap/>
            <w:hideMark/>
          </w:tcPr>
          <w:p w14:paraId="43E6DBB8" w14:textId="77777777" w:rsidR="0064737D" w:rsidRPr="00CD487B" w:rsidRDefault="0064737D" w:rsidP="00897DE5">
            <w:pPr>
              <w:jc w:val="right"/>
              <w:rPr>
                <w:color w:val="000000"/>
                <w:sz w:val="18"/>
                <w:szCs w:val="18"/>
              </w:rPr>
            </w:pPr>
            <w:r w:rsidRPr="00CD487B">
              <w:rPr>
                <w:color w:val="000000"/>
                <w:sz w:val="18"/>
                <w:szCs w:val="18"/>
              </w:rPr>
              <w:t>.40799</w:t>
            </w:r>
          </w:p>
        </w:tc>
        <w:tc>
          <w:tcPr>
            <w:tcW w:w="1120" w:type="dxa"/>
            <w:tcBorders>
              <w:top w:val="nil"/>
              <w:left w:val="nil"/>
              <w:bottom w:val="nil"/>
              <w:right w:val="single" w:sz="4" w:space="0" w:color="000000"/>
            </w:tcBorders>
            <w:shd w:val="clear" w:color="auto" w:fill="BFBFBF"/>
            <w:noWrap/>
            <w:hideMark/>
          </w:tcPr>
          <w:p w14:paraId="0A87FA30" w14:textId="77777777" w:rsidR="0064737D" w:rsidRPr="00CD487B" w:rsidRDefault="0064737D" w:rsidP="00897DE5">
            <w:pPr>
              <w:jc w:val="right"/>
              <w:rPr>
                <w:color w:val="000000"/>
                <w:sz w:val="18"/>
                <w:szCs w:val="18"/>
              </w:rPr>
            </w:pPr>
            <w:r w:rsidRPr="00CD487B">
              <w:rPr>
                <w:color w:val="000000"/>
                <w:sz w:val="18"/>
                <w:szCs w:val="18"/>
              </w:rPr>
              <w:t>1.25456</w:t>
            </w:r>
          </w:p>
        </w:tc>
        <w:tc>
          <w:tcPr>
            <w:tcW w:w="1100" w:type="dxa"/>
            <w:tcBorders>
              <w:top w:val="nil"/>
              <w:left w:val="nil"/>
              <w:bottom w:val="nil"/>
              <w:right w:val="single" w:sz="4" w:space="0" w:color="000000"/>
            </w:tcBorders>
            <w:shd w:val="clear" w:color="auto" w:fill="BFBFBF"/>
            <w:noWrap/>
            <w:hideMark/>
          </w:tcPr>
          <w:p w14:paraId="1D95BCD6" w14:textId="77777777" w:rsidR="0064737D" w:rsidRPr="00CD487B" w:rsidRDefault="0064737D" w:rsidP="00897DE5">
            <w:pPr>
              <w:jc w:val="right"/>
              <w:rPr>
                <w:color w:val="000000"/>
                <w:sz w:val="18"/>
                <w:szCs w:val="18"/>
              </w:rPr>
            </w:pPr>
            <w:r w:rsidRPr="00CD487B">
              <w:rPr>
                <w:color w:val="000000"/>
                <w:sz w:val="18"/>
                <w:szCs w:val="18"/>
              </w:rPr>
              <w:t>2.92344</w:t>
            </w:r>
          </w:p>
        </w:tc>
        <w:tc>
          <w:tcPr>
            <w:tcW w:w="900" w:type="dxa"/>
            <w:tcBorders>
              <w:top w:val="nil"/>
              <w:left w:val="nil"/>
              <w:bottom w:val="nil"/>
              <w:right w:val="single" w:sz="4" w:space="0" w:color="000000"/>
            </w:tcBorders>
            <w:shd w:val="clear" w:color="auto" w:fill="BFBFBF"/>
            <w:noWrap/>
            <w:hideMark/>
          </w:tcPr>
          <w:p w14:paraId="147A1677" w14:textId="77777777" w:rsidR="0064737D" w:rsidRPr="00CD487B" w:rsidRDefault="0064737D" w:rsidP="00897DE5">
            <w:pPr>
              <w:jc w:val="right"/>
              <w:rPr>
                <w:color w:val="000000"/>
                <w:sz w:val="18"/>
                <w:szCs w:val="18"/>
              </w:rPr>
            </w:pPr>
            <w:r w:rsidRPr="00CD487B">
              <w:rPr>
                <w:color w:val="000000"/>
                <w:sz w:val="18"/>
                <w:szCs w:val="18"/>
              </w:rPr>
              <w:t>5.120</w:t>
            </w:r>
          </w:p>
        </w:tc>
        <w:tc>
          <w:tcPr>
            <w:tcW w:w="820" w:type="dxa"/>
            <w:tcBorders>
              <w:top w:val="nil"/>
              <w:left w:val="nil"/>
              <w:bottom w:val="nil"/>
              <w:right w:val="single" w:sz="4" w:space="0" w:color="000000"/>
            </w:tcBorders>
            <w:shd w:val="clear" w:color="auto" w:fill="BFBFBF"/>
            <w:noWrap/>
            <w:hideMark/>
          </w:tcPr>
          <w:p w14:paraId="2ABC99F7" w14:textId="77777777" w:rsidR="0064737D" w:rsidRPr="00CD487B" w:rsidRDefault="0064737D" w:rsidP="00897DE5">
            <w:pPr>
              <w:jc w:val="right"/>
              <w:rPr>
                <w:color w:val="000000"/>
                <w:sz w:val="18"/>
                <w:szCs w:val="18"/>
              </w:rPr>
            </w:pPr>
            <w:r w:rsidRPr="00CD487B">
              <w:rPr>
                <w:color w:val="000000"/>
                <w:sz w:val="18"/>
                <w:szCs w:val="18"/>
              </w:rPr>
              <w:t>29</w:t>
            </w:r>
          </w:p>
        </w:tc>
        <w:tc>
          <w:tcPr>
            <w:tcW w:w="940" w:type="dxa"/>
            <w:tcBorders>
              <w:top w:val="nil"/>
              <w:left w:val="nil"/>
              <w:bottom w:val="nil"/>
              <w:right w:val="single" w:sz="12" w:space="0" w:color="000000"/>
            </w:tcBorders>
            <w:shd w:val="clear" w:color="auto" w:fill="BFBFBF"/>
            <w:noWrap/>
            <w:hideMark/>
          </w:tcPr>
          <w:p w14:paraId="206B5E31" w14:textId="77777777" w:rsidR="0064737D" w:rsidRPr="00CD487B" w:rsidRDefault="0064737D" w:rsidP="00897DE5">
            <w:pPr>
              <w:jc w:val="right"/>
              <w:rPr>
                <w:color w:val="000000"/>
                <w:sz w:val="18"/>
                <w:szCs w:val="18"/>
              </w:rPr>
            </w:pPr>
            <w:r w:rsidRPr="00CD487B">
              <w:rPr>
                <w:color w:val="000000"/>
                <w:sz w:val="18"/>
                <w:szCs w:val="18"/>
              </w:rPr>
              <w:t>.000</w:t>
            </w:r>
          </w:p>
        </w:tc>
      </w:tr>
      <w:tr w:rsidR="0064737D" w:rsidRPr="00CD487B" w14:paraId="1B73B228" w14:textId="77777777" w:rsidTr="00F4369C">
        <w:trPr>
          <w:trHeight w:val="495"/>
        </w:trPr>
        <w:tc>
          <w:tcPr>
            <w:tcW w:w="1200" w:type="dxa"/>
            <w:tcBorders>
              <w:top w:val="nil"/>
              <w:left w:val="single" w:sz="8" w:space="0" w:color="auto"/>
              <w:bottom w:val="single" w:sz="8" w:space="0" w:color="auto"/>
              <w:right w:val="single" w:sz="8" w:space="0" w:color="auto"/>
            </w:tcBorders>
            <w:shd w:val="clear" w:color="auto" w:fill="000000"/>
            <w:hideMark/>
          </w:tcPr>
          <w:p w14:paraId="47E4C93F" w14:textId="77777777" w:rsidR="0064737D" w:rsidRPr="00CD487B" w:rsidRDefault="00906E28" w:rsidP="00897DE5">
            <w:pPr>
              <w:rPr>
                <w:color w:val="FFFFFF"/>
                <w:sz w:val="18"/>
                <w:szCs w:val="18"/>
              </w:rPr>
            </w:pPr>
            <w:proofErr w:type="spellStart"/>
            <w:r w:rsidRPr="00CD487B">
              <w:rPr>
                <w:color w:val="FFFFFF"/>
                <w:sz w:val="18"/>
                <w:szCs w:val="18"/>
              </w:rPr>
              <w:t>PensaMat</w:t>
            </w:r>
            <w:proofErr w:type="spellEnd"/>
            <w:r w:rsidRPr="00CD487B">
              <w:rPr>
                <w:color w:val="FFFFFF"/>
                <w:sz w:val="18"/>
                <w:szCs w:val="18"/>
              </w:rPr>
              <w:t xml:space="preserve"> - Funcional</w:t>
            </w:r>
          </w:p>
        </w:tc>
        <w:tc>
          <w:tcPr>
            <w:tcW w:w="1060" w:type="dxa"/>
            <w:tcBorders>
              <w:top w:val="nil"/>
              <w:left w:val="nil"/>
              <w:bottom w:val="single" w:sz="12" w:space="0" w:color="000000"/>
              <w:right w:val="single" w:sz="4" w:space="0" w:color="000000"/>
            </w:tcBorders>
            <w:shd w:val="clear" w:color="auto" w:fill="auto"/>
            <w:noWrap/>
            <w:hideMark/>
          </w:tcPr>
          <w:p w14:paraId="2F09514D" w14:textId="77777777" w:rsidR="0064737D" w:rsidRPr="00CD487B" w:rsidRDefault="0064737D" w:rsidP="00897DE5">
            <w:pPr>
              <w:jc w:val="right"/>
              <w:rPr>
                <w:color w:val="000000"/>
                <w:sz w:val="18"/>
                <w:szCs w:val="18"/>
              </w:rPr>
            </w:pPr>
            <w:r w:rsidRPr="00CD487B">
              <w:rPr>
                <w:color w:val="000000"/>
                <w:sz w:val="18"/>
                <w:szCs w:val="18"/>
              </w:rPr>
              <w:t>3.61847</w:t>
            </w:r>
          </w:p>
        </w:tc>
        <w:tc>
          <w:tcPr>
            <w:tcW w:w="1120" w:type="dxa"/>
            <w:tcBorders>
              <w:top w:val="nil"/>
              <w:left w:val="nil"/>
              <w:bottom w:val="single" w:sz="12" w:space="0" w:color="000000"/>
              <w:right w:val="single" w:sz="4" w:space="0" w:color="000000"/>
            </w:tcBorders>
            <w:shd w:val="clear" w:color="auto" w:fill="auto"/>
            <w:noWrap/>
            <w:hideMark/>
          </w:tcPr>
          <w:p w14:paraId="1380C188" w14:textId="77777777" w:rsidR="0064737D" w:rsidRPr="00CD487B" w:rsidRDefault="0064737D" w:rsidP="00897DE5">
            <w:pPr>
              <w:jc w:val="right"/>
              <w:rPr>
                <w:color w:val="000000"/>
                <w:sz w:val="18"/>
                <w:szCs w:val="18"/>
              </w:rPr>
            </w:pPr>
            <w:r w:rsidRPr="00CD487B">
              <w:rPr>
                <w:color w:val="000000"/>
                <w:sz w:val="18"/>
                <w:szCs w:val="18"/>
              </w:rPr>
              <w:t>2.02654</w:t>
            </w:r>
          </w:p>
        </w:tc>
        <w:tc>
          <w:tcPr>
            <w:tcW w:w="1100" w:type="dxa"/>
            <w:tcBorders>
              <w:top w:val="nil"/>
              <w:left w:val="nil"/>
              <w:bottom w:val="single" w:sz="12" w:space="0" w:color="000000"/>
              <w:right w:val="single" w:sz="4" w:space="0" w:color="000000"/>
            </w:tcBorders>
            <w:shd w:val="clear" w:color="auto" w:fill="auto"/>
            <w:noWrap/>
            <w:hideMark/>
          </w:tcPr>
          <w:p w14:paraId="4D8D279E" w14:textId="77777777" w:rsidR="0064737D" w:rsidRPr="00CD487B" w:rsidRDefault="0064737D" w:rsidP="00897DE5">
            <w:pPr>
              <w:jc w:val="right"/>
              <w:rPr>
                <w:color w:val="000000"/>
                <w:sz w:val="18"/>
                <w:szCs w:val="18"/>
              </w:rPr>
            </w:pPr>
            <w:r w:rsidRPr="00CD487B">
              <w:rPr>
                <w:color w:val="000000"/>
                <w:sz w:val="18"/>
                <w:szCs w:val="18"/>
              </w:rPr>
              <w:t>.36999</w:t>
            </w:r>
          </w:p>
        </w:tc>
        <w:tc>
          <w:tcPr>
            <w:tcW w:w="1120" w:type="dxa"/>
            <w:tcBorders>
              <w:top w:val="nil"/>
              <w:left w:val="nil"/>
              <w:bottom w:val="single" w:sz="12" w:space="0" w:color="000000"/>
              <w:right w:val="single" w:sz="4" w:space="0" w:color="000000"/>
            </w:tcBorders>
            <w:shd w:val="clear" w:color="auto" w:fill="auto"/>
            <w:noWrap/>
            <w:hideMark/>
          </w:tcPr>
          <w:p w14:paraId="3B35AE7E" w14:textId="77777777" w:rsidR="0064737D" w:rsidRPr="00CD487B" w:rsidRDefault="0064737D" w:rsidP="00897DE5">
            <w:pPr>
              <w:jc w:val="right"/>
              <w:rPr>
                <w:color w:val="000000"/>
                <w:sz w:val="18"/>
                <w:szCs w:val="18"/>
              </w:rPr>
            </w:pPr>
            <w:r w:rsidRPr="00CD487B">
              <w:rPr>
                <w:color w:val="000000"/>
                <w:sz w:val="18"/>
                <w:szCs w:val="18"/>
              </w:rPr>
              <w:t>2.86174</w:t>
            </w:r>
          </w:p>
        </w:tc>
        <w:tc>
          <w:tcPr>
            <w:tcW w:w="1100" w:type="dxa"/>
            <w:tcBorders>
              <w:top w:val="nil"/>
              <w:left w:val="nil"/>
              <w:bottom w:val="single" w:sz="12" w:space="0" w:color="000000"/>
              <w:right w:val="single" w:sz="4" w:space="0" w:color="000000"/>
            </w:tcBorders>
            <w:shd w:val="clear" w:color="auto" w:fill="auto"/>
            <w:noWrap/>
            <w:hideMark/>
          </w:tcPr>
          <w:p w14:paraId="1573E64D" w14:textId="77777777" w:rsidR="0064737D" w:rsidRPr="00CD487B" w:rsidRDefault="0064737D" w:rsidP="00897DE5">
            <w:pPr>
              <w:jc w:val="right"/>
              <w:rPr>
                <w:color w:val="000000"/>
                <w:sz w:val="18"/>
                <w:szCs w:val="18"/>
              </w:rPr>
            </w:pPr>
            <w:r w:rsidRPr="00CD487B">
              <w:rPr>
                <w:color w:val="000000"/>
                <w:sz w:val="18"/>
                <w:szCs w:val="18"/>
              </w:rPr>
              <w:t>4.37519</w:t>
            </w:r>
          </w:p>
        </w:tc>
        <w:tc>
          <w:tcPr>
            <w:tcW w:w="900" w:type="dxa"/>
            <w:tcBorders>
              <w:top w:val="nil"/>
              <w:left w:val="nil"/>
              <w:bottom w:val="single" w:sz="12" w:space="0" w:color="000000"/>
              <w:right w:val="single" w:sz="4" w:space="0" w:color="000000"/>
            </w:tcBorders>
            <w:shd w:val="clear" w:color="auto" w:fill="auto"/>
            <w:noWrap/>
            <w:hideMark/>
          </w:tcPr>
          <w:p w14:paraId="1A56D93D" w14:textId="77777777" w:rsidR="0064737D" w:rsidRPr="00CD487B" w:rsidRDefault="0064737D" w:rsidP="00897DE5">
            <w:pPr>
              <w:jc w:val="right"/>
              <w:rPr>
                <w:color w:val="000000"/>
                <w:sz w:val="18"/>
                <w:szCs w:val="18"/>
              </w:rPr>
            </w:pPr>
            <w:r w:rsidRPr="00CD487B">
              <w:rPr>
                <w:color w:val="000000"/>
                <w:sz w:val="18"/>
                <w:szCs w:val="18"/>
              </w:rPr>
              <w:t>9.780</w:t>
            </w:r>
          </w:p>
        </w:tc>
        <w:tc>
          <w:tcPr>
            <w:tcW w:w="820" w:type="dxa"/>
            <w:tcBorders>
              <w:top w:val="nil"/>
              <w:left w:val="nil"/>
              <w:bottom w:val="single" w:sz="12" w:space="0" w:color="000000"/>
              <w:right w:val="single" w:sz="4" w:space="0" w:color="000000"/>
            </w:tcBorders>
            <w:shd w:val="clear" w:color="auto" w:fill="auto"/>
            <w:noWrap/>
            <w:hideMark/>
          </w:tcPr>
          <w:p w14:paraId="10D8B4A8" w14:textId="77777777" w:rsidR="0064737D" w:rsidRPr="00CD487B" w:rsidRDefault="0064737D" w:rsidP="00897DE5">
            <w:pPr>
              <w:jc w:val="right"/>
              <w:rPr>
                <w:color w:val="000000"/>
                <w:sz w:val="18"/>
                <w:szCs w:val="18"/>
              </w:rPr>
            </w:pPr>
            <w:r w:rsidRPr="00CD487B">
              <w:rPr>
                <w:color w:val="000000"/>
                <w:sz w:val="18"/>
                <w:szCs w:val="18"/>
              </w:rPr>
              <w:t>29</w:t>
            </w:r>
          </w:p>
        </w:tc>
        <w:tc>
          <w:tcPr>
            <w:tcW w:w="940" w:type="dxa"/>
            <w:tcBorders>
              <w:top w:val="nil"/>
              <w:left w:val="nil"/>
              <w:bottom w:val="single" w:sz="12" w:space="0" w:color="000000"/>
              <w:right w:val="single" w:sz="12" w:space="0" w:color="000000"/>
            </w:tcBorders>
            <w:shd w:val="clear" w:color="auto" w:fill="auto"/>
            <w:noWrap/>
            <w:hideMark/>
          </w:tcPr>
          <w:p w14:paraId="64974D0C" w14:textId="77777777" w:rsidR="0064737D" w:rsidRPr="00CD487B" w:rsidRDefault="0064737D" w:rsidP="00897DE5">
            <w:pPr>
              <w:jc w:val="right"/>
              <w:rPr>
                <w:color w:val="000000"/>
                <w:sz w:val="18"/>
                <w:szCs w:val="18"/>
              </w:rPr>
            </w:pPr>
            <w:r w:rsidRPr="00CD487B">
              <w:rPr>
                <w:color w:val="000000"/>
                <w:sz w:val="18"/>
                <w:szCs w:val="18"/>
              </w:rPr>
              <w:t>.000</w:t>
            </w:r>
          </w:p>
        </w:tc>
      </w:tr>
    </w:tbl>
    <w:p w14:paraId="01C8D942" w14:textId="77777777" w:rsidR="00125A18" w:rsidRDefault="00125A18" w:rsidP="00125A18">
      <w:pPr>
        <w:jc w:val="center"/>
      </w:pPr>
      <w:r>
        <w:t>Fuente: Elaboración propia.</w:t>
      </w:r>
    </w:p>
    <w:p w14:paraId="114372E6" w14:textId="77777777" w:rsidR="00125A18" w:rsidRDefault="00125A18" w:rsidP="00897DE5">
      <w:pPr>
        <w:spacing w:line="360" w:lineRule="auto"/>
        <w:jc w:val="both"/>
      </w:pPr>
    </w:p>
    <w:p w14:paraId="639BA4B1" w14:textId="77777777" w:rsidR="0064737D" w:rsidRPr="00CD487B" w:rsidRDefault="00906E28" w:rsidP="00897DE5">
      <w:pPr>
        <w:spacing w:line="360" w:lineRule="auto"/>
        <w:jc w:val="both"/>
      </w:pPr>
      <w:r w:rsidRPr="00CD487B">
        <w:t xml:space="preserve">Para este análisis se consideró el nivel de similitud de las medias en el intervalo [3 – 4], y de desigualdad en el resto del rango. Se puede observar </w:t>
      </w:r>
      <w:r w:rsidR="00AC2198" w:rsidRPr="00CD487B">
        <w:t>que solo el PPA guarda relación con el PM, en cuanto a contenidos. En la tabla 4 se presenta el estudio similar para la categoría MOD01.</w:t>
      </w:r>
      <w:r w:rsidRPr="00CD487B">
        <w:t xml:space="preserve"> </w:t>
      </w:r>
    </w:p>
    <w:p w14:paraId="650A018D" w14:textId="77777777" w:rsidR="00906E28" w:rsidRPr="00CD487B" w:rsidRDefault="00906E28"/>
    <w:p w14:paraId="4BEA639A" w14:textId="77777777" w:rsidR="00906E28" w:rsidRPr="00CD487B" w:rsidRDefault="0084619F" w:rsidP="00DB2B12">
      <w:pPr>
        <w:jc w:val="center"/>
      </w:pPr>
      <w:r w:rsidRPr="005B4DB8">
        <w:rPr>
          <w:b/>
        </w:rPr>
        <w:t>Tabla 4</w:t>
      </w:r>
      <w:r w:rsidR="00906E28" w:rsidRPr="005B4DB8">
        <w:rPr>
          <w:b/>
        </w:rPr>
        <w:t>.</w:t>
      </w:r>
      <w:r w:rsidRPr="005B4DB8">
        <w:rPr>
          <w:b/>
        </w:rPr>
        <w:t xml:space="preserve"> </w:t>
      </w:r>
      <w:r w:rsidR="00906E28" w:rsidRPr="00CD487B">
        <w:t>D</w:t>
      </w:r>
      <w:r w:rsidRPr="00CD487B">
        <w:t xml:space="preserve">iferencia relacionada entre el </w:t>
      </w:r>
      <w:r w:rsidR="00906E28" w:rsidRPr="00CD487B">
        <w:t>Pretest</w:t>
      </w:r>
      <w:r w:rsidRPr="00CD487B">
        <w:t xml:space="preserve"> y el </w:t>
      </w:r>
      <w:r w:rsidR="006B6085" w:rsidRPr="00CD487B">
        <w:t xml:space="preserve">EXANI </w:t>
      </w:r>
      <w:r w:rsidR="00906E28" w:rsidRPr="00CD487B">
        <w:t>(categoría MOD01)</w:t>
      </w:r>
      <w:r w:rsidR="002A7497">
        <w:t>.</w:t>
      </w:r>
    </w:p>
    <w:tbl>
      <w:tblPr>
        <w:tblW w:w="9360" w:type="dxa"/>
        <w:tblInd w:w="55" w:type="dxa"/>
        <w:tblCellMar>
          <w:left w:w="70" w:type="dxa"/>
          <w:right w:w="70" w:type="dxa"/>
        </w:tblCellMar>
        <w:tblLook w:val="04A0" w:firstRow="1" w:lastRow="0" w:firstColumn="1" w:lastColumn="0" w:noHBand="0" w:noVBand="1"/>
      </w:tblPr>
      <w:tblGrid>
        <w:gridCol w:w="1189"/>
        <w:gridCol w:w="1060"/>
        <w:gridCol w:w="1120"/>
        <w:gridCol w:w="1100"/>
        <w:gridCol w:w="1120"/>
        <w:gridCol w:w="1100"/>
        <w:gridCol w:w="900"/>
        <w:gridCol w:w="820"/>
        <w:gridCol w:w="951"/>
      </w:tblGrid>
      <w:tr w:rsidR="00A61A3D" w:rsidRPr="00897DE5" w14:paraId="0B5A89E0" w14:textId="77777777" w:rsidTr="00F4369C">
        <w:trPr>
          <w:trHeight w:val="315"/>
        </w:trPr>
        <w:tc>
          <w:tcPr>
            <w:tcW w:w="1189" w:type="dxa"/>
            <w:tcBorders>
              <w:top w:val="single" w:sz="8" w:space="0" w:color="auto"/>
              <w:left w:val="single" w:sz="8" w:space="0" w:color="auto"/>
              <w:bottom w:val="nil"/>
              <w:right w:val="single" w:sz="8" w:space="0" w:color="auto"/>
            </w:tcBorders>
            <w:shd w:val="clear" w:color="auto" w:fill="000000"/>
            <w:vAlign w:val="bottom"/>
            <w:hideMark/>
          </w:tcPr>
          <w:p w14:paraId="79FBDB91" w14:textId="77777777" w:rsidR="00A61A3D" w:rsidRPr="00CD487B" w:rsidRDefault="00A61A3D" w:rsidP="00897DE5">
            <w:pPr>
              <w:rPr>
                <w:color w:val="FFFFFF"/>
                <w:sz w:val="18"/>
                <w:szCs w:val="18"/>
              </w:rPr>
            </w:pPr>
            <w:r w:rsidRPr="00CD487B">
              <w:rPr>
                <w:color w:val="FFFFFF"/>
                <w:sz w:val="18"/>
                <w:szCs w:val="18"/>
              </w:rPr>
              <w:t> </w:t>
            </w:r>
          </w:p>
        </w:tc>
        <w:tc>
          <w:tcPr>
            <w:tcW w:w="5500" w:type="dxa"/>
            <w:gridSpan w:val="5"/>
            <w:tcBorders>
              <w:top w:val="single" w:sz="12" w:space="0" w:color="000000"/>
              <w:left w:val="nil"/>
              <w:bottom w:val="single" w:sz="4" w:space="0" w:color="000000"/>
              <w:right w:val="single" w:sz="4" w:space="0" w:color="000000"/>
            </w:tcBorders>
            <w:shd w:val="clear" w:color="auto" w:fill="000000"/>
            <w:vAlign w:val="bottom"/>
            <w:hideMark/>
          </w:tcPr>
          <w:p w14:paraId="4E233499" w14:textId="77777777" w:rsidR="00A61A3D" w:rsidRPr="00CD487B" w:rsidRDefault="00A61A3D" w:rsidP="00897DE5">
            <w:pPr>
              <w:jc w:val="center"/>
              <w:rPr>
                <w:b/>
                <w:bCs/>
                <w:color w:val="FFFFFF"/>
                <w:sz w:val="18"/>
                <w:szCs w:val="18"/>
              </w:rPr>
            </w:pPr>
            <w:r w:rsidRPr="00CD487B">
              <w:rPr>
                <w:b/>
                <w:bCs/>
                <w:color w:val="FFFFFF"/>
                <w:sz w:val="18"/>
                <w:szCs w:val="18"/>
              </w:rPr>
              <w:t>Diferencias relacionadas</w:t>
            </w:r>
          </w:p>
        </w:tc>
        <w:tc>
          <w:tcPr>
            <w:tcW w:w="900" w:type="dxa"/>
            <w:vMerge w:val="restart"/>
            <w:tcBorders>
              <w:top w:val="single" w:sz="12" w:space="0" w:color="000000"/>
              <w:left w:val="single" w:sz="4" w:space="0" w:color="000000"/>
              <w:bottom w:val="single" w:sz="12" w:space="0" w:color="000000"/>
              <w:right w:val="single" w:sz="4" w:space="0" w:color="000000"/>
            </w:tcBorders>
            <w:shd w:val="clear" w:color="auto" w:fill="000000"/>
            <w:vAlign w:val="bottom"/>
            <w:hideMark/>
          </w:tcPr>
          <w:p w14:paraId="37A5B337" w14:textId="77777777" w:rsidR="00A61A3D" w:rsidRPr="00CD487B" w:rsidRDefault="00A61A3D" w:rsidP="00897DE5">
            <w:pPr>
              <w:jc w:val="center"/>
              <w:rPr>
                <w:b/>
                <w:bCs/>
                <w:color w:val="FFFFFF"/>
                <w:sz w:val="18"/>
                <w:szCs w:val="18"/>
              </w:rPr>
            </w:pPr>
            <w:r w:rsidRPr="00CD487B">
              <w:rPr>
                <w:b/>
                <w:bCs/>
                <w:color w:val="FFFFFF"/>
                <w:sz w:val="18"/>
                <w:szCs w:val="18"/>
              </w:rPr>
              <w:t>t</w:t>
            </w:r>
          </w:p>
        </w:tc>
        <w:tc>
          <w:tcPr>
            <w:tcW w:w="820" w:type="dxa"/>
            <w:vMerge w:val="restart"/>
            <w:tcBorders>
              <w:top w:val="single" w:sz="12" w:space="0" w:color="000000"/>
              <w:left w:val="single" w:sz="4" w:space="0" w:color="000000"/>
              <w:bottom w:val="single" w:sz="12" w:space="0" w:color="000000"/>
              <w:right w:val="single" w:sz="4" w:space="0" w:color="000000"/>
            </w:tcBorders>
            <w:shd w:val="clear" w:color="auto" w:fill="000000"/>
            <w:vAlign w:val="bottom"/>
            <w:hideMark/>
          </w:tcPr>
          <w:p w14:paraId="6AD91274" w14:textId="77777777" w:rsidR="00A61A3D" w:rsidRPr="00CD487B" w:rsidRDefault="00A61A3D" w:rsidP="00897DE5">
            <w:pPr>
              <w:jc w:val="center"/>
              <w:rPr>
                <w:b/>
                <w:bCs/>
                <w:color w:val="FFFFFF"/>
                <w:sz w:val="18"/>
                <w:szCs w:val="18"/>
              </w:rPr>
            </w:pPr>
            <w:proofErr w:type="spellStart"/>
            <w:r w:rsidRPr="00CD487B">
              <w:rPr>
                <w:b/>
                <w:bCs/>
                <w:color w:val="FFFFFF"/>
                <w:sz w:val="18"/>
                <w:szCs w:val="18"/>
              </w:rPr>
              <w:t>gl</w:t>
            </w:r>
            <w:proofErr w:type="spellEnd"/>
          </w:p>
        </w:tc>
        <w:tc>
          <w:tcPr>
            <w:tcW w:w="951" w:type="dxa"/>
            <w:vMerge w:val="restart"/>
            <w:tcBorders>
              <w:top w:val="single" w:sz="12" w:space="0" w:color="000000"/>
              <w:left w:val="single" w:sz="4" w:space="0" w:color="000000"/>
              <w:bottom w:val="single" w:sz="12" w:space="0" w:color="000000"/>
              <w:right w:val="single" w:sz="12" w:space="0" w:color="000000"/>
            </w:tcBorders>
            <w:shd w:val="clear" w:color="auto" w:fill="000000"/>
            <w:vAlign w:val="bottom"/>
            <w:hideMark/>
          </w:tcPr>
          <w:p w14:paraId="24A5E54D" w14:textId="77777777" w:rsidR="00A61A3D" w:rsidRPr="00CD487B" w:rsidRDefault="00A61A3D" w:rsidP="00897DE5">
            <w:pPr>
              <w:jc w:val="center"/>
              <w:rPr>
                <w:b/>
                <w:bCs/>
                <w:color w:val="FFFFFF"/>
                <w:sz w:val="18"/>
                <w:szCs w:val="18"/>
              </w:rPr>
            </w:pPr>
            <w:r w:rsidRPr="00CD487B">
              <w:rPr>
                <w:b/>
                <w:bCs/>
                <w:color w:val="FFFFFF"/>
                <w:sz w:val="18"/>
                <w:szCs w:val="18"/>
              </w:rPr>
              <w:t>Sig. (bilateral)</w:t>
            </w:r>
          </w:p>
        </w:tc>
      </w:tr>
      <w:tr w:rsidR="00A61A3D" w:rsidRPr="00897DE5" w14:paraId="5F49E0D4" w14:textId="77777777" w:rsidTr="00F4369C">
        <w:trPr>
          <w:trHeight w:val="300"/>
        </w:trPr>
        <w:tc>
          <w:tcPr>
            <w:tcW w:w="1189" w:type="dxa"/>
            <w:tcBorders>
              <w:top w:val="nil"/>
              <w:left w:val="single" w:sz="8" w:space="0" w:color="auto"/>
              <w:bottom w:val="nil"/>
              <w:right w:val="single" w:sz="8" w:space="0" w:color="auto"/>
            </w:tcBorders>
            <w:shd w:val="clear" w:color="auto" w:fill="000000"/>
            <w:vAlign w:val="bottom"/>
            <w:hideMark/>
          </w:tcPr>
          <w:p w14:paraId="2B68141E" w14:textId="77777777" w:rsidR="00A61A3D" w:rsidRPr="00897DE5" w:rsidRDefault="00A61A3D" w:rsidP="00897DE5">
            <w:pPr>
              <w:rPr>
                <w:color w:val="FFFFFF"/>
                <w:sz w:val="18"/>
                <w:szCs w:val="18"/>
              </w:rPr>
            </w:pPr>
            <w:r w:rsidRPr="00897DE5">
              <w:rPr>
                <w:color w:val="FFFFFF"/>
                <w:sz w:val="18"/>
                <w:szCs w:val="18"/>
              </w:rPr>
              <w:t> </w:t>
            </w:r>
          </w:p>
        </w:tc>
        <w:tc>
          <w:tcPr>
            <w:tcW w:w="1060" w:type="dxa"/>
            <w:vMerge w:val="restart"/>
            <w:tcBorders>
              <w:top w:val="nil"/>
              <w:left w:val="nil"/>
              <w:bottom w:val="single" w:sz="12" w:space="0" w:color="000000"/>
              <w:right w:val="single" w:sz="4" w:space="0" w:color="000000"/>
            </w:tcBorders>
            <w:shd w:val="clear" w:color="auto" w:fill="000000"/>
            <w:vAlign w:val="bottom"/>
            <w:hideMark/>
          </w:tcPr>
          <w:p w14:paraId="52D89026" w14:textId="77777777" w:rsidR="00A61A3D" w:rsidRPr="00897DE5" w:rsidRDefault="00A61A3D" w:rsidP="00897DE5">
            <w:pPr>
              <w:jc w:val="center"/>
              <w:rPr>
                <w:b/>
                <w:bCs/>
                <w:color w:val="FFFFFF"/>
                <w:sz w:val="18"/>
                <w:szCs w:val="18"/>
              </w:rPr>
            </w:pPr>
            <w:r w:rsidRPr="00897DE5">
              <w:rPr>
                <w:b/>
                <w:bCs/>
                <w:color w:val="FFFFFF"/>
                <w:sz w:val="18"/>
                <w:szCs w:val="18"/>
              </w:rPr>
              <w:t>Media</w:t>
            </w:r>
          </w:p>
        </w:tc>
        <w:tc>
          <w:tcPr>
            <w:tcW w:w="1120" w:type="dxa"/>
            <w:vMerge w:val="restart"/>
            <w:tcBorders>
              <w:top w:val="nil"/>
              <w:left w:val="single" w:sz="4" w:space="0" w:color="000000"/>
              <w:bottom w:val="single" w:sz="12" w:space="0" w:color="000000"/>
              <w:right w:val="single" w:sz="4" w:space="0" w:color="000000"/>
            </w:tcBorders>
            <w:shd w:val="clear" w:color="auto" w:fill="000000"/>
            <w:vAlign w:val="bottom"/>
            <w:hideMark/>
          </w:tcPr>
          <w:p w14:paraId="591EE60F" w14:textId="77777777" w:rsidR="00A61A3D" w:rsidRPr="00CD487B" w:rsidRDefault="00A61A3D" w:rsidP="00897DE5">
            <w:pPr>
              <w:jc w:val="center"/>
              <w:rPr>
                <w:b/>
                <w:bCs/>
                <w:color w:val="FFFFFF"/>
                <w:sz w:val="18"/>
                <w:szCs w:val="18"/>
              </w:rPr>
            </w:pPr>
            <w:r w:rsidRPr="00897DE5">
              <w:rPr>
                <w:b/>
                <w:bCs/>
                <w:color w:val="FFFFFF"/>
                <w:sz w:val="18"/>
                <w:szCs w:val="18"/>
              </w:rPr>
              <w:t>Desviación típ</w:t>
            </w:r>
            <w:r w:rsidR="00F8576B" w:rsidRPr="00CD487B">
              <w:rPr>
                <w:b/>
                <w:bCs/>
                <w:color w:val="FFFFFF"/>
                <w:sz w:val="18"/>
                <w:szCs w:val="18"/>
              </w:rPr>
              <w:t>ica</w:t>
            </w:r>
          </w:p>
        </w:tc>
        <w:tc>
          <w:tcPr>
            <w:tcW w:w="1100" w:type="dxa"/>
            <w:vMerge w:val="restart"/>
            <w:tcBorders>
              <w:top w:val="nil"/>
              <w:left w:val="single" w:sz="4" w:space="0" w:color="000000"/>
              <w:bottom w:val="single" w:sz="12" w:space="0" w:color="000000"/>
              <w:right w:val="single" w:sz="4" w:space="0" w:color="000000"/>
            </w:tcBorders>
            <w:shd w:val="clear" w:color="auto" w:fill="000000"/>
            <w:vAlign w:val="bottom"/>
            <w:hideMark/>
          </w:tcPr>
          <w:p w14:paraId="116CA8A4" w14:textId="77777777" w:rsidR="00A61A3D" w:rsidRPr="00CD487B" w:rsidRDefault="00DB2B12" w:rsidP="00897DE5">
            <w:pPr>
              <w:jc w:val="center"/>
              <w:rPr>
                <w:b/>
                <w:bCs/>
                <w:color w:val="FFFFFF"/>
                <w:sz w:val="18"/>
                <w:szCs w:val="18"/>
              </w:rPr>
            </w:pPr>
            <w:r w:rsidRPr="00CD487B">
              <w:rPr>
                <w:b/>
                <w:bCs/>
                <w:color w:val="FFFFFF"/>
                <w:sz w:val="18"/>
                <w:szCs w:val="18"/>
              </w:rPr>
              <w:t>Error típico</w:t>
            </w:r>
            <w:r w:rsidR="00A61A3D" w:rsidRPr="00CD487B">
              <w:rPr>
                <w:b/>
                <w:bCs/>
                <w:color w:val="FFFFFF"/>
                <w:sz w:val="18"/>
                <w:szCs w:val="18"/>
              </w:rPr>
              <w:t xml:space="preserve"> de la media</w:t>
            </w:r>
          </w:p>
        </w:tc>
        <w:tc>
          <w:tcPr>
            <w:tcW w:w="2220" w:type="dxa"/>
            <w:gridSpan w:val="2"/>
            <w:tcBorders>
              <w:top w:val="single" w:sz="4" w:space="0" w:color="000000"/>
              <w:left w:val="nil"/>
              <w:bottom w:val="single" w:sz="4" w:space="0" w:color="000000"/>
              <w:right w:val="single" w:sz="4" w:space="0" w:color="000000"/>
            </w:tcBorders>
            <w:shd w:val="clear" w:color="auto" w:fill="000000"/>
            <w:vAlign w:val="bottom"/>
            <w:hideMark/>
          </w:tcPr>
          <w:p w14:paraId="108E513B" w14:textId="77777777" w:rsidR="00A61A3D" w:rsidRPr="00CD487B" w:rsidRDefault="00A61A3D" w:rsidP="00897DE5">
            <w:pPr>
              <w:jc w:val="center"/>
              <w:rPr>
                <w:b/>
                <w:bCs/>
                <w:color w:val="FFFFFF"/>
                <w:sz w:val="18"/>
                <w:szCs w:val="18"/>
              </w:rPr>
            </w:pPr>
            <w:r w:rsidRPr="00CD487B">
              <w:rPr>
                <w:b/>
                <w:bCs/>
                <w:color w:val="FFFFFF"/>
                <w:sz w:val="18"/>
                <w:szCs w:val="18"/>
              </w:rPr>
              <w:t>95% Intervalo de confianza para la diferencia</w:t>
            </w:r>
          </w:p>
        </w:tc>
        <w:tc>
          <w:tcPr>
            <w:tcW w:w="900" w:type="dxa"/>
            <w:vMerge/>
            <w:tcBorders>
              <w:top w:val="single" w:sz="12" w:space="0" w:color="000000"/>
              <w:left w:val="single" w:sz="4" w:space="0" w:color="000000"/>
              <w:bottom w:val="single" w:sz="12" w:space="0" w:color="000000"/>
              <w:right w:val="single" w:sz="4" w:space="0" w:color="000000"/>
            </w:tcBorders>
            <w:shd w:val="clear" w:color="auto" w:fill="000000"/>
            <w:vAlign w:val="center"/>
            <w:hideMark/>
          </w:tcPr>
          <w:p w14:paraId="3ECEFA02" w14:textId="77777777" w:rsidR="00A61A3D" w:rsidRPr="00897DE5" w:rsidRDefault="00A61A3D" w:rsidP="00897DE5">
            <w:pPr>
              <w:rPr>
                <w:b/>
                <w:bCs/>
                <w:color w:val="FFFFFF"/>
                <w:sz w:val="18"/>
                <w:szCs w:val="18"/>
              </w:rPr>
            </w:pPr>
          </w:p>
        </w:tc>
        <w:tc>
          <w:tcPr>
            <w:tcW w:w="820" w:type="dxa"/>
            <w:vMerge/>
            <w:tcBorders>
              <w:top w:val="single" w:sz="12" w:space="0" w:color="000000"/>
              <w:left w:val="single" w:sz="4" w:space="0" w:color="000000"/>
              <w:bottom w:val="single" w:sz="12" w:space="0" w:color="000000"/>
              <w:right w:val="single" w:sz="4" w:space="0" w:color="000000"/>
            </w:tcBorders>
            <w:shd w:val="clear" w:color="auto" w:fill="000000"/>
            <w:vAlign w:val="center"/>
            <w:hideMark/>
          </w:tcPr>
          <w:p w14:paraId="2559F3B2" w14:textId="77777777" w:rsidR="00A61A3D" w:rsidRPr="00897DE5" w:rsidRDefault="00A61A3D" w:rsidP="00897DE5">
            <w:pPr>
              <w:rPr>
                <w:b/>
                <w:bCs/>
                <w:color w:val="FFFFFF"/>
                <w:sz w:val="18"/>
                <w:szCs w:val="18"/>
              </w:rPr>
            </w:pPr>
          </w:p>
        </w:tc>
        <w:tc>
          <w:tcPr>
            <w:tcW w:w="951" w:type="dxa"/>
            <w:vMerge/>
            <w:tcBorders>
              <w:top w:val="single" w:sz="12" w:space="0" w:color="000000"/>
              <w:left w:val="single" w:sz="4" w:space="0" w:color="000000"/>
              <w:bottom w:val="single" w:sz="12" w:space="0" w:color="000000"/>
              <w:right w:val="single" w:sz="12" w:space="0" w:color="000000"/>
            </w:tcBorders>
            <w:shd w:val="clear" w:color="auto" w:fill="000000"/>
            <w:vAlign w:val="center"/>
            <w:hideMark/>
          </w:tcPr>
          <w:p w14:paraId="06E6CCC2" w14:textId="77777777" w:rsidR="00A61A3D" w:rsidRPr="00897DE5" w:rsidRDefault="00A61A3D" w:rsidP="00897DE5">
            <w:pPr>
              <w:rPr>
                <w:b/>
                <w:bCs/>
                <w:color w:val="FFFFFF"/>
                <w:sz w:val="18"/>
                <w:szCs w:val="18"/>
              </w:rPr>
            </w:pPr>
          </w:p>
        </w:tc>
      </w:tr>
      <w:tr w:rsidR="00A61A3D" w:rsidRPr="00CD487B" w14:paraId="5C495CD2" w14:textId="77777777" w:rsidTr="0081187C">
        <w:trPr>
          <w:trHeight w:val="315"/>
        </w:trPr>
        <w:tc>
          <w:tcPr>
            <w:tcW w:w="1189" w:type="dxa"/>
            <w:tcBorders>
              <w:top w:val="nil"/>
              <w:left w:val="single" w:sz="8" w:space="0" w:color="auto"/>
              <w:bottom w:val="single" w:sz="8" w:space="0" w:color="auto"/>
              <w:right w:val="single" w:sz="8" w:space="0" w:color="auto"/>
            </w:tcBorders>
            <w:shd w:val="clear" w:color="auto" w:fill="000000"/>
            <w:vAlign w:val="bottom"/>
            <w:hideMark/>
          </w:tcPr>
          <w:p w14:paraId="30430141" w14:textId="77777777" w:rsidR="00A61A3D" w:rsidRPr="00CD487B" w:rsidRDefault="00A61A3D" w:rsidP="00897DE5">
            <w:pPr>
              <w:rPr>
                <w:color w:val="000000"/>
                <w:sz w:val="18"/>
                <w:szCs w:val="18"/>
              </w:rPr>
            </w:pPr>
            <w:r w:rsidRPr="00CD487B">
              <w:rPr>
                <w:color w:val="000000"/>
                <w:sz w:val="18"/>
                <w:szCs w:val="18"/>
              </w:rPr>
              <w:t> </w:t>
            </w:r>
          </w:p>
        </w:tc>
        <w:tc>
          <w:tcPr>
            <w:tcW w:w="1060" w:type="dxa"/>
            <w:vMerge/>
            <w:tcBorders>
              <w:top w:val="nil"/>
              <w:left w:val="nil"/>
              <w:bottom w:val="single" w:sz="12" w:space="0" w:color="000000"/>
              <w:right w:val="single" w:sz="4" w:space="0" w:color="000000"/>
            </w:tcBorders>
            <w:vAlign w:val="center"/>
            <w:hideMark/>
          </w:tcPr>
          <w:p w14:paraId="1593E518" w14:textId="77777777" w:rsidR="00A61A3D" w:rsidRPr="00CD487B" w:rsidRDefault="00A61A3D" w:rsidP="00897DE5">
            <w:pPr>
              <w:rPr>
                <w:b/>
                <w:bCs/>
                <w:color w:val="000000"/>
                <w:sz w:val="18"/>
                <w:szCs w:val="18"/>
              </w:rPr>
            </w:pPr>
          </w:p>
        </w:tc>
        <w:tc>
          <w:tcPr>
            <w:tcW w:w="1120" w:type="dxa"/>
            <w:vMerge/>
            <w:tcBorders>
              <w:top w:val="nil"/>
              <w:left w:val="single" w:sz="4" w:space="0" w:color="000000"/>
              <w:bottom w:val="single" w:sz="12" w:space="0" w:color="000000"/>
              <w:right w:val="single" w:sz="4" w:space="0" w:color="000000"/>
            </w:tcBorders>
            <w:vAlign w:val="center"/>
            <w:hideMark/>
          </w:tcPr>
          <w:p w14:paraId="65C89253" w14:textId="77777777" w:rsidR="00A61A3D" w:rsidRPr="00CD487B" w:rsidRDefault="00A61A3D" w:rsidP="00897DE5">
            <w:pPr>
              <w:rPr>
                <w:b/>
                <w:bCs/>
                <w:color w:val="000000"/>
                <w:sz w:val="18"/>
                <w:szCs w:val="18"/>
              </w:rPr>
            </w:pPr>
          </w:p>
        </w:tc>
        <w:tc>
          <w:tcPr>
            <w:tcW w:w="1100" w:type="dxa"/>
            <w:vMerge/>
            <w:tcBorders>
              <w:top w:val="nil"/>
              <w:left w:val="single" w:sz="4" w:space="0" w:color="000000"/>
              <w:bottom w:val="single" w:sz="12" w:space="0" w:color="000000"/>
              <w:right w:val="single" w:sz="4" w:space="0" w:color="000000"/>
            </w:tcBorders>
            <w:vAlign w:val="center"/>
            <w:hideMark/>
          </w:tcPr>
          <w:p w14:paraId="5AA2545D" w14:textId="77777777" w:rsidR="00A61A3D" w:rsidRPr="00CD487B" w:rsidRDefault="00A61A3D" w:rsidP="00897DE5">
            <w:pPr>
              <w:rPr>
                <w:b/>
                <w:bCs/>
                <w:color w:val="000000"/>
                <w:sz w:val="18"/>
                <w:szCs w:val="18"/>
              </w:rPr>
            </w:pPr>
          </w:p>
        </w:tc>
        <w:tc>
          <w:tcPr>
            <w:tcW w:w="1120" w:type="dxa"/>
            <w:tcBorders>
              <w:top w:val="nil"/>
              <w:left w:val="nil"/>
              <w:bottom w:val="single" w:sz="12" w:space="0" w:color="000000"/>
              <w:right w:val="single" w:sz="4" w:space="0" w:color="000000"/>
            </w:tcBorders>
            <w:shd w:val="clear" w:color="auto" w:fill="000000"/>
            <w:vAlign w:val="bottom"/>
            <w:hideMark/>
          </w:tcPr>
          <w:p w14:paraId="208B684D" w14:textId="77777777" w:rsidR="00A61A3D" w:rsidRPr="00CD487B" w:rsidRDefault="00A61A3D" w:rsidP="00897DE5">
            <w:pPr>
              <w:jc w:val="center"/>
              <w:rPr>
                <w:b/>
                <w:bCs/>
                <w:color w:val="FFFFFF"/>
                <w:sz w:val="18"/>
                <w:szCs w:val="18"/>
              </w:rPr>
            </w:pPr>
            <w:r w:rsidRPr="00CD487B">
              <w:rPr>
                <w:b/>
                <w:bCs/>
                <w:color w:val="FFFFFF"/>
                <w:sz w:val="18"/>
                <w:szCs w:val="18"/>
              </w:rPr>
              <w:t>Inferior</w:t>
            </w:r>
          </w:p>
        </w:tc>
        <w:tc>
          <w:tcPr>
            <w:tcW w:w="1100" w:type="dxa"/>
            <w:tcBorders>
              <w:top w:val="nil"/>
              <w:left w:val="nil"/>
              <w:bottom w:val="single" w:sz="12" w:space="0" w:color="000000"/>
              <w:right w:val="single" w:sz="4" w:space="0" w:color="000000"/>
            </w:tcBorders>
            <w:shd w:val="clear" w:color="auto" w:fill="000000"/>
            <w:vAlign w:val="bottom"/>
            <w:hideMark/>
          </w:tcPr>
          <w:p w14:paraId="1F2D16C2" w14:textId="77777777" w:rsidR="00A61A3D" w:rsidRPr="00CD487B" w:rsidRDefault="00A61A3D" w:rsidP="00897DE5">
            <w:pPr>
              <w:jc w:val="center"/>
              <w:rPr>
                <w:b/>
                <w:bCs/>
                <w:color w:val="FFFFFF"/>
                <w:sz w:val="18"/>
                <w:szCs w:val="18"/>
              </w:rPr>
            </w:pPr>
            <w:r w:rsidRPr="00CD487B">
              <w:rPr>
                <w:b/>
                <w:bCs/>
                <w:color w:val="FFFFFF"/>
                <w:sz w:val="18"/>
                <w:szCs w:val="18"/>
              </w:rPr>
              <w:t>Superior</w:t>
            </w:r>
          </w:p>
        </w:tc>
        <w:tc>
          <w:tcPr>
            <w:tcW w:w="900" w:type="dxa"/>
            <w:vMerge/>
            <w:tcBorders>
              <w:top w:val="single" w:sz="12" w:space="0" w:color="000000"/>
              <w:left w:val="single" w:sz="4" w:space="0" w:color="000000"/>
              <w:bottom w:val="single" w:sz="12" w:space="0" w:color="000000"/>
              <w:right w:val="single" w:sz="4" w:space="0" w:color="000000"/>
            </w:tcBorders>
            <w:vAlign w:val="center"/>
            <w:hideMark/>
          </w:tcPr>
          <w:p w14:paraId="1FCEE094" w14:textId="77777777" w:rsidR="00A61A3D" w:rsidRPr="00CD487B" w:rsidRDefault="00A61A3D" w:rsidP="00897DE5">
            <w:pPr>
              <w:rPr>
                <w:b/>
                <w:bCs/>
                <w:color w:val="000000"/>
                <w:sz w:val="18"/>
                <w:szCs w:val="18"/>
              </w:rPr>
            </w:pPr>
          </w:p>
        </w:tc>
        <w:tc>
          <w:tcPr>
            <w:tcW w:w="820" w:type="dxa"/>
            <w:vMerge/>
            <w:tcBorders>
              <w:top w:val="single" w:sz="12" w:space="0" w:color="000000"/>
              <w:left w:val="single" w:sz="4" w:space="0" w:color="000000"/>
              <w:bottom w:val="single" w:sz="12" w:space="0" w:color="000000"/>
              <w:right w:val="single" w:sz="4" w:space="0" w:color="000000"/>
            </w:tcBorders>
            <w:vAlign w:val="center"/>
            <w:hideMark/>
          </w:tcPr>
          <w:p w14:paraId="5E8A47E9" w14:textId="77777777" w:rsidR="00A61A3D" w:rsidRPr="00CD487B" w:rsidRDefault="00A61A3D" w:rsidP="00897DE5">
            <w:pPr>
              <w:rPr>
                <w:b/>
                <w:bCs/>
                <w:color w:val="000000"/>
                <w:sz w:val="18"/>
                <w:szCs w:val="18"/>
              </w:rPr>
            </w:pPr>
          </w:p>
        </w:tc>
        <w:tc>
          <w:tcPr>
            <w:tcW w:w="951" w:type="dxa"/>
            <w:vMerge/>
            <w:tcBorders>
              <w:top w:val="single" w:sz="12" w:space="0" w:color="000000"/>
              <w:left w:val="single" w:sz="4" w:space="0" w:color="000000"/>
              <w:bottom w:val="single" w:sz="12" w:space="0" w:color="000000"/>
              <w:right w:val="single" w:sz="12" w:space="0" w:color="000000"/>
            </w:tcBorders>
            <w:vAlign w:val="center"/>
            <w:hideMark/>
          </w:tcPr>
          <w:p w14:paraId="79F58DAF" w14:textId="77777777" w:rsidR="00A61A3D" w:rsidRPr="00CD487B" w:rsidRDefault="00A61A3D" w:rsidP="00897DE5">
            <w:pPr>
              <w:rPr>
                <w:b/>
                <w:bCs/>
                <w:color w:val="000000"/>
                <w:sz w:val="18"/>
                <w:szCs w:val="18"/>
              </w:rPr>
            </w:pPr>
          </w:p>
        </w:tc>
      </w:tr>
      <w:tr w:rsidR="00A61A3D" w:rsidRPr="00CD487B" w14:paraId="46699E04" w14:textId="77777777" w:rsidTr="00F4369C">
        <w:trPr>
          <w:trHeight w:val="495"/>
        </w:trPr>
        <w:tc>
          <w:tcPr>
            <w:tcW w:w="1189" w:type="dxa"/>
            <w:tcBorders>
              <w:top w:val="nil"/>
              <w:left w:val="single" w:sz="8" w:space="0" w:color="auto"/>
              <w:bottom w:val="nil"/>
              <w:right w:val="single" w:sz="8" w:space="0" w:color="auto"/>
            </w:tcBorders>
            <w:shd w:val="clear" w:color="auto" w:fill="000000"/>
            <w:hideMark/>
          </w:tcPr>
          <w:p w14:paraId="057AD403" w14:textId="77777777" w:rsidR="00A61A3D" w:rsidRPr="00CD487B" w:rsidRDefault="00A61A3D" w:rsidP="00897DE5">
            <w:pPr>
              <w:rPr>
                <w:color w:val="FFFFFF"/>
                <w:sz w:val="18"/>
                <w:szCs w:val="18"/>
              </w:rPr>
            </w:pPr>
            <w:proofErr w:type="spellStart"/>
            <w:r w:rsidRPr="00CD487B">
              <w:rPr>
                <w:color w:val="FFFFFF"/>
                <w:sz w:val="18"/>
                <w:szCs w:val="18"/>
              </w:rPr>
              <w:t>Matema</w:t>
            </w:r>
            <w:proofErr w:type="spellEnd"/>
            <w:r w:rsidRPr="00CD487B">
              <w:rPr>
                <w:color w:val="FFFFFF"/>
                <w:sz w:val="18"/>
                <w:szCs w:val="18"/>
              </w:rPr>
              <w:t xml:space="preserve"> - Ari</w:t>
            </w:r>
            <w:r w:rsidR="00897DE5">
              <w:rPr>
                <w:color w:val="FFFFFF"/>
                <w:sz w:val="18"/>
                <w:szCs w:val="18"/>
              </w:rPr>
              <w:t>tmé</w:t>
            </w:r>
            <w:r w:rsidRPr="00CD487B">
              <w:rPr>
                <w:color w:val="FFFFFF"/>
                <w:sz w:val="18"/>
                <w:szCs w:val="18"/>
              </w:rPr>
              <w:t>tica</w:t>
            </w:r>
          </w:p>
        </w:tc>
        <w:tc>
          <w:tcPr>
            <w:tcW w:w="1060" w:type="dxa"/>
            <w:tcBorders>
              <w:top w:val="nil"/>
              <w:left w:val="nil"/>
              <w:bottom w:val="nil"/>
              <w:right w:val="single" w:sz="4" w:space="0" w:color="000000"/>
            </w:tcBorders>
            <w:shd w:val="clear" w:color="auto" w:fill="auto"/>
            <w:noWrap/>
            <w:hideMark/>
          </w:tcPr>
          <w:p w14:paraId="542423E5" w14:textId="77777777" w:rsidR="00A61A3D" w:rsidRPr="00CD487B" w:rsidRDefault="00A61A3D" w:rsidP="00897DE5">
            <w:pPr>
              <w:jc w:val="right"/>
              <w:rPr>
                <w:color w:val="000000"/>
                <w:sz w:val="18"/>
                <w:szCs w:val="18"/>
              </w:rPr>
            </w:pPr>
            <w:r w:rsidRPr="00CD487B">
              <w:rPr>
                <w:color w:val="000000"/>
                <w:sz w:val="18"/>
                <w:szCs w:val="18"/>
              </w:rPr>
              <w:t>1.26167</w:t>
            </w:r>
          </w:p>
        </w:tc>
        <w:tc>
          <w:tcPr>
            <w:tcW w:w="1120" w:type="dxa"/>
            <w:tcBorders>
              <w:top w:val="nil"/>
              <w:left w:val="nil"/>
              <w:bottom w:val="nil"/>
              <w:right w:val="single" w:sz="4" w:space="0" w:color="000000"/>
            </w:tcBorders>
            <w:shd w:val="clear" w:color="auto" w:fill="auto"/>
            <w:noWrap/>
            <w:hideMark/>
          </w:tcPr>
          <w:p w14:paraId="0981F9DC" w14:textId="77777777" w:rsidR="00A61A3D" w:rsidRPr="00CD487B" w:rsidRDefault="00A61A3D" w:rsidP="00897DE5">
            <w:pPr>
              <w:jc w:val="right"/>
              <w:rPr>
                <w:color w:val="000000"/>
                <w:sz w:val="18"/>
                <w:szCs w:val="18"/>
              </w:rPr>
            </w:pPr>
            <w:r w:rsidRPr="00CD487B">
              <w:rPr>
                <w:color w:val="000000"/>
                <w:sz w:val="18"/>
                <w:szCs w:val="18"/>
              </w:rPr>
              <w:t>2.11765</w:t>
            </w:r>
          </w:p>
        </w:tc>
        <w:tc>
          <w:tcPr>
            <w:tcW w:w="1100" w:type="dxa"/>
            <w:tcBorders>
              <w:top w:val="nil"/>
              <w:left w:val="nil"/>
              <w:bottom w:val="nil"/>
              <w:right w:val="single" w:sz="4" w:space="0" w:color="000000"/>
            </w:tcBorders>
            <w:shd w:val="clear" w:color="auto" w:fill="auto"/>
            <w:noWrap/>
            <w:hideMark/>
          </w:tcPr>
          <w:p w14:paraId="5A5B3574" w14:textId="77777777" w:rsidR="00A61A3D" w:rsidRPr="00CD487B" w:rsidRDefault="00A61A3D" w:rsidP="00897DE5">
            <w:pPr>
              <w:jc w:val="right"/>
              <w:rPr>
                <w:color w:val="000000"/>
                <w:sz w:val="18"/>
                <w:szCs w:val="18"/>
              </w:rPr>
            </w:pPr>
            <w:r w:rsidRPr="00CD487B">
              <w:rPr>
                <w:color w:val="000000"/>
                <w:sz w:val="18"/>
                <w:szCs w:val="18"/>
              </w:rPr>
              <w:t>.38663</w:t>
            </w:r>
          </w:p>
        </w:tc>
        <w:tc>
          <w:tcPr>
            <w:tcW w:w="1120" w:type="dxa"/>
            <w:tcBorders>
              <w:top w:val="nil"/>
              <w:left w:val="nil"/>
              <w:bottom w:val="nil"/>
              <w:right w:val="single" w:sz="4" w:space="0" w:color="000000"/>
            </w:tcBorders>
            <w:shd w:val="clear" w:color="auto" w:fill="auto"/>
            <w:noWrap/>
            <w:hideMark/>
          </w:tcPr>
          <w:p w14:paraId="781E7662" w14:textId="77777777" w:rsidR="00A61A3D" w:rsidRPr="00CD487B" w:rsidRDefault="00A61A3D" w:rsidP="00897DE5">
            <w:pPr>
              <w:jc w:val="right"/>
              <w:rPr>
                <w:color w:val="000000"/>
                <w:sz w:val="18"/>
                <w:szCs w:val="18"/>
              </w:rPr>
            </w:pPr>
            <w:r w:rsidRPr="00CD487B">
              <w:rPr>
                <w:color w:val="000000"/>
                <w:sz w:val="18"/>
                <w:szCs w:val="18"/>
              </w:rPr>
              <w:t>.47092</w:t>
            </w:r>
          </w:p>
        </w:tc>
        <w:tc>
          <w:tcPr>
            <w:tcW w:w="1100" w:type="dxa"/>
            <w:tcBorders>
              <w:top w:val="nil"/>
              <w:left w:val="nil"/>
              <w:bottom w:val="nil"/>
              <w:right w:val="single" w:sz="4" w:space="0" w:color="000000"/>
            </w:tcBorders>
            <w:shd w:val="clear" w:color="auto" w:fill="auto"/>
            <w:noWrap/>
            <w:hideMark/>
          </w:tcPr>
          <w:p w14:paraId="43B0863C" w14:textId="77777777" w:rsidR="00A61A3D" w:rsidRPr="00CD487B" w:rsidRDefault="00A61A3D" w:rsidP="00897DE5">
            <w:pPr>
              <w:jc w:val="right"/>
              <w:rPr>
                <w:color w:val="000000"/>
                <w:sz w:val="18"/>
                <w:szCs w:val="18"/>
              </w:rPr>
            </w:pPr>
            <w:r w:rsidRPr="00CD487B">
              <w:rPr>
                <w:color w:val="000000"/>
                <w:sz w:val="18"/>
                <w:szCs w:val="18"/>
              </w:rPr>
              <w:t>2.05241</w:t>
            </w:r>
          </w:p>
        </w:tc>
        <w:tc>
          <w:tcPr>
            <w:tcW w:w="900" w:type="dxa"/>
            <w:tcBorders>
              <w:top w:val="nil"/>
              <w:left w:val="nil"/>
              <w:bottom w:val="nil"/>
              <w:right w:val="single" w:sz="4" w:space="0" w:color="000000"/>
            </w:tcBorders>
            <w:shd w:val="clear" w:color="auto" w:fill="auto"/>
            <w:noWrap/>
            <w:hideMark/>
          </w:tcPr>
          <w:p w14:paraId="661A96B8" w14:textId="77777777" w:rsidR="00A61A3D" w:rsidRPr="00CD487B" w:rsidRDefault="00A61A3D" w:rsidP="00897DE5">
            <w:pPr>
              <w:jc w:val="right"/>
              <w:rPr>
                <w:color w:val="000000"/>
                <w:sz w:val="18"/>
                <w:szCs w:val="18"/>
              </w:rPr>
            </w:pPr>
            <w:r w:rsidRPr="00CD487B">
              <w:rPr>
                <w:color w:val="000000"/>
                <w:sz w:val="18"/>
                <w:szCs w:val="18"/>
              </w:rPr>
              <w:t>3.263</w:t>
            </w:r>
          </w:p>
        </w:tc>
        <w:tc>
          <w:tcPr>
            <w:tcW w:w="820" w:type="dxa"/>
            <w:tcBorders>
              <w:top w:val="nil"/>
              <w:left w:val="nil"/>
              <w:bottom w:val="nil"/>
              <w:right w:val="single" w:sz="4" w:space="0" w:color="000000"/>
            </w:tcBorders>
            <w:shd w:val="clear" w:color="auto" w:fill="auto"/>
            <w:noWrap/>
            <w:hideMark/>
          </w:tcPr>
          <w:p w14:paraId="2514F267" w14:textId="77777777" w:rsidR="00A61A3D" w:rsidRPr="00CD487B" w:rsidRDefault="00A61A3D" w:rsidP="00897DE5">
            <w:pPr>
              <w:jc w:val="right"/>
              <w:rPr>
                <w:color w:val="000000"/>
                <w:sz w:val="18"/>
                <w:szCs w:val="18"/>
              </w:rPr>
            </w:pPr>
            <w:r w:rsidRPr="00CD487B">
              <w:rPr>
                <w:color w:val="000000"/>
                <w:sz w:val="18"/>
                <w:szCs w:val="18"/>
              </w:rPr>
              <w:t>29</w:t>
            </w:r>
          </w:p>
        </w:tc>
        <w:tc>
          <w:tcPr>
            <w:tcW w:w="951" w:type="dxa"/>
            <w:tcBorders>
              <w:top w:val="nil"/>
              <w:left w:val="nil"/>
              <w:bottom w:val="nil"/>
              <w:right w:val="single" w:sz="12" w:space="0" w:color="000000"/>
            </w:tcBorders>
            <w:shd w:val="clear" w:color="auto" w:fill="auto"/>
            <w:noWrap/>
            <w:hideMark/>
          </w:tcPr>
          <w:p w14:paraId="2FA41FED" w14:textId="77777777" w:rsidR="00A61A3D" w:rsidRPr="00CD487B" w:rsidRDefault="00A61A3D" w:rsidP="00897DE5">
            <w:pPr>
              <w:jc w:val="right"/>
              <w:rPr>
                <w:color w:val="000000"/>
                <w:sz w:val="18"/>
                <w:szCs w:val="18"/>
              </w:rPr>
            </w:pPr>
            <w:r w:rsidRPr="00CD487B">
              <w:rPr>
                <w:color w:val="000000"/>
                <w:sz w:val="18"/>
                <w:szCs w:val="18"/>
              </w:rPr>
              <w:t>.003</w:t>
            </w:r>
          </w:p>
        </w:tc>
      </w:tr>
      <w:tr w:rsidR="00A61A3D" w:rsidRPr="00CD487B" w14:paraId="1C469855" w14:textId="77777777" w:rsidTr="00F4369C">
        <w:trPr>
          <w:trHeight w:val="480"/>
        </w:trPr>
        <w:tc>
          <w:tcPr>
            <w:tcW w:w="1189" w:type="dxa"/>
            <w:tcBorders>
              <w:top w:val="nil"/>
              <w:left w:val="single" w:sz="8" w:space="0" w:color="auto"/>
              <w:bottom w:val="nil"/>
              <w:right w:val="single" w:sz="8" w:space="0" w:color="auto"/>
            </w:tcBorders>
            <w:shd w:val="clear" w:color="auto" w:fill="000000"/>
            <w:hideMark/>
          </w:tcPr>
          <w:p w14:paraId="5CDFCDE7" w14:textId="77777777" w:rsidR="00A61A3D" w:rsidRPr="00CD487B" w:rsidRDefault="00A61A3D" w:rsidP="00897DE5">
            <w:pPr>
              <w:rPr>
                <w:color w:val="FFFFFF"/>
                <w:sz w:val="18"/>
                <w:szCs w:val="18"/>
              </w:rPr>
            </w:pPr>
            <w:proofErr w:type="spellStart"/>
            <w:r w:rsidRPr="00CD487B">
              <w:rPr>
                <w:color w:val="FFFFFF"/>
                <w:sz w:val="18"/>
                <w:szCs w:val="18"/>
              </w:rPr>
              <w:t>Matema</w:t>
            </w:r>
            <w:proofErr w:type="spellEnd"/>
            <w:r w:rsidRPr="00CD487B">
              <w:rPr>
                <w:color w:val="FFFFFF"/>
                <w:sz w:val="18"/>
                <w:szCs w:val="18"/>
              </w:rPr>
              <w:t xml:space="preserve"> - Algebra</w:t>
            </w:r>
          </w:p>
        </w:tc>
        <w:tc>
          <w:tcPr>
            <w:tcW w:w="1060" w:type="dxa"/>
            <w:tcBorders>
              <w:top w:val="nil"/>
              <w:left w:val="nil"/>
              <w:bottom w:val="nil"/>
              <w:right w:val="single" w:sz="4" w:space="0" w:color="000000"/>
            </w:tcBorders>
            <w:shd w:val="clear" w:color="auto" w:fill="BFBFBF"/>
            <w:noWrap/>
            <w:hideMark/>
          </w:tcPr>
          <w:p w14:paraId="10EAF794" w14:textId="77777777" w:rsidR="00A61A3D" w:rsidRPr="00CD487B" w:rsidRDefault="00A61A3D" w:rsidP="00897DE5">
            <w:pPr>
              <w:jc w:val="right"/>
              <w:rPr>
                <w:color w:val="000000"/>
                <w:sz w:val="18"/>
                <w:szCs w:val="18"/>
              </w:rPr>
            </w:pPr>
            <w:r w:rsidRPr="00CD487B">
              <w:rPr>
                <w:color w:val="000000"/>
                <w:sz w:val="18"/>
                <w:szCs w:val="18"/>
              </w:rPr>
              <w:t>1.75500</w:t>
            </w:r>
          </w:p>
        </w:tc>
        <w:tc>
          <w:tcPr>
            <w:tcW w:w="1120" w:type="dxa"/>
            <w:tcBorders>
              <w:top w:val="nil"/>
              <w:left w:val="nil"/>
              <w:bottom w:val="nil"/>
              <w:right w:val="single" w:sz="4" w:space="0" w:color="000000"/>
            </w:tcBorders>
            <w:shd w:val="clear" w:color="auto" w:fill="BFBFBF"/>
            <w:noWrap/>
            <w:hideMark/>
          </w:tcPr>
          <w:p w14:paraId="2128A862" w14:textId="77777777" w:rsidR="00A61A3D" w:rsidRPr="00CD487B" w:rsidRDefault="00A61A3D" w:rsidP="00897DE5">
            <w:pPr>
              <w:jc w:val="right"/>
              <w:rPr>
                <w:color w:val="000000"/>
                <w:sz w:val="18"/>
                <w:szCs w:val="18"/>
              </w:rPr>
            </w:pPr>
            <w:r w:rsidRPr="00CD487B">
              <w:rPr>
                <w:color w:val="000000"/>
                <w:sz w:val="18"/>
                <w:szCs w:val="18"/>
              </w:rPr>
              <w:t>2.65474</w:t>
            </w:r>
          </w:p>
        </w:tc>
        <w:tc>
          <w:tcPr>
            <w:tcW w:w="1100" w:type="dxa"/>
            <w:tcBorders>
              <w:top w:val="nil"/>
              <w:left w:val="nil"/>
              <w:bottom w:val="nil"/>
              <w:right w:val="single" w:sz="4" w:space="0" w:color="000000"/>
            </w:tcBorders>
            <w:shd w:val="clear" w:color="auto" w:fill="BFBFBF"/>
            <w:noWrap/>
            <w:hideMark/>
          </w:tcPr>
          <w:p w14:paraId="2FD0733F" w14:textId="77777777" w:rsidR="00A61A3D" w:rsidRPr="00CD487B" w:rsidRDefault="00A61A3D" w:rsidP="00897DE5">
            <w:pPr>
              <w:jc w:val="right"/>
              <w:rPr>
                <w:color w:val="000000"/>
                <w:sz w:val="18"/>
                <w:szCs w:val="18"/>
              </w:rPr>
            </w:pPr>
            <w:r w:rsidRPr="00CD487B">
              <w:rPr>
                <w:color w:val="000000"/>
                <w:sz w:val="18"/>
                <w:szCs w:val="18"/>
              </w:rPr>
              <w:t>.48469</w:t>
            </w:r>
          </w:p>
        </w:tc>
        <w:tc>
          <w:tcPr>
            <w:tcW w:w="1120" w:type="dxa"/>
            <w:tcBorders>
              <w:top w:val="nil"/>
              <w:left w:val="nil"/>
              <w:bottom w:val="nil"/>
              <w:right w:val="single" w:sz="4" w:space="0" w:color="000000"/>
            </w:tcBorders>
            <w:shd w:val="clear" w:color="auto" w:fill="BFBFBF"/>
            <w:noWrap/>
            <w:hideMark/>
          </w:tcPr>
          <w:p w14:paraId="6AE201D7" w14:textId="77777777" w:rsidR="00A61A3D" w:rsidRPr="00CD487B" w:rsidRDefault="00A61A3D" w:rsidP="00897DE5">
            <w:pPr>
              <w:jc w:val="right"/>
              <w:rPr>
                <w:color w:val="000000"/>
                <w:sz w:val="18"/>
                <w:szCs w:val="18"/>
              </w:rPr>
            </w:pPr>
            <w:r w:rsidRPr="00CD487B">
              <w:rPr>
                <w:color w:val="000000"/>
                <w:sz w:val="18"/>
                <w:szCs w:val="18"/>
              </w:rPr>
              <w:t>.76371</w:t>
            </w:r>
          </w:p>
        </w:tc>
        <w:tc>
          <w:tcPr>
            <w:tcW w:w="1100" w:type="dxa"/>
            <w:tcBorders>
              <w:top w:val="nil"/>
              <w:left w:val="nil"/>
              <w:bottom w:val="nil"/>
              <w:right w:val="single" w:sz="4" w:space="0" w:color="000000"/>
            </w:tcBorders>
            <w:shd w:val="clear" w:color="auto" w:fill="BFBFBF"/>
            <w:noWrap/>
            <w:hideMark/>
          </w:tcPr>
          <w:p w14:paraId="7B6D79A8" w14:textId="77777777" w:rsidR="00A61A3D" w:rsidRPr="00CD487B" w:rsidRDefault="00A61A3D" w:rsidP="00897DE5">
            <w:pPr>
              <w:jc w:val="right"/>
              <w:rPr>
                <w:color w:val="000000"/>
                <w:sz w:val="18"/>
                <w:szCs w:val="18"/>
              </w:rPr>
            </w:pPr>
            <w:r w:rsidRPr="00CD487B">
              <w:rPr>
                <w:color w:val="000000"/>
                <w:sz w:val="18"/>
                <w:szCs w:val="18"/>
              </w:rPr>
              <w:t>2.74629</w:t>
            </w:r>
          </w:p>
        </w:tc>
        <w:tc>
          <w:tcPr>
            <w:tcW w:w="900" w:type="dxa"/>
            <w:tcBorders>
              <w:top w:val="nil"/>
              <w:left w:val="nil"/>
              <w:bottom w:val="nil"/>
              <w:right w:val="single" w:sz="4" w:space="0" w:color="000000"/>
            </w:tcBorders>
            <w:shd w:val="clear" w:color="auto" w:fill="BFBFBF"/>
            <w:noWrap/>
            <w:hideMark/>
          </w:tcPr>
          <w:p w14:paraId="31E1193E" w14:textId="77777777" w:rsidR="00A61A3D" w:rsidRPr="00CD487B" w:rsidRDefault="00A61A3D" w:rsidP="00897DE5">
            <w:pPr>
              <w:jc w:val="right"/>
              <w:rPr>
                <w:color w:val="000000"/>
                <w:sz w:val="18"/>
                <w:szCs w:val="18"/>
              </w:rPr>
            </w:pPr>
            <w:r w:rsidRPr="00CD487B">
              <w:rPr>
                <w:color w:val="000000"/>
                <w:sz w:val="18"/>
                <w:szCs w:val="18"/>
              </w:rPr>
              <w:t>3.621</w:t>
            </w:r>
          </w:p>
        </w:tc>
        <w:tc>
          <w:tcPr>
            <w:tcW w:w="820" w:type="dxa"/>
            <w:tcBorders>
              <w:top w:val="nil"/>
              <w:left w:val="nil"/>
              <w:bottom w:val="nil"/>
              <w:right w:val="single" w:sz="4" w:space="0" w:color="000000"/>
            </w:tcBorders>
            <w:shd w:val="clear" w:color="auto" w:fill="BFBFBF"/>
            <w:noWrap/>
            <w:hideMark/>
          </w:tcPr>
          <w:p w14:paraId="23923911" w14:textId="77777777" w:rsidR="00A61A3D" w:rsidRPr="00CD487B" w:rsidRDefault="00A61A3D" w:rsidP="00897DE5">
            <w:pPr>
              <w:jc w:val="right"/>
              <w:rPr>
                <w:color w:val="000000"/>
                <w:sz w:val="18"/>
                <w:szCs w:val="18"/>
              </w:rPr>
            </w:pPr>
            <w:r w:rsidRPr="00CD487B">
              <w:rPr>
                <w:color w:val="000000"/>
                <w:sz w:val="18"/>
                <w:szCs w:val="18"/>
              </w:rPr>
              <w:t>29</w:t>
            </w:r>
          </w:p>
        </w:tc>
        <w:tc>
          <w:tcPr>
            <w:tcW w:w="951" w:type="dxa"/>
            <w:tcBorders>
              <w:top w:val="nil"/>
              <w:left w:val="nil"/>
              <w:bottom w:val="nil"/>
              <w:right w:val="single" w:sz="12" w:space="0" w:color="000000"/>
            </w:tcBorders>
            <w:shd w:val="clear" w:color="auto" w:fill="BFBFBF"/>
            <w:noWrap/>
            <w:hideMark/>
          </w:tcPr>
          <w:p w14:paraId="3BA3F6FA" w14:textId="77777777" w:rsidR="00A61A3D" w:rsidRPr="00CD487B" w:rsidRDefault="00A61A3D" w:rsidP="00897DE5">
            <w:pPr>
              <w:jc w:val="right"/>
              <w:rPr>
                <w:color w:val="000000"/>
                <w:sz w:val="18"/>
                <w:szCs w:val="18"/>
              </w:rPr>
            </w:pPr>
            <w:r w:rsidRPr="00CD487B">
              <w:rPr>
                <w:color w:val="000000"/>
                <w:sz w:val="18"/>
                <w:szCs w:val="18"/>
              </w:rPr>
              <w:t>.001</w:t>
            </w:r>
          </w:p>
        </w:tc>
      </w:tr>
      <w:tr w:rsidR="00A61A3D" w:rsidRPr="00CD487B" w14:paraId="7268EC5E" w14:textId="77777777" w:rsidTr="00F4369C">
        <w:trPr>
          <w:trHeight w:val="495"/>
        </w:trPr>
        <w:tc>
          <w:tcPr>
            <w:tcW w:w="1189" w:type="dxa"/>
            <w:tcBorders>
              <w:top w:val="nil"/>
              <w:left w:val="single" w:sz="8" w:space="0" w:color="auto"/>
              <w:bottom w:val="single" w:sz="8" w:space="0" w:color="auto"/>
              <w:right w:val="single" w:sz="8" w:space="0" w:color="auto"/>
            </w:tcBorders>
            <w:shd w:val="clear" w:color="auto" w:fill="000000"/>
            <w:hideMark/>
          </w:tcPr>
          <w:p w14:paraId="5B4EC19B" w14:textId="77777777" w:rsidR="00A61A3D" w:rsidRPr="00CD487B" w:rsidRDefault="00AC2198" w:rsidP="00897DE5">
            <w:pPr>
              <w:rPr>
                <w:color w:val="FFFFFF"/>
                <w:sz w:val="18"/>
                <w:szCs w:val="18"/>
              </w:rPr>
            </w:pPr>
            <w:proofErr w:type="spellStart"/>
            <w:r w:rsidRPr="00CD487B">
              <w:rPr>
                <w:color w:val="FFFFFF"/>
                <w:sz w:val="18"/>
                <w:szCs w:val="18"/>
              </w:rPr>
              <w:t>Matema</w:t>
            </w:r>
            <w:proofErr w:type="spellEnd"/>
            <w:r w:rsidRPr="00CD487B">
              <w:rPr>
                <w:color w:val="FFFFFF"/>
                <w:sz w:val="18"/>
                <w:szCs w:val="18"/>
              </w:rPr>
              <w:t xml:space="preserve"> - Funcional</w:t>
            </w:r>
          </w:p>
        </w:tc>
        <w:tc>
          <w:tcPr>
            <w:tcW w:w="1060" w:type="dxa"/>
            <w:tcBorders>
              <w:top w:val="nil"/>
              <w:left w:val="nil"/>
              <w:bottom w:val="single" w:sz="12" w:space="0" w:color="000000"/>
              <w:right w:val="single" w:sz="4" w:space="0" w:color="000000"/>
            </w:tcBorders>
            <w:shd w:val="clear" w:color="auto" w:fill="auto"/>
            <w:noWrap/>
            <w:hideMark/>
          </w:tcPr>
          <w:p w14:paraId="77663125" w14:textId="77777777" w:rsidR="00A61A3D" w:rsidRPr="00CD487B" w:rsidRDefault="00A61A3D" w:rsidP="00897DE5">
            <w:pPr>
              <w:jc w:val="right"/>
              <w:rPr>
                <w:color w:val="000000"/>
                <w:sz w:val="18"/>
                <w:szCs w:val="18"/>
              </w:rPr>
            </w:pPr>
            <w:r w:rsidRPr="00CD487B">
              <w:rPr>
                <w:color w:val="000000"/>
                <w:sz w:val="18"/>
                <w:szCs w:val="18"/>
              </w:rPr>
              <w:t>3.28447</w:t>
            </w:r>
          </w:p>
        </w:tc>
        <w:tc>
          <w:tcPr>
            <w:tcW w:w="1120" w:type="dxa"/>
            <w:tcBorders>
              <w:top w:val="nil"/>
              <w:left w:val="nil"/>
              <w:bottom w:val="single" w:sz="12" w:space="0" w:color="000000"/>
              <w:right w:val="single" w:sz="4" w:space="0" w:color="000000"/>
            </w:tcBorders>
            <w:shd w:val="clear" w:color="auto" w:fill="auto"/>
            <w:noWrap/>
            <w:hideMark/>
          </w:tcPr>
          <w:p w14:paraId="2678507A" w14:textId="77777777" w:rsidR="00A61A3D" w:rsidRPr="00CD487B" w:rsidRDefault="00A61A3D" w:rsidP="00897DE5">
            <w:pPr>
              <w:jc w:val="right"/>
              <w:rPr>
                <w:color w:val="000000"/>
                <w:sz w:val="18"/>
                <w:szCs w:val="18"/>
              </w:rPr>
            </w:pPr>
            <w:r w:rsidRPr="00CD487B">
              <w:rPr>
                <w:color w:val="000000"/>
                <w:sz w:val="18"/>
                <w:szCs w:val="18"/>
              </w:rPr>
              <w:t>1.76150</w:t>
            </w:r>
          </w:p>
        </w:tc>
        <w:tc>
          <w:tcPr>
            <w:tcW w:w="1100" w:type="dxa"/>
            <w:tcBorders>
              <w:top w:val="nil"/>
              <w:left w:val="nil"/>
              <w:bottom w:val="single" w:sz="12" w:space="0" w:color="000000"/>
              <w:right w:val="single" w:sz="4" w:space="0" w:color="000000"/>
            </w:tcBorders>
            <w:shd w:val="clear" w:color="auto" w:fill="auto"/>
            <w:noWrap/>
            <w:hideMark/>
          </w:tcPr>
          <w:p w14:paraId="70B431DB" w14:textId="77777777" w:rsidR="00A61A3D" w:rsidRPr="00CD487B" w:rsidRDefault="00A61A3D" w:rsidP="00897DE5">
            <w:pPr>
              <w:jc w:val="right"/>
              <w:rPr>
                <w:color w:val="000000"/>
                <w:sz w:val="18"/>
                <w:szCs w:val="18"/>
              </w:rPr>
            </w:pPr>
            <w:r w:rsidRPr="00CD487B">
              <w:rPr>
                <w:color w:val="000000"/>
                <w:sz w:val="18"/>
                <w:szCs w:val="18"/>
              </w:rPr>
              <w:t>.32160</w:t>
            </w:r>
          </w:p>
        </w:tc>
        <w:tc>
          <w:tcPr>
            <w:tcW w:w="1120" w:type="dxa"/>
            <w:tcBorders>
              <w:top w:val="nil"/>
              <w:left w:val="nil"/>
              <w:bottom w:val="single" w:sz="12" w:space="0" w:color="000000"/>
              <w:right w:val="single" w:sz="4" w:space="0" w:color="000000"/>
            </w:tcBorders>
            <w:shd w:val="clear" w:color="auto" w:fill="auto"/>
            <w:noWrap/>
            <w:hideMark/>
          </w:tcPr>
          <w:p w14:paraId="4BE9A115" w14:textId="77777777" w:rsidR="00A61A3D" w:rsidRPr="00CD487B" w:rsidRDefault="00A61A3D" w:rsidP="00897DE5">
            <w:pPr>
              <w:jc w:val="right"/>
              <w:rPr>
                <w:color w:val="000000"/>
                <w:sz w:val="18"/>
                <w:szCs w:val="18"/>
              </w:rPr>
            </w:pPr>
            <w:r w:rsidRPr="00CD487B">
              <w:rPr>
                <w:color w:val="000000"/>
                <w:sz w:val="18"/>
                <w:szCs w:val="18"/>
              </w:rPr>
              <w:t>2.62671</w:t>
            </w:r>
          </w:p>
        </w:tc>
        <w:tc>
          <w:tcPr>
            <w:tcW w:w="1100" w:type="dxa"/>
            <w:tcBorders>
              <w:top w:val="nil"/>
              <w:left w:val="nil"/>
              <w:bottom w:val="single" w:sz="12" w:space="0" w:color="000000"/>
              <w:right w:val="single" w:sz="4" w:space="0" w:color="000000"/>
            </w:tcBorders>
            <w:shd w:val="clear" w:color="auto" w:fill="auto"/>
            <w:noWrap/>
            <w:hideMark/>
          </w:tcPr>
          <w:p w14:paraId="5CD58CA7" w14:textId="77777777" w:rsidR="00A61A3D" w:rsidRPr="00CD487B" w:rsidRDefault="00A61A3D" w:rsidP="00897DE5">
            <w:pPr>
              <w:jc w:val="right"/>
              <w:rPr>
                <w:color w:val="000000"/>
                <w:sz w:val="18"/>
                <w:szCs w:val="18"/>
              </w:rPr>
            </w:pPr>
            <w:r w:rsidRPr="00CD487B">
              <w:rPr>
                <w:color w:val="000000"/>
                <w:sz w:val="18"/>
                <w:szCs w:val="18"/>
              </w:rPr>
              <w:t>3.94222</w:t>
            </w:r>
          </w:p>
        </w:tc>
        <w:tc>
          <w:tcPr>
            <w:tcW w:w="900" w:type="dxa"/>
            <w:tcBorders>
              <w:top w:val="nil"/>
              <w:left w:val="nil"/>
              <w:bottom w:val="single" w:sz="12" w:space="0" w:color="000000"/>
              <w:right w:val="single" w:sz="4" w:space="0" w:color="000000"/>
            </w:tcBorders>
            <w:shd w:val="clear" w:color="auto" w:fill="auto"/>
            <w:noWrap/>
            <w:hideMark/>
          </w:tcPr>
          <w:p w14:paraId="0781BD56" w14:textId="77777777" w:rsidR="00A61A3D" w:rsidRPr="00CD487B" w:rsidRDefault="00A61A3D" w:rsidP="00897DE5">
            <w:pPr>
              <w:jc w:val="right"/>
              <w:rPr>
                <w:color w:val="000000"/>
                <w:sz w:val="18"/>
                <w:szCs w:val="18"/>
              </w:rPr>
            </w:pPr>
            <w:r w:rsidRPr="00CD487B">
              <w:rPr>
                <w:color w:val="000000"/>
                <w:sz w:val="18"/>
                <w:szCs w:val="18"/>
              </w:rPr>
              <w:t>10.213</w:t>
            </w:r>
          </w:p>
        </w:tc>
        <w:tc>
          <w:tcPr>
            <w:tcW w:w="820" w:type="dxa"/>
            <w:tcBorders>
              <w:top w:val="nil"/>
              <w:left w:val="nil"/>
              <w:bottom w:val="single" w:sz="12" w:space="0" w:color="000000"/>
              <w:right w:val="single" w:sz="4" w:space="0" w:color="000000"/>
            </w:tcBorders>
            <w:shd w:val="clear" w:color="auto" w:fill="auto"/>
            <w:noWrap/>
            <w:hideMark/>
          </w:tcPr>
          <w:p w14:paraId="1749377B" w14:textId="77777777" w:rsidR="00A61A3D" w:rsidRPr="00CD487B" w:rsidRDefault="00A61A3D" w:rsidP="00897DE5">
            <w:pPr>
              <w:jc w:val="right"/>
              <w:rPr>
                <w:color w:val="000000"/>
                <w:sz w:val="18"/>
                <w:szCs w:val="18"/>
              </w:rPr>
            </w:pPr>
            <w:r w:rsidRPr="00CD487B">
              <w:rPr>
                <w:color w:val="000000"/>
                <w:sz w:val="18"/>
                <w:szCs w:val="18"/>
              </w:rPr>
              <w:t>29</w:t>
            </w:r>
          </w:p>
        </w:tc>
        <w:tc>
          <w:tcPr>
            <w:tcW w:w="951" w:type="dxa"/>
            <w:tcBorders>
              <w:top w:val="nil"/>
              <w:left w:val="nil"/>
              <w:bottom w:val="single" w:sz="12" w:space="0" w:color="000000"/>
              <w:right w:val="single" w:sz="12" w:space="0" w:color="000000"/>
            </w:tcBorders>
            <w:shd w:val="clear" w:color="auto" w:fill="auto"/>
            <w:noWrap/>
            <w:hideMark/>
          </w:tcPr>
          <w:p w14:paraId="6EE215BD" w14:textId="77777777" w:rsidR="00A61A3D" w:rsidRPr="00CD487B" w:rsidRDefault="00A61A3D" w:rsidP="00897DE5">
            <w:pPr>
              <w:jc w:val="right"/>
              <w:rPr>
                <w:color w:val="000000"/>
                <w:sz w:val="18"/>
                <w:szCs w:val="18"/>
              </w:rPr>
            </w:pPr>
            <w:r w:rsidRPr="00CD487B">
              <w:rPr>
                <w:color w:val="000000"/>
                <w:sz w:val="18"/>
                <w:szCs w:val="18"/>
              </w:rPr>
              <w:t>.000</w:t>
            </w:r>
          </w:p>
        </w:tc>
      </w:tr>
    </w:tbl>
    <w:p w14:paraId="55AAB146" w14:textId="77777777" w:rsidR="00125A18" w:rsidRDefault="00125A18" w:rsidP="009C2FCC">
      <w:pPr>
        <w:jc w:val="center"/>
      </w:pPr>
      <w:r>
        <w:t>Fuente: Elaboración propia.</w:t>
      </w:r>
    </w:p>
    <w:p w14:paraId="105F9C68" w14:textId="77777777" w:rsidR="00125A18" w:rsidRDefault="00125A18" w:rsidP="00606A11">
      <w:pPr>
        <w:spacing w:after="240" w:line="360" w:lineRule="auto"/>
        <w:jc w:val="both"/>
      </w:pPr>
    </w:p>
    <w:p w14:paraId="3EFFEA51" w14:textId="77777777" w:rsidR="007E7C90" w:rsidRPr="00CD487B" w:rsidRDefault="00AC2198" w:rsidP="00606A11">
      <w:pPr>
        <w:spacing w:after="240" w:line="360" w:lineRule="auto"/>
        <w:jc w:val="both"/>
        <w:rPr>
          <w:b/>
        </w:rPr>
      </w:pPr>
      <w:r w:rsidRPr="00CD487B">
        <w:t xml:space="preserve">Para este análisis se mantuvo el nivel de similitud de las medias en el intervalo [3 – 4], y de desigualdad en el resto del rango. Se puede observar que solo el PPF guarda relación con el MOD01 en cuanto a contenidos.  </w:t>
      </w:r>
    </w:p>
    <w:p w14:paraId="7ACD0987" w14:textId="77777777" w:rsidR="0045700C" w:rsidRPr="00606A11" w:rsidRDefault="00AC2198" w:rsidP="00606A11">
      <w:pPr>
        <w:spacing w:after="240" w:line="360" w:lineRule="auto"/>
        <w:jc w:val="both"/>
      </w:pPr>
      <w:r w:rsidRPr="00CD487B">
        <w:lastRenderedPageBreak/>
        <w:t xml:space="preserve">De este ejercicio de análisis entre contenidos específicos que se preguntan en </w:t>
      </w:r>
      <w:r w:rsidR="00694E9A" w:rsidRPr="00CD487B">
        <w:t xml:space="preserve">EXANI </w:t>
      </w:r>
      <w:r w:rsidRPr="00CD487B">
        <w:t xml:space="preserve">y Pretest se puede deducir la disparidad de </w:t>
      </w:r>
      <w:r w:rsidR="00DB2B12" w:rsidRPr="00CD487B">
        <w:t>reactivos,</w:t>
      </w:r>
      <w:r w:rsidRPr="00CD487B">
        <w:t xml:space="preserve"> aunque pertenecen a los mismos temas evaluados, lo que indica que debe realizarse a mayor profundidad la indagación de si lo que está preguntando el </w:t>
      </w:r>
      <w:r w:rsidR="00694E9A" w:rsidRPr="00CD487B">
        <w:t xml:space="preserve">EXANI </w:t>
      </w:r>
      <w:r w:rsidRPr="00CD487B">
        <w:t xml:space="preserve">corresponde a las competencias matemáticas que el mismo instrumento dice evaluar y a las que se requieren de un estudiante de nuevo ingreso de la carrera de Ingeniería en Computación. </w:t>
      </w:r>
      <w:r w:rsidR="00DB2B12" w:rsidRPr="00CD487B">
        <w:t>Además,</w:t>
      </w:r>
      <w:r w:rsidRPr="00CD487B">
        <w:t xml:space="preserve"> si se incluyen los otros resultados de PISA y Planea, se vuelve un mar de información que el profesor debe procesar para partir de un cierto nivel de competencia de sus alumnos, seleccionar las estrategias más acordes para que alcance</w:t>
      </w:r>
      <w:r w:rsidR="00AC4978" w:rsidRPr="00CD487B">
        <w:t>n</w:t>
      </w:r>
      <w:r w:rsidRPr="00CD487B">
        <w:t xml:space="preserve"> las competencias que no poseen y lograr los objetivos que las diferentes asignaturas marcan como aprendizajes esperados por los alumnos al concluir un curso de primer año </w:t>
      </w:r>
      <w:r w:rsidRPr="00606A11">
        <w:t>universitario.</w:t>
      </w:r>
    </w:p>
    <w:p w14:paraId="26F373A9" w14:textId="77777777" w:rsidR="0045700C" w:rsidRPr="00CD487B" w:rsidRDefault="00E14FAA" w:rsidP="00606A11">
      <w:pPr>
        <w:spacing w:after="240" w:line="360" w:lineRule="auto"/>
        <w:jc w:val="both"/>
      </w:pPr>
      <w:r w:rsidRPr="00606A11">
        <w:t>Previamente</w:t>
      </w:r>
      <w:r w:rsidR="000C6BC7" w:rsidRPr="00606A11">
        <w:t>,</w:t>
      </w:r>
      <w:r w:rsidRPr="00606A11">
        <w:t xml:space="preserve"> l</w:t>
      </w:r>
      <w:r w:rsidR="0045700C" w:rsidRPr="00606A11">
        <w:t xml:space="preserve">os estudios presentados </w:t>
      </w:r>
      <w:r w:rsidRPr="00606A11">
        <w:t>por</w:t>
      </w:r>
      <w:r w:rsidR="0045700C" w:rsidRPr="00606A11">
        <w:t xml:space="preserve"> </w:t>
      </w:r>
      <w:proofErr w:type="spellStart"/>
      <w:r w:rsidR="0045700C" w:rsidRPr="00606A11">
        <w:t>Larrazolo</w:t>
      </w:r>
      <w:proofErr w:type="spellEnd"/>
      <w:r w:rsidR="001A38E5" w:rsidRPr="00606A11">
        <w:t xml:space="preserve"> </w:t>
      </w:r>
      <w:r w:rsidR="001A38E5" w:rsidRPr="00606A11">
        <w:rPr>
          <w:i/>
        </w:rPr>
        <w:t>et</w:t>
      </w:r>
      <w:r w:rsidR="000C6BC7" w:rsidRPr="00606A11">
        <w:rPr>
          <w:i/>
        </w:rPr>
        <w:t xml:space="preserve"> </w:t>
      </w:r>
      <w:r w:rsidR="001A38E5" w:rsidRPr="00606A11">
        <w:rPr>
          <w:i/>
        </w:rPr>
        <w:t>al</w:t>
      </w:r>
      <w:r w:rsidR="001A38E5" w:rsidRPr="00606A11">
        <w:t>.</w:t>
      </w:r>
      <w:r w:rsidR="0045700C" w:rsidRPr="00606A11">
        <w:t xml:space="preserve"> (2013)</w:t>
      </w:r>
      <w:r w:rsidR="001A38E5" w:rsidRPr="00606A11">
        <w:t xml:space="preserve"> y Villalón </w:t>
      </w:r>
      <w:r w:rsidR="001A38E5" w:rsidRPr="00606A11">
        <w:rPr>
          <w:i/>
        </w:rPr>
        <w:t>et</w:t>
      </w:r>
      <w:r w:rsidR="000C6BC7" w:rsidRPr="00606A11">
        <w:rPr>
          <w:i/>
        </w:rPr>
        <w:t xml:space="preserve"> </w:t>
      </w:r>
      <w:r w:rsidR="001A38E5" w:rsidRPr="00606A11">
        <w:rPr>
          <w:i/>
        </w:rPr>
        <w:t>al.</w:t>
      </w:r>
      <w:r w:rsidR="001A38E5" w:rsidRPr="00606A11">
        <w:t xml:space="preserve"> (2015)</w:t>
      </w:r>
      <w:r w:rsidRPr="00606A11">
        <w:t xml:space="preserve"> habían mostrado que los estudiantes de primer año universitario, e</w:t>
      </w:r>
      <w:r w:rsidR="002D38FE" w:rsidRPr="00606A11">
        <w:t>n particular los de ingenierías</w:t>
      </w:r>
      <w:r w:rsidRPr="00606A11">
        <w:t>, adolecen de las competencias matemáticas evaluadas en los exámenes de ingreso al nivel universitario</w:t>
      </w:r>
      <w:r w:rsidR="004D58A0">
        <w:t>;</w:t>
      </w:r>
      <w:r w:rsidRPr="00606A11">
        <w:t xml:space="preserve"> con el presente estudio</w:t>
      </w:r>
      <w:r w:rsidR="004D58A0">
        <w:t>, en cambio,</w:t>
      </w:r>
      <w:r w:rsidRPr="00606A11">
        <w:t xml:space="preserve"> se profundiza </w:t>
      </w:r>
      <w:r w:rsidR="00D73F97" w:rsidRPr="00606A11">
        <w:t>aún</w:t>
      </w:r>
      <w:r w:rsidRPr="00606A11">
        <w:t xml:space="preserve"> mas no solo en la ausencia de la competencia sino en la disimilitud de lo que se requiere como competencia matemática en un alumno de nuevo ingreso y lo que evalúan estas pruebas</w:t>
      </w:r>
      <w:r w:rsidR="004D58A0">
        <w:t>;</w:t>
      </w:r>
      <w:r w:rsidRPr="00606A11">
        <w:t xml:space="preserve"> se enriquece el estudio al comparar lo que se entiende en cada prueba estandarizada PISA, Planea y EXANI como competencia</w:t>
      </w:r>
      <w:r w:rsidR="004D58A0">
        <w:t>; y</w:t>
      </w:r>
      <w:r w:rsidRPr="00606A11">
        <w:t xml:space="preserve"> </w:t>
      </w:r>
      <w:r w:rsidR="00D73F97" w:rsidRPr="00606A11">
        <w:t>se compara</w:t>
      </w:r>
      <w:r w:rsidR="00D73F97">
        <w:t xml:space="preserve"> con el estudio inicial de Rico (2007) que señala la importancia de ubicar las competencias matemáticas y buscar que los estudiantes los alcancen según su nivel educativo. Por ello, </w:t>
      </w:r>
      <w:r>
        <w:t>ubicado en est</w:t>
      </w:r>
      <w:r w:rsidR="00D73F97">
        <w:t>e</w:t>
      </w:r>
      <w:r>
        <w:t xml:space="preserve"> caso un estadio por niveles de pensamiento como lo muestra Cuevas </w:t>
      </w:r>
      <w:r w:rsidRPr="00606A11">
        <w:rPr>
          <w:i/>
        </w:rPr>
        <w:t>et</w:t>
      </w:r>
      <w:r w:rsidR="004D58A0" w:rsidRPr="00606A11">
        <w:rPr>
          <w:i/>
        </w:rPr>
        <w:t xml:space="preserve"> </w:t>
      </w:r>
      <w:r w:rsidRPr="00606A11">
        <w:rPr>
          <w:i/>
        </w:rPr>
        <w:t>al.</w:t>
      </w:r>
      <w:r>
        <w:t xml:space="preserve"> (2017)</w:t>
      </w:r>
      <w:r w:rsidR="00D73F97">
        <w:t>, este marco</w:t>
      </w:r>
      <w:r>
        <w:t xml:space="preserve"> sirve de base al análisis y al diseño del </w:t>
      </w:r>
      <w:r w:rsidR="00D73F97">
        <w:t>P</w:t>
      </w:r>
      <w:r>
        <w:t xml:space="preserve">retest.   </w:t>
      </w:r>
    </w:p>
    <w:p w14:paraId="32B283C1" w14:textId="3AF0A91B" w:rsidR="009C2FCC" w:rsidRDefault="009C2FCC" w:rsidP="00606A11">
      <w:pPr>
        <w:spacing w:before="240" w:line="360" w:lineRule="auto"/>
        <w:jc w:val="both"/>
        <w:rPr>
          <w:rFonts w:asciiTheme="minorHAnsi" w:eastAsiaTheme="minorEastAsia" w:hAnsiTheme="minorHAnsi" w:cstheme="minorHAnsi"/>
          <w:b/>
          <w:sz w:val="28"/>
        </w:rPr>
      </w:pPr>
    </w:p>
    <w:p w14:paraId="3D943C69" w14:textId="7ADE6C8C" w:rsidR="001F5F78" w:rsidRDefault="001F5F78" w:rsidP="00606A11">
      <w:pPr>
        <w:spacing w:before="240" w:line="360" w:lineRule="auto"/>
        <w:jc w:val="both"/>
        <w:rPr>
          <w:rFonts w:asciiTheme="minorHAnsi" w:eastAsiaTheme="minorEastAsia" w:hAnsiTheme="minorHAnsi" w:cstheme="minorHAnsi"/>
          <w:b/>
          <w:sz w:val="28"/>
        </w:rPr>
      </w:pPr>
    </w:p>
    <w:p w14:paraId="41F71FFC" w14:textId="4092DA64" w:rsidR="001F5F78" w:rsidRDefault="001F5F78" w:rsidP="00606A11">
      <w:pPr>
        <w:spacing w:before="240" w:line="360" w:lineRule="auto"/>
        <w:jc w:val="both"/>
        <w:rPr>
          <w:rFonts w:asciiTheme="minorHAnsi" w:eastAsiaTheme="minorEastAsia" w:hAnsiTheme="minorHAnsi" w:cstheme="minorHAnsi"/>
          <w:b/>
          <w:sz w:val="28"/>
        </w:rPr>
      </w:pPr>
    </w:p>
    <w:p w14:paraId="5CD111FB" w14:textId="5BABBA5A" w:rsidR="001F5F78" w:rsidRDefault="001F5F78" w:rsidP="00606A11">
      <w:pPr>
        <w:spacing w:before="240" w:line="360" w:lineRule="auto"/>
        <w:jc w:val="both"/>
        <w:rPr>
          <w:rFonts w:asciiTheme="minorHAnsi" w:eastAsiaTheme="minorEastAsia" w:hAnsiTheme="minorHAnsi" w:cstheme="minorHAnsi"/>
          <w:b/>
          <w:sz w:val="28"/>
        </w:rPr>
      </w:pPr>
    </w:p>
    <w:p w14:paraId="6618E54F" w14:textId="77777777" w:rsidR="001F5F78" w:rsidRDefault="001F5F78" w:rsidP="00606A11">
      <w:pPr>
        <w:spacing w:before="240" w:line="360" w:lineRule="auto"/>
        <w:jc w:val="both"/>
        <w:rPr>
          <w:rFonts w:asciiTheme="minorHAnsi" w:eastAsiaTheme="minorEastAsia" w:hAnsiTheme="minorHAnsi" w:cstheme="minorHAnsi"/>
          <w:b/>
          <w:sz w:val="28"/>
        </w:rPr>
      </w:pPr>
    </w:p>
    <w:p w14:paraId="64A8D85C" w14:textId="77777777" w:rsidR="00B80BA1" w:rsidRPr="00606A11" w:rsidRDefault="00606A11" w:rsidP="00606A11">
      <w:pPr>
        <w:spacing w:before="240" w:line="360" w:lineRule="auto"/>
        <w:jc w:val="both"/>
        <w:rPr>
          <w:rFonts w:asciiTheme="minorHAnsi" w:eastAsiaTheme="minorEastAsia" w:hAnsiTheme="minorHAnsi" w:cstheme="minorHAnsi"/>
          <w:b/>
          <w:sz w:val="28"/>
        </w:rPr>
      </w:pPr>
      <w:r w:rsidRPr="00606A11">
        <w:rPr>
          <w:rFonts w:asciiTheme="minorHAnsi" w:eastAsiaTheme="minorEastAsia" w:hAnsiTheme="minorHAnsi" w:cstheme="minorHAnsi"/>
          <w:b/>
          <w:sz w:val="28"/>
        </w:rPr>
        <w:lastRenderedPageBreak/>
        <w:t>Conclusiones</w:t>
      </w:r>
    </w:p>
    <w:p w14:paraId="3C812394" w14:textId="77777777" w:rsidR="00BD7DD9" w:rsidRPr="00CD487B" w:rsidRDefault="00BD7DD9" w:rsidP="00606A11">
      <w:pPr>
        <w:spacing w:after="240" w:line="360" w:lineRule="auto"/>
        <w:jc w:val="both"/>
      </w:pPr>
      <w:r w:rsidRPr="00CD487B">
        <w:t xml:space="preserve">A partir de los resultados de las pruebas estandarizadas para medir las competencias matemáticas en alumnos de nivel medio superior, se observa una similitud de alcances. </w:t>
      </w:r>
      <w:r w:rsidR="00AC4978" w:rsidRPr="00CD487B">
        <w:t xml:space="preserve">Por ejemplo, conforme a los resultados de Planea 2015 para el caso de Matemáticas, el puntaje promedio nacional fue de 498 y en 2017 de 500 puntos, </w:t>
      </w:r>
      <w:r w:rsidRPr="00CD487B">
        <w:t xml:space="preserve">donde </w:t>
      </w:r>
      <w:r w:rsidR="00AC4978" w:rsidRPr="00CD487B">
        <w:t xml:space="preserve">cerca de las dos terceras partes de los estudiantes se concentra en el nivel más bajo del desempeño. </w:t>
      </w:r>
      <w:r w:rsidR="009A07AA" w:rsidRPr="00CD487B">
        <w:t xml:space="preserve">En los resultados 2016 de Planea MS para el municipio de Valle de Chalco, donde pertenecen las instituciones de los sujetos de la muestra, se tiene que 72% se encuentra en </w:t>
      </w:r>
      <w:r w:rsidR="004D58A0">
        <w:t>n</w:t>
      </w:r>
      <w:r w:rsidR="009A07AA" w:rsidRPr="00CD487B">
        <w:t xml:space="preserve">ivel 1, 20% en </w:t>
      </w:r>
      <w:r w:rsidR="004D58A0">
        <w:t>n</w:t>
      </w:r>
      <w:r w:rsidR="009A07AA" w:rsidRPr="00CD487B">
        <w:t xml:space="preserve">ivel 2, 8% en nivel 3 y ninguno en nivel 4; lo </w:t>
      </w:r>
      <w:r w:rsidRPr="00CD487B">
        <w:t xml:space="preserve">mismo sucede si revisamos </w:t>
      </w:r>
      <w:r w:rsidR="009A07AA" w:rsidRPr="00CD487B">
        <w:t xml:space="preserve">los niveles nacionales: 49.2% está en </w:t>
      </w:r>
      <w:r w:rsidR="004D58A0">
        <w:t>n</w:t>
      </w:r>
      <w:r w:rsidR="009A07AA" w:rsidRPr="00CD487B">
        <w:t xml:space="preserve">ivel 1, 30% en </w:t>
      </w:r>
      <w:r w:rsidR="004D58A0">
        <w:t>n</w:t>
      </w:r>
      <w:r w:rsidR="009A07AA" w:rsidRPr="00CD487B">
        <w:t>ivel 2, 14.4</w:t>
      </w:r>
      <w:r w:rsidR="004D58A0" w:rsidRPr="00577646">
        <w:t>%</w:t>
      </w:r>
      <w:r w:rsidR="009A07AA" w:rsidRPr="00CD487B">
        <w:t xml:space="preserve"> en </w:t>
      </w:r>
      <w:r w:rsidR="004D58A0">
        <w:t>n</w:t>
      </w:r>
      <w:r w:rsidR="009A07AA" w:rsidRPr="00CD487B">
        <w:t xml:space="preserve">ivel 3 y 6.3% en </w:t>
      </w:r>
      <w:r w:rsidR="004D58A0">
        <w:t>n</w:t>
      </w:r>
      <w:r w:rsidR="009A07AA" w:rsidRPr="00CD487B">
        <w:t xml:space="preserve">ivel 4. </w:t>
      </w:r>
      <w:r w:rsidR="00AC4978" w:rsidRPr="00CD487B">
        <w:t>Algo similar s</w:t>
      </w:r>
      <w:r w:rsidRPr="00CD487B">
        <w:t xml:space="preserve">e encuentra </w:t>
      </w:r>
      <w:r w:rsidR="00DB2B12" w:rsidRPr="00CD487B">
        <w:t>con PISA</w:t>
      </w:r>
      <w:r w:rsidR="00AC4978" w:rsidRPr="00CD487B">
        <w:t xml:space="preserve"> 2015, donde el desempeño de México se encuentra por debajo del promedio OCDE en Matemáticas (408 puntos) y menos de 1% de los estudiantes en México logran alcanzar niveles de competencia de excelencia (nivel 5 y 6, de 607 a 688 puntos).</w:t>
      </w:r>
      <w:r w:rsidR="009A07AA" w:rsidRPr="00CD487B">
        <w:t xml:space="preserve"> Estos resultados son confirmados por el </w:t>
      </w:r>
      <w:r w:rsidR="00694E9A" w:rsidRPr="00CD487B">
        <w:t xml:space="preserve">EXANI </w:t>
      </w:r>
      <w:r w:rsidR="009A07AA" w:rsidRPr="00CD487B">
        <w:t>II, donde la gran mayoría apenas y aprueba las competencias matemáticas.</w:t>
      </w:r>
      <w:r w:rsidRPr="00CD487B">
        <w:t xml:space="preserve"> Todos estos instrumentos confirman lo que muchas investigaciones y diferentes medios de noticias publican en los últimos años, que los estudiantes mexicanos no adquieren las competencias necesarias para su desempeño en matemáticas.</w:t>
      </w:r>
    </w:p>
    <w:p w14:paraId="413EBCA8" w14:textId="77777777" w:rsidR="00AC2198" w:rsidRPr="00CD487B" w:rsidRDefault="00BD7DD9" w:rsidP="00606A11">
      <w:pPr>
        <w:spacing w:after="240" w:line="360" w:lineRule="auto"/>
        <w:jc w:val="both"/>
      </w:pPr>
      <w:r w:rsidRPr="00CD487B">
        <w:t xml:space="preserve">Sin embargo, como profesor se requiere un análisis más profundo, ya que en los modelos educativos actuales se parte de un nivel del alumnado para llegar a una competencia mayor, por lo que la confiabilidad de los resultados del diagnóstico es de suma importancia. </w:t>
      </w:r>
      <w:r w:rsidR="00AC2198" w:rsidRPr="00CD487B">
        <w:t xml:space="preserve">Ante esta enorme responsabilidad </w:t>
      </w:r>
      <w:r w:rsidR="009A07AA" w:rsidRPr="00CD487B">
        <w:t xml:space="preserve">muchos profesores que imparten las asignaturas del primer semestre universitario acaban dando contenidos de aritmética en el curso de algebra, de algebra y aritmética en el de geometría analítica, y de todas las asignaturas en las de cálculo diferencial; lo que obstaculiza abordar los contenidos propios de cada materia. </w:t>
      </w:r>
      <w:r w:rsidRPr="00CD487B">
        <w:t>Así, en este trabajo se retomaron de las diferentes teorías de evaluación los indicadores de pensamiento aritmético, pensamiento algebraico y pensamiento funcional (Cuevas y Delgado, 2016) para analizar el tipo de razonamiento verbal, lógico matemático y funcional de los estudiantes y buscar correlacionar la información que aportan todos los instrumentos mencionados.</w:t>
      </w:r>
    </w:p>
    <w:p w14:paraId="1ED85558" w14:textId="77777777" w:rsidR="00BB21B7" w:rsidRPr="00CD487B" w:rsidRDefault="00BD7DD9" w:rsidP="00606A11">
      <w:pPr>
        <w:spacing w:after="240" w:line="360" w:lineRule="auto"/>
        <w:jc w:val="both"/>
      </w:pPr>
      <w:r w:rsidRPr="00CD487B">
        <w:t>Para ello, se diseñó el instrumento denominado Pretest</w:t>
      </w:r>
      <w:r w:rsidR="00BB21B7" w:rsidRPr="00CD487B">
        <w:t xml:space="preserve"> que contempla el conocimiento matemático inicial (prerrequisitos) que marcan los programas de estudio para alumnos de nuevo ingreso a la carrera de Ingeniería en Computación del Centro Universitario Vale de </w:t>
      </w:r>
      <w:r w:rsidR="00BB21B7" w:rsidRPr="00CD487B">
        <w:lastRenderedPageBreak/>
        <w:t>Chalco, de la Universidad Autónoma del Estado de México, en el periodo 2017, y se co</w:t>
      </w:r>
      <w:r w:rsidRPr="00CD487B">
        <w:t>rrelaci</w:t>
      </w:r>
      <w:r w:rsidR="00BB21B7" w:rsidRPr="00CD487B">
        <w:t>o</w:t>
      </w:r>
      <w:r w:rsidRPr="00CD487B">
        <w:t>n</w:t>
      </w:r>
      <w:r w:rsidR="00BB21B7" w:rsidRPr="00CD487B">
        <w:t xml:space="preserve">aron los datos con las </w:t>
      </w:r>
      <w:r w:rsidRPr="00CD487B">
        <w:t xml:space="preserve">competencias matemáticas </w:t>
      </w:r>
      <w:r w:rsidR="00BB21B7" w:rsidRPr="00CD487B">
        <w:t xml:space="preserve">consideradas </w:t>
      </w:r>
      <w:r w:rsidRPr="00CD487B">
        <w:t xml:space="preserve">en </w:t>
      </w:r>
      <w:r w:rsidR="00BB21B7" w:rsidRPr="00CD487B">
        <w:t xml:space="preserve">las </w:t>
      </w:r>
      <w:r w:rsidRPr="00CD487B">
        <w:t>pruebas estandarizadas</w:t>
      </w:r>
      <w:r w:rsidR="00BB21B7" w:rsidRPr="00CD487B">
        <w:t xml:space="preserve"> (PISA</w:t>
      </w:r>
      <w:r w:rsidR="004D58A0">
        <w:t>,</w:t>
      </w:r>
      <w:r w:rsidR="00BB21B7" w:rsidRPr="00CD487B">
        <w:t xml:space="preserve"> Planea y </w:t>
      </w:r>
      <w:r w:rsidR="00694E9A" w:rsidRPr="00CD487B">
        <w:t>EXANI</w:t>
      </w:r>
      <w:r w:rsidR="00BB21B7" w:rsidRPr="00CD487B">
        <w:t>)</w:t>
      </w:r>
      <w:r w:rsidRPr="00CD487B">
        <w:t>, se evaluaron conocimientos básicos de aritmética, algebra, geometría analítica y cálculo diferencial</w:t>
      </w:r>
      <w:r w:rsidR="00BB21B7" w:rsidRPr="00CD487B">
        <w:t xml:space="preserve"> en </w:t>
      </w:r>
      <w:r w:rsidRPr="00CD487B">
        <w:t>50% de la población de alumnos de ingeniería</w:t>
      </w:r>
      <w:r w:rsidR="00BB21B7" w:rsidRPr="00CD487B">
        <w:t xml:space="preserve">. Reflejando que en particular que el </w:t>
      </w:r>
      <w:r w:rsidR="00694E9A" w:rsidRPr="00CD487B">
        <w:t xml:space="preserve">EXANI </w:t>
      </w:r>
      <w:r w:rsidR="00BB21B7" w:rsidRPr="00CD487B">
        <w:t>no considera los contenidos para determinar la competencia matemática de alumnos de nuevo ingreso a esta carrera</w:t>
      </w:r>
      <w:r w:rsidRPr="00CD487B">
        <w:t xml:space="preserve">. </w:t>
      </w:r>
    </w:p>
    <w:p w14:paraId="6C4EE26A" w14:textId="77777777" w:rsidR="00BD7DD9" w:rsidRPr="00CD487B" w:rsidRDefault="00BB21B7" w:rsidP="00606A11">
      <w:pPr>
        <w:spacing w:after="240" w:line="360" w:lineRule="auto"/>
        <w:jc w:val="both"/>
      </w:pPr>
      <w:r w:rsidRPr="00CD487B">
        <w:t>La</w:t>
      </w:r>
      <w:r w:rsidR="00BD7DD9" w:rsidRPr="00CD487B">
        <w:t xml:space="preserve"> correlación de Pearson y </w:t>
      </w:r>
      <w:r w:rsidRPr="00CD487B">
        <w:t xml:space="preserve">la </w:t>
      </w:r>
      <w:r w:rsidR="00BD7DD9" w:rsidRPr="00CD487B">
        <w:t xml:space="preserve">comparación de medias por t </w:t>
      </w:r>
      <w:r w:rsidR="00694E9A" w:rsidRPr="00CD487B">
        <w:t xml:space="preserve">de </w:t>
      </w:r>
      <w:proofErr w:type="spellStart"/>
      <w:r w:rsidR="00694E9A" w:rsidRPr="00CD487B">
        <w:t>s</w:t>
      </w:r>
      <w:r w:rsidR="00BD7DD9" w:rsidRPr="00CD487B">
        <w:t>tuden</w:t>
      </w:r>
      <w:r w:rsidR="00694E9A" w:rsidRPr="00CD487B">
        <w:t>t</w:t>
      </w:r>
      <w:proofErr w:type="spellEnd"/>
      <w:r w:rsidRPr="00CD487B">
        <w:t xml:space="preserve"> muestran la falta de concordancia en contenidos y</w:t>
      </w:r>
      <w:r w:rsidR="004D58A0">
        <w:t>,</w:t>
      </w:r>
      <w:r w:rsidRPr="00CD487B">
        <w:t xml:space="preserve"> por tanto</w:t>
      </w:r>
      <w:r w:rsidR="004D58A0">
        <w:t>,</w:t>
      </w:r>
      <w:r w:rsidRPr="00CD487B">
        <w:t xml:space="preserve"> del alcance de cada prueba. En todos los instrumentos se obtiene un bajo nivel operativo de los estudiantes. Si </w:t>
      </w:r>
      <w:r w:rsidR="004B4905" w:rsidRPr="00CD487B">
        <w:t xml:space="preserve">se </w:t>
      </w:r>
      <w:r w:rsidRPr="00CD487B">
        <w:t>part</w:t>
      </w:r>
      <w:r w:rsidR="004B4905" w:rsidRPr="00CD487B">
        <w:t>e</w:t>
      </w:r>
      <w:r w:rsidRPr="00CD487B">
        <w:t xml:space="preserve"> de la posición de que estas evaluaciones sirven para mejorar el desempeño de los estudiantes, resultan valiosos como punto de partida para incentivar procesos y revisar conceptos con los alumnos que los lleven a alcanzar las competencias matemáticas descritas.</w:t>
      </w:r>
      <w:r w:rsidR="00BD7DD9" w:rsidRPr="00CD487B">
        <w:t xml:space="preserve"> </w:t>
      </w:r>
      <w:r w:rsidR="0015430A" w:rsidRPr="00CD487B">
        <w:t>E</w:t>
      </w:r>
      <w:r w:rsidR="00BD7DD9" w:rsidRPr="00CD487B">
        <w:t xml:space="preserve">n ese sentido, se </w:t>
      </w:r>
      <w:r w:rsidR="0015430A" w:rsidRPr="00CD487B">
        <w:t>recomiendan</w:t>
      </w:r>
      <w:r w:rsidR="00BD7DD9" w:rsidRPr="00CD487B">
        <w:t xml:space="preserve"> actividades didácticas empleando tecnología diseñadas con la intención de favorecer el aprendizaje significativo y conceptual, </w:t>
      </w:r>
      <w:r w:rsidR="0015430A" w:rsidRPr="00CD487B">
        <w:t>como parte de una experiencia por parte del Cuerpo Académico de Cómputo Aplicado, del área de Tecnología Educativa, del Centro Universitario Valle de Chalco, que viene desarrollando desde hace 10 años</w:t>
      </w:r>
      <w:r w:rsidR="004275AF" w:rsidRPr="00CD487B">
        <w:t xml:space="preserve"> (Soberanes, Martínez y Castillo, 2016)</w:t>
      </w:r>
      <w:r w:rsidR="0015430A" w:rsidRPr="00CD487B">
        <w:t xml:space="preserve">, </w:t>
      </w:r>
      <w:r w:rsidR="00BD7DD9" w:rsidRPr="00CD487B">
        <w:t xml:space="preserve">y así fomentar un desempeño más acorde a las características de la carrera profesional. </w:t>
      </w:r>
    </w:p>
    <w:p w14:paraId="2950E75B" w14:textId="64220700" w:rsidR="00947B88" w:rsidRDefault="00947B88" w:rsidP="00947B88">
      <w:pPr>
        <w:spacing w:line="360" w:lineRule="auto"/>
        <w:jc w:val="both"/>
      </w:pPr>
    </w:p>
    <w:p w14:paraId="08737C25" w14:textId="516E558E" w:rsidR="001F5F78" w:rsidRDefault="001F5F78" w:rsidP="00947B88">
      <w:pPr>
        <w:spacing w:line="360" w:lineRule="auto"/>
        <w:jc w:val="both"/>
      </w:pPr>
    </w:p>
    <w:p w14:paraId="10D518AF" w14:textId="5A209ADC" w:rsidR="001F5F78" w:rsidRDefault="001F5F78" w:rsidP="00947B88">
      <w:pPr>
        <w:spacing w:line="360" w:lineRule="auto"/>
        <w:jc w:val="both"/>
      </w:pPr>
    </w:p>
    <w:p w14:paraId="2FE1C6FC" w14:textId="039B7BF4" w:rsidR="001F5F78" w:rsidRDefault="001F5F78" w:rsidP="00947B88">
      <w:pPr>
        <w:spacing w:line="360" w:lineRule="auto"/>
        <w:jc w:val="both"/>
      </w:pPr>
    </w:p>
    <w:p w14:paraId="7EEF0146" w14:textId="3210DF21" w:rsidR="001F5F78" w:rsidRDefault="001F5F78" w:rsidP="00947B88">
      <w:pPr>
        <w:spacing w:line="360" w:lineRule="auto"/>
        <w:jc w:val="both"/>
      </w:pPr>
    </w:p>
    <w:p w14:paraId="4C4CC2D7" w14:textId="37DB8161" w:rsidR="001F5F78" w:rsidRDefault="001F5F78" w:rsidP="00947B88">
      <w:pPr>
        <w:spacing w:line="360" w:lineRule="auto"/>
        <w:jc w:val="both"/>
      </w:pPr>
    </w:p>
    <w:p w14:paraId="7AFF46D1" w14:textId="2E4CC54D" w:rsidR="001F5F78" w:rsidRDefault="001F5F78" w:rsidP="00947B88">
      <w:pPr>
        <w:spacing w:line="360" w:lineRule="auto"/>
        <w:jc w:val="both"/>
      </w:pPr>
    </w:p>
    <w:p w14:paraId="5239DABC" w14:textId="10894E3E" w:rsidR="001F5F78" w:rsidRDefault="001F5F78" w:rsidP="00947B88">
      <w:pPr>
        <w:spacing w:line="360" w:lineRule="auto"/>
        <w:jc w:val="both"/>
      </w:pPr>
    </w:p>
    <w:p w14:paraId="7E8B623B" w14:textId="44447D1A" w:rsidR="001F5F78" w:rsidRDefault="001F5F78" w:rsidP="00947B88">
      <w:pPr>
        <w:spacing w:line="360" w:lineRule="auto"/>
        <w:jc w:val="both"/>
      </w:pPr>
    </w:p>
    <w:p w14:paraId="1280181A" w14:textId="57296620" w:rsidR="001F5F78" w:rsidRDefault="001F5F78" w:rsidP="00947B88">
      <w:pPr>
        <w:spacing w:line="360" w:lineRule="auto"/>
        <w:jc w:val="both"/>
      </w:pPr>
    </w:p>
    <w:p w14:paraId="6A3FBACE" w14:textId="29EE613B" w:rsidR="001F5F78" w:rsidRDefault="001F5F78" w:rsidP="00947B88">
      <w:pPr>
        <w:spacing w:line="360" w:lineRule="auto"/>
        <w:jc w:val="both"/>
      </w:pPr>
    </w:p>
    <w:p w14:paraId="3914D998" w14:textId="77777777" w:rsidR="001F5F78" w:rsidRPr="00CD487B" w:rsidRDefault="001F5F78" w:rsidP="00947B88">
      <w:pPr>
        <w:spacing w:line="360" w:lineRule="auto"/>
        <w:jc w:val="both"/>
      </w:pPr>
    </w:p>
    <w:p w14:paraId="1FC868CD" w14:textId="77777777" w:rsidR="004944E2" w:rsidRPr="00606A11" w:rsidRDefault="00606A11" w:rsidP="00606A11">
      <w:pPr>
        <w:spacing w:before="240" w:line="360" w:lineRule="auto"/>
        <w:jc w:val="both"/>
        <w:rPr>
          <w:rFonts w:asciiTheme="minorHAnsi" w:eastAsiaTheme="minorEastAsia" w:hAnsiTheme="minorHAnsi" w:cstheme="minorHAnsi"/>
          <w:b/>
          <w:sz w:val="28"/>
        </w:rPr>
      </w:pPr>
      <w:r>
        <w:rPr>
          <w:rFonts w:asciiTheme="minorHAnsi" w:eastAsiaTheme="minorEastAsia" w:hAnsiTheme="minorHAnsi" w:cstheme="minorHAnsi"/>
          <w:b/>
          <w:sz w:val="28"/>
        </w:rPr>
        <w:lastRenderedPageBreak/>
        <w:t>Bibliografía</w:t>
      </w:r>
    </w:p>
    <w:p w14:paraId="666932AC" w14:textId="77777777" w:rsidR="00BD5FE6" w:rsidRPr="00897DE5" w:rsidRDefault="00C15F91" w:rsidP="000B1C6C">
      <w:pPr>
        <w:spacing w:line="360" w:lineRule="auto"/>
        <w:ind w:left="709" w:hanging="709"/>
      </w:pPr>
      <w:r w:rsidRPr="00897DE5">
        <w:t>Aristegui</w:t>
      </w:r>
      <w:r w:rsidR="00A50000" w:rsidRPr="00897DE5">
        <w:t>,</w:t>
      </w:r>
      <w:r w:rsidR="00BD5FE6" w:rsidRPr="00897DE5">
        <w:t xml:space="preserve"> A.</w:t>
      </w:r>
      <w:r w:rsidR="00AF242F" w:rsidRPr="00897DE5">
        <w:t xml:space="preserve"> </w:t>
      </w:r>
      <w:r w:rsidR="0052354C">
        <w:t>(</w:t>
      </w:r>
      <w:r w:rsidR="00AF242F" w:rsidRPr="00897DE5">
        <w:t>1999</w:t>
      </w:r>
      <w:r w:rsidR="0052354C">
        <w:t>)</w:t>
      </w:r>
      <w:r w:rsidR="00AF242F" w:rsidRPr="00897DE5">
        <w:t>.</w:t>
      </w:r>
      <w:r w:rsidR="00BD5FE6" w:rsidRPr="00897DE5">
        <w:t xml:space="preserve"> </w:t>
      </w:r>
      <w:r w:rsidR="003453C2">
        <w:t>Indeterminación de la t</w:t>
      </w:r>
      <w:r w:rsidR="00BD5FE6" w:rsidRPr="00897DE5">
        <w:t xml:space="preserve">raducción </w:t>
      </w:r>
      <w:r w:rsidR="003453C2">
        <w:t>r</w:t>
      </w:r>
      <w:r w:rsidR="00BD5FE6" w:rsidRPr="00897DE5">
        <w:t xml:space="preserve">adical, </w:t>
      </w:r>
      <w:r w:rsidR="003453C2">
        <w:t>c</w:t>
      </w:r>
      <w:r w:rsidR="00BD5FE6" w:rsidRPr="00897DE5">
        <w:t xml:space="preserve">onstructivismo y </w:t>
      </w:r>
      <w:r w:rsidR="003453C2">
        <w:t>p</w:t>
      </w:r>
      <w:r w:rsidR="00BD5FE6" w:rsidRPr="00897DE5">
        <w:t>sicoterapia</w:t>
      </w:r>
      <w:r w:rsidR="003453C2">
        <w:t>.</w:t>
      </w:r>
      <w:r w:rsidR="00BD5FE6" w:rsidRPr="00897DE5">
        <w:t xml:space="preserve"> </w:t>
      </w:r>
      <w:r w:rsidR="00BD5FE6" w:rsidRPr="0066529C">
        <w:rPr>
          <w:i/>
        </w:rPr>
        <w:t xml:space="preserve">Cinta de </w:t>
      </w:r>
      <w:proofErr w:type="spellStart"/>
      <w:r w:rsidR="00BD5FE6" w:rsidRPr="0066529C">
        <w:rPr>
          <w:i/>
        </w:rPr>
        <w:t>Moebio</w:t>
      </w:r>
      <w:proofErr w:type="spellEnd"/>
      <w:r w:rsidR="0066529C" w:rsidRPr="00897DE5">
        <w:t>, 6</w:t>
      </w:r>
      <w:r w:rsidR="0066529C">
        <w:t>,</w:t>
      </w:r>
      <w:r w:rsidR="0066529C" w:rsidRPr="00897DE5">
        <w:t xml:space="preserve"> 1-18</w:t>
      </w:r>
      <w:r w:rsidR="00BD5FE6" w:rsidRPr="00897DE5">
        <w:t>.</w:t>
      </w:r>
    </w:p>
    <w:p w14:paraId="6CC9E525" w14:textId="77777777" w:rsidR="006B0AEB" w:rsidRPr="00897DE5" w:rsidRDefault="006B0AEB" w:rsidP="000B1C6C">
      <w:pPr>
        <w:spacing w:line="360" w:lineRule="auto"/>
        <w:ind w:left="709" w:hanging="709"/>
      </w:pPr>
      <w:r w:rsidRPr="00897DE5">
        <w:t>Aparicio</w:t>
      </w:r>
      <w:r w:rsidR="0052354C">
        <w:t>,</w:t>
      </w:r>
      <w:r w:rsidRPr="00897DE5">
        <w:t xml:space="preserve"> J. A.</w:t>
      </w:r>
      <w:r w:rsidR="0066529C">
        <w:t>, Hoyos, O., &amp; Niebles, R.</w:t>
      </w:r>
      <w:r w:rsidRPr="00897DE5">
        <w:t xml:space="preserve"> </w:t>
      </w:r>
      <w:r w:rsidR="0052354C">
        <w:t>(</w:t>
      </w:r>
      <w:r w:rsidRPr="00897DE5">
        <w:t>2004</w:t>
      </w:r>
      <w:r w:rsidR="0052354C">
        <w:t>)</w:t>
      </w:r>
      <w:r w:rsidR="00745088">
        <w:t xml:space="preserve">. </w:t>
      </w:r>
      <w:r w:rsidRPr="00897DE5">
        <w:t xml:space="preserve">Las </w:t>
      </w:r>
      <w:r w:rsidR="003453C2">
        <w:t>c</w:t>
      </w:r>
      <w:r w:rsidRPr="00897DE5">
        <w:t xml:space="preserve">oncepciones </w:t>
      </w:r>
      <w:r w:rsidR="003453C2">
        <w:t>i</w:t>
      </w:r>
      <w:r w:rsidRPr="00897DE5">
        <w:t xml:space="preserve">mplícitas de los </w:t>
      </w:r>
      <w:r w:rsidR="003453C2">
        <w:t>p</w:t>
      </w:r>
      <w:r w:rsidR="00745088">
        <w:t>rofesores sobre el aprendizaje</w:t>
      </w:r>
      <w:r w:rsidR="0066529C">
        <w:t xml:space="preserve">, </w:t>
      </w:r>
      <w:r w:rsidR="0066529C" w:rsidRPr="0066529C">
        <w:rPr>
          <w:i/>
        </w:rPr>
        <w:t>Psicología desde el Caribe</w:t>
      </w:r>
      <w:r w:rsidR="0066529C">
        <w:rPr>
          <w:i/>
        </w:rPr>
        <w:t>,</w:t>
      </w:r>
      <w:r w:rsidR="0066529C">
        <w:t xml:space="preserve"> </w:t>
      </w:r>
      <w:r w:rsidRPr="00897DE5">
        <w:t>13</w:t>
      </w:r>
      <w:r w:rsidR="0066529C">
        <w:t>,</w:t>
      </w:r>
      <w:r w:rsidRPr="00897DE5">
        <w:t xml:space="preserve"> 144-168.</w:t>
      </w:r>
    </w:p>
    <w:p w14:paraId="1868B587" w14:textId="77777777" w:rsidR="001C2D57" w:rsidRPr="00897DE5" w:rsidRDefault="001C2D57" w:rsidP="000B1C6C">
      <w:pPr>
        <w:spacing w:line="360" w:lineRule="auto"/>
        <w:ind w:left="709" w:hanging="709"/>
      </w:pPr>
      <w:r w:rsidRPr="00897DE5">
        <w:t>Bruno</w:t>
      </w:r>
      <w:r w:rsidR="0052354C">
        <w:t>,</w:t>
      </w:r>
      <w:r w:rsidRPr="00897DE5">
        <w:t xml:space="preserve"> </w:t>
      </w:r>
      <w:r w:rsidR="00A50000" w:rsidRPr="00897DE5">
        <w:t>A</w:t>
      </w:r>
      <w:r w:rsidRPr="00897DE5">
        <w:t>.</w:t>
      </w:r>
      <w:r w:rsidR="0066529C">
        <w:t>,</w:t>
      </w:r>
      <w:r w:rsidRPr="00897DE5">
        <w:t xml:space="preserve"> </w:t>
      </w:r>
      <w:proofErr w:type="spellStart"/>
      <w:r w:rsidR="00EA1D5F">
        <w:t>Noda</w:t>
      </w:r>
      <w:proofErr w:type="spellEnd"/>
      <w:r w:rsidR="00EA1D5F">
        <w:t>, M.</w:t>
      </w:r>
      <w:r w:rsidR="0066529C">
        <w:t xml:space="preserve">, </w:t>
      </w:r>
      <w:r w:rsidR="00EA1D5F">
        <w:t>Aguilar, R.</w:t>
      </w:r>
      <w:r w:rsidR="0066529C">
        <w:t xml:space="preserve">, </w:t>
      </w:r>
      <w:r w:rsidR="00EA1D5F">
        <w:t>González, C.</w:t>
      </w:r>
      <w:r w:rsidR="0066529C">
        <w:t xml:space="preserve">, </w:t>
      </w:r>
      <w:r w:rsidR="00EA1D5F">
        <w:t>Moreno, L.</w:t>
      </w:r>
      <w:r w:rsidR="0066529C">
        <w:t>, &amp;</w:t>
      </w:r>
      <w:r w:rsidR="00EA1D5F">
        <w:t xml:space="preserve"> Muñoz, V</w:t>
      </w:r>
      <w:r w:rsidRPr="00897DE5">
        <w:t xml:space="preserve">. </w:t>
      </w:r>
      <w:r w:rsidR="0052354C">
        <w:t>(</w:t>
      </w:r>
      <w:r w:rsidRPr="00897DE5">
        <w:t>2006</w:t>
      </w:r>
      <w:r w:rsidR="0052354C">
        <w:t>).</w:t>
      </w:r>
      <w:r w:rsidRPr="00897DE5">
        <w:t xml:space="preserve"> </w:t>
      </w:r>
      <w:r w:rsidR="000C5D24" w:rsidRPr="00897DE5">
        <w:t>Análisis</w:t>
      </w:r>
      <w:r w:rsidRPr="00897DE5">
        <w:t xml:space="preserve"> de un T</w:t>
      </w:r>
      <w:r w:rsidR="00694E9A" w:rsidRPr="00897DE5">
        <w:t>u</w:t>
      </w:r>
      <w:r w:rsidRPr="00897DE5">
        <w:t xml:space="preserve">torial Inteligente sobre conceptos </w:t>
      </w:r>
      <w:r w:rsidR="003453C2">
        <w:t>l</w:t>
      </w:r>
      <w:r w:rsidRPr="00897DE5">
        <w:t>ógico-</w:t>
      </w:r>
      <w:r w:rsidR="003453C2">
        <w:t>matemático</w:t>
      </w:r>
      <w:r w:rsidRPr="00897DE5">
        <w:t xml:space="preserve">s en </w:t>
      </w:r>
      <w:r w:rsidR="003453C2">
        <w:t>a</w:t>
      </w:r>
      <w:r w:rsidRPr="00897DE5">
        <w:t xml:space="preserve">lumnos con </w:t>
      </w:r>
      <w:r w:rsidR="003453C2">
        <w:t>s</w:t>
      </w:r>
      <w:r w:rsidRPr="00897DE5">
        <w:t xml:space="preserve">índrome de Down. </w:t>
      </w:r>
      <w:r w:rsidRPr="0052354C">
        <w:rPr>
          <w:i/>
        </w:rPr>
        <w:t>Revista latinoamericana de Investigación Matemática</w:t>
      </w:r>
      <w:r w:rsidR="00AF242F" w:rsidRPr="00897DE5">
        <w:t>,</w:t>
      </w:r>
      <w:r w:rsidRPr="00897DE5">
        <w:t xml:space="preserve"> 9</w:t>
      </w:r>
      <w:r w:rsidR="0066529C">
        <w:t>(</w:t>
      </w:r>
      <w:r w:rsidRPr="00897DE5">
        <w:t>2</w:t>
      </w:r>
      <w:r w:rsidR="0066529C">
        <w:t>),</w:t>
      </w:r>
      <w:r w:rsidRPr="00897DE5">
        <w:t xml:space="preserve"> 211-226.</w:t>
      </w:r>
    </w:p>
    <w:p w14:paraId="0408C3E7" w14:textId="77777777" w:rsidR="00E86A74" w:rsidRDefault="00E86A74" w:rsidP="000B1C6C">
      <w:pPr>
        <w:spacing w:line="360" w:lineRule="auto"/>
        <w:ind w:left="709" w:hanging="709"/>
        <w:rPr>
          <w:color w:val="000000"/>
        </w:rPr>
      </w:pPr>
      <w:r w:rsidRPr="00897DE5">
        <w:rPr>
          <w:color w:val="000000"/>
        </w:rPr>
        <w:t>C</w:t>
      </w:r>
      <w:r w:rsidR="00F60360">
        <w:rPr>
          <w:color w:val="000000"/>
        </w:rPr>
        <w:t xml:space="preserve">entro </w:t>
      </w:r>
      <w:r w:rsidRPr="00897DE5">
        <w:rPr>
          <w:color w:val="000000"/>
        </w:rPr>
        <w:t>N</w:t>
      </w:r>
      <w:r w:rsidR="00F60360">
        <w:rPr>
          <w:color w:val="000000"/>
        </w:rPr>
        <w:t xml:space="preserve">acional de </w:t>
      </w:r>
      <w:r w:rsidRPr="00897DE5">
        <w:rPr>
          <w:color w:val="000000"/>
        </w:rPr>
        <w:t>E</w:t>
      </w:r>
      <w:r w:rsidR="00F60360">
        <w:rPr>
          <w:color w:val="000000"/>
        </w:rPr>
        <w:t xml:space="preserve">valuación para la Educación Superior </w:t>
      </w:r>
      <w:r w:rsidR="00745088">
        <w:rPr>
          <w:color w:val="000000"/>
        </w:rPr>
        <w:t>(</w:t>
      </w:r>
      <w:r w:rsidRPr="00897DE5">
        <w:rPr>
          <w:color w:val="000000"/>
        </w:rPr>
        <w:t>2016</w:t>
      </w:r>
      <w:r w:rsidR="00745088">
        <w:rPr>
          <w:color w:val="000000"/>
        </w:rPr>
        <w:t>)</w:t>
      </w:r>
      <w:r w:rsidRPr="00897DE5">
        <w:rPr>
          <w:color w:val="000000"/>
        </w:rPr>
        <w:t>. Planea MS 2016. Manual para usuarios. C</w:t>
      </w:r>
      <w:r w:rsidR="00F60360" w:rsidRPr="00897DE5">
        <w:rPr>
          <w:color w:val="000000"/>
        </w:rPr>
        <w:t>ENEVAL</w:t>
      </w:r>
      <w:r w:rsidRPr="00897DE5">
        <w:rPr>
          <w:color w:val="000000"/>
        </w:rPr>
        <w:t>.</w:t>
      </w:r>
    </w:p>
    <w:p w14:paraId="5F502FCF" w14:textId="77777777" w:rsidR="00E86A74" w:rsidRPr="00897DE5" w:rsidRDefault="00F60360" w:rsidP="000B1C6C">
      <w:pPr>
        <w:spacing w:line="360" w:lineRule="auto"/>
        <w:ind w:left="709" w:hanging="709"/>
        <w:rPr>
          <w:color w:val="000000"/>
        </w:rPr>
      </w:pPr>
      <w:r w:rsidRPr="00897DE5">
        <w:rPr>
          <w:color w:val="000000"/>
        </w:rPr>
        <w:t>C</w:t>
      </w:r>
      <w:r>
        <w:rPr>
          <w:color w:val="000000"/>
        </w:rPr>
        <w:t xml:space="preserve">entro </w:t>
      </w:r>
      <w:r w:rsidRPr="00897DE5">
        <w:rPr>
          <w:color w:val="000000"/>
        </w:rPr>
        <w:t>N</w:t>
      </w:r>
      <w:r>
        <w:rPr>
          <w:color w:val="000000"/>
        </w:rPr>
        <w:t xml:space="preserve">acional de </w:t>
      </w:r>
      <w:r w:rsidRPr="00897DE5">
        <w:rPr>
          <w:color w:val="000000"/>
        </w:rPr>
        <w:t>E</w:t>
      </w:r>
      <w:r>
        <w:rPr>
          <w:color w:val="000000"/>
        </w:rPr>
        <w:t>valuación para la Educación Superior</w:t>
      </w:r>
      <w:r w:rsidR="00466AED" w:rsidRPr="00897DE5">
        <w:rPr>
          <w:color w:val="000000"/>
        </w:rPr>
        <w:t xml:space="preserve">. </w:t>
      </w:r>
      <w:r w:rsidR="00745088">
        <w:rPr>
          <w:color w:val="000000"/>
        </w:rPr>
        <w:t>(</w:t>
      </w:r>
      <w:r w:rsidR="00466AED" w:rsidRPr="00897DE5">
        <w:rPr>
          <w:color w:val="000000"/>
        </w:rPr>
        <w:t>2017</w:t>
      </w:r>
      <w:r w:rsidR="00745088">
        <w:rPr>
          <w:color w:val="000000"/>
        </w:rPr>
        <w:t>)</w:t>
      </w:r>
      <w:r w:rsidR="00466AED" w:rsidRPr="00897DE5">
        <w:rPr>
          <w:color w:val="000000"/>
        </w:rPr>
        <w:t xml:space="preserve">. Guía </w:t>
      </w:r>
      <w:r w:rsidR="00694E9A" w:rsidRPr="00897DE5">
        <w:rPr>
          <w:color w:val="000000"/>
        </w:rPr>
        <w:t xml:space="preserve">EXANI </w:t>
      </w:r>
      <w:r w:rsidR="00466AED" w:rsidRPr="00897DE5">
        <w:rPr>
          <w:color w:val="000000"/>
        </w:rPr>
        <w:t xml:space="preserve">II. Examen Nacional de Ingreso a la Educación Superior. </w:t>
      </w:r>
      <w:r w:rsidRPr="00897DE5">
        <w:rPr>
          <w:color w:val="000000"/>
        </w:rPr>
        <w:t>CENEVAL</w:t>
      </w:r>
      <w:r w:rsidR="00466AED" w:rsidRPr="00897DE5">
        <w:rPr>
          <w:color w:val="000000"/>
        </w:rPr>
        <w:t>.</w:t>
      </w:r>
    </w:p>
    <w:p w14:paraId="22470F90" w14:textId="77777777" w:rsidR="002E7476" w:rsidRPr="00897DE5" w:rsidRDefault="002E7476" w:rsidP="000B1C6C">
      <w:pPr>
        <w:spacing w:line="360" w:lineRule="auto"/>
        <w:ind w:left="709" w:hanging="709"/>
        <w:rPr>
          <w:color w:val="000000"/>
        </w:rPr>
      </w:pPr>
      <w:r w:rsidRPr="00897DE5">
        <w:rPr>
          <w:color w:val="000000"/>
        </w:rPr>
        <w:t xml:space="preserve">Cuevas, C. </w:t>
      </w:r>
      <w:r w:rsidR="00F60360">
        <w:rPr>
          <w:color w:val="000000"/>
        </w:rPr>
        <w:t>&amp;</w:t>
      </w:r>
      <w:r w:rsidRPr="00897DE5">
        <w:rPr>
          <w:color w:val="000000"/>
        </w:rPr>
        <w:t xml:space="preserve"> </w:t>
      </w:r>
      <w:proofErr w:type="spellStart"/>
      <w:r w:rsidRPr="00897DE5">
        <w:rPr>
          <w:color w:val="000000"/>
        </w:rPr>
        <w:t>Pluvinage</w:t>
      </w:r>
      <w:proofErr w:type="spellEnd"/>
      <w:r w:rsidRPr="00897DE5">
        <w:rPr>
          <w:color w:val="000000"/>
        </w:rPr>
        <w:t xml:space="preserve">, F. </w:t>
      </w:r>
      <w:r w:rsidR="00745088">
        <w:rPr>
          <w:color w:val="000000"/>
        </w:rPr>
        <w:t>(</w:t>
      </w:r>
      <w:r w:rsidRPr="00897DE5">
        <w:rPr>
          <w:color w:val="000000"/>
        </w:rPr>
        <w:t>2017</w:t>
      </w:r>
      <w:r w:rsidR="00745088">
        <w:rPr>
          <w:color w:val="000000"/>
        </w:rPr>
        <w:t>)</w:t>
      </w:r>
      <w:r w:rsidRPr="00897DE5">
        <w:rPr>
          <w:color w:val="000000"/>
        </w:rPr>
        <w:t xml:space="preserve">. Revisando la noción de función real. </w:t>
      </w:r>
      <w:r w:rsidRPr="00F60360">
        <w:rPr>
          <w:i/>
          <w:color w:val="000000"/>
        </w:rPr>
        <w:t>El Cálculo y su Enseñanza, Enseñanza de las Ciencias y la Matemática</w:t>
      </w:r>
      <w:r w:rsidRPr="00897DE5">
        <w:rPr>
          <w:color w:val="000000"/>
        </w:rPr>
        <w:t>, 8</w:t>
      </w:r>
      <w:r w:rsidR="00F60360">
        <w:rPr>
          <w:color w:val="000000"/>
        </w:rPr>
        <w:t>,</w:t>
      </w:r>
      <w:r w:rsidRPr="00897DE5">
        <w:rPr>
          <w:color w:val="000000"/>
        </w:rPr>
        <w:t xml:space="preserve"> 31-48</w:t>
      </w:r>
      <w:r w:rsidR="00F60360">
        <w:rPr>
          <w:color w:val="000000"/>
        </w:rPr>
        <w:t>.</w:t>
      </w:r>
    </w:p>
    <w:p w14:paraId="1B2CC85A" w14:textId="77777777" w:rsidR="000C699F" w:rsidRPr="00897DE5" w:rsidRDefault="00F60360" w:rsidP="000B1C6C">
      <w:pPr>
        <w:spacing w:line="360" w:lineRule="auto"/>
        <w:ind w:left="709" w:hanging="709"/>
      </w:pPr>
      <w:proofErr w:type="spellStart"/>
      <w:r w:rsidRPr="00AF637D">
        <w:rPr>
          <w:lang w:val="en-US"/>
        </w:rPr>
        <w:t>Filloy</w:t>
      </w:r>
      <w:proofErr w:type="spellEnd"/>
      <w:r w:rsidRPr="00AF637D">
        <w:rPr>
          <w:lang w:val="en-US"/>
        </w:rPr>
        <w:t>, E., Puig, L., &amp;</w:t>
      </w:r>
      <w:r w:rsidR="00AF242F" w:rsidRPr="00AF637D">
        <w:rPr>
          <w:lang w:val="en-US"/>
        </w:rPr>
        <w:t xml:space="preserve"> </w:t>
      </w:r>
      <w:proofErr w:type="spellStart"/>
      <w:r w:rsidR="00AF242F" w:rsidRPr="00AF637D">
        <w:rPr>
          <w:lang w:val="en-US"/>
        </w:rPr>
        <w:t>Rojano</w:t>
      </w:r>
      <w:proofErr w:type="spellEnd"/>
      <w:r w:rsidR="00AF242F" w:rsidRPr="00AF637D">
        <w:rPr>
          <w:lang w:val="en-US"/>
        </w:rPr>
        <w:t xml:space="preserve">, T. </w:t>
      </w:r>
      <w:r w:rsidR="00745088" w:rsidRPr="00AF637D">
        <w:rPr>
          <w:lang w:val="en-US"/>
        </w:rPr>
        <w:t>(</w:t>
      </w:r>
      <w:r w:rsidR="00AF242F" w:rsidRPr="00AF637D">
        <w:rPr>
          <w:lang w:val="en-US"/>
        </w:rPr>
        <w:t>2008</w:t>
      </w:r>
      <w:r w:rsidR="00745088" w:rsidRPr="00AF637D">
        <w:rPr>
          <w:lang w:val="en-US"/>
        </w:rPr>
        <w:t>)</w:t>
      </w:r>
      <w:r w:rsidR="00AF242F" w:rsidRPr="00AF637D">
        <w:rPr>
          <w:lang w:val="en-US"/>
        </w:rPr>
        <w:t xml:space="preserve">. </w:t>
      </w:r>
      <w:r w:rsidR="00AF242F" w:rsidRPr="00897DE5">
        <w:t xml:space="preserve">El estudio teórico local del desarrollo de competencias algebraicas. </w:t>
      </w:r>
      <w:r w:rsidR="00AF242F" w:rsidRPr="00902DCD">
        <w:rPr>
          <w:i/>
        </w:rPr>
        <w:t>Enseñanza de las Ciencias</w:t>
      </w:r>
      <w:r w:rsidR="00AF242F" w:rsidRPr="00897DE5">
        <w:t>, 25(3), 327-342.</w:t>
      </w:r>
    </w:p>
    <w:p w14:paraId="200EF1A6" w14:textId="77777777" w:rsidR="00D03E7D" w:rsidRDefault="00D03E7D" w:rsidP="000B1C6C">
      <w:pPr>
        <w:spacing w:line="360" w:lineRule="auto"/>
        <w:ind w:left="709" w:hanging="709"/>
      </w:pPr>
      <w:r w:rsidRPr="00897DE5">
        <w:t>García</w:t>
      </w:r>
      <w:r w:rsidR="00F543EC">
        <w:t>,</w:t>
      </w:r>
      <w:r w:rsidRPr="00897DE5">
        <w:t xml:space="preserve"> V. J. </w:t>
      </w:r>
      <w:r w:rsidR="00745088">
        <w:t>(</w:t>
      </w:r>
      <w:r w:rsidRPr="00897DE5">
        <w:t>2002</w:t>
      </w:r>
      <w:r w:rsidR="00745088">
        <w:t xml:space="preserve">). </w:t>
      </w:r>
      <w:r w:rsidRPr="00897DE5">
        <w:t xml:space="preserve">La generación de </w:t>
      </w:r>
      <w:r w:rsidR="003453C2">
        <w:t>n</w:t>
      </w:r>
      <w:r w:rsidRPr="00897DE5">
        <w:t xml:space="preserve">uevo </w:t>
      </w:r>
      <w:r w:rsidR="003453C2">
        <w:t>c</w:t>
      </w:r>
      <w:r w:rsidRPr="00897DE5">
        <w:t xml:space="preserve">onocimiento a partir de los </w:t>
      </w:r>
      <w:r w:rsidR="003453C2">
        <w:t>e</w:t>
      </w:r>
      <w:r w:rsidR="00745088">
        <w:t>rrores</w:t>
      </w:r>
      <w:r w:rsidR="00AF242F" w:rsidRPr="00897DE5">
        <w:t>.</w:t>
      </w:r>
      <w:r w:rsidR="00A50000" w:rsidRPr="00897DE5">
        <w:t xml:space="preserve"> </w:t>
      </w:r>
      <w:r w:rsidR="00A50000" w:rsidRPr="00745088">
        <w:rPr>
          <w:i/>
        </w:rPr>
        <w:t>Revista</w:t>
      </w:r>
      <w:r w:rsidRPr="00745088">
        <w:rPr>
          <w:i/>
        </w:rPr>
        <w:t xml:space="preserve"> de Economía</w:t>
      </w:r>
      <w:r w:rsidRPr="00897DE5">
        <w:t>, 11</w:t>
      </w:r>
      <w:r w:rsidR="00902DCD">
        <w:t>(</w:t>
      </w:r>
      <w:r w:rsidRPr="00897DE5">
        <w:t>1</w:t>
      </w:r>
      <w:r w:rsidR="00902DCD">
        <w:t>),</w:t>
      </w:r>
      <w:r w:rsidRPr="00897DE5">
        <w:t xml:space="preserve"> 2-19</w:t>
      </w:r>
      <w:r w:rsidR="00247919" w:rsidRPr="00897DE5">
        <w:t>.</w:t>
      </w:r>
    </w:p>
    <w:p w14:paraId="785935AF" w14:textId="77777777" w:rsidR="00F543EC" w:rsidRPr="00897DE5" w:rsidRDefault="00F543EC" w:rsidP="00F543EC">
      <w:pPr>
        <w:spacing w:line="360" w:lineRule="auto"/>
        <w:ind w:left="709" w:hanging="709"/>
      </w:pPr>
      <w:r w:rsidRPr="00F543EC">
        <w:t xml:space="preserve">García, J. (2014). </w:t>
      </w:r>
      <w:r>
        <w:t>Ingeniería, Matemáticas y</w:t>
      </w:r>
      <w:r w:rsidRPr="00F543EC">
        <w:t xml:space="preserve"> Competencias. Revista Electrónica </w:t>
      </w:r>
      <w:r w:rsidRPr="00F543EC">
        <w:rPr>
          <w:i/>
        </w:rPr>
        <w:t>Actualida</w:t>
      </w:r>
      <w:r>
        <w:rPr>
          <w:i/>
        </w:rPr>
        <w:t>des Investigativas en Educación</w:t>
      </w:r>
      <w:r w:rsidRPr="00F543EC">
        <w:rPr>
          <w:i/>
        </w:rPr>
        <w:t>, </w:t>
      </w:r>
      <w:r w:rsidRPr="00F543EC">
        <w:t>14 (1), 1-29. </w:t>
      </w:r>
    </w:p>
    <w:p w14:paraId="116D6640" w14:textId="77777777" w:rsidR="001D3CB7" w:rsidRPr="00897DE5" w:rsidRDefault="001D3CB7" w:rsidP="000B1C6C">
      <w:pPr>
        <w:pStyle w:val="Cuadrculaclara-nfasis31"/>
        <w:spacing w:line="360" w:lineRule="auto"/>
        <w:ind w:left="709" w:hanging="709"/>
      </w:pPr>
      <w:r w:rsidRPr="00897DE5">
        <w:t>I</w:t>
      </w:r>
      <w:r w:rsidR="00902DCD">
        <w:t xml:space="preserve">nstituto </w:t>
      </w:r>
      <w:r w:rsidRPr="00897DE5">
        <w:t>N</w:t>
      </w:r>
      <w:r w:rsidR="00902DCD">
        <w:t xml:space="preserve">acional para la </w:t>
      </w:r>
      <w:r w:rsidRPr="00897DE5">
        <w:t>E</w:t>
      </w:r>
      <w:r w:rsidR="00902DCD">
        <w:t xml:space="preserve">valuación de la </w:t>
      </w:r>
      <w:r w:rsidRPr="00897DE5">
        <w:t>E</w:t>
      </w:r>
      <w:r w:rsidR="00902DCD">
        <w:t>ducación</w:t>
      </w:r>
      <w:r w:rsidRPr="00897DE5">
        <w:t xml:space="preserve">. </w:t>
      </w:r>
      <w:r w:rsidR="00745088">
        <w:t>(</w:t>
      </w:r>
      <w:r w:rsidRPr="00897DE5">
        <w:t>2012</w:t>
      </w:r>
      <w:r w:rsidR="00745088">
        <w:t>)</w:t>
      </w:r>
      <w:r w:rsidRPr="00897DE5">
        <w:t xml:space="preserve">. </w:t>
      </w:r>
      <w:r w:rsidR="00CC697B" w:rsidRPr="00902DCD">
        <w:rPr>
          <w:i/>
        </w:rPr>
        <w:t xml:space="preserve">Pisa en el Aula: </w:t>
      </w:r>
      <w:r w:rsidR="004B4905" w:rsidRPr="00902DCD">
        <w:rPr>
          <w:i/>
        </w:rPr>
        <w:t>Matemáticas</w:t>
      </w:r>
      <w:r w:rsidRPr="00897DE5">
        <w:t>.</w:t>
      </w:r>
      <w:r w:rsidR="00CC697B" w:rsidRPr="00897DE5">
        <w:t xml:space="preserve"> INEE.</w:t>
      </w:r>
    </w:p>
    <w:p w14:paraId="2CF8597A" w14:textId="77777777" w:rsidR="00A3480E" w:rsidRPr="00897DE5" w:rsidRDefault="00902DCD" w:rsidP="000B1C6C">
      <w:pPr>
        <w:pStyle w:val="Cuadrculaclara-nfasis31"/>
        <w:spacing w:line="360" w:lineRule="auto"/>
        <w:ind w:left="709" w:hanging="709"/>
      </w:pPr>
      <w:r w:rsidRPr="00897DE5">
        <w:t>I</w:t>
      </w:r>
      <w:r>
        <w:t xml:space="preserve">nstituto </w:t>
      </w:r>
      <w:r w:rsidRPr="00897DE5">
        <w:t>N</w:t>
      </w:r>
      <w:r>
        <w:t xml:space="preserve">acional para la </w:t>
      </w:r>
      <w:r w:rsidRPr="00897DE5">
        <w:t>E</w:t>
      </w:r>
      <w:r>
        <w:t xml:space="preserve">valuación de la </w:t>
      </w:r>
      <w:r w:rsidRPr="00897DE5">
        <w:t>E</w:t>
      </w:r>
      <w:r>
        <w:t>ducación.</w:t>
      </w:r>
      <w:r w:rsidRPr="00897DE5">
        <w:t xml:space="preserve"> </w:t>
      </w:r>
      <w:r w:rsidR="00745088">
        <w:t>(</w:t>
      </w:r>
      <w:r w:rsidR="003D5757" w:rsidRPr="00897DE5">
        <w:t>2015</w:t>
      </w:r>
      <w:r w:rsidR="00745088">
        <w:t>)</w:t>
      </w:r>
      <w:r w:rsidR="003D5757" w:rsidRPr="00897DE5">
        <w:t xml:space="preserve">. </w:t>
      </w:r>
      <w:r w:rsidR="003D5757" w:rsidRPr="00902DCD">
        <w:rPr>
          <w:i/>
        </w:rPr>
        <w:t>Panorama educativo de México 2015. Educación básica y Media superior</w:t>
      </w:r>
      <w:r w:rsidR="003D5757" w:rsidRPr="00897DE5">
        <w:t>. INEE.</w:t>
      </w:r>
    </w:p>
    <w:p w14:paraId="4E8D67F3" w14:textId="77777777" w:rsidR="000C5D24" w:rsidRPr="00606A11" w:rsidRDefault="00902DCD" w:rsidP="000B1C6C">
      <w:pPr>
        <w:spacing w:line="360" w:lineRule="auto"/>
        <w:ind w:left="709" w:hanging="709"/>
        <w:rPr>
          <w:lang w:val="es-MX"/>
        </w:rPr>
      </w:pPr>
      <w:r w:rsidRPr="00897DE5">
        <w:t>I</w:t>
      </w:r>
      <w:r>
        <w:t xml:space="preserve">nstituto </w:t>
      </w:r>
      <w:r w:rsidRPr="00897DE5">
        <w:t>N</w:t>
      </w:r>
      <w:r>
        <w:t xml:space="preserve">acional para la </w:t>
      </w:r>
      <w:r w:rsidRPr="00897DE5">
        <w:t>E</w:t>
      </w:r>
      <w:r>
        <w:t xml:space="preserve">valuación de la </w:t>
      </w:r>
      <w:r w:rsidRPr="00897DE5">
        <w:t>E</w:t>
      </w:r>
      <w:r>
        <w:t>ducación</w:t>
      </w:r>
      <w:r w:rsidR="00E86A74" w:rsidRPr="00897DE5">
        <w:t xml:space="preserve">. </w:t>
      </w:r>
      <w:r w:rsidR="00745088">
        <w:t>(</w:t>
      </w:r>
      <w:r w:rsidR="00E86A74" w:rsidRPr="00897DE5">
        <w:t>2016</w:t>
      </w:r>
      <w:r w:rsidR="00745088">
        <w:t>)</w:t>
      </w:r>
      <w:r w:rsidR="00E86A74" w:rsidRPr="00897DE5">
        <w:t xml:space="preserve">. </w:t>
      </w:r>
      <w:r w:rsidR="00E86A74" w:rsidRPr="00902DCD">
        <w:rPr>
          <w:i/>
        </w:rPr>
        <w:t>Plan Nacional para la Evaluación de los Aprendizajes (PLANEA)</w:t>
      </w:r>
      <w:r w:rsidR="00E86A74" w:rsidRPr="00897DE5">
        <w:t xml:space="preserve">. </w:t>
      </w:r>
      <w:r w:rsidR="00E86A74" w:rsidRPr="00606A11">
        <w:rPr>
          <w:lang w:val="es-MX"/>
        </w:rPr>
        <w:t>IN</w:t>
      </w:r>
      <w:r w:rsidRPr="00606A11">
        <w:rPr>
          <w:lang w:val="es-MX"/>
        </w:rPr>
        <w:t>E</w:t>
      </w:r>
      <w:r w:rsidR="00E86A74" w:rsidRPr="00606A11">
        <w:rPr>
          <w:lang w:val="es-MX"/>
        </w:rPr>
        <w:t>E.</w:t>
      </w:r>
    </w:p>
    <w:p w14:paraId="21D9ABD2" w14:textId="77777777" w:rsidR="00D52000" w:rsidRPr="00D52000" w:rsidRDefault="00D52000" w:rsidP="000B1C6C">
      <w:pPr>
        <w:spacing w:line="360" w:lineRule="auto"/>
        <w:ind w:left="709" w:hanging="709"/>
      </w:pPr>
      <w:r w:rsidRPr="00897DE5">
        <w:t>I</w:t>
      </w:r>
      <w:r>
        <w:t xml:space="preserve">nstituto </w:t>
      </w:r>
      <w:r w:rsidRPr="00897DE5">
        <w:t>N</w:t>
      </w:r>
      <w:r>
        <w:t xml:space="preserve">acional para la </w:t>
      </w:r>
      <w:r w:rsidRPr="00897DE5">
        <w:t>E</w:t>
      </w:r>
      <w:r>
        <w:t xml:space="preserve">valuación de la </w:t>
      </w:r>
      <w:r w:rsidRPr="00897DE5">
        <w:t>E</w:t>
      </w:r>
      <w:r>
        <w:t>ducación</w:t>
      </w:r>
      <w:r w:rsidRPr="00897DE5">
        <w:t xml:space="preserve">. </w:t>
      </w:r>
      <w:r>
        <w:t>(</w:t>
      </w:r>
      <w:r w:rsidRPr="00897DE5">
        <w:t>201</w:t>
      </w:r>
      <w:r>
        <w:t>7)</w:t>
      </w:r>
      <w:r w:rsidRPr="00897DE5">
        <w:t>.</w:t>
      </w:r>
      <w:r>
        <w:t xml:space="preserve"> Plan Nacional para la Evaluación de los Aprendizajes (Planea). Resultados nacionales 2017 </w:t>
      </w:r>
      <w:r w:rsidR="00AF637D">
        <w:t>Educación Media Superior. INEE.</w:t>
      </w:r>
    </w:p>
    <w:p w14:paraId="36A16943" w14:textId="77777777" w:rsidR="000C5D24" w:rsidRPr="0066529C" w:rsidRDefault="00AF242F" w:rsidP="000B1C6C">
      <w:pPr>
        <w:spacing w:line="360" w:lineRule="auto"/>
        <w:ind w:left="709" w:hanging="709"/>
        <w:rPr>
          <w:lang w:val="en-US"/>
        </w:rPr>
      </w:pPr>
      <w:proofErr w:type="spellStart"/>
      <w:r w:rsidRPr="00D52000">
        <w:t>Kjeldsen</w:t>
      </w:r>
      <w:proofErr w:type="spellEnd"/>
      <w:r w:rsidRPr="00D52000">
        <w:t xml:space="preserve">, T.H. </w:t>
      </w:r>
      <w:r w:rsidR="00902DCD" w:rsidRPr="00D52000">
        <w:t>&amp;</w:t>
      </w:r>
      <w:r w:rsidRPr="00D52000">
        <w:t xml:space="preserve"> Petersen, H. P. </w:t>
      </w:r>
      <w:r w:rsidR="00745088" w:rsidRPr="00D52000">
        <w:t>(</w:t>
      </w:r>
      <w:r w:rsidRPr="00D52000">
        <w:t>2014</w:t>
      </w:r>
      <w:r w:rsidR="00745088" w:rsidRPr="00D52000">
        <w:t>)</w:t>
      </w:r>
      <w:r w:rsidRPr="00D52000">
        <w:t xml:space="preserve">. </w:t>
      </w:r>
      <w:proofErr w:type="spellStart"/>
      <w:r w:rsidRPr="00606A11">
        <w:rPr>
          <w:lang w:val="en-US"/>
        </w:rPr>
        <w:t>Brindging</w:t>
      </w:r>
      <w:proofErr w:type="spellEnd"/>
      <w:r w:rsidRPr="00606A11">
        <w:rPr>
          <w:lang w:val="en-US"/>
        </w:rPr>
        <w:t xml:space="preserve"> History of the Concept of Function with Le</w:t>
      </w:r>
      <w:r w:rsidRPr="0066529C">
        <w:rPr>
          <w:lang w:val="en-US"/>
        </w:rPr>
        <w:t xml:space="preserve">arning of Mathematics: </w:t>
      </w:r>
      <w:proofErr w:type="spellStart"/>
      <w:r w:rsidRPr="0066529C">
        <w:rPr>
          <w:lang w:val="en-US"/>
        </w:rPr>
        <w:t>Students´Meta</w:t>
      </w:r>
      <w:proofErr w:type="spellEnd"/>
      <w:r w:rsidRPr="0066529C">
        <w:rPr>
          <w:lang w:val="en-US"/>
        </w:rPr>
        <w:t xml:space="preserve">-Discursive Rules, Concept Formation and Historical Awareness. </w:t>
      </w:r>
      <w:r w:rsidRPr="00902DCD">
        <w:rPr>
          <w:i/>
          <w:lang w:val="en-US"/>
        </w:rPr>
        <w:t>Science &amp; Education</w:t>
      </w:r>
      <w:r w:rsidRPr="0066529C">
        <w:rPr>
          <w:lang w:val="en-US"/>
        </w:rPr>
        <w:t>, 23</w:t>
      </w:r>
      <w:r w:rsidR="00902DCD">
        <w:rPr>
          <w:lang w:val="en-US"/>
        </w:rPr>
        <w:t>,</w:t>
      </w:r>
      <w:r w:rsidRPr="0066529C">
        <w:rPr>
          <w:lang w:val="en-US"/>
        </w:rPr>
        <w:t xml:space="preserve"> 29-45. </w:t>
      </w:r>
    </w:p>
    <w:p w14:paraId="694FFE3D" w14:textId="77777777" w:rsidR="000C699F" w:rsidRPr="0066529C" w:rsidRDefault="00AF242F" w:rsidP="000B1C6C">
      <w:pPr>
        <w:spacing w:line="360" w:lineRule="auto"/>
        <w:ind w:left="709" w:hanging="709"/>
        <w:rPr>
          <w:lang w:val="en-US"/>
        </w:rPr>
      </w:pPr>
      <w:r w:rsidRPr="0066529C">
        <w:rPr>
          <w:lang w:val="en-US"/>
        </w:rPr>
        <w:lastRenderedPageBreak/>
        <w:t xml:space="preserve">Lagrange, J.B. (2014). A Functional Perspective on the Teaching of Algebra: Current Challenges and the Contribution of Technology. </w:t>
      </w:r>
      <w:r w:rsidRPr="00902DCD">
        <w:rPr>
          <w:i/>
          <w:lang w:val="en-US"/>
        </w:rPr>
        <w:t>The International Journal for Technology in Mathematics Education</w:t>
      </w:r>
      <w:r w:rsidRPr="0066529C">
        <w:rPr>
          <w:lang w:val="en-US"/>
        </w:rPr>
        <w:t>, 21</w:t>
      </w:r>
      <w:r w:rsidR="00902DCD">
        <w:rPr>
          <w:lang w:val="en-US"/>
        </w:rPr>
        <w:t>(</w:t>
      </w:r>
      <w:r w:rsidRPr="0066529C">
        <w:rPr>
          <w:lang w:val="en-US"/>
        </w:rPr>
        <w:t>1</w:t>
      </w:r>
      <w:r w:rsidR="00902DCD">
        <w:rPr>
          <w:lang w:val="en-US"/>
        </w:rPr>
        <w:t>),</w:t>
      </w:r>
      <w:r w:rsidRPr="0066529C">
        <w:rPr>
          <w:lang w:val="en-US"/>
        </w:rPr>
        <w:t xml:space="preserve"> 3-10. </w:t>
      </w:r>
    </w:p>
    <w:p w14:paraId="3CD94E44" w14:textId="77777777" w:rsidR="00822FC0" w:rsidRDefault="00340889" w:rsidP="000B1C6C">
      <w:pPr>
        <w:spacing w:line="360" w:lineRule="auto"/>
        <w:ind w:left="709" w:hanging="709"/>
        <w:rPr>
          <w:lang w:val="es-MX"/>
        </w:rPr>
      </w:pPr>
      <w:proofErr w:type="spellStart"/>
      <w:r w:rsidRPr="00606A11">
        <w:rPr>
          <w:lang w:val="en-US"/>
        </w:rPr>
        <w:t>Larrazolo</w:t>
      </w:r>
      <w:proofErr w:type="spellEnd"/>
      <w:r w:rsidRPr="00606A11">
        <w:rPr>
          <w:lang w:val="en-US"/>
        </w:rPr>
        <w:t xml:space="preserve">, N., </w:t>
      </w:r>
      <w:proofErr w:type="spellStart"/>
      <w:r w:rsidRPr="00606A11">
        <w:rPr>
          <w:lang w:val="en-US"/>
        </w:rPr>
        <w:t>Backhoff</w:t>
      </w:r>
      <w:proofErr w:type="spellEnd"/>
      <w:r w:rsidRPr="00606A11">
        <w:rPr>
          <w:lang w:val="en-US"/>
        </w:rPr>
        <w:t xml:space="preserve">, E. &amp; Tirado, F. 2013. </w:t>
      </w:r>
      <w:r>
        <w:rPr>
          <w:lang w:val="es-MX"/>
        </w:rPr>
        <w:t xml:space="preserve">Habilidades de razonamiento matemático de estudiantes de </w:t>
      </w:r>
      <w:r w:rsidR="00822FC0">
        <w:rPr>
          <w:lang w:val="es-MX"/>
        </w:rPr>
        <w:t xml:space="preserve">Educación </w:t>
      </w:r>
      <w:r>
        <w:rPr>
          <w:lang w:val="es-MX"/>
        </w:rPr>
        <w:t>Medi</w:t>
      </w:r>
      <w:r w:rsidR="00822FC0">
        <w:rPr>
          <w:lang w:val="es-MX"/>
        </w:rPr>
        <w:t xml:space="preserve">a Superior en México. </w:t>
      </w:r>
      <w:r w:rsidR="00822FC0" w:rsidRPr="00822FC0">
        <w:rPr>
          <w:i/>
          <w:lang w:val="es-MX"/>
        </w:rPr>
        <w:t>Revista Mexicana de Investigación Educativa</w:t>
      </w:r>
      <w:r w:rsidR="00822FC0">
        <w:rPr>
          <w:lang w:val="es-MX"/>
        </w:rPr>
        <w:t>, 18(59), 1137-1163.</w:t>
      </w:r>
    </w:p>
    <w:p w14:paraId="779C53F3" w14:textId="77777777" w:rsidR="00A3480E" w:rsidRPr="00897DE5" w:rsidRDefault="00A3480E" w:rsidP="000B1C6C">
      <w:pPr>
        <w:spacing w:line="360" w:lineRule="auto"/>
        <w:ind w:left="709" w:hanging="709"/>
      </w:pPr>
      <w:r w:rsidRPr="00902DCD">
        <w:rPr>
          <w:lang w:val="es-MX"/>
        </w:rPr>
        <w:t>Lejter</w:t>
      </w:r>
      <w:r w:rsidR="00902DCD" w:rsidRPr="00902DCD">
        <w:rPr>
          <w:lang w:val="es-MX"/>
        </w:rPr>
        <w:t>,</w:t>
      </w:r>
      <w:r w:rsidRPr="00902DCD">
        <w:rPr>
          <w:lang w:val="es-MX"/>
        </w:rPr>
        <w:t xml:space="preserve"> J. </w:t>
      </w:r>
      <w:r w:rsidR="00745088" w:rsidRPr="00902DCD">
        <w:rPr>
          <w:lang w:val="es-MX"/>
        </w:rPr>
        <w:t>(</w:t>
      </w:r>
      <w:r w:rsidRPr="00902DCD">
        <w:rPr>
          <w:lang w:val="es-MX"/>
        </w:rPr>
        <w:t>1990</w:t>
      </w:r>
      <w:r w:rsidR="00745088" w:rsidRPr="00902DCD">
        <w:rPr>
          <w:lang w:val="es-MX"/>
        </w:rPr>
        <w:t>)</w:t>
      </w:r>
      <w:r w:rsidRPr="00902DCD">
        <w:rPr>
          <w:lang w:val="es-MX"/>
        </w:rPr>
        <w:t xml:space="preserve">. </w:t>
      </w:r>
      <w:r w:rsidRPr="00902DCD">
        <w:rPr>
          <w:i/>
        </w:rPr>
        <w:t>Instrucción y aprendizaje significativo</w:t>
      </w:r>
      <w:r w:rsidR="00902DCD">
        <w:t>. Caracas:</w:t>
      </w:r>
      <w:r w:rsidR="00902DCD" w:rsidRPr="00897DE5">
        <w:t xml:space="preserve"> </w:t>
      </w:r>
      <w:r w:rsidRPr="00897DE5">
        <w:t>Univers</w:t>
      </w:r>
      <w:r w:rsidR="00902DCD">
        <w:t xml:space="preserve">idad </w:t>
      </w:r>
      <w:r w:rsidRPr="00897DE5">
        <w:t>Pedag</w:t>
      </w:r>
      <w:r w:rsidR="00902DCD">
        <w:t>ógica Libertador.</w:t>
      </w:r>
    </w:p>
    <w:p w14:paraId="434D9BE5" w14:textId="77777777" w:rsidR="008B66E3" w:rsidRPr="00897DE5" w:rsidRDefault="00CC697B" w:rsidP="000B1C6C">
      <w:pPr>
        <w:spacing w:line="360" w:lineRule="auto"/>
        <w:ind w:left="709" w:hanging="709"/>
      </w:pPr>
      <w:r w:rsidRPr="00897DE5">
        <w:t>Martínez, M.,</w:t>
      </w:r>
      <w:r w:rsidR="008B66E3" w:rsidRPr="00897DE5">
        <w:t xml:space="preserve"> Soberanes</w:t>
      </w:r>
      <w:r w:rsidRPr="00897DE5">
        <w:t>, A.</w:t>
      </w:r>
      <w:r w:rsidR="00902DCD">
        <w:t xml:space="preserve"> &amp;</w:t>
      </w:r>
      <w:r w:rsidR="008B66E3" w:rsidRPr="00897DE5">
        <w:t xml:space="preserve"> Castillo</w:t>
      </w:r>
      <w:r w:rsidRPr="00897DE5">
        <w:t>, J</w:t>
      </w:r>
      <w:r w:rsidR="008B66E3" w:rsidRPr="00897DE5">
        <w:t xml:space="preserve">. </w:t>
      </w:r>
      <w:r w:rsidR="00745088">
        <w:t>(</w:t>
      </w:r>
      <w:r w:rsidR="003453C2">
        <w:t xml:space="preserve">octubre, </w:t>
      </w:r>
      <w:r w:rsidR="008B66E3" w:rsidRPr="00897DE5">
        <w:t>2016</w:t>
      </w:r>
      <w:r w:rsidR="00745088">
        <w:t>)</w:t>
      </w:r>
      <w:r w:rsidR="008B66E3" w:rsidRPr="00897DE5">
        <w:t xml:space="preserve">. Análisis comparativo de pretest y postest para determinar los prerrequisitos matemáticos en un curso de Cálculo diferencial en el primer año del nivel superior. </w:t>
      </w:r>
      <w:r w:rsidRPr="00745088">
        <w:rPr>
          <w:i/>
        </w:rPr>
        <w:t>Memorias del 1er Congreso Nacional de Matemáticas, su Enseñanza y Aprendizaje</w:t>
      </w:r>
      <w:r w:rsidRPr="00897DE5">
        <w:t>, Escuela Normal Superior de México.</w:t>
      </w:r>
    </w:p>
    <w:p w14:paraId="13627B88" w14:textId="77777777" w:rsidR="006B0AEB" w:rsidRPr="0066529C" w:rsidRDefault="00AF242F" w:rsidP="000B1C6C">
      <w:pPr>
        <w:spacing w:line="360" w:lineRule="auto"/>
        <w:ind w:left="709" w:hanging="709"/>
        <w:rPr>
          <w:lang w:val="en-US"/>
        </w:rPr>
      </w:pPr>
      <w:proofErr w:type="spellStart"/>
      <w:r w:rsidRPr="003453C2">
        <w:rPr>
          <w:lang w:val="en-US"/>
        </w:rPr>
        <w:t>Mouhayar</w:t>
      </w:r>
      <w:proofErr w:type="spellEnd"/>
      <w:r w:rsidRPr="003453C2">
        <w:rPr>
          <w:lang w:val="en-US"/>
        </w:rPr>
        <w:t xml:space="preserve">, R.E. </w:t>
      </w:r>
      <w:r w:rsidR="003453C2" w:rsidRPr="003453C2">
        <w:rPr>
          <w:lang w:val="en-US"/>
        </w:rPr>
        <w:t>&amp;</w:t>
      </w:r>
      <w:r w:rsidRPr="003453C2">
        <w:rPr>
          <w:lang w:val="en-US"/>
        </w:rPr>
        <w:t xml:space="preserve"> </w:t>
      </w:r>
      <w:proofErr w:type="spellStart"/>
      <w:r w:rsidRPr="003453C2">
        <w:rPr>
          <w:lang w:val="en-US"/>
        </w:rPr>
        <w:t>Jurdak</w:t>
      </w:r>
      <w:proofErr w:type="spellEnd"/>
      <w:r w:rsidRPr="003453C2">
        <w:rPr>
          <w:lang w:val="en-US"/>
        </w:rPr>
        <w:t xml:space="preserve">, M. (2016). </w:t>
      </w:r>
      <w:r w:rsidRPr="0066529C">
        <w:rPr>
          <w:lang w:val="en-US"/>
        </w:rPr>
        <w:t>Variation of Student Numerical and Figural Reasoning Approaches by Pattern Generalization Type, Strategy Use and Grade Level</w:t>
      </w:r>
      <w:r w:rsidR="003453C2">
        <w:rPr>
          <w:lang w:val="en-US"/>
        </w:rPr>
        <w:t>.</w:t>
      </w:r>
      <w:r w:rsidRPr="0066529C">
        <w:rPr>
          <w:lang w:val="en-US"/>
        </w:rPr>
        <w:t xml:space="preserve"> </w:t>
      </w:r>
      <w:r w:rsidRPr="003453C2">
        <w:rPr>
          <w:i/>
          <w:lang w:val="en-US"/>
        </w:rPr>
        <w:t>International Journal of Mathematical Education in Science and Technology</w:t>
      </w:r>
      <w:r w:rsidRPr="0066529C">
        <w:rPr>
          <w:lang w:val="en-US"/>
        </w:rPr>
        <w:t>, 47</w:t>
      </w:r>
      <w:r w:rsidR="003453C2">
        <w:rPr>
          <w:lang w:val="en-US"/>
        </w:rPr>
        <w:t>(</w:t>
      </w:r>
      <w:r w:rsidRPr="0066529C">
        <w:rPr>
          <w:lang w:val="en-US"/>
        </w:rPr>
        <w:t>2</w:t>
      </w:r>
      <w:r w:rsidR="003453C2">
        <w:rPr>
          <w:lang w:val="en-US"/>
        </w:rPr>
        <w:t>),</w:t>
      </w:r>
      <w:r w:rsidRPr="0066529C">
        <w:rPr>
          <w:lang w:val="en-US"/>
        </w:rPr>
        <w:t xml:space="preserve"> 197-215.</w:t>
      </w:r>
    </w:p>
    <w:p w14:paraId="4429D3FE" w14:textId="77777777" w:rsidR="002A61CE" w:rsidRPr="00606A11" w:rsidRDefault="004944E2" w:rsidP="000B1C6C">
      <w:pPr>
        <w:spacing w:line="360" w:lineRule="auto"/>
        <w:ind w:left="709" w:hanging="709"/>
        <w:rPr>
          <w:lang w:val="en-US"/>
        </w:rPr>
      </w:pPr>
      <w:proofErr w:type="spellStart"/>
      <w:r w:rsidRPr="006B007B">
        <w:rPr>
          <w:lang w:val="en-US"/>
        </w:rPr>
        <w:t>Narváez</w:t>
      </w:r>
      <w:proofErr w:type="spellEnd"/>
      <w:r w:rsidR="00745088" w:rsidRPr="006B007B">
        <w:rPr>
          <w:lang w:val="en-US"/>
        </w:rPr>
        <w:t>,</w:t>
      </w:r>
      <w:r w:rsidRPr="006B007B">
        <w:rPr>
          <w:lang w:val="en-US"/>
        </w:rPr>
        <w:t xml:space="preserve"> R. M. </w:t>
      </w:r>
      <w:r w:rsidR="00745088" w:rsidRPr="006B007B">
        <w:rPr>
          <w:lang w:val="en-US"/>
        </w:rPr>
        <w:t>(</w:t>
      </w:r>
      <w:r w:rsidRPr="006B007B">
        <w:rPr>
          <w:lang w:val="en-US"/>
        </w:rPr>
        <w:t>2005</w:t>
      </w:r>
      <w:r w:rsidR="00745088" w:rsidRPr="006B007B">
        <w:rPr>
          <w:lang w:val="en-US"/>
        </w:rPr>
        <w:t>)</w:t>
      </w:r>
      <w:r w:rsidR="00C03B0A" w:rsidRPr="006B007B">
        <w:rPr>
          <w:lang w:val="en-US"/>
        </w:rPr>
        <w:t>.</w:t>
      </w:r>
      <w:r w:rsidRPr="006B007B">
        <w:rPr>
          <w:lang w:val="en-US"/>
        </w:rPr>
        <w:t xml:space="preserve"> </w:t>
      </w:r>
      <w:r w:rsidR="00247919" w:rsidRPr="00897DE5">
        <w:t>Aprendizaje</w:t>
      </w:r>
      <w:r w:rsidRPr="00897DE5">
        <w:t xml:space="preserve"> </w:t>
      </w:r>
      <w:r w:rsidR="003453C2">
        <w:t>a</w:t>
      </w:r>
      <w:r w:rsidRPr="00897DE5">
        <w:t>uto</w:t>
      </w:r>
      <w:r w:rsidR="00745088">
        <w:t xml:space="preserve"> dirigido y </w:t>
      </w:r>
      <w:r w:rsidR="003453C2">
        <w:t>d</w:t>
      </w:r>
      <w:r w:rsidR="00745088">
        <w:t xml:space="preserve">esempeño </w:t>
      </w:r>
      <w:r w:rsidR="003453C2">
        <w:t>a</w:t>
      </w:r>
      <w:r w:rsidR="00745088">
        <w:t>cadémico.</w:t>
      </w:r>
      <w:r w:rsidRPr="00897DE5">
        <w:t xml:space="preserve"> </w:t>
      </w:r>
      <w:proofErr w:type="spellStart"/>
      <w:r w:rsidRPr="00606A11">
        <w:rPr>
          <w:i/>
          <w:lang w:val="en-US"/>
        </w:rPr>
        <w:t>Tiempo</w:t>
      </w:r>
      <w:proofErr w:type="spellEnd"/>
      <w:r w:rsidRPr="00606A11">
        <w:rPr>
          <w:i/>
          <w:lang w:val="en-US"/>
        </w:rPr>
        <w:t xml:space="preserve"> de </w:t>
      </w:r>
      <w:proofErr w:type="spellStart"/>
      <w:r w:rsidRPr="00606A11">
        <w:rPr>
          <w:i/>
          <w:lang w:val="en-US"/>
        </w:rPr>
        <w:t>Educar</w:t>
      </w:r>
      <w:proofErr w:type="spellEnd"/>
      <w:r w:rsidRPr="00606A11">
        <w:rPr>
          <w:lang w:val="en-US"/>
        </w:rPr>
        <w:t>, 6</w:t>
      </w:r>
      <w:r w:rsidR="003453C2" w:rsidRPr="00606A11">
        <w:rPr>
          <w:lang w:val="en-US"/>
        </w:rPr>
        <w:t>(</w:t>
      </w:r>
      <w:r w:rsidRPr="00606A11">
        <w:rPr>
          <w:lang w:val="en-US"/>
        </w:rPr>
        <w:t>11</w:t>
      </w:r>
      <w:r w:rsidR="003453C2" w:rsidRPr="00606A11">
        <w:rPr>
          <w:lang w:val="en-US"/>
        </w:rPr>
        <w:t>),</w:t>
      </w:r>
      <w:r w:rsidRPr="00606A11">
        <w:rPr>
          <w:lang w:val="en-US"/>
        </w:rPr>
        <w:t xml:space="preserve"> 115-146</w:t>
      </w:r>
      <w:r w:rsidR="006B0AEB" w:rsidRPr="00606A11">
        <w:rPr>
          <w:lang w:val="en-US"/>
        </w:rPr>
        <w:t>.</w:t>
      </w:r>
    </w:p>
    <w:p w14:paraId="13B68AF9" w14:textId="77777777" w:rsidR="006633B8" w:rsidRPr="00606A11" w:rsidRDefault="000C5D24" w:rsidP="000B1C6C">
      <w:pPr>
        <w:pStyle w:val="Cuadrculaclara-nfasis31"/>
        <w:spacing w:line="360" w:lineRule="auto"/>
        <w:ind w:left="709" w:hanging="709"/>
        <w:rPr>
          <w:lang w:val="es-MX"/>
        </w:rPr>
      </w:pPr>
      <w:r w:rsidRPr="006B007B">
        <w:rPr>
          <w:lang w:val="en-US"/>
        </w:rPr>
        <w:t>N</w:t>
      </w:r>
      <w:r w:rsidR="003453C2" w:rsidRPr="006B007B">
        <w:rPr>
          <w:lang w:val="en-US"/>
        </w:rPr>
        <w:t xml:space="preserve">ational </w:t>
      </w:r>
      <w:r w:rsidRPr="006B007B">
        <w:rPr>
          <w:lang w:val="en-US"/>
        </w:rPr>
        <w:t>C</w:t>
      </w:r>
      <w:r w:rsidR="003453C2" w:rsidRPr="006B007B">
        <w:rPr>
          <w:lang w:val="en-US"/>
        </w:rPr>
        <w:t xml:space="preserve">ouncil of </w:t>
      </w:r>
      <w:r w:rsidRPr="006B007B">
        <w:rPr>
          <w:lang w:val="en-US"/>
        </w:rPr>
        <w:t>T</w:t>
      </w:r>
      <w:r w:rsidR="003453C2" w:rsidRPr="006B007B">
        <w:rPr>
          <w:lang w:val="en-US"/>
        </w:rPr>
        <w:t xml:space="preserve">eachers of </w:t>
      </w:r>
      <w:r w:rsidRPr="006B007B">
        <w:rPr>
          <w:lang w:val="en-US"/>
        </w:rPr>
        <w:t>M</w:t>
      </w:r>
      <w:r w:rsidR="003453C2" w:rsidRPr="006B007B">
        <w:rPr>
          <w:lang w:val="en-US"/>
        </w:rPr>
        <w:t>athematics</w:t>
      </w:r>
      <w:r w:rsidR="002E7476" w:rsidRPr="006B007B">
        <w:rPr>
          <w:lang w:val="en-US"/>
        </w:rPr>
        <w:t>.</w:t>
      </w:r>
      <w:r w:rsidRPr="006B007B">
        <w:rPr>
          <w:lang w:val="en-US"/>
        </w:rPr>
        <w:t xml:space="preserve"> </w:t>
      </w:r>
      <w:r w:rsidR="00745088" w:rsidRPr="0066529C">
        <w:rPr>
          <w:lang w:val="en-US"/>
        </w:rPr>
        <w:t>(</w:t>
      </w:r>
      <w:r w:rsidRPr="0066529C">
        <w:rPr>
          <w:lang w:val="en-US"/>
        </w:rPr>
        <w:t>1989</w:t>
      </w:r>
      <w:r w:rsidR="00745088" w:rsidRPr="0066529C">
        <w:rPr>
          <w:lang w:val="en-US"/>
        </w:rPr>
        <w:t>)</w:t>
      </w:r>
      <w:r w:rsidRPr="0066529C">
        <w:rPr>
          <w:lang w:val="en-US"/>
        </w:rPr>
        <w:t>.</w:t>
      </w:r>
      <w:r w:rsidR="002E7476" w:rsidRPr="0066529C">
        <w:rPr>
          <w:lang w:val="en-US"/>
        </w:rPr>
        <w:t xml:space="preserve"> </w:t>
      </w:r>
      <w:r w:rsidR="002E7476" w:rsidRPr="003453C2">
        <w:rPr>
          <w:i/>
          <w:lang w:val="en-US"/>
        </w:rPr>
        <w:t xml:space="preserve">Curriculum and Evaluation </w:t>
      </w:r>
      <w:r w:rsidR="003453C2">
        <w:rPr>
          <w:i/>
          <w:lang w:val="en-US"/>
        </w:rPr>
        <w:t>S</w:t>
      </w:r>
      <w:r w:rsidR="002E7476" w:rsidRPr="003453C2">
        <w:rPr>
          <w:i/>
          <w:lang w:val="en-US"/>
        </w:rPr>
        <w:t xml:space="preserve">tandards for </w:t>
      </w:r>
      <w:r w:rsidR="003453C2">
        <w:rPr>
          <w:i/>
          <w:lang w:val="en-US"/>
        </w:rPr>
        <w:t>S</w:t>
      </w:r>
      <w:r w:rsidR="002E7476" w:rsidRPr="003453C2">
        <w:rPr>
          <w:i/>
          <w:lang w:val="en-US"/>
        </w:rPr>
        <w:t>chool</w:t>
      </w:r>
      <w:r w:rsidR="001C3A58">
        <w:rPr>
          <w:i/>
          <w:lang w:val="en-US"/>
        </w:rPr>
        <w:t xml:space="preserve"> </w:t>
      </w:r>
      <w:r w:rsidR="003453C2">
        <w:rPr>
          <w:i/>
          <w:lang w:val="en-US"/>
        </w:rPr>
        <w:t>M</w:t>
      </w:r>
      <w:r w:rsidR="002E7476" w:rsidRPr="003453C2">
        <w:rPr>
          <w:i/>
          <w:lang w:val="en-US"/>
        </w:rPr>
        <w:t>athematics</w:t>
      </w:r>
      <w:r w:rsidR="002E7476" w:rsidRPr="0066529C">
        <w:rPr>
          <w:lang w:val="en-US"/>
        </w:rPr>
        <w:t xml:space="preserve">. </w:t>
      </w:r>
      <w:r w:rsidR="002E7476" w:rsidRPr="00606A11">
        <w:rPr>
          <w:lang w:val="es-MX"/>
        </w:rPr>
        <w:t>Reston, VA: The Author.</w:t>
      </w:r>
    </w:p>
    <w:p w14:paraId="5CFE21CF" w14:textId="77777777" w:rsidR="005D24C6" w:rsidRDefault="005D24C6" w:rsidP="000B1C6C">
      <w:pPr>
        <w:pStyle w:val="Cuadrculaclara-nfasis31"/>
        <w:spacing w:line="360" w:lineRule="auto"/>
        <w:ind w:left="709" w:hanging="709"/>
      </w:pPr>
      <w:r w:rsidRPr="003453C2">
        <w:rPr>
          <w:lang w:val="es-MX"/>
        </w:rPr>
        <w:t>O</w:t>
      </w:r>
      <w:r w:rsidR="003453C2" w:rsidRPr="003453C2">
        <w:rPr>
          <w:lang w:val="es-MX"/>
        </w:rPr>
        <w:t xml:space="preserve">rganización para la </w:t>
      </w:r>
      <w:r w:rsidRPr="003453C2">
        <w:rPr>
          <w:lang w:val="es-MX"/>
        </w:rPr>
        <w:t>C</w:t>
      </w:r>
      <w:r w:rsidR="003453C2" w:rsidRPr="003453C2">
        <w:rPr>
          <w:lang w:val="es-MX"/>
        </w:rPr>
        <w:t xml:space="preserve">ooperación y el </w:t>
      </w:r>
      <w:r w:rsidRPr="003453C2">
        <w:rPr>
          <w:lang w:val="es-MX"/>
        </w:rPr>
        <w:t>D</w:t>
      </w:r>
      <w:r w:rsidR="003453C2" w:rsidRPr="003453C2">
        <w:rPr>
          <w:lang w:val="es-MX"/>
        </w:rPr>
        <w:t xml:space="preserve">esarrollo </w:t>
      </w:r>
      <w:r w:rsidRPr="003453C2">
        <w:rPr>
          <w:lang w:val="es-MX"/>
        </w:rPr>
        <w:t>E</w:t>
      </w:r>
      <w:r w:rsidR="003453C2" w:rsidRPr="003453C2">
        <w:rPr>
          <w:lang w:val="es-MX"/>
        </w:rPr>
        <w:t>conómico</w:t>
      </w:r>
      <w:r w:rsidRPr="003453C2">
        <w:rPr>
          <w:lang w:val="es-MX"/>
        </w:rPr>
        <w:t xml:space="preserve">. </w:t>
      </w:r>
      <w:r w:rsidR="00745088" w:rsidRPr="00606A11">
        <w:rPr>
          <w:lang w:val="es-MX"/>
        </w:rPr>
        <w:t>(</w:t>
      </w:r>
      <w:r w:rsidRPr="00606A11">
        <w:rPr>
          <w:lang w:val="es-MX"/>
        </w:rPr>
        <w:t>2009</w:t>
      </w:r>
      <w:r w:rsidR="00745088" w:rsidRPr="00606A11">
        <w:rPr>
          <w:lang w:val="es-MX"/>
        </w:rPr>
        <w:t>)</w:t>
      </w:r>
      <w:r w:rsidRPr="00606A11">
        <w:rPr>
          <w:lang w:val="es-MX"/>
        </w:rPr>
        <w:t xml:space="preserve">. </w:t>
      </w:r>
      <w:r w:rsidRPr="003453C2">
        <w:rPr>
          <w:i/>
        </w:rPr>
        <w:t>El programa PISA de</w:t>
      </w:r>
      <w:r w:rsidR="003453C2">
        <w:rPr>
          <w:i/>
        </w:rPr>
        <w:t xml:space="preserve"> </w:t>
      </w:r>
      <w:r w:rsidRPr="003453C2">
        <w:rPr>
          <w:i/>
        </w:rPr>
        <w:t>la OCDE. Qué es y para qué sirve</w:t>
      </w:r>
      <w:r w:rsidRPr="00897DE5">
        <w:t>.</w:t>
      </w:r>
      <w:r w:rsidR="003453C2">
        <w:t xml:space="preserve"> </w:t>
      </w:r>
      <w:r w:rsidR="003453C2" w:rsidRPr="00897DE5">
        <w:t>OCDE</w:t>
      </w:r>
      <w:r w:rsidR="003453C2">
        <w:t>.</w:t>
      </w:r>
    </w:p>
    <w:p w14:paraId="1C63FA9D" w14:textId="77777777" w:rsidR="008F7F64" w:rsidRPr="00897DE5" w:rsidRDefault="008F7F64" w:rsidP="000B1C6C">
      <w:pPr>
        <w:spacing w:line="360" w:lineRule="auto"/>
        <w:ind w:left="709" w:hanging="709"/>
      </w:pPr>
      <w:r w:rsidRPr="003453C2">
        <w:rPr>
          <w:lang w:val="es-MX"/>
        </w:rPr>
        <w:t>Organización para la Cooperación y el Desarrollo Económico</w:t>
      </w:r>
      <w:r>
        <w:rPr>
          <w:lang w:val="es-MX"/>
        </w:rPr>
        <w:t>.</w:t>
      </w:r>
      <w:r>
        <w:t xml:space="preserve"> (</w:t>
      </w:r>
      <w:r w:rsidRPr="00897DE5">
        <w:t>2015</w:t>
      </w:r>
      <w:r>
        <w:t>)</w:t>
      </w:r>
      <w:r w:rsidRPr="00897DE5">
        <w:t xml:space="preserve">. </w:t>
      </w:r>
      <w:r w:rsidRPr="008F7F64">
        <w:rPr>
          <w:i/>
        </w:rPr>
        <w:t>Programa para la Evaluación Internacional de Alumnos (PISA) 2015 Resultados</w:t>
      </w:r>
      <w:r w:rsidRPr="00897DE5">
        <w:t xml:space="preserve">. OCDE. Recuperado de: </w:t>
      </w:r>
      <w:hyperlink r:id="rId7" w:history="1">
        <w:r w:rsidRPr="00897DE5">
          <w:t>https://www.oecd.org/pisa/PISA-2015-Mexico-ESP.pdf</w:t>
        </w:r>
      </w:hyperlink>
      <w:r w:rsidRPr="00897DE5">
        <w:t>.</w:t>
      </w:r>
    </w:p>
    <w:p w14:paraId="4292088A" w14:textId="77777777" w:rsidR="001C2D57" w:rsidRPr="00897DE5" w:rsidRDefault="003453C2" w:rsidP="000B1C6C">
      <w:pPr>
        <w:pStyle w:val="Cuadrculaclara-nfasis31"/>
        <w:spacing w:line="360" w:lineRule="auto"/>
        <w:ind w:left="709" w:hanging="709"/>
      </w:pPr>
      <w:r w:rsidRPr="003453C2">
        <w:rPr>
          <w:lang w:val="es-MX"/>
        </w:rPr>
        <w:t>Organización para la Cooperación y el Desarrollo Económico</w:t>
      </w:r>
      <w:r>
        <w:rPr>
          <w:lang w:val="es-MX"/>
        </w:rPr>
        <w:t>.</w:t>
      </w:r>
      <w:r w:rsidRPr="00897DE5">
        <w:t xml:space="preserve"> </w:t>
      </w:r>
      <w:r w:rsidR="00745088">
        <w:t>(</w:t>
      </w:r>
      <w:r w:rsidR="00790DEA" w:rsidRPr="00897DE5">
        <w:t>2017</w:t>
      </w:r>
      <w:r w:rsidR="00745088">
        <w:t>)</w:t>
      </w:r>
      <w:r w:rsidR="00790DEA" w:rsidRPr="00897DE5">
        <w:t xml:space="preserve">. </w:t>
      </w:r>
      <w:r w:rsidR="00790DEA" w:rsidRPr="003453C2">
        <w:rPr>
          <w:i/>
        </w:rPr>
        <w:t>Panorama educativo de la educación 2017</w:t>
      </w:r>
      <w:r w:rsidR="00790DEA" w:rsidRPr="00897DE5">
        <w:t>. OCDE-INEE.</w:t>
      </w:r>
    </w:p>
    <w:p w14:paraId="775E761D" w14:textId="77777777" w:rsidR="001C2D57" w:rsidRPr="00897DE5" w:rsidRDefault="001C2D57" w:rsidP="000B1C6C">
      <w:pPr>
        <w:spacing w:line="360" w:lineRule="auto"/>
        <w:ind w:left="709" w:hanging="709"/>
      </w:pPr>
      <w:r w:rsidRPr="00897DE5">
        <w:t>Padilla</w:t>
      </w:r>
      <w:r w:rsidR="00745088">
        <w:t>,</w:t>
      </w:r>
      <w:r w:rsidRPr="00897DE5">
        <w:t xml:space="preserve"> M. </w:t>
      </w:r>
      <w:r w:rsidR="00745088">
        <w:t>(</w:t>
      </w:r>
      <w:r w:rsidRPr="00897DE5">
        <w:t>2003</w:t>
      </w:r>
      <w:r w:rsidR="00745088">
        <w:t>)</w:t>
      </w:r>
      <w:r w:rsidR="00A50000" w:rsidRPr="00897DE5">
        <w:t>.</w:t>
      </w:r>
      <w:r w:rsidRPr="00897DE5">
        <w:t xml:space="preserve"> </w:t>
      </w:r>
      <w:r w:rsidR="00A50000" w:rsidRPr="00897DE5">
        <w:t>La</w:t>
      </w:r>
      <w:r w:rsidRPr="00897DE5">
        <w:t xml:space="preserve"> comprensión del cerebro</w:t>
      </w:r>
      <w:r w:rsidR="003453C2">
        <w:t>.</w:t>
      </w:r>
      <w:r w:rsidRPr="00897DE5">
        <w:t xml:space="preserve"> Hacia un</w:t>
      </w:r>
      <w:r w:rsidR="00745088">
        <w:t xml:space="preserve">a </w:t>
      </w:r>
      <w:r w:rsidR="003453C2">
        <w:t>n</w:t>
      </w:r>
      <w:r w:rsidR="00745088">
        <w:t xml:space="preserve">ueva ciencia del </w:t>
      </w:r>
      <w:r w:rsidR="003453C2">
        <w:t>a</w:t>
      </w:r>
      <w:r w:rsidR="00745088">
        <w:t>prendizaje</w:t>
      </w:r>
      <w:r w:rsidR="003453C2">
        <w:t>.</w:t>
      </w:r>
      <w:r w:rsidRPr="00897DE5">
        <w:t xml:space="preserve"> </w:t>
      </w:r>
      <w:r w:rsidRPr="00745088">
        <w:rPr>
          <w:i/>
        </w:rPr>
        <w:t xml:space="preserve">Perfiles </w:t>
      </w:r>
      <w:r w:rsidR="00115CB1" w:rsidRPr="00745088">
        <w:rPr>
          <w:i/>
        </w:rPr>
        <w:t>Educativos</w:t>
      </w:r>
      <w:r w:rsidR="003453C2">
        <w:rPr>
          <w:i/>
        </w:rPr>
        <w:t>,</w:t>
      </w:r>
      <w:r w:rsidR="00115CB1" w:rsidRPr="00897DE5">
        <w:t xml:space="preserve"> </w:t>
      </w:r>
      <w:r w:rsidR="00115CB1" w:rsidRPr="003453C2">
        <w:t>27</w:t>
      </w:r>
      <w:r w:rsidR="003453C2">
        <w:t>(</w:t>
      </w:r>
      <w:r w:rsidR="00115CB1" w:rsidRPr="00897DE5">
        <w:t>109</w:t>
      </w:r>
      <w:r w:rsidR="003453C2">
        <w:t>),</w:t>
      </w:r>
      <w:r w:rsidR="00115CB1" w:rsidRPr="00897DE5">
        <w:t xml:space="preserve"> 224-227.</w:t>
      </w:r>
    </w:p>
    <w:p w14:paraId="7DE62A85" w14:textId="77777777" w:rsidR="00650722" w:rsidRPr="00897DE5" w:rsidRDefault="00650722" w:rsidP="000B1C6C">
      <w:pPr>
        <w:spacing w:line="360" w:lineRule="auto"/>
        <w:ind w:left="709" w:hanging="709"/>
      </w:pPr>
      <w:r w:rsidRPr="00897DE5">
        <w:t>Padilla</w:t>
      </w:r>
      <w:r w:rsidR="00745088">
        <w:t>,</w:t>
      </w:r>
      <w:r w:rsidRPr="00897DE5">
        <w:t xml:space="preserve"> V.</w:t>
      </w:r>
      <w:r w:rsidR="003453C2">
        <w:t>, &amp; López, E.</w:t>
      </w:r>
      <w:r w:rsidRPr="00897DE5">
        <w:t xml:space="preserve"> </w:t>
      </w:r>
      <w:r w:rsidR="00745088">
        <w:t>(</w:t>
      </w:r>
      <w:r w:rsidRPr="00897DE5">
        <w:t>2006</w:t>
      </w:r>
      <w:r w:rsidR="00745088">
        <w:t>)</w:t>
      </w:r>
      <w:r w:rsidR="00A50000" w:rsidRPr="00897DE5">
        <w:t>.</w:t>
      </w:r>
      <w:r w:rsidR="00745088">
        <w:t xml:space="preserve"> </w:t>
      </w:r>
      <w:r w:rsidRPr="00897DE5">
        <w:t xml:space="preserve">Implementación de una red </w:t>
      </w:r>
      <w:r w:rsidR="003453C2">
        <w:t>n</w:t>
      </w:r>
      <w:r w:rsidRPr="00897DE5">
        <w:t xml:space="preserve">eural para estilos </w:t>
      </w:r>
      <w:r w:rsidR="003453C2">
        <w:t>c</w:t>
      </w:r>
      <w:r w:rsidRPr="00897DE5">
        <w:t xml:space="preserve">ognitivos </w:t>
      </w:r>
      <w:r w:rsidR="003453C2">
        <w:t xml:space="preserve">y </w:t>
      </w:r>
      <w:r w:rsidRPr="00897DE5">
        <w:t xml:space="preserve">de </w:t>
      </w:r>
      <w:r w:rsidR="003453C2">
        <w:t>a</w:t>
      </w:r>
      <w:r w:rsidRPr="00897DE5">
        <w:t>prend</w:t>
      </w:r>
      <w:r w:rsidR="00745088">
        <w:t>izaje: Implicaciones Educativas</w:t>
      </w:r>
      <w:r w:rsidR="003453C2">
        <w:t xml:space="preserve">. </w:t>
      </w:r>
      <w:r w:rsidR="003453C2" w:rsidRPr="003453C2">
        <w:rPr>
          <w:i/>
        </w:rPr>
        <w:t>Enseñanza e Investigación en Psicología</w:t>
      </w:r>
      <w:r w:rsidR="003453C2">
        <w:t xml:space="preserve">, </w:t>
      </w:r>
      <w:r w:rsidR="00A50000" w:rsidRPr="00897DE5">
        <w:t>11</w:t>
      </w:r>
      <w:r w:rsidR="003453C2">
        <w:t>(</w:t>
      </w:r>
      <w:r w:rsidRPr="00897DE5">
        <w:t>2</w:t>
      </w:r>
      <w:r w:rsidR="003453C2">
        <w:t>),</w:t>
      </w:r>
      <w:r w:rsidRPr="00897DE5">
        <w:t xml:space="preserve"> 239-254.</w:t>
      </w:r>
    </w:p>
    <w:p w14:paraId="01FA376B" w14:textId="77777777" w:rsidR="000C699F" w:rsidRPr="00897DE5" w:rsidRDefault="002E7476" w:rsidP="000B1C6C">
      <w:pPr>
        <w:spacing w:line="360" w:lineRule="auto"/>
        <w:ind w:left="709" w:hanging="709"/>
      </w:pPr>
      <w:proofErr w:type="spellStart"/>
      <w:r w:rsidRPr="00897DE5">
        <w:lastRenderedPageBreak/>
        <w:t>Pluvinage</w:t>
      </w:r>
      <w:proofErr w:type="spellEnd"/>
      <w:r w:rsidRPr="00897DE5">
        <w:t xml:space="preserve">, F. </w:t>
      </w:r>
      <w:r w:rsidR="00977588">
        <w:t>&amp;</w:t>
      </w:r>
      <w:r w:rsidRPr="00897DE5">
        <w:t xml:space="preserve"> Cuevas, A. </w:t>
      </w:r>
      <w:r w:rsidR="00745088">
        <w:t>(</w:t>
      </w:r>
      <w:r w:rsidRPr="00897DE5">
        <w:t>2006</w:t>
      </w:r>
      <w:r w:rsidR="00745088">
        <w:t>)</w:t>
      </w:r>
      <w:r w:rsidRPr="00897DE5">
        <w:t xml:space="preserve">. Un acercamiento didáctico a la noción de función. En Eugenio </w:t>
      </w:r>
      <w:proofErr w:type="spellStart"/>
      <w:r w:rsidRPr="00897DE5">
        <w:t>Filloy</w:t>
      </w:r>
      <w:proofErr w:type="spellEnd"/>
      <w:r w:rsidRPr="00897DE5">
        <w:t xml:space="preserve"> (ed.). </w:t>
      </w:r>
      <w:r w:rsidRPr="00977588">
        <w:rPr>
          <w:i/>
        </w:rPr>
        <w:t>Matemática Educativa, treinta años: Una mirada fugaz, una mirada externa y comprensiva, una mirada actual</w:t>
      </w:r>
      <w:r w:rsidR="00977588">
        <w:rPr>
          <w:i/>
        </w:rPr>
        <w:t xml:space="preserve"> </w:t>
      </w:r>
      <w:r w:rsidR="00977588">
        <w:t xml:space="preserve">(pp. </w:t>
      </w:r>
      <w:r w:rsidR="00977588" w:rsidRPr="00897DE5">
        <w:t>141-167</w:t>
      </w:r>
      <w:r w:rsidR="00977588">
        <w:t>)</w:t>
      </w:r>
      <w:r w:rsidRPr="00897DE5">
        <w:t>. México: Santillana.</w:t>
      </w:r>
    </w:p>
    <w:p w14:paraId="772CA42A" w14:textId="77777777" w:rsidR="00340889" w:rsidRPr="00897DE5" w:rsidRDefault="000950C8" w:rsidP="000B1C6C">
      <w:pPr>
        <w:spacing w:line="360" w:lineRule="auto"/>
        <w:ind w:left="709" w:hanging="709"/>
      </w:pPr>
      <w:r>
        <w:t>Rico, L</w:t>
      </w:r>
      <w:r w:rsidR="00340889">
        <w:t xml:space="preserve">. (2007). La competencia matemática en PISA. </w:t>
      </w:r>
      <w:r w:rsidR="00340889" w:rsidRPr="00340889">
        <w:rPr>
          <w:i/>
        </w:rPr>
        <w:t>PNA</w:t>
      </w:r>
      <w:r w:rsidR="00340889">
        <w:t xml:space="preserve">, 1(2), 47-66. </w:t>
      </w:r>
    </w:p>
    <w:p w14:paraId="06A2C41E" w14:textId="77777777" w:rsidR="000C699F" w:rsidRPr="00897DE5" w:rsidRDefault="000C699F" w:rsidP="000B1C6C">
      <w:pPr>
        <w:spacing w:line="360" w:lineRule="auto"/>
        <w:ind w:left="709" w:hanging="709"/>
      </w:pPr>
      <w:r w:rsidRPr="00606A11">
        <w:rPr>
          <w:lang w:val="en-US"/>
        </w:rPr>
        <w:t>Seeley,</w:t>
      </w:r>
      <w:r w:rsidR="002E7476" w:rsidRPr="00606A11">
        <w:rPr>
          <w:lang w:val="en-US"/>
        </w:rPr>
        <w:t xml:space="preserve"> C.</w:t>
      </w:r>
      <w:r w:rsidRPr="00606A11">
        <w:rPr>
          <w:lang w:val="en-US"/>
        </w:rPr>
        <w:t xml:space="preserve"> 2004.</w:t>
      </w:r>
      <w:r w:rsidR="002E7476" w:rsidRPr="00606A11">
        <w:rPr>
          <w:lang w:val="en-US"/>
        </w:rPr>
        <w:t xml:space="preserve"> </w:t>
      </w:r>
      <w:r w:rsidR="002E7476" w:rsidRPr="00606A11">
        <w:rPr>
          <w:i/>
          <w:lang w:val="en-US"/>
        </w:rPr>
        <w:t>NCTM News Bulletin, September</w:t>
      </w:r>
      <w:r w:rsidR="002E7476" w:rsidRPr="00606A11">
        <w:rPr>
          <w:lang w:val="en-US"/>
        </w:rPr>
        <w:t xml:space="preserve">. </w:t>
      </w:r>
      <w:r w:rsidR="002E7476" w:rsidRPr="00897DE5">
        <w:t>Recuperado de http://www.nctm.org/News-and-Calendar/Messages-from-the-President/Archive/Cathy-Seeley/A-Journey-in-Algebraic-Thinking/.</w:t>
      </w:r>
    </w:p>
    <w:p w14:paraId="2D4A69D3" w14:textId="77777777" w:rsidR="00AB08B2" w:rsidRPr="00897DE5" w:rsidRDefault="00650722" w:rsidP="000B1C6C">
      <w:pPr>
        <w:spacing w:line="360" w:lineRule="auto"/>
        <w:ind w:left="709" w:hanging="709"/>
      </w:pPr>
      <w:r w:rsidRPr="00897DE5">
        <w:t>S</w:t>
      </w:r>
      <w:r w:rsidR="00977588">
        <w:t xml:space="preserve">ecretaria de </w:t>
      </w:r>
      <w:r w:rsidRPr="00897DE5">
        <w:t>E</w:t>
      </w:r>
      <w:r w:rsidR="00977588">
        <w:t xml:space="preserve">ducación </w:t>
      </w:r>
      <w:r w:rsidRPr="00897DE5">
        <w:t>P</w:t>
      </w:r>
      <w:r w:rsidR="00977588">
        <w:t>ública</w:t>
      </w:r>
      <w:r w:rsidRPr="00897DE5">
        <w:t xml:space="preserve">. </w:t>
      </w:r>
      <w:r w:rsidR="00897DE5" w:rsidRPr="00897DE5">
        <w:t>(</w:t>
      </w:r>
      <w:r w:rsidRPr="00897DE5">
        <w:t>2008</w:t>
      </w:r>
      <w:r w:rsidR="00897DE5" w:rsidRPr="00897DE5">
        <w:t>)</w:t>
      </w:r>
      <w:r w:rsidRPr="00897DE5">
        <w:t xml:space="preserve">. </w:t>
      </w:r>
      <w:r w:rsidR="00AB08B2" w:rsidRPr="00977588">
        <w:rPr>
          <w:i/>
        </w:rPr>
        <w:t>Compe</w:t>
      </w:r>
      <w:r w:rsidR="00977588">
        <w:rPr>
          <w:i/>
        </w:rPr>
        <w:t>tencias genéricas y Perfil del e</w:t>
      </w:r>
      <w:r w:rsidR="00AB08B2" w:rsidRPr="00977588">
        <w:rPr>
          <w:i/>
        </w:rPr>
        <w:t>gresado de la Educación Media Superior</w:t>
      </w:r>
      <w:r w:rsidR="00C03B0A" w:rsidRPr="00897DE5">
        <w:t>.</w:t>
      </w:r>
      <w:r w:rsidR="00AB08B2" w:rsidRPr="00897DE5">
        <w:t xml:space="preserve"> </w:t>
      </w:r>
      <w:r w:rsidR="00C03B0A" w:rsidRPr="00897DE5">
        <w:t>S</w:t>
      </w:r>
      <w:r w:rsidR="00AB08B2" w:rsidRPr="00897DE5">
        <w:t xml:space="preserve">ubsecretaria de </w:t>
      </w:r>
      <w:r w:rsidR="00C03B0A" w:rsidRPr="00897DE5">
        <w:t>E</w:t>
      </w:r>
      <w:r w:rsidR="00AB08B2" w:rsidRPr="00897DE5">
        <w:t xml:space="preserve">ducación </w:t>
      </w:r>
      <w:r w:rsidR="00C03B0A" w:rsidRPr="00897DE5">
        <w:t>M</w:t>
      </w:r>
      <w:r w:rsidR="00AB08B2" w:rsidRPr="00897DE5">
        <w:t>edi</w:t>
      </w:r>
      <w:r w:rsidR="00C03B0A" w:rsidRPr="00897DE5">
        <w:t>a</w:t>
      </w:r>
      <w:r w:rsidR="00AB08B2" w:rsidRPr="00897DE5">
        <w:t xml:space="preserve"> Superior de la Secretaria de Educación Pública de México.</w:t>
      </w:r>
    </w:p>
    <w:p w14:paraId="1ACA7C9A" w14:textId="77777777" w:rsidR="00790DEA" w:rsidRPr="00897DE5" w:rsidRDefault="00977588" w:rsidP="000B1C6C">
      <w:pPr>
        <w:spacing w:line="360" w:lineRule="auto"/>
        <w:ind w:left="709" w:hanging="709"/>
      </w:pPr>
      <w:r w:rsidRPr="00897DE5">
        <w:t>Secretaria de Educación Pública</w:t>
      </w:r>
      <w:r w:rsidR="00790DEA" w:rsidRPr="00897DE5">
        <w:rPr>
          <w:color w:val="000000"/>
        </w:rPr>
        <w:t xml:space="preserve">. </w:t>
      </w:r>
      <w:r w:rsidR="00745088">
        <w:rPr>
          <w:color w:val="000000"/>
        </w:rPr>
        <w:t>(</w:t>
      </w:r>
      <w:r w:rsidR="00790DEA" w:rsidRPr="00897DE5">
        <w:rPr>
          <w:color w:val="000000"/>
        </w:rPr>
        <w:t>2017</w:t>
      </w:r>
      <w:r w:rsidR="00745088">
        <w:rPr>
          <w:color w:val="000000"/>
        </w:rPr>
        <w:t>)</w:t>
      </w:r>
      <w:r w:rsidR="00790DEA" w:rsidRPr="00897DE5">
        <w:rPr>
          <w:color w:val="000000"/>
        </w:rPr>
        <w:t xml:space="preserve">. </w:t>
      </w:r>
      <w:r w:rsidR="00790DEA" w:rsidRPr="00977588">
        <w:rPr>
          <w:i/>
          <w:color w:val="000000"/>
        </w:rPr>
        <w:t>Diferencias entre las pruebas de Planea y E</w:t>
      </w:r>
      <w:r w:rsidR="00A50000" w:rsidRPr="00977588">
        <w:rPr>
          <w:i/>
          <w:color w:val="000000"/>
        </w:rPr>
        <w:t xml:space="preserve">XANI </w:t>
      </w:r>
      <w:r w:rsidR="00790DEA" w:rsidRPr="00977588">
        <w:rPr>
          <w:i/>
          <w:color w:val="000000"/>
        </w:rPr>
        <w:t>II</w:t>
      </w:r>
      <w:r w:rsidR="00790DEA" w:rsidRPr="00897DE5">
        <w:rPr>
          <w:color w:val="000000"/>
        </w:rPr>
        <w:t>.</w:t>
      </w:r>
      <w:r>
        <w:rPr>
          <w:color w:val="000000"/>
        </w:rPr>
        <w:t xml:space="preserve"> </w:t>
      </w:r>
      <w:r w:rsidRPr="00897DE5">
        <w:rPr>
          <w:color w:val="000000"/>
        </w:rPr>
        <w:t>SEP</w:t>
      </w:r>
      <w:r>
        <w:rPr>
          <w:color w:val="000000"/>
        </w:rPr>
        <w:t>.</w:t>
      </w:r>
    </w:p>
    <w:p w14:paraId="651AD538" w14:textId="77777777" w:rsidR="004275AF" w:rsidRPr="00897DE5" w:rsidRDefault="00977588" w:rsidP="000B1C6C">
      <w:pPr>
        <w:spacing w:line="360" w:lineRule="auto"/>
        <w:ind w:left="709" w:hanging="709"/>
      </w:pPr>
      <w:r>
        <w:t>Soberanes, A., Martínez, M, &amp;</w:t>
      </w:r>
      <w:r w:rsidR="004275AF" w:rsidRPr="00897DE5">
        <w:t xml:space="preserve"> Juárez, C. </w:t>
      </w:r>
      <w:r w:rsidR="00745088">
        <w:t>(</w:t>
      </w:r>
      <w:r w:rsidR="004275AF" w:rsidRPr="00897DE5">
        <w:t>2016</w:t>
      </w:r>
      <w:r w:rsidR="00745088">
        <w:t>)</w:t>
      </w:r>
      <w:r w:rsidR="004275AF" w:rsidRPr="00897DE5">
        <w:t xml:space="preserve">. </w:t>
      </w:r>
      <w:r w:rsidR="004275AF" w:rsidRPr="00897DE5">
        <w:rPr>
          <w:rFonts w:eastAsia="Calibri"/>
          <w:lang w:val="es-MX" w:eastAsia="en-US"/>
        </w:rPr>
        <w:t xml:space="preserve">Recursos digitales como apoyo en la enseñanza matemática en educación superior, </w:t>
      </w:r>
      <w:r w:rsidR="004275AF" w:rsidRPr="00745088">
        <w:rPr>
          <w:rFonts w:eastAsia="Calibri"/>
          <w:i/>
          <w:lang w:val="es-MX" w:eastAsia="en-US"/>
        </w:rPr>
        <w:t>Revista Programación Matemática y Software</w:t>
      </w:r>
      <w:r w:rsidR="004275AF" w:rsidRPr="00897DE5">
        <w:rPr>
          <w:rFonts w:eastAsia="Calibri"/>
          <w:lang w:val="es-MX" w:eastAsia="en-US"/>
        </w:rPr>
        <w:t>, 8</w:t>
      </w:r>
      <w:r>
        <w:rPr>
          <w:rFonts w:eastAsia="Calibri"/>
          <w:lang w:val="es-MX" w:eastAsia="en-US"/>
        </w:rPr>
        <w:t>(</w:t>
      </w:r>
      <w:r w:rsidR="004275AF" w:rsidRPr="00897DE5">
        <w:rPr>
          <w:rFonts w:eastAsia="Calibri"/>
          <w:lang w:val="es-MX" w:eastAsia="en-US"/>
        </w:rPr>
        <w:t>2</w:t>
      </w:r>
      <w:r>
        <w:rPr>
          <w:rFonts w:eastAsia="Calibri"/>
          <w:lang w:val="es-MX" w:eastAsia="en-US"/>
        </w:rPr>
        <w:t>),</w:t>
      </w:r>
      <w:r w:rsidR="004275AF" w:rsidRPr="00897DE5">
        <w:rPr>
          <w:rFonts w:eastAsia="Calibri"/>
          <w:lang w:val="es-MX" w:eastAsia="en-US"/>
        </w:rPr>
        <w:t xml:space="preserve"> 53-59. </w:t>
      </w:r>
    </w:p>
    <w:p w14:paraId="5172A4CD" w14:textId="77777777" w:rsidR="006B0AEB" w:rsidRDefault="00C03B0A" w:rsidP="000B1C6C">
      <w:pPr>
        <w:spacing w:line="360" w:lineRule="auto"/>
        <w:ind w:left="709" w:hanging="709"/>
      </w:pPr>
      <w:r w:rsidRPr="00897DE5">
        <w:t>V</w:t>
      </w:r>
      <w:r w:rsidR="00A3480E" w:rsidRPr="00897DE5">
        <w:t>iera</w:t>
      </w:r>
      <w:r w:rsidR="00745088">
        <w:t>,</w:t>
      </w:r>
      <w:r w:rsidR="00A3480E" w:rsidRPr="00897DE5">
        <w:t xml:space="preserve"> T. </w:t>
      </w:r>
      <w:r w:rsidR="00745088">
        <w:t>(</w:t>
      </w:r>
      <w:r w:rsidR="00A3480E" w:rsidRPr="00897DE5">
        <w:t>2003</w:t>
      </w:r>
      <w:r w:rsidR="00745088">
        <w:t>)</w:t>
      </w:r>
      <w:r w:rsidR="00A50000" w:rsidRPr="00897DE5">
        <w:t>.</w:t>
      </w:r>
      <w:r w:rsidR="00A3480E" w:rsidRPr="00897DE5">
        <w:t xml:space="preserve"> </w:t>
      </w:r>
      <w:r w:rsidR="00A50000" w:rsidRPr="00897DE5">
        <w:t>El</w:t>
      </w:r>
      <w:r w:rsidR="00A3480E" w:rsidRPr="00897DE5">
        <w:t xml:space="preserve"> aprendizaje </w:t>
      </w:r>
      <w:r w:rsidR="00745088">
        <w:t>verbal significativo de Ausubel</w:t>
      </w:r>
      <w:r w:rsidR="00A3480E" w:rsidRPr="00897DE5">
        <w:t xml:space="preserve">. </w:t>
      </w:r>
      <w:r w:rsidR="00A3480E" w:rsidRPr="00745088">
        <w:rPr>
          <w:i/>
        </w:rPr>
        <w:t>Universidades</w:t>
      </w:r>
      <w:r w:rsidR="008B3791">
        <w:rPr>
          <w:i/>
        </w:rPr>
        <w:t>,</w:t>
      </w:r>
      <w:r w:rsidR="00A3480E" w:rsidRPr="00745088">
        <w:rPr>
          <w:i/>
        </w:rPr>
        <w:t xml:space="preserve"> </w:t>
      </w:r>
      <w:r w:rsidR="00A3480E" w:rsidRPr="00897DE5">
        <w:t>26</w:t>
      </w:r>
      <w:r w:rsidR="008B3791">
        <w:t>,</w:t>
      </w:r>
      <w:r w:rsidR="00A3480E" w:rsidRPr="00897DE5">
        <w:t xml:space="preserve"> 37-43.</w:t>
      </w:r>
    </w:p>
    <w:p w14:paraId="3629360C" w14:textId="6FEC68CB" w:rsidR="00822FC0" w:rsidRDefault="00822FC0" w:rsidP="000B1C6C">
      <w:pPr>
        <w:spacing w:line="360" w:lineRule="auto"/>
        <w:ind w:left="709" w:hanging="709"/>
      </w:pPr>
      <w:r>
        <w:t>Villalón</w:t>
      </w:r>
      <w:r w:rsidR="002B259E">
        <w:t xml:space="preserve">, M., Medina, M., &amp; Bravo, M. (2015). Competencias matemáticas previas de los estudiantes de Ingeniería. </w:t>
      </w:r>
      <w:r w:rsidR="002B259E" w:rsidRPr="002B259E">
        <w:rPr>
          <w:i/>
        </w:rPr>
        <w:t>Revista Electrónica ANFEI Digital</w:t>
      </w:r>
      <w:r w:rsidR="002B259E">
        <w:t>, 1(2), 1-10.</w:t>
      </w:r>
    </w:p>
    <w:p w14:paraId="5B7D2603" w14:textId="6B281B14" w:rsidR="001F5F78" w:rsidRDefault="001F5F78" w:rsidP="000B1C6C">
      <w:pPr>
        <w:spacing w:line="360" w:lineRule="auto"/>
        <w:ind w:left="709" w:hanging="709"/>
      </w:pPr>
    </w:p>
    <w:p w14:paraId="7CA3ADDF" w14:textId="2E523B86" w:rsidR="001F5F78" w:rsidRDefault="001F5F78" w:rsidP="000B1C6C">
      <w:pPr>
        <w:spacing w:line="360" w:lineRule="auto"/>
        <w:ind w:left="709" w:hanging="709"/>
      </w:pPr>
    </w:p>
    <w:p w14:paraId="23C252BB" w14:textId="70EC9B9C" w:rsidR="001F5F78" w:rsidRDefault="001F5F78" w:rsidP="000B1C6C">
      <w:pPr>
        <w:spacing w:line="360" w:lineRule="auto"/>
        <w:ind w:left="709" w:hanging="709"/>
      </w:pPr>
    </w:p>
    <w:p w14:paraId="401A9B0B" w14:textId="57BADA13" w:rsidR="001F5F78" w:rsidRDefault="001F5F78" w:rsidP="000B1C6C">
      <w:pPr>
        <w:spacing w:line="360" w:lineRule="auto"/>
        <w:ind w:left="709" w:hanging="709"/>
      </w:pPr>
    </w:p>
    <w:p w14:paraId="364CE604" w14:textId="3F20FC7F" w:rsidR="001F5F78" w:rsidRDefault="001F5F78" w:rsidP="000B1C6C">
      <w:pPr>
        <w:spacing w:line="360" w:lineRule="auto"/>
        <w:ind w:left="709" w:hanging="709"/>
      </w:pPr>
    </w:p>
    <w:p w14:paraId="6F837431" w14:textId="210D76C3" w:rsidR="001F5F78" w:rsidRDefault="001F5F78" w:rsidP="000B1C6C">
      <w:pPr>
        <w:spacing w:line="360" w:lineRule="auto"/>
        <w:ind w:left="709" w:hanging="709"/>
      </w:pPr>
    </w:p>
    <w:p w14:paraId="1C91CD2A" w14:textId="2078922F" w:rsidR="001F5F78" w:rsidRDefault="001F5F78" w:rsidP="000B1C6C">
      <w:pPr>
        <w:spacing w:line="360" w:lineRule="auto"/>
        <w:ind w:left="709" w:hanging="709"/>
      </w:pPr>
    </w:p>
    <w:p w14:paraId="4C8CEB51" w14:textId="552C5EE3" w:rsidR="001F5F78" w:rsidRDefault="001F5F78" w:rsidP="000B1C6C">
      <w:pPr>
        <w:spacing w:line="360" w:lineRule="auto"/>
        <w:ind w:left="709" w:hanging="709"/>
      </w:pPr>
    </w:p>
    <w:p w14:paraId="224109DA" w14:textId="3423AC70" w:rsidR="001F5F78" w:rsidRDefault="001F5F78" w:rsidP="000B1C6C">
      <w:pPr>
        <w:spacing w:line="360" w:lineRule="auto"/>
        <w:ind w:left="709" w:hanging="709"/>
      </w:pPr>
    </w:p>
    <w:p w14:paraId="579B2006" w14:textId="75287020" w:rsidR="001F5F78" w:rsidRDefault="001F5F78" w:rsidP="000B1C6C">
      <w:pPr>
        <w:spacing w:line="360" w:lineRule="auto"/>
        <w:ind w:left="709" w:hanging="709"/>
      </w:pPr>
    </w:p>
    <w:p w14:paraId="2B6275AF" w14:textId="7B49905D" w:rsidR="001F5F78" w:rsidRDefault="001F5F78" w:rsidP="000B1C6C">
      <w:pPr>
        <w:spacing w:line="360" w:lineRule="auto"/>
        <w:ind w:left="709" w:hanging="709"/>
      </w:pPr>
    </w:p>
    <w:p w14:paraId="50343F2A" w14:textId="7F680000" w:rsidR="001F5F78" w:rsidRDefault="001F5F78" w:rsidP="000B1C6C">
      <w:pPr>
        <w:spacing w:line="360" w:lineRule="auto"/>
        <w:ind w:left="709" w:hanging="709"/>
      </w:pPr>
    </w:p>
    <w:p w14:paraId="53D506B8" w14:textId="2E6FB176" w:rsidR="001F5F78" w:rsidRDefault="001F5F78" w:rsidP="000B1C6C">
      <w:pPr>
        <w:spacing w:line="360" w:lineRule="auto"/>
        <w:ind w:left="709" w:hanging="709"/>
      </w:pPr>
    </w:p>
    <w:p w14:paraId="0DF7D5EF" w14:textId="77D6F209" w:rsidR="001F5F78" w:rsidRDefault="001F5F78" w:rsidP="000B1C6C">
      <w:pPr>
        <w:spacing w:line="360" w:lineRule="auto"/>
        <w:ind w:left="709" w:hanging="709"/>
      </w:pPr>
    </w:p>
    <w:p w14:paraId="5BA82093" w14:textId="77777777" w:rsidR="001F5F78" w:rsidRPr="00CD487B" w:rsidRDefault="001F5F78" w:rsidP="000B1C6C">
      <w:pPr>
        <w:spacing w:line="360" w:lineRule="auto"/>
        <w:ind w:left="709" w:hanging="709"/>
      </w:pPr>
      <w:bookmarkStart w:id="0" w:name="_GoBack"/>
      <w:bookmarkEnd w:id="0"/>
    </w:p>
    <w:sectPr w:rsidR="001F5F78" w:rsidRPr="00CD487B" w:rsidSect="00606A11">
      <w:headerReference w:type="default" r:id="rId8"/>
      <w:footerReference w:type="default" r:id="rId9"/>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B055A" w14:textId="77777777" w:rsidR="001E1336" w:rsidRDefault="001E1336">
      <w:r>
        <w:separator/>
      </w:r>
    </w:p>
  </w:endnote>
  <w:endnote w:type="continuationSeparator" w:id="0">
    <w:p w14:paraId="70BD19B4" w14:textId="77777777" w:rsidR="001E1336" w:rsidRDefault="001E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9AC86" w14:textId="77777777" w:rsidR="00606A11" w:rsidRPr="00606A11" w:rsidRDefault="00606A11" w:rsidP="00606A11">
    <w:pPr>
      <w:pStyle w:val="Piedepgina"/>
      <w:jc w:val="center"/>
      <w:rPr>
        <w:sz w:val="22"/>
      </w:rPr>
    </w:pPr>
    <w:r w:rsidRPr="00606A11">
      <w:rPr>
        <w:rFonts w:ascii="Calibri" w:hAnsi="Calibri"/>
        <w:b/>
        <w:sz w:val="22"/>
      </w:rPr>
      <w:t>Vol. 8, Núm. 15                   Julio - Diciembre 2017                       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08977" w14:textId="77777777" w:rsidR="001E1336" w:rsidRDefault="001E1336">
      <w:r>
        <w:separator/>
      </w:r>
    </w:p>
  </w:footnote>
  <w:footnote w:type="continuationSeparator" w:id="0">
    <w:p w14:paraId="06C0ED97" w14:textId="77777777" w:rsidR="001E1336" w:rsidRDefault="001E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D4524" w14:textId="77777777" w:rsidR="00606A11" w:rsidRDefault="00606A11" w:rsidP="00606A11">
    <w:pPr>
      <w:pStyle w:val="Encabezado"/>
      <w:jc w:val="center"/>
    </w:pPr>
    <w:r w:rsidRPr="00CC35D7">
      <w:rPr>
        <w:noProof/>
        <w:lang w:val="es-ES"/>
      </w:rPr>
      <w:drawing>
        <wp:inline distT="0" distB="0" distL="0" distR="0" wp14:anchorId="63840ED5" wp14:editId="5C39E256">
          <wp:extent cx="5400675" cy="628650"/>
          <wp:effectExtent l="0" t="0" r="0" b="0"/>
          <wp:docPr id="2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B675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E7BAB"/>
    <w:multiLevelType w:val="hybridMultilevel"/>
    <w:tmpl w:val="5F1043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6E0B8A"/>
    <w:multiLevelType w:val="hybridMultilevel"/>
    <w:tmpl w:val="144E49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4C402D"/>
    <w:multiLevelType w:val="hybridMultilevel"/>
    <w:tmpl w:val="2E90D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C0698"/>
    <w:multiLevelType w:val="hybridMultilevel"/>
    <w:tmpl w:val="0E94AE70"/>
    <w:lvl w:ilvl="0" w:tplc="2D848350">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B86BDE"/>
    <w:multiLevelType w:val="hybridMultilevel"/>
    <w:tmpl w:val="F33863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0A65F78"/>
    <w:multiLevelType w:val="hybridMultilevel"/>
    <w:tmpl w:val="9A3C70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767D4B"/>
    <w:multiLevelType w:val="hybridMultilevel"/>
    <w:tmpl w:val="A33CC2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AF58BC"/>
    <w:multiLevelType w:val="hybridMultilevel"/>
    <w:tmpl w:val="C75E17BC"/>
    <w:lvl w:ilvl="0" w:tplc="9C46D2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502726"/>
    <w:multiLevelType w:val="hybridMultilevel"/>
    <w:tmpl w:val="3244C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BD294C"/>
    <w:multiLevelType w:val="hybridMultilevel"/>
    <w:tmpl w:val="3244C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8BB6DDE"/>
    <w:multiLevelType w:val="hybridMultilevel"/>
    <w:tmpl w:val="7FFA00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8"/>
  </w:num>
  <w:num w:numId="5">
    <w:abstractNumId w:val="0"/>
  </w:num>
  <w:num w:numId="6">
    <w:abstractNumId w:val="9"/>
  </w:num>
  <w:num w:numId="7">
    <w:abstractNumId w:val="6"/>
  </w:num>
  <w:num w:numId="8">
    <w:abstractNumId w:val="2"/>
  </w:num>
  <w:num w:numId="9">
    <w:abstractNumId w:val="1"/>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19C"/>
    <w:rsid w:val="00005150"/>
    <w:rsid w:val="000117C8"/>
    <w:rsid w:val="00016C42"/>
    <w:rsid w:val="000205E1"/>
    <w:rsid w:val="0004078C"/>
    <w:rsid w:val="00046D9B"/>
    <w:rsid w:val="00051861"/>
    <w:rsid w:val="00065428"/>
    <w:rsid w:val="00074044"/>
    <w:rsid w:val="00090F4B"/>
    <w:rsid w:val="000950C8"/>
    <w:rsid w:val="000B1C6C"/>
    <w:rsid w:val="000C5D24"/>
    <w:rsid w:val="000C699F"/>
    <w:rsid w:val="000C6BC7"/>
    <w:rsid w:val="000C7F0C"/>
    <w:rsid w:val="000D260A"/>
    <w:rsid w:val="000D270C"/>
    <w:rsid w:val="000E2090"/>
    <w:rsid w:val="000E33EB"/>
    <w:rsid w:val="000F4B7B"/>
    <w:rsid w:val="000F7C2B"/>
    <w:rsid w:val="0011053B"/>
    <w:rsid w:val="00115CB1"/>
    <w:rsid w:val="00125A18"/>
    <w:rsid w:val="0015430A"/>
    <w:rsid w:val="00160611"/>
    <w:rsid w:val="0017343D"/>
    <w:rsid w:val="00180BDA"/>
    <w:rsid w:val="001A38E5"/>
    <w:rsid w:val="001A407A"/>
    <w:rsid w:val="001A775A"/>
    <w:rsid w:val="001C2D57"/>
    <w:rsid w:val="001C3A58"/>
    <w:rsid w:val="001D3CB7"/>
    <w:rsid w:val="001D6BD4"/>
    <w:rsid w:val="001E1336"/>
    <w:rsid w:val="001F5F78"/>
    <w:rsid w:val="0021133C"/>
    <w:rsid w:val="00224CC1"/>
    <w:rsid w:val="00235A69"/>
    <w:rsid w:val="00236027"/>
    <w:rsid w:val="00247919"/>
    <w:rsid w:val="00253E7D"/>
    <w:rsid w:val="00264F5E"/>
    <w:rsid w:val="002A61CE"/>
    <w:rsid w:val="002A7497"/>
    <w:rsid w:val="002B259E"/>
    <w:rsid w:val="002C3E62"/>
    <w:rsid w:val="002D38FE"/>
    <w:rsid w:val="002E078A"/>
    <w:rsid w:val="002E1853"/>
    <w:rsid w:val="002E7476"/>
    <w:rsid w:val="00306F50"/>
    <w:rsid w:val="00307C45"/>
    <w:rsid w:val="00340889"/>
    <w:rsid w:val="003453C2"/>
    <w:rsid w:val="00356C41"/>
    <w:rsid w:val="00362E59"/>
    <w:rsid w:val="00364F94"/>
    <w:rsid w:val="00366852"/>
    <w:rsid w:val="00373CC2"/>
    <w:rsid w:val="0038411A"/>
    <w:rsid w:val="003871F1"/>
    <w:rsid w:val="003A3133"/>
    <w:rsid w:val="003B2370"/>
    <w:rsid w:val="003B3F5D"/>
    <w:rsid w:val="003D5757"/>
    <w:rsid w:val="003D75F5"/>
    <w:rsid w:val="003E74C1"/>
    <w:rsid w:val="003F5ECB"/>
    <w:rsid w:val="00404C36"/>
    <w:rsid w:val="004275AF"/>
    <w:rsid w:val="00430C75"/>
    <w:rsid w:val="0045700C"/>
    <w:rsid w:val="00460C3D"/>
    <w:rsid w:val="00466AED"/>
    <w:rsid w:val="004944E2"/>
    <w:rsid w:val="00496C9A"/>
    <w:rsid w:val="004B4905"/>
    <w:rsid w:val="004B61DC"/>
    <w:rsid w:val="004D3E8E"/>
    <w:rsid w:val="004D58A0"/>
    <w:rsid w:val="004F1F33"/>
    <w:rsid w:val="005127E8"/>
    <w:rsid w:val="0052354C"/>
    <w:rsid w:val="00523ABA"/>
    <w:rsid w:val="00543378"/>
    <w:rsid w:val="005443B9"/>
    <w:rsid w:val="0054587E"/>
    <w:rsid w:val="005556B0"/>
    <w:rsid w:val="00577646"/>
    <w:rsid w:val="005863D1"/>
    <w:rsid w:val="00591837"/>
    <w:rsid w:val="005B4DB8"/>
    <w:rsid w:val="005C549A"/>
    <w:rsid w:val="005D24C6"/>
    <w:rsid w:val="005D7143"/>
    <w:rsid w:val="005E5CE6"/>
    <w:rsid w:val="005E64B0"/>
    <w:rsid w:val="0060111E"/>
    <w:rsid w:val="006040C9"/>
    <w:rsid w:val="006060CF"/>
    <w:rsid w:val="00606A11"/>
    <w:rsid w:val="0064737D"/>
    <w:rsid w:val="00650722"/>
    <w:rsid w:val="006510A1"/>
    <w:rsid w:val="00652065"/>
    <w:rsid w:val="006602AA"/>
    <w:rsid w:val="006633B8"/>
    <w:rsid w:val="0066529C"/>
    <w:rsid w:val="00665DED"/>
    <w:rsid w:val="006856CA"/>
    <w:rsid w:val="00691E4A"/>
    <w:rsid w:val="00694E9A"/>
    <w:rsid w:val="00697304"/>
    <w:rsid w:val="006B007B"/>
    <w:rsid w:val="006B0AEB"/>
    <w:rsid w:val="006B6085"/>
    <w:rsid w:val="006E3924"/>
    <w:rsid w:val="006E456D"/>
    <w:rsid w:val="006F2437"/>
    <w:rsid w:val="007028E8"/>
    <w:rsid w:val="007062BA"/>
    <w:rsid w:val="007330D3"/>
    <w:rsid w:val="00745088"/>
    <w:rsid w:val="007452FB"/>
    <w:rsid w:val="00754D52"/>
    <w:rsid w:val="007727B2"/>
    <w:rsid w:val="00790DEA"/>
    <w:rsid w:val="007B1536"/>
    <w:rsid w:val="007C36C4"/>
    <w:rsid w:val="007E7C90"/>
    <w:rsid w:val="007F438E"/>
    <w:rsid w:val="00804925"/>
    <w:rsid w:val="00807976"/>
    <w:rsid w:val="0081187C"/>
    <w:rsid w:val="00822F5D"/>
    <w:rsid w:val="00822FC0"/>
    <w:rsid w:val="0082580E"/>
    <w:rsid w:val="00842557"/>
    <w:rsid w:val="008451F4"/>
    <w:rsid w:val="0084619F"/>
    <w:rsid w:val="0084749A"/>
    <w:rsid w:val="0087282C"/>
    <w:rsid w:val="0087437D"/>
    <w:rsid w:val="00897DE5"/>
    <w:rsid w:val="008A7AE5"/>
    <w:rsid w:val="008B3791"/>
    <w:rsid w:val="008B66E3"/>
    <w:rsid w:val="008C0ED8"/>
    <w:rsid w:val="008C1733"/>
    <w:rsid w:val="008E0894"/>
    <w:rsid w:val="008E47E5"/>
    <w:rsid w:val="008E6EF3"/>
    <w:rsid w:val="008F2A83"/>
    <w:rsid w:val="008F487F"/>
    <w:rsid w:val="008F7F64"/>
    <w:rsid w:val="00902DCD"/>
    <w:rsid w:val="00906E28"/>
    <w:rsid w:val="0091016D"/>
    <w:rsid w:val="0092133E"/>
    <w:rsid w:val="009241B4"/>
    <w:rsid w:val="009459AA"/>
    <w:rsid w:val="00947741"/>
    <w:rsid w:val="0094777B"/>
    <w:rsid w:val="00947B88"/>
    <w:rsid w:val="00956BBD"/>
    <w:rsid w:val="00960BEA"/>
    <w:rsid w:val="0097089E"/>
    <w:rsid w:val="0097367F"/>
    <w:rsid w:val="00977588"/>
    <w:rsid w:val="00986D01"/>
    <w:rsid w:val="00994E9D"/>
    <w:rsid w:val="009A07AA"/>
    <w:rsid w:val="009A26E9"/>
    <w:rsid w:val="009A6C5B"/>
    <w:rsid w:val="009B6F12"/>
    <w:rsid w:val="009C2FCC"/>
    <w:rsid w:val="009D0DB0"/>
    <w:rsid w:val="00A01DE2"/>
    <w:rsid w:val="00A07BE0"/>
    <w:rsid w:val="00A3480E"/>
    <w:rsid w:val="00A50000"/>
    <w:rsid w:val="00A529FA"/>
    <w:rsid w:val="00A61A3D"/>
    <w:rsid w:val="00AB08B2"/>
    <w:rsid w:val="00AB7CEA"/>
    <w:rsid w:val="00AC2198"/>
    <w:rsid w:val="00AC26B8"/>
    <w:rsid w:val="00AC4978"/>
    <w:rsid w:val="00AE6EDE"/>
    <w:rsid w:val="00AF242F"/>
    <w:rsid w:val="00AF4C4B"/>
    <w:rsid w:val="00AF637D"/>
    <w:rsid w:val="00B108D6"/>
    <w:rsid w:val="00B1788D"/>
    <w:rsid w:val="00B2370B"/>
    <w:rsid w:val="00B36FAD"/>
    <w:rsid w:val="00B50390"/>
    <w:rsid w:val="00B56D40"/>
    <w:rsid w:val="00B65D10"/>
    <w:rsid w:val="00B74091"/>
    <w:rsid w:val="00B7667B"/>
    <w:rsid w:val="00B80BA1"/>
    <w:rsid w:val="00BA20D7"/>
    <w:rsid w:val="00BB0F32"/>
    <w:rsid w:val="00BB1681"/>
    <w:rsid w:val="00BB21B7"/>
    <w:rsid w:val="00BB43B4"/>
    <w:rsid w:val="00BD319C"/>
    <w:rsid w:val="00BD5FE6"/>
    <w:rsid w:val="00BD7DD9"/>
    <w:rsid w:val="00BF720E"/>
    <w:rsid w:val="00C03B0A"/>
    <w:rsid w:val="00C15F91"/>
    <w:rsid w:val="00C30591"/>
    <w:rsid w:val="00C326BA"/>
    <w:rsid w:val="00C334CE"/>
    <w:rsid w:val="00C45B71"/>
    <w:rsid w:val="00C643F7"/>
    <w:rsid w:val="00C65934"/>
    <w:rsid w:val="00C66873"/>
    <w:rsid w:val="00C75111"/>
    <w:rsid w:val="00C76915"/>
    <w:rsid w:val="00C86C12"/>
    <w:rsid w:val="00CA0DD1"/>
    <w:rsid w:val="00CB5FC3"/>
    <w:rsid w:val="00CB7554"/>
    <w:rsid w:val="00CC697B"/>
    <w:rsid w:val="00CD2AB7"/>
    <w:rsid w:val="00CD487B"/>
    <w:rsid w:val="00CD6B03"/>
    <w:rsid w:val="00D03E7D"/>
    <w:rsid w:val="00D22C7D"/>
    <w:rsid w:val="00D239EF"/>
    <w:rsid w:val="00D31086"/>
    <w:rsid w:val="00D52000"/>
    <w:rsid w:val="00D61788"/>
    <w:rsid w:val="00D63116"/>
    <w:rsid w:val="00D65D77"/>
    <w:rsid w:val="00D73F97"/>
    <w:rsid w:val="00DA77FC"/>
    <w:rsid w:val="00DB23F7"/>
    <w:rsid w:val="00DB2B12"/>
    <w:rsid w:val="00DB3E37"/>
    <w:rsid w:val="00DC0983"/>
    <w:rsid w:val="00E073A2"/>
    <w:rsid w:val="00E14FAA"/>
    <w:rsid w:val="00E20D58"/>
    <w:rsid w:val="00E32C88"/>
    <w:rsid w:val="00E44300"/>
    <w:rsid w:val="00E463FE"/>
    <w:rsid w:val="00E52CD4"/>
    <w:rsid w:val="00E53493"/>
    <w:rsid w:val="00E77E7F"/>
    <w:rsid w:val="00E86A74"/>
    <w:rsid w:val="00E876A4"/>
    <w:rsid w:val="00E95064"/>
    <w:rsid w:val="00EA1D5F"/>
    <w:rsid w:val="00EA7DE4"/>
    <w:rsid w:val="00EB020D"/>
    <w:rsid w:val="00EB4F16"/>
    <w:rsid w:val="00EB6061"/>
    <w:rsid w:val="00ED6257"/>
    <w:rsid w:val="00EE1357"/>
    <w:rsid w:val="00EE4362"/>
    <w:rsid w:val="00EF10D1"/>
    <w:rsid w:val="00EF487F"/>
    <w:rsid w:val="00EF6952"/>
    <w:rsid w:val="00EF7E19"/>
    <w:rsid w:val="00F01581"/>
    <w:rsid w:val="00F02221"/>
    <w:rsid w:val="00F05D6A"/>
    <w:rsid w:val="00F06C30"/>
    <w:rsid w:val="00F20831"/>
    <w:rsid w:val="00F31256"/>
    <w:rsid w:val="00F316B8"/>
    <w:rsid w:val="00F365E2"/>
    <w:rsid w:val="00F4369C"/>
    <w:rsid w:val="00F543EC"/>
    <w:rsid w:val="00F60360"/>
    <w:rsid w:val="00F60670"/>
    <w:rsid w:val="00F616E7"/>
    <w:rsid w:val="00F70290"/>
    <w:rsid w:val="00F75A25"/>
    <w:rsid w:val="00F761E6"/>
    <w:rsid w:val="00F8576B"/>
    <w:rsid w:val="00F92CC5"/>
    <w:rsid w:val="00F9369B"/>
    <w:rsid w:val="00FE09FF"/>
    <w:rsid w:val="00FE47F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34F76"/>
  <w15:docId w15:val="{E478577C-3E94-439F-BE30-B71F9086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
    </w:rPr>
  </w:style>
  <w:style w:type="paragraph" w:styleId="Ttulo3">
    <w:name w:val="heading 3"/>
    <w:basedOn w:val="Normal"/>
    <w:qFormat/>
    <w:rsid w:val="00BD319C"/>
    <w:pPr>
      <w:spacing w:before="100" w:beforeAutospacing="1" w:after="89" w:line="178" w:lineRule="atLeast"/>
      <w:outlineLvl w:val="2"/>
    </w:pPr>
    <w:rPr>
      <w:rFonts w:ascii="Verdana" w:hAnsi="Verdana"/>
      <w:color w:val="6E9B25"/>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D319C"/>
    <w:pPr>
      <w:spacing w:before="100" w:beforeAutospacing="1" w:after="89"/>
      <w:jc w:val="both"/>
    </w:pPr>
    <w:rPr>
      <w:color w:val="002200"/>
      <w:lang w:val="es-ES"/>
    </w:rPr>
  </w:style>
  <w:style w:type="character" w:styleId="Textoennegrita">
    <w:name w:val="Strong"/>
    <w:qFormat/>
    <w:rsid w:val="00BD319C"/>
    <w:rPr>
      <w:b/>
      <w:bCs/>
    </w:rPr>
  </w:style>
  <w:style w:type="character" w:styleId="Hipervnculo">
    <w:name w:val="Hyperlink"/>
    <w:rsid w:val="00BD319C"/>
    <w:rPr>
      <w:color w:val="0000FF"/>
      <w:u w:val="single"/>
    </w:rPr>
  </w:style>
  <w:style w:type="paragraph" w:styleId="Textonotapie">
    <w:name w:val="footnote text"/>
    <w:basedOn w:val="Normal"/>
    <w:semiHidden/>
    <w:rsid w:val="00BD319C"/>
    <w:rPr>
      <w:sz w:val="20"/>
      <w:szCs w:val="20"/>
      <w:lang w:eastAsia="es-MX"/>
    </w:rPr>
  </w:style>
  <w:style w:type="character" w:styleId="Refdenotaalpie">
    <w:name w:val="footnote reference"/>
    <w:semiHidden/>
    <w:rsid w:val="00BD319C"/>
    <w:rPr>
      <w:vertAlign w:val="superscript"/>
    </w:rPr>
  </w:style>
  <w:style w:type="paragraph" w:customStyle="1" w:styleId="Cuadrculaclara-nfasis31">
    <w:name w:val="Cuadrícula clara - Énfasis 31"/>
    <w:basedOn w:val="Normal"/>
    <w:uiPriority w:val="34"/>
    <w:qFormat/>
    <w:rsid w:val="00A3480E"/>
    <w:pPr>
      <w:ind w:left="708"/>
    </w:pPr>
  </w:style>
  <w:style w:type="paragraph" w:styleId="Textodeglobo">
    <w:name w:val="Balloon Text"/>
    <w:basedOn w:val="Normal"/>
    <w:link w:val="TextodegloboCar"/>
    <w:rsid w:val="00F75A25"/>
    <w:rPr>
      <w:rFonts w:ascii="Lucida Grande" w:hAnsi="Lucida Grande" w:cs="Lucida Grande"/>
      <w:sz w:val="18"/>
      <w:szCs w:val="18"/>
    </w:rPr>
  </w:style>
  <w:style w:type="character" w:customStyle="1" w:styleId="TextodegloboCar">
    <w:name w:val="Texto de globo Car"/>
    <w:link w:val="Textodeglobo"/>
    <w:rsid w:val="00F75A25"/>
    <w:rPr>
      <w:rFonts w:ascii="Lucida Grande" w:hAnsi="Lucida Grande" w:cs="Lucida Grande"/>
      <w:sz w:val="18"/>
      <w:szCs w:val="18"/>
    </w:rPr>
  </w:style>
  <w:style w:type="character" w:styleId="Refdecomentario">
    <w:name w:val="annotation reference"/>
    <w:rsid w:val="0084749A"/>
    <w:rPr>
      <w:sz w:val="18"/>
      <w:szCs w:val="18"/>
    </w:rPr>
  </w:style>
  <w:style w:type="paragraph" w:styleId="Textocomentario">
    <w:name w:val="annotation text"/>
    <w:basedOn w:val="Normal"/>
    <w:link w:val="TextocomentarioCar"/>
    <w:rsid w:val="0084749A"/>
  </w:style>
  <w:style w:type="character" w:customStyle="1" w:styleId="TextocomentarioCar">
    <w:name w:val="Texto comentario Car"/>
    <w:link w:val="Textocomentario"/>
    <w:rsid w:val="0084749A"/>
    <w:rPr>
      <w:sz w:val="24"/>
      <w:szCs w:val="24"/>
      <w:lang w:val="es-ES_tradnl"/>
    </w:rPr>
  </w:style>
  <w:style w:type="paragraph" w:styleId="Asuntodelcomentario">
    <w:name w:val="annotation subject"/>
    <w:basedOn w:val="Textocomentario"/>
    <w:next w:val="Textocomentario"/>
    <w:link w:val="AsuntodelcomentarioCar"/>
    <w:rsid w:val="0084749A"/>
    <w:rPr>
      <w:b/>
      <w:bCs/>
      <w:sz w:val="20"/>
      <w:szCs w:val="20"/>
    </w:rPr>
  </w:style>
  <w:style w:type="character" w:customStyle="1" w:styleId="AsuntodelcomentarioCar">
    <w:name w:val="Asunto del comentario Car"/>
    <w:link w:val="Asuntodelcomentario"/>
    <w:rsid w:val="0084749A"/>
    <w:rPr>
      <w:b/>
      <w:bCs/>
      <w:sz w:val="24"/>
      <w:szCs w:val="24"/>
      <w:lang w:val="es-ES_tradnl"/>
    </w:rPr>
  </w:style>
  <w:style w:type="character" w:styleId="nfasis">
    <w:name w:val="Emphasis"/>
    <w:uiPriority w:val="20"/>
    <w:qFormat/>
    <w:rsid w:val="00F543EC"/>
    <w:rPr>
      <w:i/>
      <w:iCs/>
    </w:rPr>
  </w:style>
  <w:style w:type="paragraph" w:styleId="Encabezado">
    <w:name w:val="header"/>
    <w:basedOn w:val="Normal"/>
    <w:link w:val="EncabezadoCar"/>
    <w:rsid w:val="00606A11"/>
    <w:pPr>
      <w:tabs>
        <w:tab w:val="center" w:pos="4419"/>
        <w:tab w:val="right" w:pos="8838"/>
      </w:tabs>
    </w:pPr>
  </w:style>
  <w:style w:type="character" w:customStyle="1" w:styleId="EncabezadoCar">
    <w:name w:val="Encabezado Car"/>
    <w:basedOn w:val="Fuentedeprrafopredeter"/>
    <w:link w:val="Encabezado"/>
    <w:rsid w:val="00606A11"/>
    <w:rPr>
      <w:sz w:val="24"/>
      <w:szCs w:val="24"/>
      <w:lang w:val="es-ES_tradnl" w:eastAsia="es-ES"/>
    </w:rPr>
  </w:style>
  <w:style w:type="paragraph" w:styleId="Piedepgina">
    <w:name w:val="footer"/>
    <w:basedOn w:val="Normal"/>
    <w:link w:val="PiedepginaCar"/>
    <w:rsid w:val="00606A11"/>
    <w:pPr>
      <w:tabs>
        <w:tab w:val="center" w:pos="4419"/>
        <w:tab w:val="right" w:pos="8838"/>
      </w:tabs>
    </w:pPr>
  </w:style>
  <w:style w:type="character" w:customStyle="1" w:styleId="PiedepginaCar">
    <w:name w:val="Pie de página Car"/>
    <w:basedOn w:val="Fuentedeprrafopredeter"/>
    <w:link w:val="Piedepgina"/>
    <w:rsid w:val="00606A11"/>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7212">
      <w:bodyDiv w:val="1"/>
      <w:marLeft w:val="0"/>
      <w:marRight w:val="0"/>
      <w:marTop w:val="0"/>
      <w:marBottom w:val="0"/>
      <w:divBdr>
        <w:top w:val="none" w:sz="0" w:space="0" w:color="auto"/>
        <w:left w:val="none" w:sz="0" w:space="0" w:color="auto"/>
        <w:bottom w:val="none" w:sz="0" w:space="0" w:color="auto"/>
        <w:right w:val="none" w:sz="0" w:space="0" w:color="auto"/>
      </w:divBdr>
    </w:div>
    <w:div w:id="173421379">
      <w:bodyDiv w:val="1"/>
      <w:marLeft w:val="0"/>
      <w:marRight w:val="0"/>
      <w:marTop w:val="0"/>
      <w:marBottom w:val="0"/>
      <w:divBdr>
        <w:top w:val="none" w:sz="0" w:space="0" w:color="auto"/>
        <w:left w:val="none" w:sz="0" w:space="0" w:color="auto"/>
        <w:bottom w:val="none" w:sz="0" w:space="0" w:color="auto"/>
        <w:right w:val="none" w:sz="0" w:space="0" w:color="auto"/>
      </w:divBdr>
      <w:divsChild>
        <w:div w:id="1524901394">
          <w:marLeft w:val="0"/>
          <w:marRight w:val="0"/>
          <w:marTop w:val="0"/>
          <w:marBottom w:val="0"/>
          <w:divBdr>
            <w:top w:val="none" w:sz="0" w:space="0" w:color="auto"/>
            <w:left w:val="none" w:sz="0" w:space="0" w:color="auto"/>
            <w:bottom w:val="none" w:sz="0" w:space="0" w:color="auto"/>
            <w:right w:val="none" w:sz="0" w:space="0" w:color="auto"/>
          </w:divBdr>
          <w:divsChild>
            <w:div w:id="10375276">
              <w:marLeft w:val="0"/>
              <w:marRight w:val="0"/>
              <w:marTop w:val="0"/>
              <w:marBottom w:val="0"/>
              <w:divBdr>
                <w:top w:val="none" w:sz="0" w:space="0" w:color="auto"/>
                <w:left w:val="none" w:sz="0" w:space="0" w:color="auto"/>
                <w:bottom w:val="none" w:sz="0" w:space="0" w:color="auto"/>
                <w:right w:val="none" w:sz="0" w:space="0" w:color="auto"/>
              </w:divBdr>
              <w:divsChild>
                <w:div w:id="159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3669">
      <w:bodyDiv w:val="1"/>
      <w:marLeft w:val="0"/>
      <w:marRight w:val="0"/>
      <w:marTop w:val="0"/>
      <w:marBottom w:val="0"/>
      <w:divBdr>
        <w:top w:val="none" w:sz="0" w:space="0" w:color="auto"/>
        <w:left w:val="none" w:sz="0" w:space="0" w:color="auto"/>
        <w:bottom w:val="none" w:sz="0" w:space="0" w:color="auto"/>
        <w:right w:val="none" w:sz="0" w:space="0" w:color="auto"/>
      </w:divBdr>
    </w:div>
    <w:div w:id="380402055">
      <w:bodyDiv w:val="1"/>
      <w:marLeft w:val="0"/>
      <w:marRight w:val="0"/>
      <w:marTop w:val="0"/>
      <w:marBottom w:val="0"/>
      <w:divBdr>
        <w:top w:val="none" w:sz="0" w:space="0" w:color="auto"/>
        <w:left w:val="none" w:sz="0" w:space="0" w:color="auto"/>
        <w:bottom w:val="none" w:sz="0" w:space="0" w:color="auto"/>
        <w:right w:val="none" w:sz="0" w:space="0" w:color="auto"/>
      </w:divBdr>
    </w:div>
    <w:div w:id="728960339">
      <w:bodyDiv w:val="1"/>
      <w:marLeft w:val="0"/>
      <w:marRight w:val="0"/>
      <w:marTop w:val="0"/>
      <w:marBottom w:val="0"/>
      <w:divBdr>
        <w:top w:val="none" w:sz="0" w:space="0" w:color="auto"/>
        <w:left w:val="none" w:sz="0" w:space="0" w:color="auto"/>
        <w:bottom w:val="none" w:sz="0" w:space="0" w:color="auto"/>
        <w:right w:val="none" w:sz="0" w:space="0" w:color="auto"/>
      </w:divBdr>
    </w:div>
    <w:div w:id="801390116">
      <w:bodyDiv w:val="1"/>
      <w:marLeft w:val="0"/>
      <w:marRight w:val="0"/>
      <w:marTop w:val="0"/>
      <w:marBottom w:val="0"/>
      <w:divBdr>
        <w:top w:val="none" w:sz="0" w:space="0" w:color="auto"/>
        <w:left w:val="none" w:sz="0" w:space="0" w:color="auto"/>
        <w:bottom w:val="none" w:sz="0" w:space="0" w:color="auto"/>
        <w:right w:val="none" w:sz="0" w:space="0" w:color="auto"/>
      </w:divBdr>
    </w:div>
    <w:div w:id="848299629">
      <w:bodyDiv w:val="1"/>
      <w:marLeft w:val="0"/>
      <w:marRight w:val="0"/>
      <w:marTop w:val="0"/>
      <w:marBottom w:val="0"/>
      <w:divBdr>
        <w:top w:val="none" w:sz="0" w:space="0" w:color="auto"/>
        <w:left w:val="none" w:sz="0" w:space="0" w:color="auto"/>
        <w:bottom w:val="none" w:sz="0" w:space="0" w:color="auto"/>
        <w:right w:val="none" w:sz="0" w:space="0" w:color="auto"/>
      </w:divBdr>
    </w:div>
    <w:div w:id="945382967">
      <w:bodyDiv w:val="1"/>
      <w:marLeft w:val="0"/>
      <w:marRight w:val="0"/>
      <w:marTop w:val="0"/>
      <w:marBottom w:val="0"/>
      <w:divBdr>
        <w:top w:val="none" w:sz="0" w:space="0" w:color="auto"/>
        <w:left w:val="none" w:sz="0" w:space="0" w:color="auto"/>
        <w:bottom w:val="none" w:sz="0" w:space="0" w:color="auto"/>
        <w:right w:val="none" w:sz="0" w:space="0" w:color="auto"/>
      </w:divBdr>
    </w:div>
    <w:div w:id="1022167058">
      <w:bodyDiv w:val="1"/>
      <w:marLeft w:val="0"/>
      <w:marRight w:val="0"/>
      <w:marTop w:val="0"/>
      <w:marBottom w:val="0"/>
      <w:divBdr>
        <w:top w:val="none" w:sz="0" w:space="0" w:color="auto"/>
        <w:left w:val="none" w:sz="0" w:space="0" w:color="auto"/>
        <w:bottom w:val="none" w:sz="0" w:space="0" w:color="auto"/>
        <w:right w:val="none" w:sz="0" w:space="0" w:color="auto"/>
      </w:divBdr>
    </w:div>
    <w:div w:id="1128354205">
      <w:bodyDiv w:val="1"/>
      <w:marLeft w:val="0"/>
      <w:marRight w:val="0"/>
      <w:marTop w:val="0"/>
      <w:marBottom w:val="0"/>
      <w:divBdr>
        <w:top w:val="none" w:sz="0" w:space="0" w:color="auto"/>
        <w:left w:val="none" w:sz="0" w:space="0" w:color="auto"/>
        <w:bottom w:val="none" w:sz="0" w:space="0" w:color="auto"/>
        <w:right w:val="none" w:sz="0" w:space="0" w:color="auto"/>
      </w:divBdr>
    </w:div>
    <w:div w:id="1248152001">
      <w:bodyDiv w:val="1"/>
      <w:marLeft w:val="0"/>
      <w:marRight w:val="0"/>
      <w:marTop w:val="0"/>
      <w:marBottom w:val="0"/>
      <w:divBdr>
        <w:top w:val="none" w:sz="0" w:space="0" w:color="auto"/>
        <w:left w:val="none" w:sz="0" w:space="0" w:color="auto"/>
        <w:bottom w:val="none" w:sz="0" w:space="0" w:color="auto"/>
        <w:right w:val="none" w:sz="0" w:space="0" w:color="auto"/>
      </w:divBdr>
    </w:div>
    <w:div w:id="1671329025">
      <w:bodyDiv w:val="1"/>
      <w:marLeft w:val="0"/>
      <w:marRight w:val="0"/>
      <w:marTop w:val="0"/>
      <w:marBottom w:val="0"/>
      <w:divBdr>
        <w:top w:val="none" w:sz="0" w:space="0" w:color="auto"/>
        <w:left w:val="none" w:sz="0" w:space="0" w:color="auto"/>
        <w:bottom w:val="none" w:sz="0" w:space="0" w:color="auto"/>
        <w:right w:val="none" w:sz="0" w:space="0" w:color="auto"/>
      </w:divBdr>
    </w:div>
    <w:div w:id="1676608198">
      <w:bodyDiv w:val="1"/>
      <w:marLeft w:val="0"/>
      <w:marRight w:val="0"/>
      <w:marTop w:val="0"/>
      <w:marBottom w:val="0"/>
      <w:divBdr>
        <w:top w:val="none" w:sz="0" w:space="0" w:color="auto"/>
        <w:left w:val="none" w:sz="0" w:space="0" w:color="auto"/>
        <w:bottom w:val="none" w:sz="0" w:space="0" w:color="auto"/>
        <w:right w:val="none" w:sz="0" w:space="0" w:color="auto"/>
      </w:divBdr>
    </w:div>
    <w:div w:id="1690526570">
      <w:bodyDiv w:val="1"/>
      <w:marLeft w:val="0"/>
      <w:marRight w:val="0"/>
      <w:marTop w:val="0"/>
      <w:marBottom w:val="0"/>
      <w:divBdr>
        <w:top w:val="none" w:sz="0" w:space="0" w:color="auto"/>
        <w:left w:val="none" w:sz="0" w:space="0" w:color="auto"/>
        <w:bottom w:val="none" w:sz="0" w:space="0" w:color="auto"/>
        <w:right w:val="none" w:sz="0" w:space="0" w:color="auto"/>
      </w:divBdr>
    </w:div>
    <w:div w:id="18326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ecd.org/pisa/PISA-2015-Mexico-ES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9504</Words>
  <Characters>52274</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Trabajos</vt:lpstr>
    </vt:vector>
  </TitlesOfParts>
  <Company/>
  <LinksUpToDate>false</LinksUpToDate>
  <CharactersWithSpaces>61655</CharactersWithSpaces>
  <SharedDoc>false</SharedDoc>
  <HLinks>
    <vt:vector size="6" baseType="variant">
      <vt:variant>
        <vt:i4>2818174</vt:i4>
      </vt:variant>
      <vt:variant>
        <vt:i4>0</vt:i4>
      </vt:variant>
      <vt:variant>
        <vt:i4>0</vt:i4>
      </vt:variant>
      <vt:variant>
        <vt:i4>5</vt:i4>
      </vt:variant>
      <vt:variant>
        <vt:lpwstr>https://www.oecd.org/pisa/PISA-2015-Mexico-ESP.pdf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Trabajos</dc:title>
  <dc:subject/>
  <dc:creator>usuario</dc:creator>
  <cp:keywords/>
  <cp:lastModifiedBy>Gustavo Toledo</cp:lastModifiedBy>
  <cp:revision>7</cp:revision>
  <cp:lastPrinted>2017-10-11T15:44:00Z</cp:lastPrinted>
  <dcterms:created xsi:type="dcterms:W3CDTF">2018-01-17T18:53:00Z</dcterms:created>
  <dcterms:modified xsi:type="dcterms:W3CDTF">2018-01-23T21:51:00Z</dcterms:modified>
</cp:coreProperties>
</file>