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A2904" w14:textId="7DB8853B" w:rsidR="001F075E" w:rsidRPr="00782BC3" w:rsidRDefault="001F075E" w:rsidP="00782BC3">
      <w:pPr>
        <w:spacing w:after="0" w:line="276" w:lineRule="auto"/>
        <w:jc w:val="right"/>
        <w:rPr>
          <w:rFonts w:ascii="Calibri" w:eastAsia="Times New Roman" w:hAnsi="Calibri" w:cs="Calibri"/>
          <w:b/>
          <w:color w:val="000000"/>
          <w:sz w:val="36"/>
          <w:szCs w:val="36"/>
          <w:lang w:val="es-MX" w:eastAsia="es-MX"/>
        </w:rPr>
      </w:pPr>
      <w:r w:rsidRPr="00782BC3">
        <w:rPr>
          <w:rFonts w:ascii="Calibri" w:eastAsia="Times New Roman" w:hAnsi="Calibri" w:cs="Calibri"/>
          <w:b/>
          <w:color w:val="000000"/>
          <w:sz w:val="36"/>
          <w:szCs w:val="36"/>
          <w:lang w:val="es-MX" w:eastAsia="es-MX"/>
        </w:rPr>
        <w:t>Estudio evaluativo de las competencias genéricas en la</w:t>
      </w:r>
      <w:r w:rsidR="00275E07" w:rsidRPr="00782BC3">
        <w:rPr>
          <w:rFonts w:ascii="Calibri" w:eastAsia="Times New Roman" w:hAnsi="Calibri" w:cs="Calibri"/>
          <w:b/>
          <w:color w:val="000000"/>
          <w:sz w:val="36"/>
          <w:szCs w:val="36"/>
          <w:lang w:val="es-MX" w:eastAsia="es-MX"/>
        </w:rPr>
        <w:t xml:space="preserve">s </w:t>
      </w:r>
      <w:r w:rsidRPr="00782BC3">
        <w:rPr>
          <w:rFonts w:ascii="Calibri" w:eastAsia="Times New Roman" w:hAnsi="Calibri" w:cs="Calibri"/>
          <w:b/>
          <w:color w:val="000000"/>
          <w:sz w:val="36"/>
          <w:szCs w:val="36"/>
          <w:lang w:val="es-MX" w:eastAsia="es-MX"/>
        </w:rPr>
        <w:t>licenciaturas de comercio y administración</w:t>
      </w:r>
      <w:r w:rsidR="00B85886" w:rsidRPr="00782BC3">
        <w:rPr>
          <w:rFonts w:ascii="Calibri" w:eastAsia="Times New Roman" w:hAnsi="Calibri" w:cs="Calibri"/>
          <w:b/>
          <w:color w:val="000000"/>
          <w:sz w:val="36"/>
          <w:szCs w:val="36"/>
          <w:lang w:val="es-MX" w:eastAsia="es-MX"/>
        </w:rPr>
        <w:t xml:space="preserve"> de modalidad virtual</w:t>
      </w:r>
      <w:r w:rsidRPr="00782BC3">
        <w:rPr>
          <w:rFonts w:ascii="Calibri" w:eastAsia="Times New Roman" w:hAnsi="Calibri" w:cs="Calibri"/>
          <w:b/>
          <w:color w:val="000000"/>
          <w:sz w:val="36"/>
          <w:szCs w:val="36"/>
          <w:lang w:val="es-MX" w:eastAsia="es-MX"/>
        </w:rPr>
        <w:t xml:space="preserve"> de</w:t>
      </w:r>
      <w:r w:rsidR="00275E07" w:rsidRPr="00782BC3">
        <w:rPr>
          <w:rFonts w:ascii="Calibri" w:eastAsia="Times New Roman" w:hAnsi="Calibri" w:cs="Calibri"/>
          <w:b/>
          <w:color w:val="000000"/>
          <w:sz w:val="36"/>
          <w:szCs w:val="36"/>
          <w:lang w:val="es-MX" w:eastAsia="es-MX"/>
        </w:rPr>
        <w:t>l IPN</w:t>
      </w:r>
    </w:p>
    <w:p w14:paraId="06D43D19" w14:textId="0F887241" w:rsidR="001F075E" w:rsidRPr="00782BC3" w:rsidRDefault="00782BC3" w:rsidP="00782BC3">
      <w:pPr>
        <w:spacing w:after="0" w:line="276" w:lineRule="auto"/>
        <w:jc w:val="right"/>
        <w:rPr>
          <w:rFonts w:ascii="Calibri" w:eastAsia="Times New Roman" w:hAnsi="Calibri" w:cs="Calibri"/>
          <w:b/>
          <w:i/>
          <w:color w:val="000000"/>
          <w:sz w:val="28"/>
          <w:szCs w:val="36"/>
          <w:lang w:val="es-MX" w:eastAsia="es-MX"/>
        </w:rPr>
      </w:pPr>
      <w:r>
        <w:rPr>
          <w:rFonts w:ascii="Calibri" w:eastAsia="Times New Roman" w:hAnsi="Calibri" w:cs="Calibri"/>
          <w:b/>
          <w:color w:val="000000"/>
          <w:sz w:val="36"/>
          <w:szCs w:val="36"/>
          <w:lang w:val="es-MX" w:eastAsia="es-MX"/>
        </w:rPr>
        <w:br/>
      </w:r>
      <w:r w:rsidR="001F075E" w:rsidRPr="00782BC3">
        <w:rPr>
          <w:rFonts w:ascii="Calibri" w:eastAsia="Times New Roman" w:hAnsi="Calibri" w:cs="Calibri"/>
          <w:b/>
          <w:i/>
          <w:color w:val="000000"/>
          <w:sz w:val="28"/>
          <w:szCs w:val="36"/>
          <w:lang w:val="es-MX" w:eastAsia="es-MX"/>
        </w:rPr>
        <w:t xml:space="preserve">Assessment </w:t>
      </w:r>
      <w:proofErr w:type="spellStart"/>
      <w:r w:rsidR="001F075E" w:rsidRPr="00782BC3">
        <w:rPr>
          <w:rFonts w:ascii="Calibri" w:eastAsia="Times New Roman" w:hAnsi="Calibri" w:cs="Calibri"/>
          <w:b/>
          <w:i/>
          <w:color w:val="000000"/>
          <w:sz w:val="28"/>
          <w:szCs w:val="36"/>
          <w:lang w:val="es-MX" w:eastAsia="es-MX"/>
        </w:rPr>
        <w:t>Study</w:t>
      </w:r>
      <w:proofErr w:type="spellEnd"/>
      <w:r w:rsidR="001F075E" w:rsidRPr="00782BC3">
        <w:rPr>
          <w:rFonts w:ascii="Calibri" w:eastAsia="Times New Roman" w:hAnsi="Calibri" w:cs="Calibri"/>
          <w:b/>
          <w:i/>
          <w:color w:val="000000"/>
          <w:sz w:val="28"/>
          <w:szCs w:val="36"/>
          <w:lang w:val="es-MX" w:eastAsia="es-MX"/>
        </w:rPr>
        <w:t xml:space="preserve"> </w:t>
      </w:r>
      <w:proofErr w:type="spellStart"/>
      <w:r w:rsidR="00EB7A47" w:rsidRPr="00782BC3">
        <w:rPr>
          <w:rFonts w:ascii="Calibri" w:eastAsia="Times New Roman" w:hAnsi="Calibri" w:cs="Calibri"/>
          <w:b/>
          <w:i/>
          <w:color w:val="000000"/>
          <w:sz w:val="28"/>
          <w:szCs w:val="36"/>
          <w:lang w:val="es-MX" w:eastAsia="es-MX"/>
        </w:rPr>
        <w:t>o</w:t>
      </w:r>
      <w:r w:rsidR="001F075E" w:rsidRPr="00782BC3">
        <w:rPr>
          <w:rFonts w:ascii="Calibri" w:eastAsia="Times New Roman" w:hAnsi="Calibri" w:cs="Calibri"/>
          <w:b/>
          <w:i/>
          <w:color w:val="000000"/>
          <w:sz w:val="28"/>
          <w:szCs w:val="36"/>
          <w:lang w:val="es-MX" w:eastAsia="es-MX"/>
        </w:rPr>
        <w:t>f</w:t>
      </w:r>
      <w:proofErr w:type="spellEnd"/>
      <w:r w:rsidR="001F075E" w:rsidRPr="00782BC3">
        <w:rPr>
          <w:rFonts w:ascii="Calibri" w:eastAsia="Times New Roman" w:hAnsi="Calibri" w:cs="Calibri"/>
          <w:b/>
          <w:i/>
          <w:color w:val="000000"/>
          <w:sz w:val="28"/>
          <w:szCs w:val="36"/>
          <w:lang w:val="es-MX" w:eastAsia="es-MX"/>
        </w:rPr>
        <w:t xml:space="preserve"> </w:t>
      </w:r>
      <w:proofErr w:type="spellStart"/>
      <w:r w:rsidR="001F075E" w:rsidRPr="00782BC3">
        <w:rPr>
          <w:rFonts w:ascii="Calibri" w:eastAsia="Times New Roman" w:hAnsi="Calibri" w:cs="Calibri"/>
          <w:b/>
          <w:i/>
          <w:color w:val="000000"/>
          <w:sz w:val="28"/>
          <w:szCs w:val="36"/>
          <w:lang w:val="es-MX" w:eastAsia="es-MX"/>
        </w:rPr>
        <w:t>Generic</w:t>
      </w:r>
      <w:proofErr w:type="spellEnd"/>
      <w:r w:rsidR="001F075E" w:rsidRPr="00782BC3">
        <w:rPr>
          <w:rFonts w:ascii="Calibri" w:eastAsia="Times New Roman" w:hAnsi="Calibri" w:cs="Calibri"/>
          <w:b/>
          <w:i/>
          <w:color w:val="000000"/>
          <w:sz w:val="28"/>
          <w:szCs w:val="36"/>
          <w:lang w:val="es-MX" w:eastAsia="es-MX"/>
        </w:rPr>
        <w:t xml:space="preserve"> Competences </w:t>
      </w:r>
      <w:r w:rsidR="00EB7A47" w:rsidRPr="00782BC3">
        <w:rPr>
          <w:rFonts w:ascii="Calibri" w:eastAsia="Times New Roman" w:hAnsi="Calibri" w:cs="Calibri"/>
          <w:b/>
          <w:i/>
          <w:color w:val="000000"/>
          <w:sz w:val="28"/>
          <w:szCs w:val="36"/>
          <w:lang w:val="es-MX" w:eastAsia="es-MX"/>
        </w:rPr>
        <w:t xml:space="preserve">in </w:t>
      </w:r>
      <w:r w:rsidR="001F2160" w:rsidRPr="00782BC3">
        <w:rPr>
          <w:rFonts w:ascii="Calibri" w:eastAsia="Times New Roman" w:hAnsi="Calibri" w:cs="Calibri"/>
          <w:b/>
          <w:i/>
          <w:color w:val="000000"/>
          <w:sz w:val="28"/>
          <w:szCs w:val="36"/>
          <w:lang w:val="es-MX" w:eastAsia="es-MX"/>
        </w:rPr>
        <w:t>the Virtual Modality</w:t>
      </w:r>
      <w:r w:rsidR="000C30E0" w:rsidRPr="00782BC3">
        <w:rPr>
          <w:rFonts w:ascii="Calibri" w:eastAsia="Times New Roman" w:hAnsi="Calibri" w:cs="Calibri"/>
          <w:b/>
          <w:i/>
          <w:color w:val="000000"/>
          <w:sz w:val="28"/>
          <w:szCs w:val="36"/>
          <w:lang w:val="es-MX" w:eastAsia="es-MX"/>
        </w:rPr>
        <w:t xml:space="preserve"> </w:t>
      </w:r>
      <w:r w:rsidR="001F075E" w:rsidRPr="00782BC3">
        <w:rPr>
          <w:rFonts w:ascii="Calibri" w:eastAsia="Times New Roman" w:hAnsi="Calibri" w:cs="Calibri"/>
          <w:b/>
          <w:i/>
          <w:color w:val="000000"/>
          <w:sz w:val="28"/>
          <w:szCs w:val="36"/>
          <w:lang w:val="es-MX" w:eastAsia="es-MX"/>
        </w:rPr>
        <w:t xml:space="preserve">Degrees </w:t>
      </w:r>
      <w:r w:rsidR="00EB7A47" w:rsidRPr="00782BC3">
        <w:rPr>
          <w:rFonts w:ascii="Calibri" w:eastAsia="Times New Roman" w:hAnsi="Calibri" w:cs="Calibri"/>
          <w:b/>
          <w:i/>
          <w:color w:val="000000"/>
          <w:sz w:val="28"/>
          <w:szCs w:val="36"/>
          <w:lang w:val="es-MX" w:eastAsia="es-MX"/>
        </w:rPr>
        <w:t xml:space="preserve">of </w:t>
      </w:r>
      <w:r w:rsidR="001F075E" w:rsidRPr="00782BC3">
        <w:rPr>
          <w:rFonts w:ascii="Calibri" w:eastAsia="Times New Roman" w:hAnsi="Calibri" w:cs="Calibri"/>
          <w:b/>
          <w:i/>
          <w:color w:val="000000"/>
          <w:sz w:val="28"/>
          <w:szCs w:val="36"/>
          <w:lang w:val="es-MX" w:eastAsia="es-MX"/>
        </w:rPr>
        <w:t xml:space="preserve">Commerce </w:t>
      </w:r>
      <w:r w:rsidR="00EB7A47" w:rsidRPr="00782BC3">
        <w:rPr>
          <w:rFonts w:ascii="Calibri" w:eastAsia="Times New Roman" w:hAnsi="Calibri" w:cs="Calibri"/>
          <w:b/>
          <w:i/>
          <w:color w:val="000000"/>
          <w:sz w:val="28"/>
          <w:szCs w:val="36"/>
          <w:lang w:val="es-MX" w:eastAsia="es-MX"/>
        </w:rPr>
        <w:t xml:space="preserve">and </w:t>
      </w:r>
      <w:r w:rsidR="001F075E" w:rsidRPr="00782BC3">
        <w:rPr>
          <w:rFonts w:ascii="Calibri" w:eastAsia="Times New Roman" w:hAnsi="Calibri" w:cs="Calibri"/>
          <w:b/>
          <w:i/>
          <w:color w:val="000000"/>
          <w:sz w:val="28"/>
          <w:szCs w:val="36"/>
          <w:lang w:val="es-MX" w:eastAsia="es-MX"/>
        </w:rPr>
        <w:t xml:space="preserve">Administration </w:t>
      </w:r>
      <w:r w:rsidR="00EB7A47" w:rsidRPr="00782BC3">
        <w:rPr>
          <w:rFonts w:ascii="Calibri" w:eastAsia="Times New Roman" w:hAnsi="Calibri" w:cs="Calibri"/>
          <w:b/>
          <w:i/>
          <w:color w:val="000000"/>
          <w:sz w:val="28"/>
          <w:szCs w:val="36"/>
          <w:lang w:val="es-MX" w:eastAsia="es-MX"/>
        </w:rPr>
        <w:t xml:space="preserve">of the </w:t>
      </w:r>
      <w:r w:rsidR="00275E07" w:rsidRPr="00782BC3">
        <w:rPr>
          <w:rFonts w:ascii="Calibri" w:eastAsia="Times New Roman" w:hAnsi="Calibri" w:cs="Calibri"/>
          <w:b/>
          <w:i/>
          <w:color w:val="000000"/>
          <w:sz w:val="28"/>
          <w:szCs w:val="36"/>
          <w:lang w:val="es-MX" w:eastAsia="es-MX"/>
        </w:rPr>
        <w:t xml:space="preserve">IPN </w:t>
      </w:r>
    </w:p>
    <w:p w14:paraId="0093D7F2" w14:textId="42D01876" w:rsidR="00782BC3" w:rsidRPr="00782BC3" w:rsidRDefault="00782BC3" w:rsidP="00782BC3">
      <w:pPr>
        <w:spacing w:after="0" w:line="276" w:lineRule="auto"/>
        <w:jc w:val="right"/>
        <w:rPr>
          <w:rFonts w:ascii="Calibri" w:eastAsia="Times New Roman" w:hAnsi="Calibri" w:cs="Calibri"/>
          <w:b/>
          <w:i/>
          <w:color w:val="000000"/>
          <w:sz w:val="28"/>
          <w:szCs w:val="36"/>
          <w:lang w:val="es-MX" w:eastAsia="es-MX"/>
        </w:rPr>
      </w:pPr>
    </w:p>
    <w:p w14:paraId="44472D87" w14:textId="17E4E431" w:rsidR="00782BC3" w:rsidRPr="00782BC3" w:rsidRDefault="00782BC3" w:rsidP="00782BC3">
      <w:pPr>
        <w:spacing w:after="0" w:line="276" w:lineRule="auto"/>
        <w:jc w:val="right"/>
        <w:rPr>
          <w:rFonts w:ascii="Calibri" w:eastAsia="Times New Roman" w:hAnsi="Calibri" w:cs="Calibri"/>
          <w:b/>
          <w:i/>
          <w:color w:val="000000"/>
          <w:sz w:val="28"/>
          <w:szCs w:val="36"/>
          <w:lang w:val="es-MX" w:eastAsia="es-MX"/>
        </w:rPr>
      </w:pPr>
      <w:proofErr w:type="spellStart"/>
      <w:r w:rsidRPr="00782BC3">
        <w:rPr>
          <w:rFonts w:ascii="Calibri" w:eastAsia="Times New Roman" w:hAnsi="Calibri" w:cs="Calibri"/>
          <w:b/>
          <w:i/>
          <w:color w:val="000000"/>
          <w:sz w:val="28"/>
          <w:szCs w:val="36"/>
          <w:lang w:val="es-MX" w:eastAsia="es-MX"/>
        </w:rPr>
        <w:t>Estudo</w:t>
      </w:r>
      <w:proofErr w:type="spellEnd"/>
      <w:r w:rsidRPr="00782BC3">
        <w:rPr>
          <w:rFonts w:ascii="Calibri" w:eastAsia="Times New Roman" w:hAnsi="Calibri" w:cs="Calibri"/>
          <w:b/>
          <w:i/>
          <w:color w:val="000000"/>
          <w:sz w:val="28"/>
          <w:szCs w:val="36"/>
          <w:lang w:val="es-MX" w:eastAsia="es-MX"/>
        </w:rPr>
        <w:t xml:space="preserve"> </w:t>
      </w:r>
      <w:proofErr w:type="spellStart"/>
      <w:r w:rsidRPr="00782BC3">
        <w:rPr>
          <w:rFonts w:ascii="Calibri" w:eastAsia="Times New Roman" w:hAnsi="Calibri" w:cs="Calibri"/>
          <w:b/>
          <w:i/>
          <w:color w:val="000000"/>
          <w:sz w:val="28"/>
          <w:szCs w:val="36"/>
          <w:lang w:val="es-MX" w:eastAsia="es-MX"/>
        </w:rPr>
        <w:t>avaliativo</w:t>
      </w:r>
      <w:proofErr w:type="spellEnd"/>
      <w:r w:rsidRPr="00782BC3">
        <w:rPr>
          <w:rFonts w:ascii="Calibri" w:eastAsia="Times New Roman" w:hAnsi="Calibri" w:cs="Calibri"/>
          <w:b/>
          <w:i/>
          <w:color w:val="000000"/>
          <w:sz w:val="28"/>
          <w:szCs w:val="36"/>
          <w:lang w:val="es-MX" w:eastAsia="es-MX"/>
        </w:rPr>
        <w:t xml:space="preserve"> das </w:t>
      </w:r>
      <w:proofErr w:type="spellStart"/>
      <w:r w:rsidRPr="00782BC3">
        <w:rPr>
          <w:rFonts w:ascii="Calibri" w:eastAsia="Times New Roman" w:hAnsi="Calibri" w:cs="Calibri"/>
          <w:b/>
          <w:i/>
          <w:color w:val="000000"/>
          <w:sz w:val="28"/>
          <w:szCs w:val="36"/>
          <w:lang w:val="es-MX" w:eastAsia="es-MX"/>
        </w:rPr>
        <w:t>competências</w:t>
      </w:r>
      <w:proofErr w:type="spellEnd"/>
      <w:r w:rsidRPr="00782BC3">
        <w:rPr>
          <w:rFonts w:ascii="Calibri" w:eastAsia="Times New Roman" w:hAnsi="Calibri" w:cs="Calibri"/>
          <w:b/>
          <w:i/>
          <w:color w:val="000000"/>
          <w:sz w:val="28"/>
          <w:szCs w:val="36"/>
          <w:lang w:val="es-MX" w:eastAsia="es-MX"/>
        </w:rPr>
        <w:t xml:space="preserve"> genéricas nos </w:t>
      </w:r>
      <w:proofErr w:type="spellStart"/>
      <w:r w:rsidRPr="00782BC3">
        <w:rPr>
          <w:rFonts w:ascii="Calibri" w:eastAsia="Times New Roman" w:hAnsi="Calibri" w:cs="Calibri"/>
          <w:b/>
          <w:i/>
          <w:color w:val="000000"/>
          <w:sz w:val="28"/>
          <w:szCs w:val="36"/>
          <w:lang w:val="es-MX" w:eastAsia="es-MX"/>
        </w:rPr>
        <w:t>graus</w:t>
      </w:r>
      <w:proofErr w:type="spellEnd"/>
      <w:r w:rsidRPr="00782BC3">
        <w:rPr>
          <w:rFonts w:ascii="Calibri" w:eastAsia="Times New Roman" w:hAnsi="Calibri" w:cs="Calibri"/>
          <w:b/>
          <w:i/>
          <w:color w:val="000000"/>
          <w:sz w:val="28"/>
          <w:szCs w:val="36"/>
          <w:lang w:val="es-MX" w:eastAsia="es-MX"/>
        </w:rPr>
        <w:t xml:space="preserve"> de </w:t>
      </w:r>
      <w:proofErr w:type="spellStart"/>
      <w:r w:rsidRPr="00782BC3">
        <w:rPr>
          <w:rFonts w:ascii="Calibri" w:eastAsia="Times New Roman" w:hAnsi="Calibri" w:cs="Calibri"/>
          <w:b/>
          <w:i/>
          <w:color w:val="000000"/>
          <w:sz w:val="28"/>
          <w:szCs w:val="36"/>
          <w:lang w:val="es-MX" w:eastAsia="es-MX"/>
        </w:rPr>
        <w:t>comércio</w:t>
      </w:r>
      <w:proofErr w:type="spellEnd"/>
      <w:r w:rsidRPr="00782BC3">
        <w:rPr>
          <w:rFonts w:ascii="Calibri" w:eastAsia="Times New Roman" w:hAnsi="Calibri" w:cs="Calibri"/>
          <w:b/>
          <w:i/>
          <w:color w:val="000000"/>
          <w:sz w:val="28"/>
          <w:szCs w:val="36"/>
          <w:lang w:val="es-MX" w:eastAsia="es-MX"/>
        </w:rPr>
        <w:t xml:space="preserve"> e </w:t>
      </w:r>
      <w:proofErr w:type="spellStart"/>
      <w:r w:rsidRPr="00782BC3">
        <w:rPr>
          <w:rFonts w:ascii="Calibri" w:eastAsia="Times New Roman" w:hAnsi="Calibri" w:cs="Calibri"/>
          <w:b/>
          <w:i/>
          <w:color w:val="000000"/>
          <w:sz w:val="28"/>
          <w:szCs w:val="36"/>
          <w:lang w:val="es-MX" w:eastAsia="es-MX"/>
        </w:rPr>
        <w:t>administração</w:t>
      </w:r>
      <w:proofErr w:type="spellEnd"/>
      <w:r w:rsidRPr="00782BC3">
        <w:rPr>
          <w:rFonts w:ascii="Calibri" w:eastAsia="Times New Roman" w:hAnsi="Calibri" w:cs="Calibri"/>
          <w:b/>
          <w:i/>
          <w:color w:val="000000"/>
          <w:sz w:val="28"/>
          <w:szCs w:val="36"/>
          <w:lang w:val="es-MX" w:eastAsia="es-MX"/>
        </w:rPr>
        <w:t xml:space="preserve"> da </w:t>
      </w:r>
      <w:proofErr w:type="spellStart"/>
      <w:r w:rsidRPr="00782BC3">
        <w:rPr>
          <w:rFonts w:ascii="Calibri" w:eastAsia="Times New Roman" w:hAnsi="Calibri" w:cs="Calibri"/>
          <w:b/>
          <w:i/>
          <w:color w:val="000000"/>
          <w:sz w:val="28"/>
          <w:szCs w:val="36"/>
          <w:lang w:val="es-MX" w:eastAsia="es-MX"/>
        </w:rPr>
        <w:t>modalidade</w:t>
      </w:r>
      <w:proofErr w:type="spellEnd"/>
      <w:r w:rsidRPr="00782BC3">
        <w:rPr>
          <w:rFonts w:ascii="Calibri" w:eastAsia="Times New Roman" w:hAnsi="Calibri" w:cs="Calibri"/>
          <w:b/>
          <w:i/>
          <w:color w:val="000000"/>
          <w:sz w:val="28"/>
          <w:szCs w:val="36"/>
          <w:lang w:val="es-MX" w:eastAsia="es-MX"/>
        </w:rPr>
        <w:t xml:space="preserve"> virtual do IPN</w:t>
      </w:r>
    </w:p>
    <w:p w14:paraId="41EADBDB" w14:textId="77777777" w:rsidR="00E462DD" w:rsidRDefault="00E462DD" w:rsidP="00E462DD">
      <w:pPr>
        <w:spacing w:after="0" w:line="360" w:lineRule="auto"/>
        <w:rPr>
          <w:rFonts w:ascii="Times New Roman" w:hAnsi="Times New Roman" w:cs="Times New Roman"/>
          <w:b/>
        </w:rPr>
      </w:pPr>
    </w:p>
    <w:p w14:paraId="6762AB81" w14:textId="609BA2B9" w:rsidR="001C6B40" w:rsidRDefault="001C6B40" w:rsidP="00782BC3">
      <w:pPr>
        <w:spacing w:after="0" w:line="276" w:lineRule="auto"/>
        <w:jc w:val="right"/>
        <w:rPr>
          <w:rFonts w:ascii="Times New Roman" w:hAnsi="Times New Roman" w:cs="Times New Roman"/>
        </w:rPr>
      </w:pPr>
      <w:r w:rsidRPr="00782BC3">
        <w:rPr>
          <w:rFonts w:ascii="Calibri" w:eastAsia="Calibri" w:hAnsi="Calibri" w:cs="Calibri"/>
          <w:b/>
          <w:lang w:val="es-ES" w:eastAsia="en-US"/>
        </w:rPr>
        <w:t>Edgar Oliver Cardoso Espinosa</w:t>
      </w:r>
      <w:r w:rsidR="00782BC3">
        <w:rPr>
          <w:rFonts w:ascii="Times New Roman" w:hAnsi="Times New Roman" w:cs="Times New Roman"/>
        </w:rPr>
        <w:br/>
      </w:r>
      <w:r w:rsidR="00782BC3" w:rsidRPr="00782BC3">
        <w:rPr>
          <w:rFonts w:ascii="Times New Roman" w:hAnsi="Times New Roman" w:cs="Times New Roman"/>
        </w:rPr>
        <w:t>Instituto Politécnico Nacional. Escuela Superior de Comercio y Administración, México</w:t>
      </w:r>
    </w:p>
    <w:p w14:paraId="63DA620F" w14:textId="24060959" w:rsidR="00782BC3" w:rsidRDefault="00782BC3" w:rsidP="00782BC3">
      <w:pPr>
        <w:spacing w:after="0" w:line="276" w:lineRule="auto"/>
        <w:jc w:val="right"/>
        <w:rPr>
          <w:rFonts w:eastAsiaTheme="minorHAnsi"/>
          <w:color w:val="FF0000"/>
          <w:lang w:eastAsia="es-MX"/>
        </w:rPr>
      </w:pPr>
      <w:r w:rsidRPr="00782BC3">
        <w:rPr>
          <w:rFonts w:eastAsiaTheme="minorHAnsi"/>
          <w:color w:val="FF0000"/>
          <w:lang w:eastAsia="es-MX"/>
        </w:rPr>
        <w:t>eoce@hotmail.com</w:t>
      </w:r>
    </w:p>
    <w:p w14:paraId="50EC726A" w14:textId="1B2059A5" w:rsidR="0060142E" w:rsidRPr="00227C75" w:rsidRDefault="00227C75" w:rsidP="00782BC3">
      <w:pPr>
        <w:spacing w:after="0" w:line="276" w:lineRule="auto"/>
        <w:jc w:val="right"/>
        <w:rPr>
          <w:rFonts w:ascii="Times New Roman" w:hAnsi="Times New Roman" w:cs="Times New Roman"/>
          <w:lang w:val="es-ES"/>
        </w:rPr>
      </w:pPr>
      <w:r w:rsidRPr="007C31B4">
        <w:rPr>
          <w:rFonts w:ascii="Times New Roman" w:hAnsi="Times New Roman" w:cs="Times New Roman"/>
          <w:lang w:val="es-ES"/>
        </w:rPr>
        <w:t>https://</w:t>
      </w:r>
      <w:r w:rsidR="0060142E" w:rsidRPr="00227C75">
        <w:rPr>
          <w:rFonts w:ascii="Times New Roman" w:hAnsi="Times New Roman" w:cs="Times New Roman"/>
          <w:lang w:val="es-ES"/>
        </w:rPr>
        <w:t>orcid.org/0000-0001-7588-9439</w:t>
      </w:r>
    </w:p>
    <w:p w14:paraId="40431B75" w14:textId="4DBE7AD5" w:rsidR="00782BC3" w:rsidRDefault="00782BC3" w:rsidP="00782BC3">
      <w:pPr>
        <w:spacing w:after="0" w:line="276" w:lineRule="auto"/>
        <w:jc w:val="right"/>
        <w:rPr>
          <w:rFonts w:eastAsiaTheme="minorHAnsi"/>
          <w:color w:val="FF0000"/>
          <w:lang w:eastAsia="es-MX"/>
        </w:rPr>
      </w:pPr>
      <w:r>
        <w:rPr>
          <w:rFonts w:ascii="Times New Roman" w:hAnsi="Times New Roman" w:cs="Times New Roman"/>
        </w:rPr>
        <w:br/>
      </w:r>
      <w:r w:rsidR="001C6B40" w:rsidRPr="00782BC3">
        <w:rPr>
          <w:rFonts w:ascii="Calibri" w:eastAsia="Calibri" w:hAnsi="Calibri" w:cs="Calibri"/>
          <w:b/>
          <w:lang w:val="es-ES" w:eastAsia="en-US"/>
        </w:rPr>
        <w:t>María Trinidad Cerecedo Mercado</w:t>
      </w:r>
      <w:r w:rsidRPr="00782BC3">
        <w:rPr>
          <w:rFonts w:ascii="Calibri" w:eastAsia="Calibri" w:hAnsi="Calibri" w:cs="Calibri"/>
          <w:b/>
          <w:lang w:val="es-ES" w:eastAsia="en-US"/>
        </w:rPr>
        <w:br/>
      </w:r>
      <w:r w:rsidRPr="00782BC3">
        <w:rPr>
          <w:rFonts w:ascii="Times New Roman" w:hAnsi="Times New Roman" w:cs="Times New Roman"/>
        </w:rPr>
        <w:t>Instituto Politécnico Nacional. Escuela Superior de Comercio y Administración, México</w:t>
      </w:r>
      <w:r>
        <w:rPr>
          <w:rFonts w:ascii="Times New Roman" w:hAnsi="Times New Roman" w:cs="Times New Roman"/>
        </w:rPr>
        <w:br/>
      </w:r>
      <w:r w:rsidRPr="00782BC3">
        <w:rPr>
          <w:rFonts w:eastAsiaTheme="minorHAnsi"/>
          <w:color w:val="FF0000"/>
          <w:lang w:eastAsia="es-MX"/>
        </w:rPr>
        <w:t>tricermer@yahoo.com</w:t>
      </w:r>
    </w:p>
    <w:p w14:paraId="42EB6113" w14:textId="19EAA6CF" w:rsidR="0060142E" w:rsidRDefault="00227C75" w:rsidP="00782BC3">
      <w:pPr>
        <w:spacing w:after="0" w:line="276" w:lineRule="auto"/>
        <w:jc w:val="right"/>
        <w:rPr>
          <w:rFonts w:ascii="Times New Roman" w:hAnsi="Times New Roman" w:cs="Times New Roman"/>
        </w:rPr>
      </w:pPr>
      <w:r w:rsidRPr="007C31B4">
        <w:rPr>
          <w:rFonts w:ascii="Times New Roman" w:hAnsi="Times New Roman" w:cs="Times New Roman"/>
          <w:lang w:val="es-ES"/>
        </w:rPr>
        <w:t>https://</w:t>
      </w:r>
      <w:r w:rsidR="0060142E" w:rsidRPr="00227C75">
        <w:rPr>
          <w:rFonts w:ascii="Times New Roman" w:hAnsi="Times New Roman" w:cs="Times New Roman"/>
          <w:lang w:val="es-ES"/>
        </w:rPr>
        <w:t>orcid.org/0000-0003-1512-3102</w:t>
      </w:r>
    </w:p>
    <w:p w14:paraId="5DD1AE43" w14:textId="77777777" w:rsidR="00782BC3" w:rsidRPr="00E462DD" w:rsidRDefault="00782BC3" w:rsidP="00782BC3">
      <w:pPr>
        <w:spacing w:after="0" w:line="360" w:lineRule="auto"/>
        <w:rPr>
          <w:rFonts w:ascii="Times New Roman" w:hAnsi="Times New Roman" w:cs="Times New Roman"/>
        </w:rPr>
      </w:pPr>
    </w:p>
    <w:p w14:paraId="78FD298A" w14:textId="1C5D6D56" w:rsidR="00850022" w:rsidRDefault="00850022" w:rsidP="00E462DD">
      <w:pPr>
        <w:spacing w:after="0" w:line="360" w:lineRule="auto"/>
        <w:rPr>
          <w:rFonts w:ascii="Times New Roman" w:hAnsi="Times New Roman" w:cs="Times New Roman"/>
        </w:rPr>
      </w:pPr>
    </w:p>
    <w:p w14:paraId="4740DE54" w14:textId="77777777" w:rsidR="00BB1722" w:rsidRPr="00782BC3" w:rsidRDefault="0054334D" w:rsidP="00E462DD">
      <w:pPr>
        <w:spacing w:after="0" w:line="360" w:lineRule="auto"/>
        <w:rPr>
          <w:rFonts w:ascii="Calibri" w:eastAsia="Times New Roman" w:hAnsi="Calibri" w:cs="Calibri"/>
          <w:b/>
          <w:color w:val="000000"/>
          <w:sz w:val="28"/>
          <w:szCs w:val="28"/>
          <w:lang w:eastAsia="es-MX"/>
        </w:rPr>
      </w:pPr>
      <w:r w:rsidRPr="00782BC3">
        <w:rPr>
          <w:rFonts w:ascii="Calibri" w:eastAsia="Times New Roman" w:hAnsi="Calibri" w:cs="Calibri"/>
          <w:b/>
          <w:color w:val="000000"/>
          <w:sz w:val="28"/>
          <w:szCs w:val="28"/>
          <w:lang w:eastAsia="es-MX"/>
        </w:rPr>
        <w:t>Resumen</w:t>
      </w:r>
    </w:p>
    <w:p w14:paraId="113BB245" w14:textId="3A7E9D3E" w:rsidR="005B2D5A" w:rsidRDefault="00BB1722" w:rsidP="00E462DD">
      <w:pPr>
        <w:pStyle w:val="Prrafodelista"/>
        <w:spacing w:after="0" w:line="360" w:lineRule="auto"/>
        <w:ind w:left="0"/>
        <w:jc w:val="both"/>
        <w:rPr>
          <w:rFonts w:ascii="Times New Roman" w:hAnsi="Times New Roman"/>
          <w:color w:val="000000" w:themeColor="text1"/>
          <w:sz w:val="24"/>
          <w:szCs w:val="24"/>
        </w:rPr>
      </w:pPr>
      <w:r w:rsidRPr="00152F2D">
        <w:rPr>
          <w:rFonts w:ascii="Times New Roman" w:hAnsi="Times New Roman"/>
          <w:sz w:val="24"/>
          <w:szCs w:val="24"/>
        </w:rPr>
        <w:t xml:space="preserve">El objetivo de </w:t>
      </w:r>
      <w:r w:rsidR="00CB2807">
        <w:rPr>
          <w:rFonts w:ascii="Times New Roman" w:hAnsi="Times New Roman"/>
          <w:sz w:val="24"/>
          <w:szCs w:val="24"/>
        </w:rPr>
        <w:t>esta</w:t>
      </w:r>
      <w:r w:rsidR="00CB2807" w:rsidRPr="00152F2D">
        <w:rPr>
          <w:rFonts w:ascii="Times New Roman" w:hAnsi="Times New Roman"/>
          <w:sz w:val="24"/>
          <w:szCs w:val="24"/>
        </w:rPr>
        <w:t xml:space="preserve"> </w:t>
      </w:r>
      <w:r w:rsidRPr="00152F2D">
        <w:rPr>
          <w:rFonts w:ascii="Times New Roman" w:hAnsi="Times New Roman"/>
          <w:sz w:val="24"/>
          <w:szCs w:val="24"/>
        </w:rPr>
        <w:t>investigación fue evaluar las compete</w:t>
      </w:r>
      <w:r w:rsidR="00AE5449" w:rsidRPr="00152F2D">
        <w:rPr>
          <w:rFonts w:ascii="Times New Roman" w:hAnsi="Times New Roman"/>
          <w:sz w:val="24"/>
          <w:szCs w:val="24"/>
        </w:rPr>
        <w:t>ncias genéricas del alumnado</w:t>
      </w:r>
      <w:r w:rsidRPr="00152F2D">
        <w:rPr>
          <w:rFonts w:ascii="Times New Roman" w:hAnsi="Times New Roman"/>
          <w:sz w:val="24"/>
          <w:szCs w:val="24"/>
        </w:rPr>
        <w:t xml:space="preserve"> </w:t>
      </w:r>
      <w:r w:rsidR="00F402DD">
        <w:rPr>
          <w:rFonts w:ascii="Times New Roman" w:hAnsi="Times New Roman"/>
          <w:sz w:val="24"/>
          <w:szCs w:val="24"/>
        </w:rPr>
        <w:t>de</w:t>
      </w:r>
      <w:r w:rsidRPr="00152F2D">
        <w:rPr>
          <w:rFonts w:ascii="Times New Roman" w:hAnsi="Times New Roman"/>
          <w:sz w:val="24"/>
          <w:szCs w:val="24"/>
        </w:rPr>
        <w:t xml:space="preserve"> la modalidad en línea del Instituto Politécnico Nacio</w:t>
      </w:r>
      <w:r w:rsidR="0030203F">
        <w:rPr>
          <w:rFonts w:ascii="Times New Roman" w:hAnsi="Times New Roman"/>
          <w:sz w:val="24"/>
          <w:szCs w:val="24"/>
        </w:rPr>
        <w:t>nal</w:t>
      </w:r>
      <w:r w:rsidR="00CB2807">
        <w:rPr>
          <w:rFonts w:ascii="Times New Roman" w:hAnsi="Times New Roman"/>
          <w:sz w:val="24"/>
          <w:szCs w:val="24"/>
        </w:rPr>
        <w:t>, particularmente</w:t>
      </w:r>
      <w:r w:rsidR="00F427D8">
        <w:rPr>
          <w:rFonts w:ascii="Times New Roman" w:hAnsi="Times New Roman"/>
          <w:sz w:val="24"/>
          <w:szCs w:val="24"/>
        </w:rPr>
        <w:t xml:space="preserve"> </w:t>
      </w:r>
      <w:r w:rsidR="00F402DD">
        <w:rPr>
          <w:rFonts w:ascii="Times New Roman" w:hAnsi="Times New Roman"/>
          <w:sz w:val="24"/>
          <w:szCs w:val="24"/>
        </w:rPr>
        <w:t>d</w:t>
      </w:r>
      <w:r w:rsidR="00F427D8">
        <w:rPr>
          <w:rFonts w:ascii="Times New Roman" w:hAnsi="Times New Roman"/>
          <w:sz w:val="24"/>
          <w:szCs w:val="24"/>
        </w:rPr>
        <w:t>el área de comercio y administración</w:t>
      </w:r>
      <w:r w:rsidRPr="00152F2D">
        <w:rPr>
          <w:rFonts w:ascii="Times New Roman" w:hAnsi="Times New Roman"/>
          <w:sz w:val="24"/>
          <w:szCs w:val="24"/>
        </w:rPr>
        <w:t xml:space="preserve">. </w:t>
      </w:r>
      <w:r w:rsidR="005B2D5A">
        <w:rPr>
          <w:rFonts w:ascii="Times New Roman" w:hAnsi="Times New Roman"/>
          <w:color w:val="000000"/>
          <w:sz w:val="24"/>
          <w:szCs w:val="24"/>
          <w:shd w:val="clear" w:color="auto" w:fill="FFFFFF"/>
        </w:rPr>
        <w:t xml:space="preserve">La </w:t>
      </w:r>
      <w:r w:rsidR="005B2D5A" w:rsidRPr="00152F2D">
        <w:rPr>
          <w:rFonts w:ascii="Times New Roman" w:hAnsi="Times New Roman"/>
          <w:color w:val="000000"/>
          <w:sz w:val="24"/>
          <w:szCs w:val="24"/>
          <w:shd w:val="clear" w:color="auto" w:fill="FFFFFF"/>
        </w:rPr>
        <w:t>metodología</w:t>
      </w:r>
      <w:r w:rsidR="005B2D5A">
        <w:rPr>
          <w:rFonts w:ascii="Times New Roman" w:hAnsi="Times New Roman"/>
          <w:color w:val="000000"/>
          <w:sz w:val="24"/>
          <w:szCs w:val="24"/>
          <w:shd w:val="clear" w:color="auto" w:fill="FFFFFF"/>
        </w:rPr>
        <w:t xml:space="preserve"> que se ut</w:t>
      </w:r>
      <w:r w:rsidR="00E4108F">
        <w:rPr>
          <w:rFonts w:ascii="Times New Roman" w:hAnsi="Times New Roman"/>
          <w:color w:val="000000"/>
          <w:sz w:val="24"/>
          <w:szCs w:val="24"/>
          <w:shd w:val="clear" w:color="auto" w:fill="FFFFFF"/>
        </w:rPr>
        <w:t>i</w:t>
      </w:r>
      <w:r w:rsidR="005B2D5A">
        <w:rPr>
          <w:rFonts w:ascii="Times New Roman" w:hAnsi="Times New Roman"/>
          <w:color w:val="000000"/>
          <w:sz w:val="24"/>
          <w:szCs w:val="24"/>
          <w:shd w:val="clear" w:color="auto" w:fill="FFFFFF"/>
        </w:rPr>
        <w:t>lizó fue una de tipo</w:t>
      </w:r>
      <w:r w:rsidRPr="00152F2D">
        <w:rPr>
          <w:rFonts w:ascii="Times New Roman" w:hAnsi="Times New Roman"/>
          <w:color w:val="000000"/>
          <w:sz w:val="24"/>
          <w:szCs w:val="24"/>
          <w:shd w:val="clear" w:color="auto" w:fill="FFFFFF"/>
        </w:rPr>
        <w:t xml:space="preserve"> cuantit</w:t>
      </w:r>
      <w:r w:rsidR="00AE5449" w:rsidRPr="00152F2D">
        <w:rPr>
          <w:rFonts w:ascii="Times New Roman" w:hAnsi="Times New Roman"/>
          <w:color w:val="000000"/>
          <w:sz w:val="24"/>
          <w:szCs w:val="24"/>
          <w:shd w:val="clear" w:color="auto" w:fill="FFFFFF"/>
        </w:rPr>
        <w:t>ativa con un</w:t>
      </w:r>
      <w:r w:rsidRPr="00152F2D">
        <w:rPr>
          <w:rFonts w:ascii="Times New Roman" w:hAnsi="Times New Roman"/>
          <w:color w:val="000000"/>
          <w:sz w:val="24"/>
          <w:szCs w:val="24"/>
          <w:shd w:val="clear" w:color="auto" w:fill="FFFFFF"/>
        </w:rPr>
        <w:t xml:space="preserve"> alcance descriptivo. </w:t>
      </w:r>
      <w:r w:rsidR="00310E29">
        <w:rPr>
          <w:rFonts w:ascii="Times New Roman" w:hAnsi="Times New Roman"/>
          <w:color w:val="000000"/>
          <w:sz w:val="24"/>
          <w:szCs w:val="24"/>
        </w:rPr>
        <w:t>Y e</w:t>
      </w:r>
      <w:r w:rsidR="00310E29" w:rsidRPr="00152F2D">
        <w:rPr>
          <w:rFonts w:ascii="Times New Roman" w:hAnsi="Times New Roman"/>
          <w:color w:val="000000"/>
          <w:sz w:val="24"/>
          <w:szCs w:val="24"/>
        </w:rPr>
        <w:t xml:space="preserve">l </w:t>
      </w:r>
      <w:r w:rsidR="00AE5449" w:rsidRPr="00152F2D">
        <w:rPr>
          <w:rFonts w:ascii="Times New Roman" w:hAnsi="Times New Roman"/>
          <w:color w:val="000000"/>
          <w:sz w:val="24"/>
          <w:szCs w:val="24"/>
        </w:rPr>
        <w:t xml:space="preserve">instrumento </w:t>
      </w:r>
      <w:r w:rsidR="00310E29">
        <w:rPr>
          <w:rFonts w:ascii="Times New Roman" w:hAnsi="Times New Roman"/>
          <w:color w:val="000000"/>
          <w:sz w:val="24"/>
          <w:szCs w:val="24"/>
        </w:rPr>
        <w:t>al que se recurrió</w:t>
      </w:r>
      <w:r w:rsidRPr="00152F2D">
        <w:rPr>
          <w:rFonts w:ascii="Times New Roman" w:hAnsi="Times New Roman"/>
          <w:color w:val="000000"/>
          <w:sz w:val="24"/>
          <w:szCs w:val="24"/>
        </w:rPr>
        <w:t xml:space="preserve"> para obtener la información fue un cuestionario basado en una escala Likert. </w:t>
      </w:r>
      <w:r w:rsidR="00AE5449" w:rsidRPr="00152F2D">
        <w:rPr>
          <w:rFonts w:ascii="Times New Roman" w:hAnsi="Times New Roman"/>
          <w:color w:val="000000" w:themeColor="text1"/>
          <w:sz w:val="24"/>
          <w:szCs w:val="24"/>
        </w:rPr>
        <w:t>La muestra estuvo constituida</w:t>
      </w:r>
      <w:r w:rsidR="00D83684" w:rsidRPr="00152F2D">
        <w:rPr>
          <w:rFonts w:ascii="Times New Roman" w:hAnsi="Times New Roman"/>
          <w:color w:val="000000" w:themeColor="text1"/>
          <w:sz w:val="24"/>
          <w:szCs w:val="24"/>
        </w:rPr>
        <w:t xml:space="preserve"> por </w:t>
      </w:r>
      <w:r w:rsidR="00F402DD">
        <w:rPr>
          <w:rFonts w:ascii="Times New Roman" w:hAnsi="Times New Roman"/>
          <w:color w:val="000000" w:themeColor="text1"/>
          <w:sz w:val="24"/>
          <w:szCs w:val="24"/>
        </w:rPr>
        <w:t>estudiantes</w:t>
      </w:r>
      <w:r w:rsidR="00D83684" w:rsidRPr="00152F2D">
        <w:rPr>
          <w:rFonts w:ascii="Times New Roman" w:hAnsi="Times New Roman"/>
          <w:color w:val="000000" w:themeColor="text1"/>
          <w:sz w:val="24"/>
          <w:szCs w:val="24"/>
        </w:rPr>
        <w:t xml:space="preserve"> inscrito</w:t>
      </w:r>
      <w:r w:rsidR="00F402DD">
        <w:rPr>
          <w:rFonts w:ascii="Times New Roman" w:hAnsi="Times New Roman"/>
          <w:color w:val="000000" w:themeColor="text1"/>
          <w:sz w:val="24"/>
          <w:szCs w:val="24"/>
        </w:rPr>
        <w:t>s</w:t>
      </w:r>
      <w:r w:rsidR="00D83684" w:rsidRPr="00152F2D">
        <w:rPr>
          <w:rFonts w:ascii="Times New Roman" w:hAnsi="Times New Roman"/>
          <w:color w:val="000000" w:themeColor="text1"/>
          <w:sz w:val="24"/>
          <w:szCs w:val="24"/>
        </w:rPr>
        <w:t xml:space="preserve"> en</w:t>
      </w:r>
      <w:r w:rsidRPr="00152F2D">
        <w:rPr>
          <w:rFonts w:ascii="Times New Roman" w:hAnsi="Times New Roman"/>
          <w:color w:val="000000" w:themeColor="text1"/>
          <w:sz w:val="24"/>
          <w:szCs w:val="24"/>
        </w:rPr>
        <w:t xml:space="preserve"> las licenciaturas en </w:t>
      </w:r>
      <w:r w:rsidR="00D83684" w:rsidRPr="00152F2D">
        <w:rPr>
          <w:rFonts w:ascii="Times New Roman" w:hAnsi="Times New Roman"/>
          <w:sz w:val="24"/>
          <w:szCs w:val="24"/>
        </w:rPr>
        <w:t>Administración y Desarrollo Empresarial, Contador Público, Negocios Internacionales, Relaciones Comerciales</w:t>
      </w:r>
      <w:r w:rsidR="005C0021">
        <w:rPr>
          <w:rFonts w:ascii="Times New Roman" w:hAnsi="Times New Roman"/>
          <w:sz w:val="24"/>
          <w:szCs w:val="24"/>
        </w:rPr>
        <w:t xml:space="preserve"> y</w:t>
      </w:r>
      <w:r w:rsidR="005C0021" w:rsidRPr="00152F2D">
        <w:rPr>
          <w:rFonts w:ascii="Times New Roman" w:hAnsi="Times New Roman"/>
          <w:sz w:val="24"/>
          <w:szCs w:val="24"/>
        </w:rPr>
        <w:t xml:space="preserve"> </w:t>
      </w:r>
      <w:r w:rsidR="00D83684" w:rsidRPr="00152F2D">
        <w:rPr>
          <w:rFonts w:ascii="Times New Roman" w:hAnsi="Times New Roman"/>
          <w:sz w:val="24"/>
          <w:szCs w:val="24"/>
        </w:rPr>
        <w:t>Comercio Internacional</w:t>
      </w:r>
      <w:r w:rsidR="005C0021">
        <w:rPr>
          <w:rFonts w:ascii="Times New Roman" w:hAnsi="Times New Roman"/>
          <w:sz w:val="24"/>
          <w:szCs w:val="24"/>
        </w:rPr>
        <w:t>; todas ellas</w:t>
      </w:r>
      <w:r w:rsidR="0050446D">
        <w:rPr>
          <w:rFonts w:ascii="Times New Roman" w:hAnsi="Times New Roman"/>
          <w:sz w:val="24"/>
          <w:szCs w:val="24"/>
        </w:rPr>
        <w:t xml:space="preserve"> ofrecidas por la Escuela Superior de Comercio y Administ</w:t>
      </w:r>
      <w:r w:rsidR="0030203F">
        <w:rPr>
          <w:rFonts w:ascii="Times New Roman" w:hAnsi="Times New Roman"/>
          <w:sz w:val="24"/>
          <w:szCs w:val="24"/>
        </w:rPr>
        <w:t>ración, Unidad Santo Tomás</w:t>
      </w:r>
      <w:r w:rsidR="00F402DD">
        <w:rPr>
          <w:rFonts w:ascii="Times New Roman" w:hAnsi="Times New Roman"/>
          <w:sz w:val="24"/>
          <w:szCs w:val="24"/>
        </w:rPr>
        <w:t>, de las institución ya mencionada</w:t>
      </w:r>
      <w:r w:rsidR="0050446D">
        <w:rPr>
          <w:rFonts w:ascii="Times New Roman" w:hAnsi="Times New Roman"/>
          <w:sz w:val="24"/>
          <w:szCs w:val="24"/>
        </w:rPr>
        <w:t>.</w:t>
      </w:r>
      <w:r w:rsidR="00152F2D">
        <w:rPr>
          <w:rFonts w:ascii="Times New Roman" w:hAnsi="Times New Roman"/>
          <w:color w:val="000000" w:themeColor="text1"/>
          <w:sz w:val="24"/>
          <w:szCs w:val="24"/>
        </w:rPr>
        <w:t xml:space="preserve"> </w:t>
      </w:r>
      <w:r w:rsidR="0050446D">
        <w:rPr>
          <w:rFonts w:ascii="Times New Roman" w:hAnsi="Times New Roman"/>
          <w:color w:val="000000" w:themeColor="text1"/>
          <w:sz w:val="24"/>
          <w:szCs w:val="24"/>
        </w:rPr>
        <w:t>L</w:t>
      </w:r>
      <w:r w:rsidRPr="00152F2D">
        <w:rPr>
          <w:rFonts w:ascii="Times New Roman" w:hAnsi="Times New Roman"/>
          <w:color w:val="000000" w:themeColor="text1"/>
          <w:sz w:val="24"/>
          <w:szCs w:val="24"/>
        </w:rPr>
        <w:t>a distribución</w:t>
      </w:r>
      <w:r w:rsidR="0050446D">
        <w:rPr>
          <w:rFonts w:ascii="Times New Roman" w:hAnsi="Times New Roman"/>
          <w:color w:val="000000" w:themeColor="text1"/>
          <w:sz w:val="24"/>
          <w:szCs w:val="24"/>
        </w:rPr>
        <w:t xml:space="preserve"> muestral</w:t>
      </w:r>
      <w:r w:rsidRPr="00152F2D">
        <w:rPr>
          <w:rFonts w:ascii="Times New Roman" w:hAnsi="Times New Roman"/>
          <w:color w:val="000000" w:themeColor="text1"/>
          <w:sz w:val="24"/>
          <w:szCs w:val="24"/>
        </w:rPr>
        <w:t xml:space="preserve"> </w:t>
      </w:r>
      <w:r w:rsidR="00AE5449" w:rsidRPr="00152F2D">
        <w:rPr>
          <w:rFonts w:ascii="Times New Roman" w:hAnsi="Times New Roman"/>
          <w:color w:val="000000" w:themeColor="text1"/>
          <w:sz w:val="24"/>
          <w:szCs w:val="24"/>
        </w:rPr>
        <w:t>con</w:t>
      </w:r>
      <w:r w:rsidR="0050446D">
        <w:rPr>
          <w:rFonts w:ascii="Times New Roman" w:hAnsi="Times New Roman"/>
          <w:color w:val="000000" w:themeColor="text1"/>
          <w:sz w:val="24"/>
          <w:szCs w:val="24"/>
        </w:rPr>
        <w:t xml:space="preserve"> respecto al género fue de 82</w:t>
      </w:r>
      <w:r w:rsidR="005B2D5A">
        <w:rPr>
          <w:rFonts w:ascii="Times New Roman" w:hAnsi="Times New Roman"/>
          <w:color w:val="000000" w:themeColor="text1"/>
          <w:sz w:val="24"/>
          <w:szCs w:val="24"/>
        </w:rPr>
        <w:t xml:space="preserve"> </w:t>
      </w:r>
      <w:r w:rsidR="0050446D">
        <w:rPr>
          <w:rFonts w:ascii="Times New Roman" w:hAnsi="Times New Roman"/>
          <w:color w:val="000000" w:themeColor="text1"/>
          <w:sz w:val="24"/>
          <w:szCs w:val="24"/>
        </w:rPr>
        <w:t>% de</w:t>
      </w:r>
      <w:r w:rsidR="00AE5449" w:rsidRPr="00152F2D">
        <w:rPr>
          <w:rFonts w:ascii="Times New Roman" w:hAnsi="Times New Roman"/>
          <w:color w:val="000000" w:themeColor="text1"/>
          <w:sz w:val="24"/>
          <w:szCs w:val="24"/>
        </w:rPr>
        <w:t xml:space="preserve"> mujeres y </w:t>
      </w:r>
      <w:r w:rsidR="005B2D5A">
        <w:rPr>
          <w:rFonts w:ascii="Times New Roman" w:hAnsi="Times New Roman"/>
          <w:color w:val="000000" w:themeColor="text1"/>
          <w:sz w:val="24"/>
          <w:szCs w:val="24"/>
        </w:rPr>
        <w:t>el porcentaje</w:t>
      </w:r>
      <w:r w:rsidR="0050446D">
        <w:rPr>
          <w:rFonts w:ascii="Times New Roman" w:hAnsi="Times New Roman"/>
          <w:color w:val="000000" w:themeColor="text1"/>
          <w:sz w:val="24"/>
          <w:szCs w:val="24"/>
        </w:rPr>
        <w:t xml:space="preserve"> </w:t>
      </w:r>
      <w:r w:rsidR="0050446D">
        <w:rPr>
          <w:rFonts w:ascii="Times New Roman" w:hAnsi="Times New Roman"/>
          <w:color w:val="000000" w:themeColor="text1"/>
          <w:sz w:val="24"/>
          <w:szCs w:val="24"/>
        </w:rPr>
        <w:lastRenderedPageBreak/>
        <w:t>restante de</w:t>
      </w:r>
      <w:r w:rsidRPr="00152F2D">
        <w:rPr>
          <w:rFonts w:ascii="Times New Roman" w:hAnsi="Times New Roman"/>
          <w:color w:val="000000" w:themeColor="text1"/>
          <w:sz w:val="24"/>
          <w:szCs w:val="24"/>
        </w:rPr>
        <w:t xml:space="preserve"> hombres</w:t>
      </w:r>
      <w:r w:rsidR="00F64D60">
        <w:rPr>
          <w:rFonts w:ascii="Times New Roman" w:hAnsi="Times New Roman"/>
          <w:color w:val="000000" w:themeColor="text1"/>
          <w:sz w:val="24"/>
          <w:szCs w:val="24"/>
        </w:rPr>
        <w:t xml:space="preserve"> (18 %)</w:t>
      </w:r>
      <w:r w:rsidRPr="00152F2D">
        <w:rPr>
          <w:rFonts w:ascii="Times New Roman" w:hAnsi="Times New Roman"/>
          <w:color w:val="000000" w:themeColor="text1"/>
          <w:sz w:val="24"/>
          <w:szCs w:val="24"/>
        </w:rPr>
        <w:t xml:space="preserve">. Para organizar </w:t>
      </w:r>
      <w:r w:rsidR="00AE5449" w:rsidRPr="00152F2D">
        <w:rPr>
          <w:rFonts w:ascii="Times New Roman" w:hAnsi="Times New Roman"/>
          <w:color w:val="000000" w:themeColor="text1"/>
          <w:sz w:val="24"/>
          <w:szCs w:val="24"/>
        </w:rPr>
        <w:t xml:space="preserve">y analizar </w:t>
      </w:r>
      <w:r w:rsidRPr="00152F2D">
        <w:rPr>
          <w:rFonts w:ascii="Times New Roman" w:hAnsi="Times New Roman"/>
          <w:color w:val="000000" w:themeColor="text1"/>
          <w:sz w:val="24"/>
          <w:szCs w:val="24"/>
        </w:rPr>
        <w:t>la información se utilizó la estadística descriptiv</w:t>
      </w:r>
      <w:r w:rsidR="00AE5449" w:rsidRPr="00152F2D">
        <w:rPr>
          <w:rFonts w:ascii="Times New Roman" w:hAnsi="Times New Roman"/>
          <w:color w:val="000000" w:themeColor="text1"/>
          <w:sz w:val="24"/>
          <w:szCs w:val="24"/>
        </w:rPr>
        <w:t xml:space="preserve">a e inferencial. </w:t>
      </w:r>
    </w:p>
    <w:p w14:paraId="1E9E0F3D" w14:textId="2663318F" w:rsidR="00BB1722" w:rsidRPr="00152F2D" w:rsidRDefault="00BB1722" w:rsidP="00782BC3">
      <w:pPr>
        <w:pStyle w:val="Prrafodelista"/>
        <w:spacing w:after="0" w:line="360" w:lineRule="auto"/>
        <w:ind w:left="0" w:firstLine="708"/>
        <w:jc w:val="both"/>
        <w:rPr>
          <w:rFonts w:ascii="Times New Roman" w:hAnsi="Times New Roman"/>
          <w:color w:val="000000" w:themeColor="text1"/>
          <w:sz w:val="24"/>
          <w:szCs w:val="24"/>
        </w:rPr>
      </w:pPr>
      <w:r w:rsidRPr="00152F2D">
        <w:rPr>
          <w:rFonts w:ascii="Times New Roman" w:hAnsi="Times New Roman"/>
          <w:color w:val="000000" w:themeColor="text1"/>
          <w:sz w:val="24"/>
          <w:szCs w:val="24"/>
        </w:rPr>
        <w:t>Los principales resultados fueron que el estudiantado</w:t>
      </w:r>
      <w:r w:rsidR="00915241" w:rsidRPr="00152F2D">
        <w:rPr>
          <w:rFonts w:ascii="Times New Roman" w:hAnsi="Times New Roman"/>
          <w:color w:val="000000" w:themeColor="text1"/>
          <w:sz w:val="24"/>
          <w:szCs w:val="24"/>
        </w:rPr>
        <w:t xml:space="preserve"> presenta un nivel de dominio de</w:t>
      </w:r>
      <w:r w:rsidRPr="00152F2D">
        <w:rPr>
          <w:rFonts w:ascii="Times New Roman" w:hAnsi="Times New Roman"/>
          <w:color w:val="000000" w:themeColor="text1"/>
          <w:sz w:val="24"/>
          <w:szCs w:val="24"/>
        </w:rPr>
        <w:t xml:space="preserve"> insuficiente a moderado para las competencias genéricas de tipo instrumental, i</w:t>
      </w:r>
      <w:r w:rsidR="00AE5449" w:rsidRPr="00152F2D">
        <w:rPr>
          <w:rFonts w:ascii="Times New Roman" w:hAnsi="Times New Roman"/>
          <w:color w:val="000000" w:themeColor="text1"/>
          <w:sz w:val="24"/>
          <w:szCs w:val="24"/>
        </w:rPr>
        <w:t>nterpersonal y sistémico. También se hallaron</w:t>
      </w:r>
      <w:r w:rsidRPr="00152F2D">
        <w:rPr>
          <w:rFonts w:ascii="Times New Roman" w:hAnsi="Times New Roman"/>
          <w:color w:val="000000" w:themeColor="text1"/>
          <w:sz w:val="24"/>
          <w:szCs w:val="24"/>
        </w:rPr>
        <w:t xml:space="preserve"> diferencias estadísticas significativas por género</w:t>
      </w:r>
      <w:r w:rsidRPr="00152F2D">
        <w:rPr>
          <w:rFonts w:ascii="Times New Roman" w:hAnsi="Times New Roman"/>
          <w:color w:val="000000"/>
          <w:sz w:val="24"/>
          <w:szCs w:val="24"/>
          <w:shd w:val="clear" w:color="auto" w:fill="FFFFFF"/>
        </w:rPr>
        <w:t>,</w:t>
      </w:r>
      <w:r w:rsidRPr="00152F2D">
        <w:rPr>
          <w:rFonts w:ascii="Times New Roman" w:hAnsi="Times New Roman"/>
          <w:color w:val="000000" w:themeColor="text1"/>
          <w:sz w:val="24"/>
          <w:szCs w:val="24"/>
        </w:rPr>
        <w:t xml:space="preserve"> edad, experiencia laboral y nivel académico.</w:t>
      </w:r>
    </w:p>
    <w:p w14:paraId="30BB5F05" w14:textId="7AFAFDC4" w:rsidR="00BB1722" w:rsidRPr="00152F2D" w:rsidRDefault="00BB1722" w:rsidP="00E462DD">
      <w:pPr>
        <w:pStyle w:val="palabrasClave"/>
        <w:spacing w:before="0" w:after="0" w:line="360" w:lineRule="auto"/>
        <w:jc w:val="both"/>
      </w:pPr>
      <w:r w:rsidRPr="00782BC3">
        <w:rPr>
          <w:rFonts w:ascii="Calibri" w:eastAsia="Times New Roman" w:hAnsi="Calibri" w:cs="Calibri"/>
          <w:b/>
          <w:color w:val="000000"/>
          <w:sz w:val="28"/>
          <w:szCs w:val="28"/>
          <w:lang w:val="es-ES_tradnl" w:eastAsia="es-MX"/>
        </w:rPr>
        <w:t>Palabras clave:</w:t>
      </w:r>
      <w:r w:rsidRPr="00152F2D">
        <w:t xml:space="preserve"> </w:t>
      </w:r>
      <w:r w:rsidR="00E462DD">
        <w:t>c</w:t>
      </w:r>
      <w:r w:rsidRPr="00152F2D">
        <w:t>ompetencias genéricas, estu</w:t>
      </w:r>
      <w:r w:rsidR="00D83684" w:rsidRPr="00152F2D">
        <w:t>diantado,</w:t>
      </w:r>
      <w:r w:rsidR="00FF5A75">
        <w:t xml:space="preserve"> </w:t>
      </w:r>
      <w:r w:rsidR="00FF5A75" w:rsidRPr="00152F2D">
        <w:t>evaluación</w:t>
      </w:r>
      <w:r w:rsidR="00FF5A75">
        <w:t>,</w:t>
      </w:r>
      <w:r w:rsidR="00D83684" w:rsidRPr="00152F2D">
        <w:t xml:space="preserve"> nivel de dominio</w:t>
      </w:r>
      <w:r w:rsidRPr="00152F2D">
        <w:t>.</w:t>
      </w:r>
    </w:p>
    <w:p w14:paraId="596357EA" w14:textId="77777777" w:rsidR="00E462DD" w:rsidRDefault="00E462DD" w:rsidP="00E462DD">
      <w:pPr>
        <w:pStyle w:val="palabrasClave"/>
        <w:spacing w:before="0" w:after="0" w:line="360" w:lineRule="auto"/>
        <w:jc w:val="both"/>
        <w:rPr>
          <w:b/>
          <w:lang w:val="en-US"/>
        </w:rPr>
      </w:pPr>
    </w:p>
    <w:p w14:paraId="1F38FDB6" w14:textId="7825B37A" w:rsidR="00656C85" w:rsidRPr="00782BC3" w:rsidRDefault="0054334D" w:rsidP="00E462DD">
      <w:pPr>
        <w:pStyle w:val="palabrasClave"/>
        <w:spacing w:before="0" w:after="0" w:line="360" w:lineRule="auto"/>
        <w:jc w:val="both"/>
        <w:rPr>
          <w:rFonts w:ascii="Calibri" w:eastAsia="Times New Roman" w:hAnsi="Calibri" w:cs="Calibri"/>
          <w:b/>
          <w:color w:val="000000"/>
          <w:sz w:val="28"/>
          <w:szCs w:val="28"/>
          <w:lang w:val="es-ES_tradnl" w:eastAsia="es-MX"/>
        </w:rPr>
      </w:pPr>
      <w:r w:rsidRPr="00782BC3">
        <w:rPr>
          <w:rFonts w:ascii="Calibri" w:eastAsia="Times New Roman" w:hAnsi="Calibri" w:cs="Calibri"/>
          <w:b/>
          <w:color w:val="000000"/>
          <w:sz w:val="28"/>
          <w:szCs w:val="28"/>
          <w:lang w:val="es-ES_tradnl" w:eastAsia="es-MX"/>
        </w:rPr>
        <w:t>Abstract</w:t>
      </w:r>
    </w:p>
    <w:p w14:paraId="44860C43" w14:textId="77777777" w:rsidR="00FF5A75" w:rsidRDefault="0050446D" w:rsidP="00E462DD">
      <w:pPr>
        <w:pStyle w:val="palabrasClave"/>
        <w:spacing w:before="0" w:after="0" w:line="360" w:lineRule="auto"/>
        <w:jc w:val="both"/>
        <w:rPr>
          <w:lang w:val="en-US"/>
        </w:rPr>
      </w:pPr>
      <w:r w:rsidRPr="0050446D">
        <w:rPr>
          <w:lang w:val="en-US"/>
        </w:rPr>
        <w:t>The objective</w:t>
      </w:r>
      <w:r>
        <w:rPr>
          <w:lang w:val="en-US"/>
        </w:rPr>
        <w:t xml:space="preserve"> of the research was to assess</w:t>
      </w:r>
      <w:r w:rsidRPr="0050446D">
        <w:rPr>
          <w:lang w:val="en-US"/>
        </w:rPr>
        <w:t xml:space="preserve"> the generic competences of students in higher education in the online modality of the Nati</w:t>
      </w:r>
      <w:r w:rsidR="0030203F">
        <w:rPr>
          <w:lang w:val="en-US"/>
        </w:rPr>
        <w:t>onal Polytechnic Institute</w:t>
      </w:r>
      <w:r w:rsidRPr="0050446D">
        <w:rPr>
          <w:lang w:val="en-US"/>
        </w:rPr>
        <w:t xml:space="preserve"> in the area of ​​commerce and administration. The type of study that was used was a quantitative methodology with a descriptive scope. The instrument that was used to obtain the information was a questionnaire based on a Likert scale. The sample of the study was constituted by the student enrolled in the bachelor's degrees in Business Administration and Development, Public Accountant, International Business, Commercial Relations, International Trade offered by the Higher School of Commerce and Admini</w:t>
      </w:r>
      <w:r w:rsidR="00AB47B3">
        <w:rPr>
          <w:lang w:val="en-US"/>
        </w:rPr>
        <w:t>stration, Santo Toma</w:t>
      </w:r>
      <w:r w:rsidR="0030203F">
        <w:rPr>
          <w:lang w:val="en-US"/>
        </w:rPr>
        <w:t>s Unit</w:t>
      </w:r>
      <w:r w:rsidRPr="0050446D">
        <w:rPr>
          <w:lang w:val="en-US"/>
        </w:rPr>
        <w:t xml:space="preserve">. The sample distribution with respect to gender was 82% of women and the remaining 18% of men. To organize and analyze the information, descriptive and inferential statistics were used. </w:t>
      </w:r>
    </w:p>
    <w:p w14:paraId="686A001D" w14:textId="35CE4050" w:rsidR="0050446D" w:rsidRDefault="0050446D" w:rsidP="00782BC3">
      <w:pPr>
        <w:pStyle w:val="palabrasClave"/>
        <w:spacing w:before="0" w:after="0" w:line="360" w:lineRule="auto"/>
        <w:ind w:firstLine="708"/>
        <w:jc w:val="both"/>
        <w:rPr>
          <w:lang w:val="en-US"/>
        </w:rPr>
      </w:pPr>
      <w:r w:rsidRPr="0050446D">
        <w:rPr>
          <w:lang w:val="en-US"/>
        </w:rPr>
        <w:t>The main results were that the student has a level of proficiency from insufficient to</w:t>
      </w:r>
      <w:r>
        <w:rPr>
          <w:lang w:val="en-US"/>
        </w:rPr>
        <w:t xml:space="preserve"> moderate for the generic competences</w:t>
      </w:r>
      <w:r w:rsidRPr="0050446D">
        <w:rPr>
          <w:lang w:val="en-US"/>
        </w:rPr>
        <w:t xml:space="preserve"> of instrumental, interpersonal and systemic type. Also, significant statistical differences were found by gender, age, work experience and academic level.</w:t>
      </w:r>
    </w:p>
    <w:p w14:paraId="3D08A724" w14:textId="34C89B1A" w:rsidR="0096018E" w:rsidRDefault="00BB1722" w:rsidP="00E462DD">
      <w:pPr>
        <w:spacing w:after="0" w:line="360" w:lineRule="auto"/>
        <w:rPr>
          <w:rFonts w:ascii="Times New Roman" w:hAnsi="Times New Roman" w:cs="Times New Roman"/>
          <w:lang w:val="en-US"/>
        </w:rPr>
      </w:pPr>
      <w:r w:rsidRPr="00782BC3">
        <w:rPr>
          <w:rFonts w:ascii="Calibri" w:eastAsia="Times New Roman" w:hAnsi="Calibri" w:cs="Calibri"/>
          <w:b/>
          <w:color w:val="000000"/>
          <w:sz w:val="28"/>
          <w:szCs w:val="28"/>
          <w:lang w:eastAsia="es-MX"/>
        </w:rPr>
        <w:t>Keywords:</w:t>
      </w:r>
      <w:r w:rsidRPr="00152F2D">
        <w:rPr>
          <w:rFonts w:ascii="Times New Roman" w:hAnsi="Times New Roman" w:cs="Times New Roman"/>
          <w:b/>
          <w:lang w:val="en-US"/>
        </w:rPr>
        <w:t xml:space="preserve"> </w:t>
      </w:r>
      <w:r w:rsidR="00E462DD">
        <w:rPr>
          <w:rFonts w:ascii="Times New Roman" w:hAnsi="Times New Roman" w:cs="Times New Roman"/>
          <w:lang w:val="en-US"/>
        </w:rPr>
        <w:t>g</w:t>
      </w:r>
      <w:r w:rsidRPr="00152F2D">
        <w:rPr>
          <w:rFonts w:ascii="Times New Roman" w:hAnsi="Times New Roman" w:cs="Times New Roman"/>
          <w:lang w:val="en-US"/>
        </w:rPr>
        <w:t xml:space="preserve">eneric competences, </w:t>
      </w:r>
      <w:r w:rsidR="00D83684" w:rsidRPr="00152F2D">
        <w:rPr>
          <w:rFonts w:ascii="Times New Roman" w:hAnsi="Times New Roman" w:cs="Times New Roman"/>
          <w:lang w:val="en-US"/>
        </w:rPr>
        <w:t xml:space="preserve">student, </w:t>
      </w:r>
      <w:r w:rsidR="00FF5A75" w:rsidRPr="00152F2D">
        <w:rPr>
          <w:rFonts w:ascii="Times New Roman" w:hAnsi="Times New Roman" w:cs="Times New Roman"/>
          <w:lang w:val="en-US"/>
        </w:rPr>
        <w:t>evaluation</w:t>
      </w:r>
      <w:r w:rsidR="00FF5A75">
        <w:rPr>
          <w:rFonts w:ascii="Times New Roman" w:hAnsi="Times New Roman" w:cs="Times New Roman"/>
          <w:lang w:val="en-US"/>
        </w:rPr>
        <w:t xml:space="preserve">, </w:t>
      </w:r>
      <w:r w:rsidR="00D83684" w:rsidRPr="00152F2D">
        <w:rPr>
          <w:rFonts w:ascii="Times New Roman" w:hAnsi="Times New Roman" w:cs="Times New Roman"/>
          <w:lang w:val="en-US"/>
        </w:rPr>
        <w:t>level of mastery</w:t>
      </w:r>
      <w:r w:rsidRPr="00152F2D">
        <w:rPr>
          <w:rFonts w:ascii="Times New Roman" w:hAnsi="Times New Roman" w:cs="Times New Roman"/>
          <w:lang w:val="en-US"/>
        </w:rPr>
        <w:t>.</w:t>
      </w:r>
    </w:p>
    <w:p w14:paraId="0EF2FA5B" w14:textId="1A7B3A98" w:rsidR="00782BC3" w:rsidRDefault="00782BC3" w:rsidP="00E462DD">
      <w:pPr>
        <w:spacing w:after="0" w:line="360" w:lineRule="auto"/>
        <w:rPr>
          <w:rFonts w:ascii="Times New Roman" w:hAnsi="Times New Roman" w:cs="Times New Roman"/>
          <w:lang w:val="en-US"/>
        </w:rPr>
      </w:pPr>
    </w:p>
    <w:p w14:paraId="31488A8F" w14:textId="77777777" w:rsidR="008A20AE" w:rsidRDefault="008A20AE" w:rsidP="00E462DD">
      <w:pPr>
        <w:spacing w:after="0" w:line="360" w:lineRule="auto"/>
        <w:rPr>
          <w:rFonts w:ascii="Calibri" w:eastAsia="Times New Roman" w:hAnsi="Calibri" w:cs="Calibri"/>
          <w:b/>
          <w:color w:val="000000"/>
          <w:sz w:val="28"/>
          <w:szCs w:val="28"/>
          <w:lang w:eastAsia="es-MX"/>
        </w:rPr>
      </w:pPr>
    </w:p>
    <w:p w14:paraId="437516C1" w14:textId="77777777" w:rsidR="008A20AE" w:rsidRDefault="008A20AE" w:rsidP="00E462DD">
      <w:pPr>
        <w:spacing w:after="0" w:line="360" w:lineRule="auto"/>
        <w:rPr>
          <w:rFonts w:ascii="Calibri" w:eastAsia="Times New Roman" w:hAnsi="Calibri" w:cs="Calibri"/>
          <w:b/>
          <w:color w:val="000000"/>
          <w:sz w:val="28"/>
          <w:szCs w:val="28"/>
          <w:lang w:eastAsia="es-MX"/>
        </w:rPr>
      </w:pPr>
    </w:p>
    <w:p w14:paraId="7C63F4DB" w14:textId="77777777" w:rsidR="008A20AE" w:rsidRDefault="008A20AE" w:rsidP="00E462DD">
      <w:pPr>
        <w:spacing w:after="0" w:line="360" w:lineRule="auto"/>
        <w:rPr>
          <w:rFonts w:ascii="Calibri" w:eastAsia="Times New Roman" w:hAnsi="Calibri" w:cs="Calibri"/>
          <w:b/>
          <w:color w:val="000000"/>
          <w:sz w:val="28"/>
          <w:szCs w:val="28"/>
          <w:lang w:eastAsia="es-MX"/>
        </w:rPr>
      </w:pPr>
    </w:p>
    <w:p w14:paraId="48B5D41F" w14:textId="77777777" w:rsidR="008A20AE" w:rsidRDefault="008A20AE" w:rsidP="00E462DD">
      <w:pPr>
        <w:spacing w:after="0" w:line="360" w:lineRule="auto"/>
        <w:rPr>
          <w:rFonts w:ascii="Calibri" w:eastAsia="Times New Roman" w:hAnsi="Calibri" w:cs="Calibri"/>
          <w:b/>
          <w:color w:val="000000"/>
          <w:sz w:val="28"/>
          <w:szCs w:val="28"/>
          <w:lang w:eastAsia="es-MX"/>
        </w:rPr>
      </w:pPr>
    </w:p>
    <w:p w14:paraId="0483A247" w14:textId="21B570D1" w:rsidR="00782BC3" w:rsidRPr="00782BC3" w:rsidRDefault="00782BC3" w:rsidP="00E462DD">
      <w:pPr>
        <w:spacing w:after="0" w:line="360" w:lineRule="auto"/>
        <w:rPr>
          <w:rFonts w:ascii="Calibri" w:eastAsia="Times New Roman" w:hAnsi="Calibri" w:cs="Calibri"/>
          <w:b/>
          <w:color w:val="000000"/>
          <w:sz w:val="28"/>
          <w:szCs w:val="28"/>
          <w:lang w:eastAsia="es-MX"/>
        </w:rPr>
      </w:pPr>
      <w:r w:rsidRPr="00782BC3">
        <w:rPr>
          <w:rFonts w:ascii="Calibri" w:eastAsia="Times New Roman" w:hAnsi="Calibri" w:cs="Calibri"/>
          <w:b/>
          <w:color w:val="000000"/>
          <w:sz w:val="28"/>
          <w:szCs w:val="28"/>
          <w:lang w:eastAsia="es-MX"/>
        </w:rPr>
        <w:lastRenderedPageBreak/>
        <w:t>Resumo</w:t>
      </w:r>
    </w:p>
    <w:p w14:paraId="1C281BE7" w14:textId="77777777" w:rsidR="00782BC3" w:rsidRPr="00782BC3" w:rsidRDefault="00782BC3" w:rsidP="00FB09F0">
      <w:pPr>
        <w:spacing w:after="0" w:line="360" w:lineRule="auto"/>
        <w:jc w:val="both"/>
        <w:rPr>
          <w:rFonts w:ascii="Times New Roman" w:hAnsi="Times New Roman" w:cs="Times New Roman"/>
          <w:lang w:val="en-US"/>
        </w:rPr>
      </w:pPr>
      <w:r w:rsidRPr="00782BC3">
        <w:rPr>
          <w:rFonts w:ascii="Times New Roman" w:hAnsi="Times New Roman" w:cs="Times New Roman"/>
          <w:lang w:val="en-US"/>
        </w:rPr>
        <w:t xml:space="preserve">O </w:t>
      </w:r>
      <w:proofErr w:type="spellStart"/>
      <w:r w:rsidRPr="00782BC3">
        <w:rPr>
          <w:rFonts w:ascii="Times New Roman" w:hAnsi="Times New Roman" w:cs="Times New Roman"/>
          <w:lang w:val="en-US"/>
        </w:rPr>
        <w:t>objetivo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desta</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investigação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foi</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avaliar</w:t>
      </w:r>
      <w:proofErr w:type="spellEnd"/>
      <w:r w:rsidRPr="00782BC3">
        <w:rPr>
          <w:rFonts w:ascii="Times New Roman" w:hAnsi="Times New Roman" w:cs="Times New Roman"/>
          <w:lang w:val="en-US"/>
        </w:rPr>
        <w:t xml:space="preserve"> as </w:t>
      </w:r>
      <w:proofErr w:type="spellStart"/>
      <w:r w:rsidRPr="00782BC3">
        <w:rPr>
          <w:rFonts w:ascii="Times New Roman" w:hAnsi="Times New Roman" w:cs="Times New Roman"/>
          <w:lang w:val="en-US"/>
        </w:rPr>
        <w:t>competências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genéricas</w:t>
      </w:r>
      <w:proofErr w:type="spellEnd"/>
      <w:r w:rsidRPr="00782BC3">
        <w:rPr>
          <w:rFonts w:ascii="Times New Roman" w:hAnsi="Times New Roman" w:cs="Times New Roman"/>
          <w:lang w:val="en-US"/>
        </w:rPr>
        <w:t xml:space="preserve"> dos </w:t>
      </w:r>
      <w:proofErr w:type="spellStart"/>
      <w:r w:rsidRPr="00782BC3">
        <w:rPr>
          <w:rFonts w:ascii="Times New Roman" w:hAnsi="Times New Roman" w:cs="Times New Roman"/>
          <w:lang w:val="en-US"/>
        </w:rPr>
        <w:t>alunos</w:t>
      </w:r>
      <w:proofErr w:type="spellEnd"/>
      <w:r w:rsidRPr="00782BC3">
        <w:rPr>
          <w:rFonts w:ascii="Times New Roman" w:hAnsi="Times New Roman" w:cs="Times New Roman"/>
          <w:lang w:val="en-US"/>
        </w:rPr>
        <w:t xml:space="preserve"> da </w:t>
      </w:r>
      <w:proofErr w:type="spellStart"/>
      <w:r w:rsidRPr="00782BC3">
        <w:rPr>
          <w:rFonts w:ascii="Times New Roman" w:hAnsi="Times New Roman" w:cs="Times New Roman"/>
          <w:lang w:val="en-US"/>
        </w:rPr>
        <w:t>modalidade</w:t>
      </w:r>
      <w:proofErr w:type="spellEnd"/>
      <w:r w:rsidRPr="00782BC3">
        <w:rPr>
          <w:rFonts w:ascii="Times New Roman" w:hAnsi="Times New Roman" w:cs="Times New Roman"/>
          <w:lang w:val="en-US"/>
        </w:rPr>
        <w:t xml:space="preserve"> on-line do Instituto </w:t>
      </w:r>
      <w:proofErr w:type="spellStart"/>
      <w:r w:rsidRPr="00782BC3">
        <w:rPr>
          <w:rFonts w:ascii="Times New Roman" w:hAnsi="Times New Roman" w:cs="Times New Roman"/>
          <w:lang w:val="en-US"/>
        </w:rPr>
        <w:t>Politécnico</w:t>
      </w:r>
      <w:proofErr w:type="spellEnd"/>
      <w:r w:rsidRPr="00782BC3">
        <w:rPr>
          <w:rFonts w:ascii="Times New Roman" w:hAnsi="Times New Roman" w:cs="Times New Roman"/>
          <w:lang w:val="en-US"/>
        </w:rPr>
        <w:t xml:space="preserve"> Nacional, </w:t>
      </w:r>
      <w:proofErr w:type="spellStart"/>
      <w:r w:rsidRPr="00782BC3">
        <w:rPr>
          <w:rFonts w:ascii="Times New Roman" w:hAnsi="Times New Roman" w:cs="Times New Roman"/>
          <w:lang w:val="en-US"/>
        </w:rPr>
        <w:t>particularmente</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na</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área</w:t>
      </w:r>
      <w:proofErr w:type="spellEnd"/>
      <w:r w:rsidRPr="00782BC3">
        <w:rPr>
          <w:rFonts w:ascii="Times New Roman" w:hAnsi="Times New Roman" w:cs="Times New Roman"/>
          <w:lang w:val="en-US"/>
        </w:rPr>
        <w:t xml:space="preserve"> de </w:t>
      </w:r>
      <w:proofErr w:type="spellStart"/>
      <w:r w:rsidRPr="00782BC3">
        <w:rPr>
          <w:rFonts w:ascii="Times New Roman" w:hAnsi="Times New Roman" w:cs="Times New Roman"/>
          <w:lang w:val="en-US"/>
        </w:rPr>
        <w:t>comércio</w:t>
      </w:r>
      <w:proofErr w:type="spellEnd"/>
      <w:r w:rsidRPr="00782BC3">
        <w:rPr>
          <w:rFonts w:ascii="Times New Roman" w:hAnsi="Times New Roman" w:cs="Times New Roman"/>
          <w:lang w:val="en-US"/>
        </w:rPr>
        <w:t xml:space="preserve"> e </w:t>
      </w:r>
      <w:proofErr w:type="spellStart"/>
      <w:r w:rsidRPr="00782BC3">
        <w:rPr>
          <w:rFonts w:ascii="Times New Roman" w:hAnsi="Times New Roman" w:cs="Times New Roman"/>
          <w:lang w:val="en-US"/>
        </w:rPr>
        <w:t>administração</w:t>
      </w:r>
      <w:proofErr w:type="spellEnd"/>
      <w:r w:rsidRPr="00782BC3">
        <w:rPr>
          <w:rFonts w:ascii="Times New Roman" w:hAnsi="Times New Roman" w:cs="Times New Roman"/>
          <w:lang w:val="en-US"/>
        </w:rPr>
        <w:t xml:space="preserve">. A </w:t>
      </w:r>
      <w:proofErr w:type="spellStart"/>
      <w:r w:rsidRPr="00782BC3">
        <w:rPr>
          <w:rFonts w:ascii="Times New Roman" w:hAnsi="Times New Roman" w:cs="Times New Roman"/>
          <w:lang w:val="en-US"/>
        </w:rPr>
        <w:t>metodologia</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utilizada</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foi</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quantitativa</w:t>
      </w:r>
      <w:proofErr w:type="spellEnd"/>
      <w:r w:rsidRPr="00782BC3">
        <w:rPr>
          <w:rFonts w:ascii="Times New Roman" w:hAnsi="Times New Roman" w:cs="Times New Roman"/>
          <w:lang w:val="en-US"/>
        </w:rPr>
        <w:t xml:space="preserve">, com </w:t>
      </w:r>
      <w:proofErr w:type="spellStart"/>
      <w:r w:rsidRPr="00782BC3">
        <w:rPr>
          <w:rFonts w:ascii="Times New Roman" w:hAnsi="Times New Roman" w:cs="Times New Roman"/>
          <w:lang w:val="en-US"/>
        </w:rPr>
        <w:t>escopo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descritivo</w:t>
      </w:r>
      <w:proofErr w:type="spellEnd"/>
      <w:r w:rsidRPr="00782BC3">
        <w:rPr>
          <w:rFonts w:ascii="Times New Roman" w:hAnsi="Times New Roman" w:cs="Times New Roman"/>
          <w:lang w:val="en-US"/>
        </w:rPr>
        <w:t xml:space="preserve">. E o </w:t>
      </w:r>
      <w:proofErr w:type="spellStart"/>
      <w:r w:rsidRPr="00782BC3">
        <w:rPr>
          <w:rFonts w:ascii="Times New Roman" w:hAnsi="Times New Roman" w:cs="Times New Roman"/>
          <w:lang w:val="en-US"/>
        </w:rPr>
        <w:t>instrumento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utilizado</w:t>
      </w:r>
      <w:proofErr w:type="spellEnd"/>
      <w:r w:rsidRPr="00782BC3">
        <w:rPr>
          <w:rFonts w:ascii="Times New Roman" w:hAnsi="Times New Roman" w:cs="Times New Roman"/>
          <w:lang w:val="en-US"/>
        </w:rPr>
        <w:t xml:space="preserve"> para </w:t>
      </w:r>
      <w:proofErr w:type="spellStart"/>
      <w:r w:rsidRPr="00782BC3">
        <w:rPr>
          <w:rFonts w:ascii="Times New Roman" w:hAnsi="Times New Roman" w:cs="Times New Roman"/>
          <w:lang w:val="en-US"/>
        </w:rPr>
        <w:t>obter</w:t>
      </w:r>
      <w:proofErr w:type="spellEnd"/>
      <w:r w:rsidRPr="00782BC3">
        <w:rPr>
          <w:rFonts w:ascii="Times New Roman" w:hAnsi="Times New Roman" w:cs="Times New Roman"/>
          <w:lang w:val="en-US"/>
        </w:rPr>
        <w:t xml:space="preserve"> as </w:t>
      </w:r>
      <w:proofErr w:type="spellStart"/>
      <w:r w:rsidRPr="00782BC3">
        <w:rPr>
          <w:rFonts w:ascii="Times New Roman" w:hAnsi="Times New Roman" w:cs="Times New Roman"/>
          <w:lang w:val="en-US"/>
        </w:rPr>
        <w:t>informações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foi</w:t>
      </w:r>
      <w:proofErr w:type="spellEnd"/>
      <w:r w:rsidRPr="00782BC3">
        <w:rPr>
          <w:rFonts w:ascii="Times New Roman" w:hAnsi="Times New Roman" w:cs="Times New Roman"/>
          <w:lang w:val="en-US"/>
        </w:rPr>
        <w:t xml:space="preserve"> um </w:t>
      </w:r>
      <w:proofErr w:type="spellStart"/>
      <w:r w:rsidRPr="00782BC3">
        <w:rPr>
          <w:rFonts w:ascii="Times New Roman" w:hAnsi="Times New Roman" w:cs="Times New Roman"/>
          <w:lang w:val="en-US"/>
        </w:rPr>
        <w:t>questionário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baseado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em</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uma</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escala</w:t>
      </w:r>
      <w:proofErr w:type="spellEnd"/>
      <w:r w:rsidRPr="00782BC3">
        <w:rPr>
          <w:rFonts w:ascii="Times New Roman" w:hAnsi="Times New Roman" w:cs="Times New Roman"/>
          <w:lang w:val="en-US"/>
        </w:rPr>
        <w:t xml:space="preserve"> Likert. A </w:t>
      </w:r>
      <w:proofErr w:type="spellStart"/>
      <w:r w:rsidRPr="00782BC3">
        <w:rPr>
          <w:rFonts w:ascii="Times New Roman" w:hAnsi="Times New Roman" w:cs="Times New Roman"/>
          <w:lang w:val="en-US"/>
        </w:rPr>
        <w:t>amostra</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foi</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composta</w:t>
      </w:r>
      <w:proofErr w:type="spellEnd"/>
      <w:r w:rsidRPr="00782BC3">
        <w:rPr>
          <w:rFonts w:ascii="Times New Roman" w:hAnsi="Times New Roman" w:cs="Times New Roman"/>
          <w:lang w:val="en-US"/>
        </w:rPr>
        <w:t xml:space="preserve"> por </w:t>
      </w:r>
      <w:proofErr w:type="spellStart"/>
      <w:r w:rsidRPr="00782BC3">
        <w:rPr>
          <w:rFonts w:ascii="Times New Roman" w:hAnsi="Times New Roman" w:cs="Times New Roman"/>
          <w:lang w:val="en-US"/>
        </w:rPr>
        <w:t>alunos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matriculados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nos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cursos</w:t>
      </w:r>
      <w:proofErr w:type="spellEnd"/>
      <w:r w:rsidRPr="00782BC3">
        <w:rPr>
          <w:rFonts w:ascii="Times New Roman" w:hAnsi="Times New Roman" w:cs="Times New Roman"/>
          <w:lang w:val="en-US"/>
        </w:rPr>
        <w:t xml:space="preserve"> de </w:t>
      </w:r>
      <w:proofErr w:type="spellStart"/>
      <w:r w:rsidRPr="00782BC3">
        <w:rPr>
          <w:rFonts w:ascii="Times New Roman" w:hAnsi="Times New Roman" w:cs="Times New Roman"/>
          <w:lang w:val="en-US"/>
        </w:rPr>
        <w:t>Bacharel</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em</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Administração</w:t>
      </w:r>
      <w:proofErr w:type="spellEnd"/>
      <w:r w:rsidRPr="00782BC3">
        <w:rPr>
          <w:rFonts w:ascii="Times New Roman" w:hAnsi="Times New Roman" w:cs="Times New Roman"/>
          <w:lang w:val="en-US"/>
        </w:rPr>
        <w:t xml:space="preserve"> e </w:t>
      </w:r>
      <w:proofErr w:type="spellStart"/>
      <w:r w:rsidRPr="00782BC3">
        <w:rPr>
          <w:rFonts w:ascii="Times New Roman" w:hAnsi="Times New Roman" w:cs="Times New Roman"/>
          <w:lang w:val="en-US"/>
        </w:rPr>
        <w:t>Desenvolvimento</w:t>
      </w:r>
      <w:proofErr w:type="spellEnd"/>
      <w:r w:rsidRPr="00782BC3">
        <w:rPr>
          <w:rFonts w:ascii="Times New Roman" w:hAnsi="Times New Roman" w:cs="Times New Roman"/>
          <w:lang w:val="en-US"/>
        </w:rPr>
        <w:t xml:space="preserve">, Contador </w:t>
      </w:r>
      <w:proofErr w:type="spellStart"/>
      <w:r w:rsidRPr="00782BC3">
        <w:rPr>
          <w:rFonts w:ascii="Times New Roman" w:hAnsi="Times New Roman" w:cs="Times New Roman"/>
          <w:lang w:val="en-US"/>
        </w:rPr>
        <w:t>Público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Negócios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Internacionais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Relações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Comerciais</w:t>
      </w:r>
      <w:proofErr w:type="spellEnd"/>
      <w:r w:rsidRPr="00782BC3">
        <w:rPr>
          <w:rFonts w:ascii="Times New Roman" w:hAnsi="Times New Roman" w:cs="Times New Roman"/>
          <w:lang w:val="en-US"/>
        </w:rPr>
        <w:t xml:space="preserve"> e </w:t>
      </w:r>
      <w:proofErr w:type="spellStart"/>
      <w:r w:rsidRPr="00782BC3">
        <w:rPr>
          <w:rFonts w:ascii="Times New Roman" w:hAnsi="Times New Roman" w:cs="Times New Roman"/>
          <w:lang w:val="en-US"/>
        </w:rPr>
        <w:t>Comércio</w:t>
      </w:r>
      <w:proofErr w:type="spellEnd"/>
      <w:r w:rsidRPr="00782BC3">
        <w:rPr>
          <w:rFonts w:ascii="Times New Roman" w:hAnsi="Times New Roman" w:cs="Times New Roman"/>
          <w:lang w:val="en-US"/>
        </w:rPr>
        <w:t xml:space="preserve"> Exterior; </w:t>
      </w:r>
      <w:proofErr w:type="spellStart"/>
      <w:r w:rsidRPr="00782BC3">
        <w:rPr>
          <w:rFonts w:ascii="Times New Roman" w:hAnsi="Times New Roman" w:cs="Times New Roman"/>
          <w:lang w:val="en-US"/>
        </w:rPr>
        <w:t>tudo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oferecido</w:t>
      </w:r>
      <w:proofErr w:type="spellEnd"/>
      <w:r w:rsidRPr="00782BC3">
        <w:rPr>
          <w:rFonts w:ascii="Times New Roman" w:hAnsi="Times New Roman" w:cs="Times New Roman"/>
          <w:lang w:val="en-US"/>
        </w:rPr>
        <w:t xml:space="preserve"> pela Escola Superior de </w:t>
      </w:r>
      <w:proofErr w:type="spellStart"/>
      <w:r w:rsidRPr="00782BC3">
        <w:rPr>
          <w:rFonts w:ascii="Times New Roman" w:hAnsi="Times New Roman" w:cs="Times New Roman"/>
          <w:lang w:val="en-US"/>
        </w:rPr>
        <w:t>Comércio</w:t>
      </w:r>
      <w:proofErr w:type="spellEnd"/>
      <w:r w:rsidRPr="00782BC3">
        <w:rPr>
          <w:rFonts w:ascii="Times New Roman" w:hAnsi="Times New Roman" w:cs="Times New Roman"/>
          <w:lang w:val="en-US"/>
        </w:rPr>
        <w:t xml:space="preserve"> e </w:t>
      </w:r>
      <w:proofErr w:type="spellStart"/>
      <w:r w:rsidRPr="00782BC3">
        <w:rPr>
          <w:rFonts w:ascii="Times New Roman" w:hAnsi="Times New Roman" w:cs="Times New Roman"/>
          <w:lang w:val="en-US"/>
        </w:rPr>
        <w:t>Administração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Unidade</w:t>
      </w:r>
      <w:proofErr w:type="spellEnd"/>
      <w:r w:rsidRPr="00782BC3">
        <w:rPr>
          <w:rFonts w:ascii="Times New Roman" w:hAnsi="Times New Roman" w:cs="Times New Roman"/>
          <w:lang w:val="en-US"/>
        </w:rPr>
        <w:t xml:space="preserve"> Santo Tomás, da </w:t>
      </w:r>
      <w:proofErr w:type="spellStart"/>
      <w:r w:rsidRPr="00782BC3">
        <w:rPr>
          <w:rFonts w:ascii="Times New Roman" w:hAnsi="Times New Roman" w:cs="Times New Roman"/>
          <w:lang w:val="en-US"/>
        </w:rPr>
        <w:t>referida</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instituição</w:t>
      </w:r>
      <w:proofErr w:type="spellEnd"/>
      <w:r w:rsidRPr="00782BC3">
        <w:rPr>
          <w:rFonts w:ascii="Times New Roman" w:hAnsi="Times New Roman" w:cs="Times New Roman"/>
          <w:lang w:val="en-US"/>
        </w:rPr>
        <w:t xml:space="preserve">. A </w:t>
      </w:r>
      <w:proofErr w:type="spellStart"/>
      <w:r w:rsidRPr="00782BC3">
        <w:rPr>
          <w:rFonts w:ascii="Times New Roman" w:hAnsi="Times New Roman" w:cs="Times New Roman"/>
          <w:lang w:val="en-US"/>
        </w:rPr>
        <w:t>distribuição</w:t>
      </w:r>
      <w:proofErr w:type="spellEnd"/>
      <w:r w:rsidRPr="00782BC3">
        <w:rPr>
          <w:rFonts w:ascii="Times New Roman" w:hAnsi="Times New Roman" w:cs="Times New Roman"/>
          <w:lang w:val="en-US"/>
        </w:rPr>
        <w:t xml:space="preserve"> da </w:t>
      </w:r>
      <w:proofErr w:type="spellStart"/>
      <w:r w:rsidRPr="00782BC3">
        <w:rPr>
          <w:rFonts w:ascii="Times New Roman" w:hAnsi="Times New Roman" w:cs="Times New Roman"/>
          <w:lang w:val="en-US"/>
        </w:rPr>
        <w:t>amostra</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em</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relação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ao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gênero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foi</w:t>
      </w:r>
      <w:proofErr w:type="spellEnd"/>
      <w:r w:rsidRPr="00782BC3">
        <w:rPr>
          <w:rFonts w:ascii="Times New Roman" w:hAnsi="Times New Roman" w:cs="Times New Roman"/>
          <w:lang w:val="en-US"/>
        </w:rPr>
        <w:t xml:space="preserve"> de 82% das </w:t>
      </w:r>
      <w:proofErr w:type="spellStart"/>
      <w:r w:rsidRPr="00782BC3">
        <w:rPr>
          <w:rFonts w:ascii="Times New Roman" w:hAnsi="Times New Roman" w:cs="Times New Roman"/>
          <w:lang w:val="en-US"/>
        </w:rPr>
        <w:t>mulheres</w:t>
      </w:r>
      <w:proofErr w:type="spellEnd"/>
      <w:r w:rsidRPr="00782BC3">
        <w:rPr>
          <w:rFonts w:ascii="Times New Roman" w:hAnsi="Times New Roman" w:cs="Times New Roman"/>
          <w:lang w:val="en-US"/>
        </w:rPr>
        <w:t xml:space="preserve"> e a </w:t>
      </w:r>
      <w:proofErr w:type="spellStart"/>
      <w:r w:rsidRPr="00782BC3">
        <w:rPr>
          <w:rFonts w:ascii="Times New Roman" w:hAnsi="Times New Roman" w:cs="Times New Roman"/>
          <w:lang w:val="en-US"/>
        </w:rPr>
        <w:t>porcentagem</w:t>
      </w:r>
      <w:proofErr w:type="spellEnd"/>
      <w:r w:rsidRPr="00782BC3">
        <w:rPr>
          <w:rFonts w:ascii="Times New Roman" w:hAnsi="Times New Roman" w:cs="Times New Roman"/>
          <w:lang w:val="en-US"/>
        </w:rPr>
        <w:t xml:space="preserve"> restante de </w:t>
      </w:r>
      <w:proofErr w:type="spellStart"/>
      <w:r w:rsidRPr="00782BC3">
        <w:rPr>
          <w:rFonts w:ascii="Times New Roman" w:hAnsi="Times New Roman" w:cs="Times New Roman"/>
          <w:lang w:val="en-US"/>
        </w:rPr>
        <w:t>homens</w:t>
      </w:r>
      <w:proofErr w:type="spellEnd"/>
      <w:r w:rsidRPr="00782BC3">
        <w:rPr>
          <w:rFonts w:ascii="Times New Roman" w:hAnsi="Times New Roman" w:cs="Times New Roman"/>
          <w:lang w:val="en-US"/>
        </w:rPr>
        <w:t xml:space="preserve"> (18%). Para </w:t>
      </w:r>
      <w:proofErr w:type="spellStart"/>
      <w:r w:rsidRPr="00782BC3">
        <w:rPr>
          <w:rFonts w:ascii="Times New Roman" w:hAnsi="Times New Roman" w:cs="Times New Roman"/>
          <w:lang w:val="en-US"/>
        </w:rPr>
        <w:t>organizar</w:t>
      </w:r>
      <w:proofErr w:type="spellEnd"/>
      <w:r w:rsidRPr="00782BC3">
        <w:rPr>
          <w:rFonts w:ascii="Times New Roman" w:hAnsi="Times New Roman" w:cs="Times New Roman"/>
          <w:lang w:val="en-US"/>
        </w:rPr>
        <w:t xml:space="preserve"> e </w:t>
      </w:r>
      <w:proofErr w:type="spellStart"/>
      <w:r w:rsidRPr="00782BC3">
        <w:rPr>
          <w:rFonts w:ascii="Times New Roman" w:hAnsi="Times New Roman" w:cs="Times New Roman"/>
          <w:lang w:val="en-US"/>
        </w:rPr>
        <w:t>analisar</w:t>
      </w:r>
      <w:proofErr w:type="spellEnd"/>
      <w:r w:rsidRPr="00782BC3">
        <w:rPr>
          <w:rFonts w:ascii="Times New Roman" w:hAnsi="Times New Roman" w:cs="Times New Roman"/>
          <w:lang w:val="en-US"/>
        </w:rPr>
        <w:t xml:space="preserve"> as </w:t>
      </w:r>
      <w:proofErr w:type="spellStart"/>
      <w:r w:rsidRPr="00782BC3">
        <w:rPr>
          <w:rFonts w:ascii="Times New Roman" w:hAnsi="Times New Roman" w:cs="Times New Roman"/>
          <w:lang w:val="en-US"/>
        </w:rPr>
        <w:t>informações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foram</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utilizadas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estatísticas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descritivas</w:t>
      </w:r>
      <w:proofErr w:type="spellEnd"/>
      <w:r w:rsidRPr="00782BC3">
        <w:rPr>
          <w:rFonts w:ascii="Times New Roman" w:hAnsi="Times New Roman" w:cs="Times New Roman"/>
          <w:lang w:val="en-US"/>
        </w:rPr>
        <w:t xml:space="preserve"> e </w:t>
      </w:r>
      <w:proofErr w:type="spellStart"/>
      <w:r w:rsidRPr="00782BC3">
        <w:rPr>
          <w:rFonts w:ascii="Times New Roman" w:hAnsi="Times New Roman" w:cs="Times New Roman"/>
          <w:lang w:val="en-US"/>
        </w:rPr>
        <w:t>inferenciais</w:t>
      </w:r>
      <w:proofErr w:type="spellEnd"/>
      <w:r w:rsidRPr="00782BC3">
        <w:rPr>
          <w:rFonts w:ascii="Times New Roman" w:hAnsi="Times New Roman" w:cs="Times New Roman"/>
          <w:lang w:val="en-US"/>
        </w:rPr>
        <w:t>.</w:t>
      </w:r>
    </w:p>
    <w:p w14:paraId="49C32484" w14:textId="77777777" w:rsidR="00782BC3" w:rsidRPr="00782BC3" w:rsidRDefault="00782BC3" w:rsidP="00FB09F0">
      <w:pPr>
        <w:spacing w:after="0" w:line="360" w:lineRule="auto"/>
        <w:jc w:val="both"/>
        <w:rPr>
          <w:rFonts w:ascii="Times New Roman" w:hAnsi="Times New Roman" w:cs="Times New Roman"/>
          <w:lang w:val="en-US"/>
        </w:rPr>
      </w:pPr>
      <w:proofErr w:type="spellStart"/>
      <w:r w:rsidRPr="00782BC3">
        <w:rPr>
          <w:rFonts w:ascii="Times New Roman" w:hAnsi="Times New Roman" w:cs="Times New Roman"/>
          <w:lang w:val="en-US"/>
        </w:rPr>
        <w:t>Os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principais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resultados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foram</w:t>
      </w:r>
      <w:proofErr w:type="spellEnd"/>
      <w:r w:rsidRPr="00782BC3">
        <w:rPr>
          <w:rFonts w:ascii="Times New Roman" w:hAnsi="Times New Roman" w:cs="Times New Roman"/>
          <w:lang w:val="en-US"/>
        </w:rPr>
        <w:t xml:space="preserve"> que </w:t>
      </w:r>
      <w:proofErr w:type="spellStart"/>
      <w:r w:rsidRPr="00782BC3">
        <w:rPr>
          <w:rFonts w:ascii="Times New Roman" w:hAnsi="Times New Roman" w:cs="Times New Roman"/>
          <w:lang w:val="en-US"/>
        </w:rPr>
        <w:t>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aluno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possui</w:t>
      </w:r>
      <w:proofErr w:type="spellEnd"/>
      <w:r w:rsidRPr="00782BC3">
        <w:rPr>
          <w:rFonts w:ascii="Times New Roman" w:hAnsi="Times New Roman" w:cs="Times New Roman"/>
          <w:lang w:val="en-US"/>
        </w:rPr>
        <w:t xml:space="preserve"> um </w:t>
      </w:r>
      <w:proofErr w:type="spellStart"/>
      <w:r w:rsidRPr="00782BC3">
        <w:rPr>
          <w:rFonts w:ascii="Times New Roman" w:hAnsi="Times New Roman" w:cs="Times New Roman"/>
          <w:lang w:val="en-US"/>
        </w:rPr>
        <w:t>nível</w:t>
      </w:r>
      <w:proofErr w:type="spellEnd"/>
      <w:r w:rsidRPr="00782BC3">
        <w:rPr>
          <w:rFonts w:ascii="Times New Roman" w:hAnsi="Times New Roman" w:cs="Times New Roman"/>
          <w:lang w:val="en-US"/>
        </w:rPr>
        <w:t xml:space="preserve"> de </w:t>
      </w:r>
      <w:proofErr w:type="spellStart"/>
      <w:r w:rsidRPr="00782BC3">
        <w:rPr>
          <w:rFonts w:ascii="Times New Roman" w:hAnsi="Times New Roman" w:cs="Times New Roman"/>
          <w:lang w:val="en-US"/>
        </w:rPr>
        <w:t>proficiência</w:t>
      </w:r>
      <w:proofErr w:type="spellEnd"/>
      <w:r w:rsidRPr="00782BC3">
        <w:rPr>
          <w:rFonts w:ascii="Times New Roman" w:hAnsi="Times New Roman" w:cs="Times New Roman"/>
          <w:lang w:val="en-US"/>
        </w:rPr>
        <w:t xml:space="preserve"> de </w:t>
      </w:r>
      <w:proofErr w:type="spellStart"/>
      <w:r w:rsidRPr="00782BC3">
        <w:rPr>
          <w:rFonts w:ascii="Times New Roman" w:hAnsi="Times New Roman" w:cs="Times New Roman"/>
          <w:lang w:val="en-US"/>
        </w:rPr>
        <w:t>insuficiente</w:t>
      </w:r>
      <w:proofErr w:type="spellEnd"/>
      <w:r w:rsidRPr="00782BC3">
        <w:rPr>
          <w:rFonts w:ascii="Times New Roman" w:hAnsi="Times New Roman" w:cs="Times New Roman"/>
          <w:lang w:val="en-US"/>
        </w:rPr>
        <w:t xml:space="preserve"> a </w:t>
      </w:r>
      <w:proofErr w:type="spellStart"/>
      <w:r w:rsidRPr="00782BC3">
        <w:rPr>
          <w:rFonts w:ascii="Times New Roman" w:hAnsi="Times New Roman" w:cs="Times New Roman"/>
          <w:lang w:val="en-US"/>
        </w:rPr>
        <w:t>moderado</w:t>
      </w:r>
      <w:proofErr w:type="spellEnd"/>
      <w:r w:rsidRPr="00782BC3">
        <w:rPr>
          <w:rFonts w:ascii="Times New Roman" w:hAnsi="Times New Roman" w:cs="Times New Roman"/>
          <w:lang w:val="en-US"/>
        </w:rPr>
        <w:t xml:space="preserve"> para as </w:t>
      </w:r>
      <w:proofErr w:type="spellStart"/>
      <w:r w:rsidRPr="00782BC3">
        <w:rPr>
          <w:rFonts w:ascii="Times New Roman" w:hAnsi="Times New Roman" w:cs="Times New Roman"/>
          <w:lang w:val="en-US"/>
        </w:rPr>
        <w:t>habilidades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genéricas</w:t>
      </w:r>
      <w:proofErr w:type="spellEnd"/>
      <w:r w:rsidRPr="00782BC3">
        <w:rPr>
          <w:rFonts w:ascii="Times New Roman" w:hAnsi="Times New Roman" w:cs="Times New Roman"/>
          <w:lang w:val="en-US"/>
        </w:rPr>
        <w:t xml:space="preserve"> do </w:t>
      </w:r>
      <w:proofErr w:type="spellStart"/>
      <w:r w:rsidRPr="00782BC3">
        <w:rPr>
          <w:rFonts w:ascii="Times New Roman" w:hAnsi="Times New Roman" w:cs="Times New Roman"/>
          <w:lang w:val="en-US"/>
        </w:rPr>
        <w:t>tipo</w:t>
      </w:r>
      <w:proofErr w:type="spellEnd"/>
      <w:r w:rsidRPr="00782BC3">
        <w:rPr>
          <w:rFonts w:ascii="Times New Roman" w:hAnsi="Times New Roman" w:cs="Times New Roman"/>
          <w:lang w:val="en-US"/>
        </w:rPr>
        <w:t xml:space="preserve"> instrumental, </w:t>
      </w:r>
      <w:proofErr w:type="spellStart"/>
      <w:r w:rsidRPr="00782BC3">
        <w:rPr>
          <w:rFonts w:ascii="Times New Roman" w:hAnsi="Times New Roman" w:cs="Times New Roman"/>
          <w:lang w:val="en-US"/>
        </w:rPr>
        <w:t>interpessoal</w:t>
      </w:r>
      <w:proofErr w:type="spellEnd"/>
      <w:r w:rsidRPr="00782BC3">
        <w:rPr>
          <w:rFonts w:ascii="Times New Roman" w:hAnsi="Times New Roman" w:cs="Times New Roman"/>
          <w:lang w:val="en-US"/>
        </w:rPr>
        <w:t xml:space="preserve"> e </w:t>
      </w:r>
      <w:proofErr w:type="spellStart"/>
      <w:r w:rsidRPr="00782BC3">
        <w:rPr>
          <w:rFonts w:ascii="Times New Roman" w:hAnsi="Times New Roman" w:cs="Times New Roman"/>
          <w:lang w:val="en-US"/>
        </w:rPr>
        <w:t>sistêmico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Diferenças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estatisticamente</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significativas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também</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foram</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encontradas</w:t>
      </w:r>
      <w:proofErr w:type="spellEnd"/>
      <w:r w:rsidRPr="00782BC3">
        <w:rPr>
          <w:rFonts w:ascii="Times New Roman" w:hAnsi="Times New Roman" w:cs="Times New Roman"/>
          <w:lang w:val="en-US"/>
        </w:rPr>
        <w:t xml:space="preserve"> por </w:t>
      </w:r>
      <w:proofErr w:type="spellStart"/>
      <w:r w:rsidRPr="00782BC3">
        <w:rPr>
          <w:rFonts w:ascii="Times New Roman" w:hAnsi="Times New Roman" w:cs="Times New Roman"/>
          <w:lang w:val="en-US"/>
        </w:rPr>
        <w:t>gênero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idade</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experiência</w:t>
      </w:r>
      <w:proofErr w:type="spellEnd"/>
      <w:r w:rsidRPr="00782BC3">
        <w:rPr>
          <w:rFonts w:ascii="Times New Roman" w:hAnsi="Times New Roman" w:cs="Times New Roman"/>
          <w:lang w:val="en-US"/>
        </w:rPr>
        <w:t xml:space="preserve"> de </w:t>
      </w:r>
      <w:proofErr w:type="spellStart"/>
      <w:r w:rsidRPr="00782BC3">
        <w:rPr>
          <w:rFonts w:ascii="Times New Roman" w:hAnsi="Times New Roman" w:cs="Times New Roman"/>
          <w:lang w:val="en-US"/>
        </w:rPr>
        <w:t>trabalho</w:t>
      </w:r>
      <w:proofErr w:type="spellEnd"/>
      <w:r w:rsidRPr="00782BC3">
        <w:rPr>
          <w:rFonts w:ascii="Times New Roman" w:hAnsi="Times New Roman" w:cs="Times New Roman"/>
          <w:lang w:val="en-US"/>
        </w:rPr>
        <w:t xml:space="preserve"> e </w:t>
      </w:r>
      <w:proofErr w:type="spellStart"/>
      <w:r w:rsidRPr="00782BC3">
        <w:rPr>
          <w:rFonts w:ascii="Times New Roman" w:hAnsi="Times New Roman" w:cs="Times New Roman"/>
          <w:lang w:val="en-US"/>
        </w:rPr>
        <w:t>nível</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acadêmico</w:t>
      </w:r>
      <w:proofErr w:type="spellEnd"/>
      <w:r w:rsidRPr="00782BC3">
        <w:rPr>
          <w:rFonts w:ascii="Times New Roman" w:hAnsi="Times New Roman" w:cs="Times New Roman"/>
          <w:lang w:val="en-US"/>
        </w:rPr>
        <w:t>.</w:t>
      </w:r>
    </w:p>
    <w:p w14:paraId="57439172" w14:textId="2C218AAE" w:rsidR="00782BC3" w:rsidRDefault="00782BC3" w:rsidP="00782BC3">
      <w:pPr>
        <w:spacing w:after="0" w:line="360" w:lineRule="auto"/>
        <w:rPr>
          <w:rFonts w:ascii="Times New Roman" w:hAnsi="Times New Roman" w:cs="Times New Roman"/>
          <w:lang w:val="en-US"/>
        </w:rPr>
      </w:pPr>
      <w:r w:rsidRPr="00782BC3">
        <w:rPr>
          <w:rFonts w:ascii="Calibri" w:eastAsia="Times New Roman" w:hAnsi="Calibri" w:cs="Calibri"/>
          <w:b/>
          <w:color w:val="000000"/>
          <w:sz w:val="28"/>
          <w:szCs w:val="28"/>
          <w:lang w:eastAsia="es-MX"/>
        </w:rPr>
        <w:t>Palavras-chave:</w:t>
      </w:r>
      <w:r w:rsidRPr="00782BC3">
        <w:rPr>
          <w:rFonts w:ascii="Times New Roman" w:hAnsi="Times New Roman" w:cs="Times New Roman"/>
          <w:lang w:val="en-US"/>
        </w:rPr>
        <w:t xml:space="preserve"> competências </w:t>
      </w:r>
      <w:proofErr w:type="spellStart"/>
      <w:r w:rsidRPr="00782BC3">
        <w:rPr>
          <w:rFonts w:ascii="Times New Roman" w:hAnsi="Times New Roman" w:cs="Times New Roman"/>
          <w:lang w:val="en-US"/>
        </w:rPr>
        <w:t>genéricas</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corpo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discente</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avaliação</w:t>
      </w:r>
      <w:proofErr w:type="spellEnd"/>
      <w:r w:rsidRPr="00782BC3">
        <w:rPr>
          <w:rFonts w:ascii="Times New Roman" w:hAnsi="Times New Roman" w:cs="Times New Roman"/>
          <w:lang w:val="en-US"/>
        </w:rPr>
        <w:t xml:space="preserve">, </w:t>
      </w:r>
      <w:proofErr w:type="spellStart"/>
      <w:r w:rsidRPr="00782BC3">
        <w:rPr>
          <w:rFonts w:ascii="Times New Roman" w:hAnsi="Times New Roman" w:cs="Times New Roman"/>
          <w:lang w:val="en-US"/>
        </w:rPr>
        <w:t>nível</w:t>
      </w:r>
      <w:proofErr w:type="spellEnd"/>
      <w:r w:rsidRPr="00782BC3">
        <w:rPr>
          <w:rFonts w:ascii="Times New Roman" w:hAnsi="Times New Roman" w:cs="Times New Roman"/>
          <w:lang w:val="en-US"/>
        </w:rPr>
        <w:t xml:space="preserve"> de </w:t>
      </w:r>
      <w:proofErr w:type="spellStart"/>
      <w:r w:rsidRPr="00782BC3">
        <w:rPr>
          <w:rFonts w:ascii="Times New Roman" w:hAnsi="Times New Roman" w:cs="Times New Roman"/>
          <w:lang w:val="en-US"/>
        </w:rPr>
        <w:t>proficiência</w:t>
      </w:r>
      <w:proofErr w:type="spellEnd"/>
      <w:r w:rsidRPr="00782BC3">
        <w:rPr>
          <w:rFonts w:ascii="Times New Roman" w:hAnsi="Times New Roman" w:cs="Times New Roman"/>
          <w:lang w:val="en-US"/>
        </w:rPr>
        <w:t>.</w:t>
      </w:r>
    </w:p>
    <w:p w14:paraId="0A4E2999" w14:textId="6D78C106" w:rsidR="00782BC3" w:rsidRDefault="00782BC3" w:rsidP="00782BC3">
      <w:pPr>
        <w:spacing w:before="120" w:after="240"/>
        <w:jc w:val="both"/>
      </w:pPr>
      <w:r w:rsidRPr="006B5799">
        <w:rPr>
          <w:rFonts w:ascii="Times New Roman" w:hAnsi="Times New Roman" w:cs="Times New Roman"/>
          <w:b/>
          <w:color w:val="000000"/>
        </w:rPr>
        <w:t>Fecha Recepción:</w:t>
      </w:r>
      <w:r w:rsidRPr="006B5799">
        <w:rPr>
          <w:rFonts w:ascii="Times New Roman" w:hAnsi="Times New Roman" w:cs="Times New Roman"/>
          <w:color w:val="000000"/>
        </w:rPr>
        <w:t xml:space="preserve"> </w:t>
      </w:r>
      <w:r>
        <w:rPr>
          <w:rFonts w:ascii="Times New Roman" w:hAnsi="Times New Roman" w:cs="Times New Roman"/>
          <w:color w:val="000000"/>
        </w:rPr>
        <w:t>Junio</w:t>
      </w:r>
      <w:r w:rsidRPr="006B5799">
        <w:rPr>
          <w:rFonts w:ascii="Times New Roman" w:hAnsi="Times New Roman" w:cs="Times New Roman"/>
          <w:color w:val="000000"/>
        </w:rPr>
        <w:t xml:space="preserve"> 201</w:t>
      </w:r>
      <w:r>
        <w:rPr>
          <w:rFonts w:ascii="Times New Roman" w:hAnsi="Times New Roman" w:cs="Times New Roman"/>
          <w:color w:val="000000"/>
        </w:rPr>
        <w:t>8</w:t>
      </w:r>
      <w:r w:rsidRPr="006B5799">
        <w:rPr>
          <w:rFonts w:ascii="Times New Roman" w:hAnsi="Times New Roman" w:cs="Times New Roman"/>
          <w:color w:val="000000"/>
        </w:rPr>
        <w:t xml:space="preserve">                                    </w:t>
      </w:r>
      <w:r w:rsidRPr="006B5799">
        <w:rPr>
          <w:rFonts w:ascii="Times New Roman" w:hAnsi="Times New Roman" w:cs="Times New Roman"/>
          <w:b/>
          <w:color w:val="000000"/>
        </w:rPr>
        <w:t>Fecha Aceptación:</w:t>
      </w:r>
      <w:r w:rsidRPr="006B5799">
        <w:rPr>
          <w:rFonts w:ascii="Times New Roman" w:hAnsi="Times New Roman" w:cs="Times New Roman"/>
          <w:color w:val="000000"/>
        </w:rPr>
        <w:t xml:space="preserve"> </w:t>
      </w:r>
      <w:r>
        <w:rPr>
          <w:rFonts w:ascii="Times New Roman" w:hAnsi="Times New Roman" w:cs="Times New Roman"/>
          <w:color w:val="000000"/>
        </w:rPr>
        <w:t>Noviembre</w:t>
      </w:r>
      <w:r w:rsidR="00FB09F0">
        <w:rPr>
          <w:rFonts w:ascii="Times New Roman" w:hAnsi="Times New Roman" w:cs="Times New Roman"/>
          <w:color w:val="000000"/>
        </w:rPr>
        <w:t xml:space="preserve"> </w:t>
      </w:r>
      <w:r w:rsidRPr="006B5799">
        <w:rPr>
          <w:rFonts w:ascii="Times New Roman" w:hAnsi="Times New Roman" w:cs="Times New Roman"/>
          <w:color w:val="000000"/>
        </w:rPr>
        <w:t>2018</w:t>
      </w:r>
      <w:r>
        <w:rPr>
          <w:color w:val="000000"/>
        </w:rPr>
        <w:br/>
      </w:r>
      <w:r w:rsidR="007B7597">
        <w:pict w14:anchorId="583F2A7F">
          <v:rect id="_x0000_i1025" style="width:446.5pt;height:1.5pt" o:hralign="center" o:hrstd="t" o:hr="t" fillcolor="#a0a0a0" stroked="f"/>
        </w:pict>
      </w:r>
    </w:p>
    <w:p w14:paraId="723D5C57" w14:textId="77777777" w:rsidR="00782BC3" w:rsidRPr="00152F2D" w:rsidRDefault="00782BC3" w:rsidP="00782BC3">
      <w:pPr>
        <w:spacing w:after="0" w:line="360" w:lineRule="auto"/>
        <w:rPr>
          <w:rFonts w:ascii="Times New Roman" w:hAnsi="Times New Roman" w:cs="Times New Roman"/>
          <w:lang w:val="en-US"/>
        </w:rPr>
      </w:pPr>
    </w:p>
    <w:p w14:paraId="1000D876" w14:textId="532518F3" w:rsidR="00D853BC" w:rsidRPr="00782BC3" w:rsidRDefault="005602F1" w:rsidP="00E462DD">
      <w:pPr>
        <w:spacing w:after="0" w:line="360" w:lineRule="auto"/>
        <w:rPr>
          <w:rFonts w:ascii="Calibri" w:eastAsia="Times New Roman" w:hAnsi="Calibri" w:cs="Calibri"/>
          <w:b/>
          <w:color w:val="000000"/>
          <w:sz w:val="28"/>
          <w:szCs w:val="28"/>
          <w:lang w:eastAsia="es-MX"/>
        </w:rPr>
      </w:pPr>
      <w:r w:rsidRPr="00782BC3">
        <w:rPr>
          <w:rFonts w:ascii="Calibri" w:eastAsia="Times New Roman" w:hAnsi="Calibri" w:cs="Calibri"/>
          <w:b/>
          <w:color w:val="000000"/>
          <w:sz w:val="28"/>
          <w:szCs w:val="28"/>
          <w:lang w:eastAsia="es-MX"/>
        </w:rPr>
        <w:t xml:space="preserve">Introducción </w:t>
      </w:r>
    </w:p>
    <w:p w14:paraId="5A575FF8" w14:textId="411C770A" w:rsidR="00FB4766" w:rsidRDefault="005378F3">
      <w:pPr>
        <w:spacing w:after="0" w:line="360" w:lineRule="auto"/>
        <w:ind w:firstLine="708"/>
        <w:jc w:val="both"/>
        <w:rPr>
          <w:rFonts w:ascii="Times New Roman" w:hAnsi="Times New Roman" w:cs="Times New Roman"/>
          <w:lang w:val="es-ES"/>
        </w:rPr>
      </w:pPr>
      <w:r>
        <w:rPr>
          <w:rFonts w:ascii="Times New Roman" w:hAnsi="Times New Roman" w:cs="Times New Roman"/>
        </w:rPr>
        <w:t>La</w:t>
      </w:r>
      <w:r w:rsidR="0046564D" w:rsidRPr="00152F2D">
        <w:rPr>
          <w:rFonts w:ascii="Times New Roman" w:hAnsi="Times New Roman" w:cs="Times New Roman"/>
          <w:lang w:val="es-ES"/>
        </w:rPr>
        <w:t xml:space="preserve"> </w:t>
      </w:r>
      <w:r w:rsidR="005F3F14" w:rsidRPr="00152F2D">
        <w:rPr>
          <w:rFonts w:ascii="Times New Roman" w:hAnsi="Times New Roman" w:cs="Times New Roman"/>
        </w:rPr>
        <w:t>Organización de las Naciones Unidas para la Educ</w:t>
      </w:r>
      <w:r w:rsidR="00AB47B3">
        <w:rPr>
          <w:rFonts w:ascii="Times New Roman" w:hAnsi="Times New Roman" w:cs="Times New Roman"/>
        </w:rPr>
        <w:t>ación, la Ciencia y la Cultura [</w:t>
      </w:r>
      <w:r w:rsidR="00F402DD" w:rsidRPr="00152F2D">
        <w:rPr>
          <w:rFonts w:ascii="Times New Roman" w:hAnsi="Times New Roman" w:cs="Times New Roman"/>
          <w:lang w:val="es-ES"/>
        </w:rPr>
        <w:t>U</w:t>
      </w:r>
      <w:r w:rsidR="00F402DD">
        <w:rPr>
          <w:rFonts w:ascii="Times New Roman" w:hAnsi="Times New Roman" w:cs="Times New Roman"/>
          <w:lang w:val="es-ES"/>
        </w:rPr>
        <w:t>nesco</w:t>
      </w:r>
      <w:r w:rsidR="00AB47B3">
        <w:rPr>
          <w:rFonts w:ascii="Times New Roman" w:hAnsi="Times New Roman" w:cs="Times New Roman"/>
          <w:lang w:val="es-ES"/>
        </w:rPr>
        <w:t>]</w:t>
      </w:r>
      <w:r w:rsidR="005F3F14" w:rsidRPr="00152F2D">
        <w:rPr>
          <w:rFonts w:ascii="Times New Roman" w:hAnsi="Times New Roman" w:cs="Times New Roman"/>
          <w:lang w:val="es-ES"/>
        </w:rPr>
        <w:t xml:space="preserve"> </w:t>
      </w:r>
      <w:r w:rsidR="00AB47B3">
        <w:rPr>
          <w:rFonts w:ascii="Times New Roman" w:hAnsi="Times New Roman" w:cs="Times New Roman"/>
          <w:lang w:val="es-ES"/>
        </w:rPr>
        <w:t>(</w:t>
      </w:r>
      <w:r w:rsidR="00FF0944" w:rsidRPr="00152F2D">
        <w:rPr>
          <w:rFonts w:ascii="Times New Roman" w:hAnsi="Times New Roman" w:cs="Times New Roman"/>
          <w:lang w:val="es-ES"/>
        </w:rPr>
        <w:t>2009)</w:t>
      </w:r>
      <w:r w:rsidR="0046564D" w:rsidRPr="00152F2D">
        <w:rPr>
          <w:rFonts w:ascii="Times New Roman" w:hAnsi="Times New Roman" w:cs="Times New Roman"/>
          <w:lang w:val="es-ES"/>
        </w:rPr>
        <w:t>,</w:t>
      </w:r>
      <w:r w:rsidR="00184139" w:rsidRPr="00152F2D">
        <w:rPr>
          <w:rFonts w:ascii="Times New Roman" w:hAnsi="Times New Roman" w:cs="Times New Roman"/>
          <w:lang w:val="es-ES"/>
        </w:rPr>
        <w:t xml:space="preserve"> </w:t>
      </w:r>
      <w:r w:rsidR="005F3F14" w:rsidRPr="00152F2D">
        <w:rPr>
          <w:rFonts w:ascii="Times New Roman" w:hAnsi="Times New Roman" w:cs="Times New Roman"/>
          <w:lang w:val="es-ES"/>
        </w:rPr>
        <w:t>la Organización</w:t>
      </w:r>
      <w:r w:rsidR="00AB47B3">
        <w:rPr>
          <w:rFonts w:ascii="Times New Roman" w:hAnsi="Times New Roman" w:cs="Times New Roman"/>
          <w:lang w:val="es-ES"/>
        </w:rPr>
        <w:t xml:space="preserve"> Internacional del Trabajo [OIT]</w:t>
      </w:r>
      <w:r w:rsidR="005F3F14" w:rsidRPr="00152F2D">
        <w:rPr>
          <w:rFonts w:ascii="Times New Roman" w:hAnsi="Times New Roman" w:cs="Times New Roman"/>
          <w:lang w:val="es-ES"/>
        </w:rPr>
        <w:t xml:space="preserve"> </w:t>
      </w:r>
      <w:r w:rsidR="00AB47B3">
        <w:rPr>
          <w:rFonts w:ascii="Times New Roman" w:hAnsi="Times New Roman" w:cs="Times New Roman"/>
          <w:lang w:val="es-ES"/>
        </w:rPr>
        <w:t>(</w:t>
      </w:r>
      <w:r w:rsidR="00184139" w:rsidRPr="00152F2D">
        <w:rPr>
          <w:rFonts w:ascii="Times New Roman" w:hAnsi="Times New Roman" w:cs="Times New Roman"/>
          <w:lang w:val="es-ES"/>
        </w:rPr>
        <w:t xml:space="preserve">2008) y </w:t>
      </w:r>
      <w:r w:rsidR="005F3F14" w:rsidRPr="00152F2D">
        <w:rPr>
          <w:rFonts w:ascii="Times New Roman" w:hAnsi="Times New Roman" w:cs="Times New Roman"/>
          <w:lang w:val="es-ES"/>
        </w:rPr>
        <w:t xml:space="preserve">la Organización </w:t>
      </w:r>
      <w:r w:rsidR="005F3F14" w:rsidRPr="00152F2D">
        <w:rPr>
          <w:rFonts w:ascii="Times New Roman" w:hAnsi="Times New Roman" w:cs="Times New Roman"/>
        </w:rPr>
        <w:t>para la Coopera</w:t>
      </w:r>
      <w:r w:rsidR="00AB47B3">
        <w:rPr>
          <w:rFonts w:ascii="Times New Roman" w:hAnsi="Times New Roman" w:cs="Times New Roman"/>
        </w:rPr>
        <w:t>ción y el Desarrollo Económico [</w:t>
      </w:r>
      <w:r w:rsidR="00C802D0" w:rsidRPr="00152F2D">
        <w:rPr>
          <w:rFonts w:ascii="Times New Roman" w:hAnsi="Times New Roman" w:cs="Times New Roman"/>
          <w:lang w:val="es-ES"/>
        </w:rPr>
        <w:t>OECD</w:t>
      </w:r>
      <w:r w:rsidR="00AB47B3">
        <w:rPr>
          <w:rFonts w:ascii="Times New Roman" w:hAnsi="Times New Roman" w:cs="Times New Roman"/>
          <w:lang w:val="es-ES"/>
        </w:rPr>
        <w:t>]</w:t>
      </w:r>
      <w:r w:rsidR="005F3F14" w:rsidRPr="00152F2D">
        <w:rPr>
          <w:rFonts w:ascii="Times New Roman" w:hAnsi="Times New Roman" w:cs="Times New Roman"/>
          <w:lang w:val="es-ES"/>
        </w:rPr>
        <w:t xml:space="preserve"> </w:t>
      </w:r>
      <w:r w:rsidR="00AB47B3">
        <w:rPr>
          <w:rFonts w:ascii="Times New Roman" w:hAnsi="Times New Roman" w:cs="Times New Roman"/>
          <w:lang w:val="es-ES"/>
        </w:rPr>
        <w:t>(</w:t>
      </w:r>
      <w:r w:rsidR="00184139" w:rsidRPr="00152F2D">
        <w:rPr>
          <w:rFonts w:ascii="Times New Roman" w:hAnsi="Times New Roman" w:cs="Times New Roman"/>
          <w:lang w:val="es-ES"/>
        </w:rPr>
        <w:t>2000)</w:t>
      </w:r>
      <w:r>
        <w:rPr>
          <w:rFonts w:ascii="Times New Roman" w:hAnsi="Times New Roman" w:cs="Times New Roman"/>
          <w:lang w:val="es-ES"/>
        </w:rPr>
        <w:t>, entre otros organismos internacionales,</w:t>
      </w:r>
      <w:r w:rsidR="00C802D0" w:rsidRPr="00152F2D">
        <w:rPr>
          <w:rFonts w:ascii="Times New Roman" w:hAnsi="Times New Roman" w:cs="Times New Roman"/>
          <w:lang w:val="es-ES"/>
        </w:rPr>
        <w:t xml:space="preserve"> han postulado como factor estratégico </w:t>
      </w:r>
      <w:r>
        <w:rPr>
          <w:rFonts w:ascii="Times New Roman" w:hAnsi="Times New Roman" w:cs="Times New Roman"/>
          <w:lang w:val="es-ES"/>
        </w:rPr>
        <w:t xml:space="preserve">de desarrollo </w:t>
      </w:r>
      <w:r w:rsidR="00C802D0" w:rsidRPr="00152F2D">
        <w:rPr>
          <w:rFonts w:ascii="Times New Roman" w:hAnsi="Times New Roman" w:cs="Times New Roman"/>
          <w:lang w:val="es-ES"/>
        </w:rPr>
        <w:t>a la educación</w:t>
      </w:r>
      <w:r w:rsidR="00A527C5">
        <w:rPr>
          <w:rFonts w:ascii="Times New Roman" w:hAnsi="Times New Roman" w:cs="Times New Roman"/>
          <w:lang w:val="es-ES"/>
        </w:rPr>
        <w:t xml:space="preserve">. </w:t>
      </w:r>
      <w:r w:rsidR="00324C41">
        <w:rPr>
          <w:rFonts w:ascii="Times New Roman" w:hAnsi="Times New Roman" w:cs="Times New Roman"/>
          <w:lang w:val="es-ES"/>
        </w:rPr>
        <w:t>En consecuencia,</w:t>
      </w:r>
      <w:r w:rsidR="00C802D0" w:rsidRPr="00152F2D">
        <w:rPr>
          <w:rFonts w:ascii="Times New Roman" w:hAnsi="Times New Roman" w:cs="Times New Roman"/>
          <w:lang w:val="es-ES"/>
        </w:rPr>
        <w:t xml:space="preserve"> </w:t>
      </w:r>
      <w:r w:rsidR="0012258E">
        <w:rPr>
          <w:rFonts w:ascii="Times New Roman" w:hAnsi="Times New Roman" w:cs="Times New Roman"/>
          <w:lang w:val="es-ES"/>
        </w:rPr>
        <w:t>países alrededor del mundo</w:t>
      </w:r>
      <w:r w:rsidR="00C802D0" w:rsidRPr="00152F2D">
        <w:rPr>
          <w:rFonts w:ascii="Times New Roman" w:hAnsi="Times New Roman" w:cs="Times New Roman"/>
          <w:lang w:val="es-ES"/>
        </w:rPr>
        <w:t xml:space="preserve"> han implementado una serie de políticas destinadas a co</w:t>
      </w:r>
      <w:r w:rsidR="00915241" w:rsidRPr="00152F2D">
        <w:rPr>
          <w:rFonts w:ascii="Times New Roman" w:hAnsi="Times New Roman" w:cs="Times New Roman"/>
          <w:lang w:val="es-ES"/>
        </w:rPr>
        <w:t xml:space="preserve">nsolidarla mediante un enfoque basado en </w:t>
      </w:r>
      <w:r w:rsidR="00C802D0" w:rsidRPr="00152F2D">
        <w:rPr>
          <w:rFonts w:ascii="Times New Roman" w:hAnsi="Times New Roman" w:cs="Times New Roman"/>
          <w:lang w:val="es-ES"/>
        </w:rPr>
        <w:t xml:space="preserve">competencias. </w:t>
      </w:r>
      <w:r w:rsidR="00700273">
        <w:rPr>
          <w:rFonts w:ascii="Times New Roman" w:hAnsi="Times New Roman" w:cs="Times New Roman"/>
          <w:lang w:val="es-ES"/>
        </w:rPr>
        <w:t xml:space="preserve">Como lo confirman Ehrlich, Li </w:t>
      </w:r>
      <w:r w:rsidR="00A527C5">
        <w:rPr>
          <w:rFonts w:ascii="Times New Roman" w:hAnsi="Times New Roman" w:cs="Times New Roman"/>
          <w:lang w:val="es-ES"/>
        </w:rPr>
        <w:t>y</w:t>
      </w:r>
      <w:r w:rsidR="00A527C5" w:rsidRPr="00152F2D">
        <w:rPr>
          <w:rFonts w:ascii="Times New Roman" w:hAnsi="Times New Roman" w:cs="Times New Roman"/>
          <w:lang w:val="es-ES"/>
        </w:rPr>
        <w:t xml:space="preserve"> </w:t>
      </w:r>
      <w:r w:rsidR="00C85A65" w:rsidRPr="00152F2D">
        <w:rPr>
          <w:rFonts w:ascii="Times New Roman" w:hAnsi="Times New Roman" w:cs="Times New Roman"/>
          <w:lang w:val="es-ES"/>
        </w:rPr>
        <w:t xml:space="preserve">Liu (2017), la inversión en </w:t>
      </w:r>
      <w:r w:rsidR="008C1DE7">
        <w:rPr>
          <w:rFonts w:ascii="Times New Roman" w:hAnsi="Times New Roman" w:cs="Times New Roman"/>
          <w:lang w:val="es-ES"/>
        </w:rPr>
        <w:t xml:space="preserve">el </w:t>
      </w:r>
      <w:r w:rsidR="00C85A65" w:rsidRPr="00152F2D">
        <w:rPr>
          <w:rFonts w:ascii="Times New Roman" w:hAnsi="Times New Roman" w:cs="Times New Roman"/>
          <w:lang w:val="es-ES"/>
        </w:rPr>
        <w:t xml:space="preserve">capital humano </w:t>
      </w:r>
      <w:r w:rsidR="0010704B" w:rsidRPr="00152F2D">
        <w:rPr>
          <w:rFonts w:ascii="Times New Roman" w:hAnsi="Times New Roman" w:cs="Times New Roman"/>
          <w:lang w:val="es-ES"/>
        </w:rPr>
        <w:t xml:space="preserve">impulsa el crecimiento endógeno al generar incrementos constantes en la producción, una </w:t>
      </w:r>
      <w:r w:rsidR="0012258E">
        <w:rPr>
          <w:rFonts w:ascii="Times New Roman" w:hAnsi="Times New Roman" w:cs="Times New Roman"/>
          <w:lang w:val="es-ES"/>
        </w:rPr>
        <w:t xml:space="preserve">mayor </w:t>
      </w:r>
      <w:r w:rsidR="0010704B" w:rsidRPr="00152F2D">
        <w:rPr>
          <w:rFonts w:ascii="Times New Roman" w:hAnsi="Times New Roman" w:cs="Times New Roman"/>
          <w:lang w:val="es-ES"/>
        </w:rPr>
        <w:t>eficiencia en las cadenas productivas</w:t>
      </w:r>
      <w:r w:rsidR="00D632A6" w:rsidRPr="00152F2D">
        <w:rPr>
          <w:rFonts w:ascii="Times New Roman" w:hAnsi="Times New Roman" w:cs="Times New Roman"/>
          <w:lang w:val="es-ES"/>
        </w:rPr>
        <w:t>, una maximización en la cadena de valor</w:t>
      </w:r>
      <w:r w:rsidR="0010704B" w:rsidRPr="00152F2D">
        <w:rPr>
          <w:rFonts w:ascii="Times New Roman" w:hAnsi="Times New Roman" w:cs="Times New Roman"/>
          <w:lang w:val="es-ES"/>
        </w:rPr>
        <w:t xml:space="preserve"> y logros superiores en las organizaciones. </w:t>
      </w:r>
    </w:p>
    <w:p w14:paraId="0B7CEC2E" w14:textId="6B8FDCBD" w:rsidR="00184139" w:rsidRPr="00152F2D" w:rsidRDefault="00FB4766" w:rsidP="00A46CA7">
      <w:pPr>
        <w:spacing w:after="0"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Teniendo en cuenta lo anterior</w:t>
      </w:r>
      <w:r w:rsidR="00D632A6" w:rsidRPr="00152F2D">
        <w:rPr>
          <w:rFonts w:ascii="Times New Roman" w:hAnsi="Times New Roman" w:cs="Times New Roman"/>
          <w:lang w:val="es-ES"/>
        </w:rPr>
        <w:t xml:space="preserve">, </w:t>
      </w:r>
      <w:r w:rsidR="00A46CA7">
        <w:rPr>
          <w:rFonts w:ascii="Times New Roman" w:hAnsi="Times New Roman" w:cs="Times New Roman"/>
          <w:lang w:val="es-ES"/>
        </w:rPr>
        <w:t>instituciones de</w:t>
      </w:r>
      <w:r w:rsidR="00D632A6" w:rsidRPr="00152F2D">
        <w:rPr>
          <w:rFonts w:ascii="Times New Roman" w:hAnsi="Times New Roman" w:cs="Times New Roman"/>
          <w:lang w:val="es-ES"/>
        </w:rPr>
        <w:t xml:space="preserve"> educación superior </w:t>
      </w:r>
      <w:r w:rsidR="008C1DE7">
        <w:rPr>
          <w:rFonts w:ascii="Times New Roman" w:hAnsi="Times New Roman" w:cs="Times New Roman"/>
          <w:lang w:val="es-ES"/>
        </w:rPr>
        <w:t>de varias latitudes emprendieron un proceso de</w:t>
      </w:r>
      <w:r w:rsidR="00D632A6" w:rsidRPr="00152F2D">
        <w:rPr>
          <w:rFonts w:ascii="Times New Roman" w:hAnsi="Times New Roman" w:cs="Times New Roman"/>
          <w:lang w:val="es-ES"/>
        </w:rPr>
        <w:t xml:space="preserve"> revisión </w:t>
      </w:r>
      <w:r w:rsidR="00A46CA7">
        <w:rPr>
          <w:rFonts w:ascii="Times New Roman" w:hAnsi="Times New Roman" w:cs="Times New Roman"/>
          <w:lang w:val="es-ES"/>
        </w:rPr>
        <w:t>curricular para contribuir</w:t>
      </w:r>
      <w:r w:rsidR="00D632A6" w:rsidRPr="00152F2D">
        <w:rPr>
          <w:rFonts w:ascii="Times New Roman" w:hAnsi="Times New Roman" w:cs="Times New Roman"/>
          <w:lang w:val="es-ES"/>
        </w:rPr>
        <w:t xml:space="preserve"> a la formación de profesionales autónomos y con una capacidad crítica, reflexiva y analítica</w:t>
      </w:r>
      <w:r w:rsidR="00DB1E74" w:rsidRPr="00152F2D">
        <w:rPr>
          <w:rFonts w:ascii="Times New Roman" w:hAnsi="Times New Roman" w:cs="Times New Roman"/>
          <w:lang w:val="es-ES"/>
        </w:rPr>
        <w:t xml:space="preserve"> que les permita aprovechar, discriminar y procesar la información disponible (</w:t>
      </w:r>
      <w:r w:rsidR="0058150D" w:rsidRPr="00152F2D">
        <w:rPr>
          <w:rFonts w:ascii="Times New Roman" w:hAnsi="Times New Roman" w:cs="Times New Roman"/>
        </w:rPr>
        <w:t>Cor</w:t>
      </w:r>
      <w:r w:rsidR="00700273">
        <w:rPr>
          <w:rFonts w:ascii="Times New Roman" w:hAnsi="Times New Roman" w:cs="Times New Roman"/>
        </w:rPr>
        <w:t xml:space="preserve">onado y Estévez, 2016; </w:t>
      </w:r>
      <w:proofErr w:type="spellStart"/>
      <w:r w:rsidR="00700273">
        <w:rPr>
          <w:rFonts w:ascii="Times New Roman" w:hAnsi="Times New Roman" w:cs="Times New Roman"/>
        </w:rPr>
        <w:t>Akareem</w:t>
      </w:r>
      <w:proofErr w:type="spellEnd"/>
      <w:r w:rsidR="00700273">
        <w:rPr>
          <w:rFonts w:ascii="Times New Roman" w:hAnsi="Times New Roman" w:cs="Times New Roman"/>
        </w:rPr>
        <w:t xml:space="preserve"> </w:t>
      </w:r>
      <w:r w:rsidR="006D3246">
        <w:rPr>
          <w:rFonts w:ascii="Times New Roman" w:hAnsi="Times New Roman" w:cs="Times New Roman"/>
        </w:rPr>
        <w:t>y</w:t>
      </w:r>
      <w:r w:rsidR="006D3246" w:rsidRPr="00152F2D">
        <w:rPr>
          <w:rFonts w:ascii="Times New Roman" w:hAnsi="Times New Roman" w:cs="Times New Roman"/>
        </w:rPr>
        <w:t xml:space="preserve"> </w:t>
      </w:r>
      <w:proofErr w:type="spellStart"/>
      <w:r w:rsidR="0058150D" w:rsidRPr="00152F2D">
        <w:rPr>
          <w:rFonts w:ascii="Times New Roman" w:hAnsi="Times New Roman" w:cs="Times New Roman"/>
        </w:rPr>
        <w:t>Hossain</w:t>
      </w:r>
      <w:proofErr w:type="spellEnd"/>
      <w:r w:rsidR="0058150D" w:rsidRPr="00152F2D">
        <w:rPr>
          <w:rFonts w:ascii="Times New Roman" w:hAnsi="Times New Roman" w:cs="Times New Roman"/>
        </w:rPr>
        <w:t xml:space="preserve">, 2012; </w:t>
      </w:r>
      <w:r w:rsidR="00DB1E74" w:rsidRPr="00152F2D">
        <w:rPr>
          <w:rFonts w:ascii="Times New Roman" w:hAnsi="Times New Roman" w:cs="Times New Roman"/>
          <w:lang w:val="es-ES"/>
        </w:rPr>
        <w:t>Vázquez, 2009</w:t>
      </w:r>
      <w:r w:rsidR="006D3246">
        <w:rPr>
          <w:rFonts w:ascii="Times New Roman" w:hAnsi="Times New Roman" w:cs="Times New Roman"/>
          <w:lang w:val="es-ES"/>
        </w:rPr>
        <w:t>;</w:t>
      </w:r>
      <w:r w:rsidR="00DB1E74" w:rsidRPr="00152F2D">
        <w:rPr>
          <w:rFonts w:ascii="Times New Roman" w:hAnsi="Times New Roman" w:cs="Times New Roman"/>
          <w:lang w:val="es-ES"/>
        </w:rPr>
        <w:t xml:space="preserve"> León, 2004).</w:t>
      </w:r>
      <w:r w:rsidR="00AA7EC1" w:rsidRPr="00152F2D">
        <w:rPr>
          <w:rFonts w:ascii="Times New Roman" w:hAnsi="Times New Roman" w:cs="Times New Roman"/>
          <w:lang w:val="es-ES"/>
        </w:rPr>
        <w:t xml:space="preserve"> </w:t>
      </w:r>
      <w:r w:rsidR="00FF0944" w:rsidRPr="00152F2D">
        <w:rPr>
          <w:rFonts w:ascii="Times New Roman" w:hAnsi="Times New Roman" w:cs="Times New Roman"/>
          <w:lang w:val="es-ES"/>
        </w:rPr>
        <w:t>Así,</w:t>
      </w:r>
      <w:r w:rsidR="006D3246">
        <w:rPr>
          <w:rFonts w:ascii="Times New Roman" w:hAnsi="Times New Roman" w:cs="Times New Roman"/>
          <w:lang w:val="es-ES"/>
        </w:rPr>
        <w:t xml:space="preserve"> pues,</w:t>
      </w:r>
      <w:r w:rsidR="00FF0944" w:rsidRPr="00152F2D">
        <w:rPr>
          <w:rFonts w:ascii="Times New Roman" w:hAnsi="Times New Roman" w:cs="Times New Roman"/>
          <w:lang w:val="es-ES"/>
        </w:rPr>
        <w:t xml:space="preserve"> e</w:t>
      </w:r>
      <w:r w:rsidR="00756444" w:rsidRPr="00152F2D">
        <w:rPr>
          <w:rFonts w:ascii="Times New Roman" w:hAnsi="Times New Roman" w:cs="Times New Roman"/>
          <w:lang w:val="es-ES"/>
        </w:rPr>
        <w:t>l enfoque basado en competencias tiene el propósito de sintonizar los programas de educación superior con las necesidades del medio, el sector productivo nacional y la inserción internacional a partir de una visión holística e integral del proceso educativo</w:t>
      </w:r>
      <w:r w:rsidR="00302C3E">
        <w:rPr>
          <w:rFonts w:ascii="Times New Roman" w:hAnsi="Times New Roman" w:cs="Times New Roman"/>
          <w:lang w:val="es-ES"/>
        </w:rPr>
        <w:t>, la cual, cabe señalar,</w:t>
      </w:r>
      <w:r w:rsidR="00756444" w:rsidRPr="00152F2D">
        <w:rPr>
          <w:rFonts w:ascii="Times New Roman" w:hAnsi="Times New Roman" w:cs="Times New Roman"/>
          <w:lang w:val="es-ES"/>
        </w:rPr>
        <w:t xml:space="preserve"> implica un cambio en los roles</w:t>
      </w:r>
      <w:r w:rsidR="008C1DE7">
        <w:rPr>
          <w:rFonts w:ascii="Times New Roman" w:hAnsi="Times New Roman" w:cs="Times New Roman"/>
          <w:lang w:val="es-ES"/>
        </w:rPr>
        <w:t xml:space="preserve"> tradicionales</w:t>
      </w:r>
      <w:r w:rsidR="00756444" w:rsidRPr="00152F2D">
        <w:rPr>
          <w:rFonts w:ascii="Times New Roman" w:hAnsi="Times New Roman" w:cs="Times New Roman"/>
          <w:lang w:val="es-ES"/>
        </w:rPr>
        <w:t xml:space="preserve"> del profesorado y </w:t>
      </w:r>
      <w:r w:rsidR="00302C3E">
        <w:rPr>
          <w:rFonts w:ascii="Times New Roman" w:hAnsi="Times New Roman" w:cs="Times New Roman"/>
          <w:lang w:val="es-ES"/>
        </w:rPr>
        <w:t xml:space="preserve">el </w:t>
      </w:r>
      <w:r w:rsidR="00756444" w:rsidRPr="00152F2D">
        <w:rPr>
          <w:rFonts w:ascii="Times New Roman" w:hAnsi="Times New Roman" w:cs="Times New Roman"/>
          <w:lang w:val="es-ES"/>
        </w:rPr>
        <w:t>alumnad</w:t>
      </w:r>
      <w:r w:rsidR="008C1DE7">
        <w:rPr>
          <w:rFonts w:ascii="Times New Roman" w:hAnsi="Times New Roman" w:cs="Times New Roman"/>
          <w:lang w:val="es-ES"/>
        </w:rPr>
        <w:t>o</w:t>
      </w:r>
      <w:r w:rsidR="00756444" w:rsidRPr="00152F2D">
        <w:rPr>
          <w:rFonts w:ascii="Times New Roman" w:hAnsi="Times New Roman" w:cs="Times New Roman"/>
          <w:lang w:val="es-ES"/>
        </w:rPr>
        <w:t xml:space="preserve">, así como </w:t>
      </w:r>
      <w:r w:rsidR="00A979AD">
        <w:rPr>
          <w:rFonts w:ascii="Times New Roman" w:hAnsi="Times New Roman" w:cs="Times New Roman"/>
          <w:lang w:val="es-ES"/>
        </w:rPr>
        <w:t xml:space="preserve">la necesidad de </w:t>
      </w:r>
      <w:r w:rsidR="00756444" w:rsidRPr="00152F2D">
        <w:rPr>
          <w:rFonts w:ascii="Times New Roman" w:hAnsi="Times New Roman" w:cs="Times New Roman"/>
          <w:lang w:val="es-ES"/>
        </w:rPr>
        <w:t>propiciar la pertinencia social en la formación de los p</w:t>
      </w:r>
      <w:r w:rsidR="001E7BF7" w:rsidRPr="00152F2D">
        <w:rPr>
          <w:rFonts w:ascii="Times New Roman" w:hAnsi="Times New Roman" w:cs="Times New Roman"/>
          <w:lang w:val="es-ES"/>
        </w:rPr>
        <w:t xml:space="preserve">rofesionales (Camperos, 2007). </w:t>
      </w:r>
      <w:r w:rsidR="00302C3E">
        <w:rPr>
          <w:rFonts w:ascii="Times New Roman" w:hAnsi="Times New Roman" w:cs="Times New Roman"/>
          <w:lang w:val="es-ES"/>
        </w:rPr>
        <w:t>De acuerdo con</w:t>
      </w:r>
      <w:r w:rsidR="00915241" w:rsidRPr="00152F2D">
        <w:rPr>
          <w:rFonts w:ascii="Times New Roman" w:hAnsi="Times New Roman" w:cs="Times New Roman"/>
          <w:lang w:val="es-ES"/>
        </w:rPr>
        <w:t xml:space="preserve"> la OECD (2012</w:t>
      </w:r>
      <w:r w:rsidR="00031863" w:rsidRPr="00152F2D">
        <w:rPr>
          <w:rFonts w:ascii="Times New Roman" w:hAnsi="Times New Roman" w:cs="Times New Roman"/>
          <w:lang w:val="es-ES"/>
        </w:rPr>
        <w:t xml:space="preserve">): </w:t>
      </w:r>
    </w:p>
    <w:p w14:paraId="527D54DC" w14:textId="517DC054" w:rsidR="007154BA" w:rsidRPr="00152F2D" w:rsidRDefault="00031863" w:rsidP="00E462DD">
      <w:pPr>
        <w:spacing w:after="0" w:line="360" w:lineRule="auto"/>
        <w:ind w:left="709" w:hanging="1"/>
        <w:jc w:val="both"/>
        <w:rPr>
          <w:rFonts w:ascii="Times New Roman" w:hAnsi="Times New Roman" w:cs="Times New Roman"/>
          <w:lang w:val="es-ES"/>
        </w:rPr>
      </w:pPr>
      <w:r w:rsidRPr="00152F2D">
        <w:rPr>
          <w:rFonts w:ascii="Times New Roman" w:hAnsi="Times New Roman" w:cs="Times New Roman"/>
          <w:lang w:val="es-ES"/>
        </w:rPr>
        <w:t>Las competencias transforman vidas e impulsan economías. Sin las competencias correctas, las personas permanecen al margen de la sociedad, el progreso tecnológico no se traduce en crecimiento económico y los países no pueden competir en las economías y tampoco incrementar su participación en la generación</w:t>
      </w:r>
      <w:r w:rsidR="00915241" w:rsidRPr="00152F2D">
        <w:rPr>
          <w:rFonts w:ascii="Times New Roman" w:hAnsi="Times New Roman" w:cs="Times New Roman"/>
          <w:lang w:val="es-ES"/>
        </w:rPr>
        <w:t xml:space="preserve"> de conocimiento en la sociedad</w:t>
      </w:r>
      <w:r w:rsidR="00302C3E">
        <w:rPr>
          <w:rFonts w:ascii="Times New Roman" w:hAnsi="Times New Roman" w:cs="Times New Roman"/>
          <w:lang w:val="es-ES"/>
        </w:rPr>
        <w:t xml:space="preserve"> (</w:t>
      </w:r>
      <w:r w:rsidR="00302C3E" w:rsidRPr="00152F2D">
        <w:rPr>
          <w:rFonts w:ascii="Times New Roman" w:hAnsi="Times New Roman" w:cs="Times New Roman"/>
          <w:lang w:val="es-ES"/>
        </w:rPr>
        <w:t>p. 10</w:t>
      </w:r>
      <w:r w:rsidR="00302C3E">
        <w:rPr>
          <w:rFonts w:ascii="Times New Roman" w:hAnsi="Times New Roman" w:cs="Times New Roman"/>
          <w:lang w:val="es-ES"/>
        </w:rPr>
        <w:t>)</w:t>
      </w:r>
      <w:r w:rsidRPr="00152F2D">
        <w:rPr>
          <w:rFonts w:ascii="Times New Roman" w:hAnsi="Times New Roman" w:cs="Times New Roman"/>
          <w:lang w:val="es-ES"/>
        </w:rPr>
        <w:t>.</w:t>
      </w:r>
    </w:p>
    <w:p w14:paraId="5BF216AA" w14:textId="6F708175" w:rsidR="0028658A" w:rsidRDefault="00150E24" w:rsidP="00CB2807">
      <w:pPr>
        <w:spacing w:after="0" w:line="360" w:lineRule="auto"/>
        <w:ind w:firstLine="708"/>
        <w:jc w:val="both"/>
        <w:rPr>
          <w:rFonts w:ascii="Times New Roman" w:hAnsi="Times New Roman" w:cs="Times New Roman"/>
          <w:lang w:val="es-ES"/>
        </w:rPr>
      </w:pPr>
      <w:r w:rsidRPr="00152F2D">
        <w:rPr>
          <w:rFonts w:ascii="Times New Roman" w:hAnsi="Times New Roman" w:cs="Times New Roman"/>
          <w:lang w:val="es-ES"/>
        </w:rPr>
        <w:t>De este modo, ser competente incluye el saber, saber hacer, saber ser y saber estar</w:t>
      </w:r>
      <w:r w:rsidR="0028658A">
        <w:rPr>
          <w:rFonts w:ascii="Times New Roman" w:hAnsi="Times New Roman" w:cs="Times New Roman"/>
          <w:lang w:val="es-ES"/>
        </w:rPr>
        <w:t>,</w:t>
      </w:r>
      <w:r w:rsidRPr="00152F2D">
        <w:rPr>
          <w:rFonts w:ascii="Times New Roman" w:hAnsi="Times New Roman" w:cs="Times New Roman"/>
          <w:lang w:val="es-ES"/>
        </w:rPr>
        <w:t xml:space="preserve"> </w:t>
      </w:r>
      <w:r w:rsidR="0028658A">
        <w:rPr>
          <w:rFonts w:ascii="Times New Roman" w:hAnsi="Times New Roman" w:cs="Times New Roman"/>
          <w:lang w:val="es-ES"/>
        </w:rPr>
        <w:t>variables todas ellas implicadas en el</w:t>
      </w:r>
      <w:r w:rsidRPr="00152F2D">
        <w:rPr>
          <w:rFonts w:ascii="Times New Roman" w:hAnsi="Times New Roman" w:cs="Times New Roman"/>
          <w:lang w:val="es-ES"/>
        </w:rPr>
        <w:t xml:space="preserve"> ejercicio profesional (Le </w:t>
      </w:r>
      <w:proofErr w:type="spellStart"/>
      <w:r w:rsidRPr="00152F2D">
        <w:rPr>
          <w:rFonts w:ascii="Times New Roman" w:hAnsi="Times New Roman" w:cs="Times New Roman"/>
          <w:lang w:val="es-ES"/>
        </w:rPr>
        <w:t>Boterf</w:t>
      </w:r>
      <w:proofErr w:type="spellEnd"/>
      <w:r w:rsidRPr="00152F2D">
        <w:rPr>
          <w:rFonts w:ascii="Times New Roman" w:hAnsi="Times New Roman" w:cs="Times New Roman"/>
          <w:lang w:val="es-ES"/>
        </w:rPr>
        <w:t xml:space="preserve">, 2010; </w:t>
      </w:r>
      <w:r w:rsidR="00700273">
        <w:rPr>
          <w:rFonts w:ascii="Times New Roman" w:hAnsi="Times New Roman" w:cs="Times New Roman"/>
        </w:rPr>
        <w:t xml:space="preserve">Grossmana, </w:t>
      </w:r>
      <w:proofErr w:type="spellStart"/>
      <w:r w:rsidR="00700273">
        <w:rPr>
          <w:rFonts w:ascii="Times New Roman" w:hAnsi="Times New Roman" w:cs="Times New Roman"/>
        </w:rPr>
        <w:t>Hammerness</w:t>
      </w:r>
      <w:proofErr w:type="spellEnd"/>
      <w:r w:rsidR="00700273">
        <w:rPr>
          <w:rFonts w:ascii="Times New Roman" w:hAnsi="Times New Roman" w:cs="Times New Roman"/>
        </w:rPr>
        <w:t xml:space="preserve"> </w:t>
      </w:r>
      <w:r w:rsidR="00302C3E">
        <w:rPr>
          <w:rFonts w:ascii="Times New Roman" w:hAnsi="Times New Roman" w:cs="Times New Roman"/>
        </w:rPr>
        <w:t xml:space="preserve">y </w:t>
      </w:r>
      <w:r w:rsidRPr="00152F2D">
        <w:rPr>
          <w:rFonts w:ascii="Times New Roman" w:hAnsi="Times New Roman" w:cs="Times New Roman"/>
        </w:rPr>
        <w:t xml:space="preserve">McDonald, 2009). </w:t>
      </w:r>
      <w:r w:rsidR="008B3578">
        <w:rPr>
          <w:rFonts w:ascii="Times New Roman" w:hAnsi="Times New Roman" w:cs="Times New Roman"/>
          <w:lang w:val="es-ES"/>
        </w:rPr>
        <w:t>Asimismo</w:t>
      </w:r>
      <w:r w:rsidRPr="00152F2D">
        <w:rPr>
          <w:rFonts w:ascii="Times New Roman" w:hAnsi="Times New Roman" w:cs="Times New Roman"/>
          <w:lang w:val="es-ES"/>
        </w:rPr>
        <w:t>, este concepto</w:t>
      </w:r>
      <w:r w:rsidR="008B3578">
        <w:rPr>
          <w:rFonts w:ascii="Times New Roman" w:hAnsi="Times New Roman" w:cs="Times New Roman"/>
          <w:lang w:val="es-ES"/>
        </w:rPr>
        <w:t>, el de la competencia,</w:t>
      </w:r>
      <w:r w:rsidRPr="00152F2D">
        <w:rPr>
          <w:rFonts w:ascii="Times New Roman" w:hAnsi="Times New Roman" w:cs="Times New Roman"/>
          <w:lang w:val="es-ES"/>
        </w:rPr>
        <w:t xml:space="preserve"> hace referencia a un “conjunto de conocimientos, procedimientos y actitudes combinados, coordinados e integrados en el ejercicio profesional, definibles en la acción, donde la experiencia se muestra como ineludible y el contexto</w:t>
      </w:r>
      <w:r w:rsidR="00915241" w:rsidRPr="00152F2D">
        <w:rPr>
          <w:rFonts w:ascii="Times New Roman" w:hAnsi="Times New Roman" w:cs="Times New Roman"/>
          <w:lang w:val="es-ES"/>
        </w:rPr>
        <w:t xml:space="preserve"> es clave” (Tejada y Ruiz, 2016, p. </w:t>
      </w:r>
      <w:r w:rsidRPr="00152F2D">
        <w:rPr>
          <w:rFonts w:ascii="Times New Roman" w:hAnsi="Times New Roman" w:cs="Times New Roman"/>
          <w:lang w:val="es-ES"/>
        </w:rPr>
        <w:t>3)</w:t>
      </w:r>
      <w:r w:rsidR="00B871F2" w:rsidRPr="00152F2D">
        <w:rPr>
          <w:rFonts w:ascii="Times New Roman" w:hAnsi="Times New Roman" w:cs="Times New Roman"/>
          <w:lang w:val="es-ES"/>
        </w:rPr>
        <w:t xml:space="preserve">. </w:t>
      </w:r>
    </w:p>
    <w:p w14:paraId="2D2D65F2" w14:textId="46DA0919" w:rsidR="00B871F2" w:rsidRPr="00152F2D" w:rsidRDefault="0028658A" w:rsidP="00782BC3">
      <w:pPr>
        <w:spacing w:after="0" w:line="360" w:lineRule="auto"/>
        <w:ind w:firstLine="708"/>
        <w:jc w:val="both"/>
        <w:rPr>
          <w:rFonts w:ascii="Times New Roman" w:hAnsi="Times New Roman" w:cs="Times New Roman"/>
          <w:lang w:val="es-ES"/>
        </w:rPr>
      </w:pPr>
      <w:r>
        <w:rPr>
          <w:rFonts w:ascii="Times New Roman" w:hAnsi="Times New Roman" w:cs="Times New Roman"/>
          <w:lang w:val="es-ES"/>
        </w:rPr>
        <w:t>Y p</w:t>
      </w:r>
      <w:r w:rsidRPr="00152F2D">
        <w:rPr>
          <w:rFonts w:ascii="Times New Roman" w:hAnsi="Times New Roman" w:cs="Times New Roman"/>
          <w:lang w:val="es-ES"/>
        </w:rPr>
        <w:t xml:space="preserve">ara </w:t>
      </w:r>
      <w:r w:rsidR="00B871F2" w:rsidRPr="00152F2D">
        <w:rPr>
          <w:rFonts w:ascii="Times New Roman" w:hAnsi="Times New Roman" w:cs="Times New Roman"/>
          <w:lang w:val="es-ES"/>
        </w:rPr>
        <w:t>lograr su aplicación</w:t>
      </w:r>
      <w:r w:rsidR="00150E24" w:rsidRPr="00152F2D">
        <w:rPr>
          <w:rFonts w:ascii="Times New Roman" w:hAnsi="Times New Roman" w:cs="Times New Roman"/>
          <w:lang w:val="es-ES"/>
        </w:rPr>
        <w:t xml:space="preserve"> es </w:t>
      </w:r>
      <w:r w:rsidR="008B3578">
        <w:rPr>
          <w:rFonts w:ascii="Times New Roman" w:hAnsi="Times New Roman" w:cs="Times New Roman"/>
          <w:lang w:val="es-ES"/>
        </w:rPr>
        <w:t>necesario que</w:t>
      </w:r>
      <w:r w:rsidR="008B3578" w:rsidRPr="00152F2D">
        <w:rPr>
          <w:rFonts w:ascii="Times New Roman" w:hAnsi="Times New Roman" w:cs="Times New Roman"/>
          <w:lang w:val="es-ES"/>
        </w:rPr>
        <w:t xml:space="preserve"> </w:t>
      </w:r>
      <w:r w:rsidR="00150E24" w:rsidRPr="00152F2D">
        <w:rPr>
          <w:rFonts w:ascii="Times New Roman" w:hAnsi="Times New Roman" w:cs="Times New Roman"/>
          <w:lang w:val="es-ES"/>
        </w:rPr>
        <w:t>el desarrollo del sistema de educación superior</w:t>
      </w:r>
      <w:r w:rsidR="00BE45E7">
        <w:rPr>
          <w:rFonts w:ascii="Times New Roman" w:hAnsi="Times New Roman" w:cs="Times New Roman"/>
          <w:lang w:val="es-ES"/>
        </w:rPr>
        <w:t xml:space="preserve"> tanto</w:t>
      </w:r>
      <w:r w:rsidR="00150E24" w:rsidRPr="00152F2D">
        <w:rPr>
          <w:rFonts w:ascii="Times New Roman" w:hAnsi="Times New Roman" w:cs="Times New Roman"/>
          <w:lang w:val="es-ES"/>
        </w:rPr>
        <w:t xml:space="preserve"> </w:t>
      </w:r>
      <w:r w:rsidR="00203CAD" w:rsidRPr="00152F2D">
        <w:rPr>
          <w:rFonts w:ascii="Times New Roman" w:hAnsi="Times New Roman" w:cs="Times New Roman"/>
          <w:lang w:val="es-ES"/>
        </w:rPr>
        <w:t xml:space="preserve">en su modalidad presencial como en línea </w:t>
      </w:r>
      <w:r w:rsidR="00150E24" w:rsidRPr="00152F2D">
        <w:rPr>
          <w:rFonts w:ascii="Times New Roman" w:hAnsi="Times New Roman" w:cs="Times New Roman"/>
          <w:lang w:val="es-ES"/>
        </w:rPr>
        <w:t xml:space="preserve">incentive la generación de capital humano con base en el diseño de </w:t>
      </w:r>
      <w:r w:rsidR="00150E24" w:rsidRPr="00152F2D">
        <w:rPr>
          <w:rFonts w:ascii="Times New Roman" w:hAnsi="Times New Roman" w:cs="Times New Roman"/>
        </w:rPr>
        <w:t>ambientes de aprendizaje orientados hacia</w:t>
      </w:r>
      <w:r>
        <w:rPr>
          <w:rFonts w:ascii="Times New Roman" w:hAnsi="Times New Roman" w:cs="Times New Roman"/>
        </w:rPr>
        <w:t xml:space="preserve"> lo siguiente</w:t>
      </w:r>
      <w:r w:rsidR="00150E24" w:rsidRPr="00152F2D">
        <w:rPr>
          <w:rFonts w:ascii="Times New Roman" w:hAnsi="Times New Roman" w:cs="Times New Roman"/>
        </w:rPr>
        <w:t xml:space="preserve">: </w:t>
      </w:r>
      <w:r w:rsidR="00150E24" w:rsidRPr="00782BC3">
        <w:rPr>
          <w:rFonts w:ascii="Times New Roman" w:hAnsi="Times New Roman" w:cs="Times New Roman"/>
          <w:i/>
        </w:rPr>
        <w:t>a)</w:t>
      </w:r>
      <w:r w:rsidR="00150E24" w:rsidRPr="00152F2D">
        <w:rPr>
          <w:rFonts w:ascii="Times New Roman" w:hAnsi="Times New Roman" w:cs="Times New Roman"/>
        </w:rPr>
        <w:t xml:space="preserve"> una situación auténtica como fuente de especificación de las competencias; </w:t>
      </w:r>
      <w:r w:rsidR="00150E24" w:rsidRPr="00782BC3">
        <w:rPr>
          <w:rFonts w:ascii="Times New Roman" w:hAnsi="Times New Roman" w:cs="Times New Roman"/>
          <w:i/>
        </w:rPr>
        <w:t>b)</w:t>
      </w:r>
      <w:r w:rsidR="00150E24" w:rsidRPr="00152F2D">
        <w:rPr>
          <w:rFonts w:ascii="Times New Roman" w:hAnsi="Times New Roman" w:cs="Times New Roman"/>
        </w:rPr>
        <w:t xml:space="preserve"> el estudiante como protagonista y agente de la acción; </w:t>
      </w:r>
      <w:r w:rsidR="00150E24" w:rsidRPr="00782BC3">
        <w:rPr>
          <w:rFonts w:ascii="Times New Roman" w:hAnsi="Times New Roman" w:cs="Times New Roman"/>
          <w:i/>
        </w:rPr>
        <w:t>c)</w:t>
      </w:r>
      <w:r w:rsidR="00150E24" w:rsidRPr="00152F2D">
        <w:rPr>
          <w:rFonts w:ascii="Times New Roman" w:hAnsi="Times New Roman" w:cs="Times New Roman"/>
        </w:rPr>
        <w:t xml:space="preserve"> el fomento de la competencia a la acción y a los recursos; </w:t>
      </w:r>
      <w:r w:rsidR="00150E24" w:rsidRPr="00782BC3">
        <w:rPr>
          <w:rFonts w:ascii="Times New Roman" w:hAnsi="Times New Roman" w:cs="Times New Roman"/>
          <w:i/>
        </w:rPr>
        <w:t>d)</w:t>
      </w:r>
      <w:r w:rsidR="00150E24" w:rsidRPr="00152F2D">
        <w:rPr>
          <w:rFonts w:ascii="Times New Roman" w:hAnsi="Times New Roman" w:cs="Times New Roman"/>
        </w:rPr>
        <w:t xml:space="preserve"> la comunidad que propicia la colaboración con otros estudiantes y miembros de la misma</w:t>
      </w:r>
      <w:r>
        <w:rPr>
          <w:rFonts w:ascii="Times New Roman" w:hAnsi="Times New Roman" w:cs="Times New Roman"/>
        </w:rPr>
        <w:t xml:space="preserve">, </w:t>
      </w:r>
      <w:r w:rsidR="00150E24" w:rsidRPr="00152F2D">
        <w:rPr>
          <w:rFonts w:ascii="Times New Roman" w:hAnsi="Times New Roman" w:cs="Times New Roman"/>
        </w:rPr>
        <w:t xml:space="preserve">y </w:t>
      </w:r>
      <w:r w:rsidR="00150E24" w:rsidRPr="00782BC3">
        <w:rPr>
          <w:rFonts w:ascii="Times New Roman" w:hAnsi="Times New Roman" w:cs="Times New Roman"/>
          <w:i/>
        </w:rPr>
        <w:t xml:space="preserve">e) </w:t>
      </w:r>
      <w:r w:rsidR="00150E24" w:rsidRPr="00152F2D">
        <w:rPr>
          <w:rFonts w:ascii="Times New Roman" w:hAnsi="Times New Roman" w:cs="Times New Roman"/>
        </w:rPr>
        <w:t>la evaluación auténtica</w:t>
      </w:r>
      <w:r>
        <w:rPr>
          <w:rFonts w:ascii="Times New Roman" w:hAnsi="Times New Roman" w:cs="Times New Roman"/>
        </w:rPr>
        <w:t xml:space="preserve"> para</w:t>
      </w:r>
      <w:r w:rsidRPr="00152F2D">
        <w:rPr>
          <w:rFonts w:ascii="Times New Roman" w:hAnsi="Times New Roman" w:cs="Times New Roman"/>
        </w:rPr>
        <w:t xml:space="preserve"> </w:t>
      </w:r>
      <w:r w:rsidR="00150E24" w:rsidRPr="00152F2D">
        <w:rPr>
          <w:rFonts w:ascii="Times New Roman" w:hAnsi="Times New Roman" w:cs="Times New Roman"/>
        </w:rPr>
        <w:t xml:space="preserve">realimentar en formación y para tener una valoración de su desempeño (Littlewood, </w:t>
      </w:r>
      <w:r w:rsidR="00700273">
        <w:rPr>
          <w:rFonts w:ascii="Times New Roman" w:hAnsi="Times New Roman" w:cs="Times New Roman"/>
        </w:rPr>
        <w:t xml:space="preserve">2011; </w:t>
      </w:r>
      <w:proofErr w:type="spellStart"/>
      <w:r w:rsidR="00700273">
        <w:rPr>
          <w:rFonts w:ascii="Times New Roman" w:hAnsi="Times New Roman" w:cs="Times New Roman"/>
        </w:rPr>
        <w:t>McGaghie</w:t>
      </w:r>
      <w:proofErr w:type="spellEnd"/>
      <w:r w:rsidR="00700273">
        <w:rPr>
          <w:rFonts w:ascii="Times New Roman" w:hAnsi="Times New Roman" w:cs="Times New Roman"/>
        </w:rPr>
        <w:t xml:space="preserve">, </w:t>
      </w:r>
      <w:proofErr w:type="spellStart"/>
      <w:r w:rsidR="00700273">
        <w:rPr>
          <w:rFonts w:ascii="Times New Roman" w:hAnsi="Times New Roman" w:cs="Times New Roman"/>
        </w:rPr>
        <w:t>Issenberg</w:t>
      </w:r>
      <w:proofErr w:type="spellEnd"/>
      <w:r w:rsidR="00700273">
        <w:rPr>
          <w:rFonts w:ascii="Times New Roman" w:hAnsi="Times New Roman" w:cs="Times New Roman"/>
        </w:rPr>
        <w:t xml:space="preserve">, Ros </w:t>
      </w:r>
      <w:r>
        <w:rPr>
          <w:rFonts w:ascii="Times New Roman" w:hAnsi="Times New Roman" w:cs="Times New Roman"/>
        </w:rPr>
        <w:t>y</w:t>
      </w:r>
      <w:r w:rsidRPr="00152F2D">
        <w:rPr>
          <w:rFonts w:ascii="Times New Roman" w:hAnsi="Times New Roman" w:cs="Times New Roman"/>
        </w:rPr>
        <w:t xml:space="preserve"> </w:t>
      </w:r>
      <w:r w:rsidR="00150E24" w:rsidRPr="00152F2D">
        <w:rPr>
          <w:rFonts w:ascii="Times New Roman" w:hAnsi="Times New Roman" w:cs="Times New Roman"/>
        </w:rPr>
        <w:t>Conesa, 2013).</w:t>
      </w:r>
      <w:r w:rsidR="00150E24" w:rsidRPr="00152F2D">
        <w:rPr>
          <w:rFonts w:ascii="Times New Roman" w:hAnsi="Times New Roman" w:cs="Times New Roman"/>
          <w:lang w:val="es-ES"/>
        </w:rPr>
        <w:t xml:space="preserve"> </w:t>
      </w:r>
    </w:p>
    <w:p w14:paraId="0B0B9CEC" w14:textId="77777777" w:rsidR="008A20AE" w:rsidRDefault="008A20AE" w:rsidP="00284A6C">
      <w:pPr>
        <w:spacing w:after="0" w:line="360" w:lineRule="auto"/>
        <w:ind w:firstLine="708"/>
        <w:contextualSpacing/>
        <w:jc w:val="both"/>
        <w:rPr>
          <w:rFonts w:ascii="Times New Roman" w:hAnsi="Times New Roman" w:cs="Times New Roman"/>
          <w:lang w:val="es-ES"/>
        </w:rPr>
      </w:pPr>
    </w:p>
    <w:p w14:paraId="4C1C9775" w14:textId="02978D12" w:rsidR="00C82466" w:rsidRDefault="00AE17BD" w:rsidP="00284A6C">
      <w:pPr>
        <w:spacing w:after="0" w:line="360" w:lineRule="auto"/>
        <w:ind w:firstLine="708"/>
        <w:contextualSpacing/>
        <w:jc w:val="both"/>
        <w:rPr>
          <w:rFonts w:ascii="Times New Roman" w:hAnsi="Times New Roman" w:cs="Times New Roman"/>
        </w:rPr>
      </w:pPr>
      <w:r>
        <w:rPr>
          <w:rFonts w:ascii="Times New Roman" w:hAnsi="Times New Roman" w:cs="Times New Roman"/>
          <w:lang w:val="es-ES"/>
        </w:rPr>
        <w:lastRenderedPageBreak/>
        <w:t>Aunado a ello</w:t>
      </w:r>
      <w:r w:rsidR="00203CAD" w:rsidRPr="00152F2D">
        <w:rPr>
          <w:rFonts w:ascii="Times New Roman" w:hAnsi="Times New Roman" w:cs="Times New Roman"/>
        </w:rPr>
        <w:t xml:space="preserve">, el Banco Mundial (2003) estableció la relevancia de contar con </w:t>
      </w:r>
      <w:r w:rsidR="00915241" w:rsidRPr="00152F2D">
        <w:rPr>
          <w:rFonts w:ascii="Times New Roman" w:hAnsi="Times New Roman" w:cs="Times New Roman"/>
        </w:rPr>
        <w:t>tecnologías de la información y comunicación (</w:t>
      </w:r>
      <w:r w:rsidR="00203CAD" w:rsidRPr="00152F2D">
        <w:rPr>
          <w:rFonts w:ascii="Times New Roman" w:hAnsi="Times New Roman" w:cs="Times New Roman"/>
        </w:rPr>
        <w:t>TIC</w:t>
      </w:r>
      <w:r w:rsidR="00915241" w:rsidRPr="00152F2D">
        <w:rPr>
          <w:rFonts w:ascii="Times New Roman" w:hAnsi="Times New Roman" w:cs="Times New Roman"/>
        </w:rPr>
        <w:t>)</w:t>
      </w:r>
      <w:r w:rsidR="00203CAD" w:rsidRPr="00152F2D">
        <w:rPr>
          <w:rFonts w:ascii="Times New Roman" w:hAnsi="Times New Roman" w:cs="Times New Roman"/>
        </w:rPr>
        <w:t xml:space="preserve"> adecuadas, actualizadas y que funcionen correctamente, ya que tienen el potencial de agilizar y reducir las actividades de las instituciones; ampliar el acceso y mejora</w:t>
      </w:r>
      <w:r w:rsidR="00915241" w:rsidRPr="00152F2D">
        <w:rPr>
          <w:rFonts w:ascii="Times New Roman" w:hAnsi="Times New Roman" w:cs="Times New Roman"/>
        </w:rPr>
        <w:t>r la calidad educativa y aumentar</w:t>
      </w:r>
      <w:r w:rsidR="00203CAD" w:rsidRPr="00152F2D">
        <w:rPr>
          <w:rFonts w:ascii="Times New Roman" w:hAnsi="Times New Roman" w:cs="Times New Roman"/>
        </w:rPr>
        <w:t xml:space="preserve"> significativamente el acceso a la información y bases de dat</w:t>
      </w:r>
      <w:r w:rsidR="00915241" w:rsidRPr="00152F2D">
        <w:rPr>
          <w:rFonts w:ascii="Times New Roman" w:hAnsi="Times New Roman" w:cs="Times New Roman"/>
        </w:rPr>
        <w:t>os no solo a nivel nacional</w:t>
      </w:r>
      <w:r w:rsidR="00203CAD" w:rsidRPr="00152F2D">
        <w:rPr>
          <w:rFonts w:ascii="Times New Roman" w:hAnsi="Times New Roman" w:cs="Times New Roman"/>
        </w:rPr>
        <w:t xml:space="preserve"> sino global. Del mismo modo, Echeverría (2002) mencionó que las TIC generan un nuevo espacio social y, por ende, un nuevo espacio educativo </w:t>
      </w:r>
      <w:r w:rsidR="007211F3">
        <w:rPr>
          <w:rFonts w:ascii="Times New Roman" w:hAnsi="Times New Roman" w:cs="Times New Roman"/>
        </w:rPr>
        <w:t>—</w:t>
      </w:r>
      <w:r w:rsidR="00203CAD" w:rsidRPr="00152F2D">
        <w:rPr>
          <w:rFonts w:ascii="Times New Roman" w:hAnsi="Times New Roman" w:cs="Times New Roman"/>
        </w:rPr>
        <w:t>c</w:t>
      </w:r>
      <w:r w:rsidR="00167B73">
        <w:rPr>
          <w:rFonts w:ascii="Times New Roman" w:hAnsi="Times New Roman" w:cs="Times New Roman"/>
        </w:rPr>
        <w:t xml:space="preserve">onocido como </w:t>
      </w:r>
      <w:r w:rsidR="00167B73" w:rsidRPr="00782BC3">
        <w:rPr>
          <w:rFonts w:ascii="Times New Roman" w:hAnsi="Times New Roman" w:cs="Times New Roman"/>
          <w:i/>
        </w:rPr>
        <w:t>educación virtual</w:t>
      </w:r>
      <w:r w:rsidR="007211F3">
        <w:rPr>
          <w:rFonts w:ascii="Times New Roman" w:hAnsi="Times New Roman" w:cs="Times New Roman"/>
        </w:rPr>
        <w:t>—</w:t>
      </w:r>
      <w:r w:rsidR="00503041">
        <w:rPr>
          <w:rFonts w:ascii="Times New Roman" w:hAnsi="Times New Roman" w:cs="Times New Roman"/>
        </w:rPr>
        <w:t>;</w:t>
      </w:r>
      <w:r w:rsidR="00203CAD" w:rsidRPr="00152F2D">
        <w:rPr>
          <w:rFonts w:ascii="Times New Roman" w:hAnsi="Times New Roman" w:cs="Times New Roman"/>
        </w:rPr>
        <w:t xml:space="preserve"> un tipo de modalidad que representa una alternativa para un importante grupo de estudiantes, </w:t>
      </w:r>
      <w:r w:rsidR="00503041">
        <w:rPr>
          <w:rFonts w:ascii="Times New Roman" w:hAnsi="Times New Roman" w:cs="Times New Roman"/>
        </w:rPr>
        <w:t>pues</w:t>
      </w:r>
      <w:r w:rsidR="00C82466">
        <w:rPr>
          <w:rFonts w:ascii="Times New Roman" w:hAnsi="Times New Roman" w:cs="Times New Roman"/>
        </w:rPr>
        <w:t xml:space="preserve"> les</w:t>
      </w:r>
      <w:r w:rsidR="00503041" w:rsidRPr="00152F2D">
        <w:rPr>
          <w:rFonts w:ascii="Times New Roman" w:hAnsi="Times New Roman" w:cs="Times New Roman"/>
        </w:rPr>
        <w:t xml:space="preserve"> </w:t>
      </w:r>
      <w:r w:rsidR="00203CAD" w:rsidRPr="00152F2D">
        <w:rPr>
          <w:rFonts w:ascii="Times New Roman" w:hAnsi="Times New Roman" w:cs="Times New Roman"/>
        </w:rPr>
        <w:t xml:space="preserve">permite compatibilizar su actividad laboral y familiar con su formación. </w:t>
      </w:r>
    </w:p>
    <w:p w14:paraId="1DA4325D" w14:textId="540E9F21" w:rsidR="00E67406" w:rsidRDefault="008C1DE7" w:rsidP="00782BC3">
      <w:pPr>
        <w:spacing w:after="0" w:line="360" w:lineRule="auto"/>
        <w:ind w:firstLine="708"/>
        <w:contextualSpacing/>
        <w:jc w:val="both"/>
        <w:rPr>
          <w:rFonts w:ascii="Times New Roman" w:hAnsi="Times New Roman" w:cs="Times New Roman"/>
        </w:rPr>
      </w:pPr>
      <w:r>
        <w:rPr>
          <w:rFonts w:ascii="Times New Roman" w:hAnsi="Times New Roman" w:cs="Times New Roman"/>
        </w:rPr>
        <w:t>Cabe señalar que entre</w:t>
      </w:r>
      <w:r w:rsidR="003346D0">
        <w:rPr>
          <w:rFonts w:ascii="Times New Roman" w:hAnsi="Times New Roman" w:cs="Times New Roman"/>
        </w:rPr>
        <w:t xml:space="preserve"> las</w:t>
      </w:r>
      <w:r w:rsidR="003346D0" w:rsidRPr="00152F2D">
        <w:rPr>
          <w:rFonts w:ascii="Times New Roman" w:hAnsi="Times New Roman" w:cs="Times New Roman"/>
        </w:rPr>
        <w:t xml:space="preserve"> </w:t>
      </w:r>
      <w:r w:rsidR="00203CAD" w:rsidRPr="00152F2D">
        <w:rPr>
          <w:rFonts w:ascii="Times New Roman" w:hAnsi="Times New Roman" w:cs="Times New Roman"/>
        </w:rPr>
        <w:t>principales causas que originaron</w:t>
      </w:r>
      <w:r>
        <w:rPr>
          <w:rFonts w:ascii="Times New Roman" w:hAnsi="Times New Roman" w:cs="Times New Roman"/>
        </w:rPr>
        <w:t xml:space="preserve"> esta modalidad educativa</w:t>
      </w:r>
      <w:r w:rsidR="00203CAD" w:rsidRPr="00152F2D">
        <w:rPr>
          <w:rFonts w:ascii="Times New Roman" w:hAnsi="Times New Roman" w:cs="Times New Roman"/>
        </w:rPr>
        <w:t xml:space="preserve"> </w:t>
      </w:r>
      <w:r w:rsidR="003346D0">
        <w:rPr>
          <w:rFonts w:ascii="Times New Roman" w:hAnsi="Times New Roman" w:cs="Times New Roman"/>
        </w:rPr>
        <w:t>se encuentran</w:t>
      </w:r>
      <w:r w:rsidR="00203CAD" w:rsidRPr="00152F2D">
        <w:rPr>
          <w:rFonts w:ascii="Times New Roman" w:hAnsi="Times New Roman" w:cs="Times New Roman"/>
        </w:rPr>
        <w:t xml:space="preserve"> el alejamiento de los centros de estudio superiores</w:t>
      </w:r>
      <w:r w:rsidR="008D184A">
        <w:rPr>
          <w:rFonts w:ascii="Times New Roman" w:hAnsi="Times New Roman" w:cs="Times New Roman"/>
        </w:rPr>
        <w:t xml:space="preserve"> y</w:t>
      </w:r>
      <w:r w:rsidR="008D184A" w:rsidRPr="00152F2D">
        <w:rPr>
          <w:rFonts w:ascii="Times New Roman" w:hAnsi="Times New Roman" w:cs="Times New Roman"/>
        </w:rPr>
        <w:t xml:space="preserve"> </w:t>
      </w:r>
      <w:r w:rsidR="00203CAD" w:rsidRPr="00152F2D">
        <w:rPr>
          <w:rFonts w:ascii="Times New Roman" w:hAnsi="Times New Roman" w:cs="Times New Roman"/>
        </w:rPr>
        <w:t>la limitada disponi</w:t>
      </w:r>
      <w:r w:rsidR="00915241" w:rsidRPr="00152F2D">
        <w:rPr>
          <w:rFonts w:ascii="Times New Roman" w:hAnsi="Times New Roman" w:cs="Times New Roman"/>
        </w:rPr>
        <w:t>bilidad de tiempo del alumnado</w:t>
      </w:r>
      <w:r w:rsidR="008D184A">
        <w:rPr>
          <w:rFonts w:ascii="Times New Roman" w:hAnsi="Times New Roman" w:cs="Times New Roman"/>
        </w:rPr>
        <w:t>, así</w:t>
      </w:r>
      <w:r w:rsidR="00C051AA">
        <w:rPr>
          <w:rFonts w:ascii="Times New Roman" w:hAnsi="Times New Roman" w:cs="Times New Roman"/>
        </w:rPr>
        <w:t xml:space="preserve"> como </w:t>
      </w:r>
      <w:r w:rsidR="008D184A">
        <w:rPr>
          <w:rFonts w:ascii="Times New Roman" w:hAnsi="Times New Roman" w:cs="Times New Roman"/>
        </w:rPr>
        <w:t>la atención</w:t>
      </w:r>
      <w:r w:rsidR="00C051AA">
        <w:rPr>
          <w:rFonts w:ascii="Times New Roman" w:hAnsi="Times New Roman" w:cs="Times New Roman"/>
        </w:rPr>
        <w:t xml:space="preserve"> a </w:t>
      </w:r>
      <w:r w:rsidR="008D184A">
        <w:rPr>
          <w:rFonts w:ascii="Times New Roman" w:hAnsi="Times New Roman" w:cs="Times New Roman"/>
        </w:rPr>
        <w:t>aquellos que</w:t>
      </w:r>
      <w:r w:rsidR="00C051AA">
        <w:rPr>
          <w:rFonts w:ascii="Times New Roman" w:hAnsi="Times New Roman" w:cs="Times New Roman"/>
        </w:rPr>
        <w:t xml:space="preserve"> poseen</w:t>
      </w:r>
      <w:r w:rsidR="00203CAD" w:rsidRPr="00152F2D">
        <w:rPr>
          <w:rFonts w:ascii="Times New Roman" w:hAnsi="Times New Roman" w:cs="Times New Roman"/>
        </w:rPr>
        <w:t xml:space="preserve"> algún tipo de discapacidad que le</w:t>
      </w:r>
      <w:r w:rsidR="00C051AA">
        <w:rPr>
          <w:rFonts w:ascii="Times New Roman" w:hAnsi="Times New Roman" w:cs="Times New Roman"/>
        </w:rPr>
        <w:t>s</w:t>
      </w:r>
      <w:r w:rsidR="00203CAD" w:rsidRPr="00152F2D">
        <w:rPr>
          <w:rFonts w:ascii="Times New Roman" w:hAnsi="Times New Roman" w:cs="Times New Roman"/>
        </w:rPr>
        <w:t xml:space="preserve"> impid</w:t>
      </w:r>
      <w:r w:rsidR="003E232B">
        <w:rPr>
          <w:rFonts w:ascii="Times New Roman" w:hAnsi="Times New Roman" w:cs="Times New Roman"/>
        </w:rPr>
        <w:t>e</w:t>
      </w:r>
      <w:r w:rsidR="00203CAD" w:rsidRPr="00152F2D">
        <w:rPr>
          <w:rFonts w:ascii="Times New Roman" w:hAnsi="Times New Roman" w:cs="Times New Roman"/>
        </w:rPr>
        <w:t xml:space="preserve"> acceder a la opción pre</w:t>
      </w:r>
      <w:r w:rsidR="00700273">
        <w:rPr>
          <w:rFonts w:ascii="Times New Roman" w:hAnsi="Times New Roman" w:cs="Times New Roman"/>
        </w:rPr>
        <w:t>sencial (Silvio, 2006</w:t>
      </w:r>
      <w:r w:rsidR="00503041">
        <w:rPr>
          <w:rFonts w:ascii="Times New Roman" w:hAnsi="Times New Roman" w:cs="Times New Roman"/>
        </w:rPr>
        <w:t>;</w:t>
      </w:r>
      <w:r w:rsidR="00700273">
        <w:rPr>
          <w:rFonts w:ascii="Times New Roman" w:hAnsi="Times New Roman" w:cs="Times New Roman"/>
        </w:rPr>
        <w:t xml:space="preserve"> </w:t>
      </w:r>
      <w:proofErr w:type="spellStart"/>
      <w:r w:rsidR="00700273">
        <w:rPr>
          <w:rFonts w:ascii="Times New Roman" w:hAnsi="Times New Roman" w:cs="Times New Roman"/>
        </w:rPr>
        <w:t>Bourne</w:t>
      </w:r>
      <w:proofErr w:type="spellEnd"/>
      <w:r w:rsidR="00700273">
        <w:rPr>
          <w:rFonts w:ascii="Times New Roman" w:hAnsi="Times New Roman" w:cs="Times New Roman"/>
        </w:rPr>
        <w:t xml:space="preserve"> </w:t>
      </w:r>
      <w:r w:rsidR="00503041">
        <w:rPr>
          <w:rFonts w:ascii="Times New Roman" w:hAnsi="Times New Roman" w:cs="Times New Roman"/>
        </w:rPr>
        <w:t>y</w:t>
      </w:r>
      <w:r w:rsidR="00503041" w:rsidRPr="00152F2D">
        <w:rPr>
          <w:rFonts w:ascii="Times New Roman" w:hAnsi="Times New Roman" w:cs="Times New Roman"/>
        </w:rPr>
        <w:t xml:space="preserve"> </w:t>
      </w:r>
      <w:r w:rsidR="00203CAD" w:rsidRPr="00152F2D">
        <w:rPr>
          <w:rFonts w:ascii="Times New Roman" w:hAnsi="Times New Roman" w:cs="Times New Roman"/>
        </w:rPr>
        <w:t>Moore, 2003</w:t>
      </w:r>
      <w:r w:rsidR="00DB507E" w:rsidRPr="00152F2D">
        <w:rPr>
          <w:rFonts w:ascii="Times New Roman" w:hAnsi="Times New Roman" w:cs="Times New Roman"/>
        </w:rPr>
        <w:t xml:space="preserve">). </w:t>
      </w:r>
    </w:p>
    <w:p w14:paraId="3F2CEC35" w14:textId="58E77CF3" w:rsidR="00203CAD" w:rsidRPr="00152F2D" w:rsidRDefault="00203CAD" w:rsidP="00782BC3">
      <w:pPr>
        <w:spacing w:after="0" w:line="360" w:lineRule="auto"/>
        <w:ind w:firstLine="708"/>
        <w:contextualSpacing/>
        <w:jc w:val="both"/>
        <w:rPr>
          <w:rFonts w:ascii="Times New Roman" w:hAnsi="Times New Roman" w:cs="Times New Roman"/>
        </w:rPr>
      </w:pPr>
      <w:r w:rsidRPr="00152F2D">
        <w:rPr>
          <w:rFonts w:ascii="Times New Roman" w:hAnsi="Times New Roman" w:cs="Times New Roman"/>
        </w:rPr>
        <w:t xml:space="preserve">En este sentido, la Conferencia Mundial sobre la Educación Superior de la </w:t>
      </w:r>
      <w:r w:rsidR="008D184A">
        <w:rPr>
          <w:rFonts w:ascii="Times New Roman" w:hAnsi="Times New Roman" w:cs="Times New Roman"/>
        </w:rPr>
        <w:t>Unesco</w:t>
      </w:r>
      <w:r w:rsidR="008D184A" w:rsidRPr="00152F2D">
        <w:rPr>
          <w:rFonts w:ascii="Times New Roman" w:hAnsi="Times New Roman" w:cs="Times New Roman"/>
        </w:rPr>
        <w:t xml:space="preserve"> </w:t>
      </w:r>
      <w:r w:rsidR="00AB47B3">
        <w:rPr>
          <w:rFonts w:ascii="Times New Roman" w:hAnsi="Times New Roman" w:cs="Times New Roman"/>
        </w:rPr>
        <w:t>(2009</w:t>
      </w:r>
      <w:r w:rsidR="008D184A">
        <w:rPr>
          <w:rFonts w:ascii="Times New Roman" w:hAnsi="Times New Roman" w:cs="Times New Roman"/>
        </w:rPr>
        <w:t>)</w:t>
      </w:r>
      <w:r w:rsidRPr="00152F2D">
        <w:rPr>
          <w:rFonts w:ascii="Times New Roman" w:hAnsi="Times New Roman" w:cs="Times New Roman"/>
        </w:rPr>
        <w:t xml:space="preserve"> estableció que </w:t>
      </w:r>
      <w:r w:rsidR="004946A1" w:rsidRPr="00152F2D">
        <w:rPr>
          <w:rFonts w:ascii="Times New Roman" w:hAnsi="Times New Roman" w:cs="Times New Roman"/>
        </w:rPr>
        <w:t>“</w:t>
      </w:r>
      <w:r w:rsidR="008D184A">
        <w:rPr>
          <w:rFonts w:ascii="Times New Roman" w:hAnsi="Times New Roman" w:cs="Times New Roman"/>
        </w:rPr>
        <w:t>l</w:t>
      </w:r>
      <w:r w:rsidR="008D184A" w:rsidRPr="00152F2D">
        <w:rPr>
          <w:rFonts w:ascii="Times New Roman" w:hAnsi="Times New Roman" w:cs="Times New Roman"/>
        </w:rPr>
        <w:t xml:space="preserve">a </w:t>
      </w:r>
      <w:r w:rsidRPr="00152F2D">
        <w:rPr>
          <w:rFonts w:ascii="Times New Roman" w:hAnsi="Times New Roman" w:cs="Times New Roman"/>
        </w:rPr>
        <w:t>demanda cada vez mayor de enseñanza superior no podrá satisfacerse únicamente con las actividades tradicionales del magisterio presencial. Será preciso utilizar otras estrategias, como la enseñanza abierta y a distanc</w:t>
      </w:r>
      <w:r w:rsidR="004946A1" w:rsidRPr="00152F2D">
        <w:rPr>
          <w:rFonts w:ascii="Times New Roman" w:hAnsi="Times New Roman" w:cs="Times New Roman"/>
        </w:rPr>
        <w:t>ia”</w:t>
      </w:r>
      <w:r w:rsidR="008D184A">
        <w:rPr>
          <w:rFonts w:ascii="Times New Roman" w:hAnsi="Times New Roman" w:cs="Times New Roman"/>
        </w:rPr>
        <w:t xml:space="preserve"> (p</w:t>
      </w:r>
      <w:r w:rsidR="008D184A" w:rsidRPr="00152F2D">
        <w:rPr>
          <w:rFonts w:ascii="Times New Roman" w:hAnsi="Times New Roman" w:cs="Times New Roman"/>
        </w:rPr>
        <w:t>. 7)</w:t>
      </w:r>
      <w:r w:rsidR="008D184A">
        <w:rPr>
          <w:rFonts w:ascii="Times New Roman" w:hAnsi="Times New Roman" w:cs="Times New Roman"/>
        </w:rPr>
        <w:t>.</w:t>
      </w:r>
      <w:r w:rsidR="000442D7" w:rsidRPr="00152F2D">
        <w:rPr>
          <w:rFonts w:ascii="Times New Roman" w:hAnsi="Times New Roman" w:cs="Times New Roman"/>
        </w:rPr>
        <w:t xml:space="preserve"> </w:t>
      </w:r>
      <w:r w:rsidR="00FE2040" w:rsidRPr="00152F2D">
        <w:rPr>
          <w:rFonts w:ascii="Times New Roman" w:hAnsi="Times New Roman" w:cs="Times New Roman"/>
        </w:rPr>
        <w:t>Por tanto</w:t>
      </w:r>
      <w:r w:rsidRPr="00152F2D">
        <w:rPr>
          <w:rFonts w:ascii="Times New Roman" w:hAnsi="Times New Roman" w:cs="Times New Roman"/>
        </w:rPr>
        <w:t xml:space="preserve">, desde la perspectiva de la oferta de la educación superior, </w:t>
      </w:r>
      <w:r w:rsidR="008D184A">
        <w:rPr>
          <w:rFonts w:ascii="Times New Roman" w:hAnsi="Times New Roman" w:cs="Times New Roman"/>
        </w:rPr>
        <w:t>la incorporación</w:t>
      </w:r>
      <w:r w:rsidRPr="00152F2D">
        <w:rPr>
          <w:rFonts w:ascii="Times New Roman" w:hAnsi="Times New Roman" w:cs="Times New Roman"/>
        </w:rPr>
        <w:t xml:space="preserve"> de las TIC ha generado ventajas competitivas en la prestación de los servicios </w:t>
      </w:r>
      <w:r w:rsidR="004946A1" w:rsidRPr="00152F2D">
        <w:rPr>
          <w:rFonts w:ascii="Times New Roman" w:hAnsi="Times New Roman" w:cs="Times New Roman"/>
        </w:rPr>
        <w:t>educativos</w:t>
      </w:r>
      <w:r w:rsidR="00D3162D">
        <w:rPr>
          <w:rFonts w:ascii="Times New Roman" w:hAnsi="Times New Roman" w:cs="Times New Roman"/>
        </w:rPr>
        <w:t xml:space="preserve"> </w:t>
      </w:r>
      <w:r w:rsidR="00D3162D" w:rsidRPr="00782BC3">
        <w:rPr>
          <w:rFonts w:ascii="Times New Roman" w:hAnsi="Times New Roman" w:cs="Times New Roman"/>
          <w:i/>
        </w:rPr>
        <w:t>online</w:t>
      </w:r>
      <w:r w:rsidRPr="00152F2D">
        <w:rPr>
          <w:rFonts w:ascii="Times New Roman" w:hAnsi="Times New Roman" w:cs="Times New Roman"/>
        </w:rPr>
        <w:t xml:space="preserve"> a nivel licenciatura y posgrado.</w:t>
      </w:r>
      <w:r w:rsidR="000442D7" w:rsidRPr="00152F2D">
        <w:rPr>
          <w:rFonts w:ascii="Times New Roman" w:hAnsi="Times New Roman" w:cs="Times New Roman"/>
        </w:rPr>
        <w:t xml:space="preserve"> </w:t>
      </w:r>
      <w:r w:rsidR="00FF14E8">
        <w:rPr>
          <w:rFonts w:ascii="Times New Roman" w:hAnsi="Times New Roman" w:cs="Times New Roman"/>
          <w:lang w:val="es-ES"/>
        </w:rPr>
        <w:t>C</w:t>
      </w:r>
      <w:r w:rsidR="00FF14E8" w:rsidRPr="00152F2D">
        <w:rPr>
          <w:rFonts w:ascii="Times New Roman" w:hAnsi="Times New Roman" w:cs="Times New Roman"/>
          <w:lang w:val="es-ES"/>
        </w:rPr>
        <w:t xml:space="preserve">on </w:t>
      </w:r>
      <w:r w:rsidRPr="00152F2D">
        <w:rPr>
          <w:rFonts w:ascii="Times New Roman" w:hAnsi="Times New Roman" w:cs="Times New Roman"/>
          <w:lang w:val="es-ES"/>
        </w:rPr>
        <w:t xml:space="preserve">fundamento en </w:t>
      </w:r>
      <w:proofErr w:type="spellStart"/>
      <w:r w:rsidRPr="00152F2D">
        <w:rPr>
          <w:rFonts w:ascii="Times New Roman" w:hAnsi="Times New Roman" w:cs="Times New Roman"/>
          <w:lang w:val="es-ES"/>
        </w:rPr>
        <w:t>Simmonson</w:t>
      </w:r>
      <w:proofErr w:type="spellEnd"/>
      <w:r w:rsidRPr="00152F2D">
        <w:rPr>
          <w:rFonts w:ascii="Times New Roman" w:hAnsi="Times New Roman" w:cs="Times New Roman"/>
          <w:lang w:val="es-ES"/>
        </w:rPr>
        <w:t xml:space="preserve">, </w:t>
      </w:r>
      <w:proofErr w:type="spellStart"/>
      <w:r w:rsidRPr="00152F2D">
        <w:rPr>
          <w:rFonts w:ascii="Times New Roman" w:hAnsi="Times New Roman" w:cs="Times New Roman"/>
          <w:lang w:val="es-ES"/>
        </w:rPr>
        <w:t>Sm</w:t>
      </w:r>
      <w:r w:rsidR="00700273">
        <w:rPr>
          <w:rFonts w:ascii="Times New Roman" w:hAnsi="Times New Roman" w:cs="Times New Roman"/>
          <w:lang w:val="es-ES"/>
        </w:rPr>
        <w:t>aldino</w:t>
      </w:r>
      <w:proofErr w:type="spellEnd"/>
      <w:r w:rsidR="00700273">
        <w:rPr>
          <w:rFonts w:ascii="Times New Roman" w:hAnsi="Times New Roman" w:cs="Times New Roman"/>
          <w:lang w:val="es-ES"/>
        </w:rPr>
        <w:t xml:space="preserve">, Albright </w:t>
      </w:r>
      <w:r w:rsidR="008D184A">
        <w:rPr>
          <w:rFonts w:ascii="Times New Roman" w:hAnsi="Times New Roman" w:cs="Times New Roman"/>
          <w:lang w:val="es-ES"/>
        </w:rPr>
        <w:t>y</w:t>
      </w:r>
      <w:r w:rsidR="008D184A" w:rsidRPr="00152F2D">
        <w:rPr>
          <w:rFonts w:ascii="Times New Roman" w:hAnsi="Times New Roman" w:cs="Times New Roman"/>
          <w:lang w:val="es-ES"/>
        </w:rPr>
        <w:t xml:space="preserve"> </w:t>
      </w:r>
      <w:proofErr w:type="spellStart"/>
      <w:r w:rsidR="00915241" w:rsidRPr="00152F2D">
        <w:rPr>
          <w:rFonts w:ascii="Times New Roman" w:hAnsi="Times New Roman" w:cs="Times New Roman"/>
          <w:lang w:val="es-ES"/>
        </w:rPr>
        <w:t>Zvacek</w:t>
      </w:r>
      <w:proofErr w:type="spellEnd"/>
      <w:r w:rsidR="00915241" w:rsidRPr="00152F2D">
        <w:rPr>
          <w:rFonts w:ascii="Times New Roman" w:hAnsi="Times New Roman" w:cs="Times New Roman"/>
          <w:lang w:val="es-ES"/>
        </w:rPr>
        <w:t xml:space="preserve"> (2006</w:t>
      </w:r>
      <w:r w:rsidR="00FF14E8">
        <w:rPr>
          <w:rFonts w:ascii="Times New Roman" w:hAnsi="Times New Roman" w:cs="Times New Roman"/>
          <w:lang w:val="es-ES"/>
        </w:rPr>
        <w:t>):</w:t>
      </w:r>
    </w:p>
    <w:p w14:paraId="396E7F9A" w14:textId="0569946B" w:rsidR="00203CAD" w:rsidRPr="00B85886" w:rsidRDefault="00203CAD" w:rsidP="00E462DD">
      <w:pPr>
        <w:spacing w:after="0" w:line="360" w:lineRule="auto"/>
        <w:ind w:left="709" w:hanging="1"/>
        <w:jc w:val="both"/>
        <w:rPr>
          <w:rFonts w:ascii="Times New Roman" w:hAnsi="Times New Roman" w:cs="Times New Roman"/>
        </w:rPr>
      </w:pPr>
      <w:r w:rsidRPr="00B85886">
        <w:rPr>
          <w:rFonts w:ascii="Times New Roman" w:hAnsi="Times New Roman" w:cs="Times New Roman"/>
        </w:rPr>
        <w:t>La educación virtual es aquella que se basa en instituciones de educación formal, donde el grupo de aprendizaje está separado y cuenta con sistemas interactivos de telecomunicaciones que se utilizan para crear la conexión entre el estudiantado, l</w:t>
      </w:r>
      <w:r w:rsidR="00915241" w:rsidRPr="00B85886">
        <w:rPr>
          <w:rFonts w:ascii="Times New Roman" w:hAnsi="Times New Roman" w:cs="Times New Roman"/>
        </w:rPr>
        <w:t>os recursos y el cuerpo docente</w:t>
      </w:r>
      <w:r w:rsidR="00FF14E8">
        <w:rPr>
          <w:rFonts w:ascii="Times New Roman" w:hAnsi="Times New Roman" w:cs="Times New Roman"/>
        </w:rPr>
        <w:t xml:space="preserve"> (</w:t>
      </w:r>
      <w:r w:rsidR="00FF14E8" w:rsidRPr="00152F2D">
        <w:rPr>
          <w:rFonts w:ascii="Times New Roman" w:hAnsi="Times New Roman" w:cs="Times New Roman"/>
          <w:lang w:val="es-ES"/>
        </w:rPr>
        <w:t>p. 32)</w:t>
      </w:r>
      <w:r w:rsidR="00915241" w:rsidRPr="00B85886">
        <w:rPr>
          <w:rFonts w:ascii="Times New Roman" w:hAnsi="Times New Roman" w:cs="Times New Roman"/>
        </w:rPr>
        <w:t>.</w:t>
      </w:r>
    </w:p>
    <w:p w14:paraId="5F220252" w14:textId="1FA15549" w:rsidR="00E67406" w:rsidRDefault="00FF14E8" w:rsidP="00E462DD">
      <w:pPr>
        <w:spacing w:after="0" w:line="360" w:lineRule="auto"/>
        <w:jc w:val="both"/>
        <w:rPr>
          <w:rFonts w:ascii="Times New Roman" w:hAnsi="Times New Roman" w:cs="Times New Roman"/>
        </w:rPr>
      </w:pPr>
      <w:r>
        <w:rPr>
          <w:rFonts w:ascii="Times New Roman" w:hAnsi="Times New Roman" w:cs="Times New Roman"/>
        </w:rPr>
        <w:t>Asimismo,</w:t>
      </w:r>
      <w:r w:rsidRPr="00152F2D">
        <w:rPr>
          <w:rFonts w:ascii="Times New Roman" w:hAnsi="Times New Roman" w:cs="Times New Roman"/>
        </w:rPr>
        <w:t xml:space="preserve"> </w:t>
      </w:r>
      <w:r w:rsidR="00203CAD" w:rsidRPr="00152F2D">
        <w:rPr>
          <w:rFonts w:ascii="Times New Roman" w:hAnsi="Times New Roman" w:cs="Times New Roman"/>
        </w:rPr>
        <w:t>a las características de este contexto educativo</w:t>
      </w:r>
      <w:r w:rsidR="00C82466">
        <w:rPr>
          <w:rFonts w:ascii="Times New Roman" w:hAnsi="Times New Roman" w:cs="Times New Roman"/>
        </w:rPr>
        <w:t>,</w:t>
      </w:r>
      <w:r w:rsidR="00203CAD" w:rsidRPr="00152F2D">
        <w:rPr>
          <w:rFonts w:ascii="Times New Roman" w:hAnsi="Times New Roman" w:cs="Times New Roman"/>
        </w:rPr>
        <w:t xml:space="preserve"> se suman las condiciones propias de la población estudiantil, que demanda una atención individualizada, interesante, oportuna y flexible (Nieves, Otero y </w:t>
      </w:r>
      <w:proofErr w:type="spellStart"/>
      <w:r w:rsidR="00203CAD" w:rsidRPr="00152F2D">
        <w:rPr>
          <w:rFonts w:ascii="Times New Roman" w:hAnsi="Times New Roman" w:cs="Times New Roman"/>
        </w:rPr>
        <w:t>Molerio</w:t>
      </w:r>
      <w:proofErr w:type="spellEnd"/>
      <w:r w:rsidR="00203CAD" w:rsidRPr="00152F2D">
        <w:rPr>
          <w:rFonts w:ascii="Times New Roman" w:hAnsi="Times New Roman" w:cs="Times New Roman"/>
        </w:rPr>
        <w:t>, 2007). Dicha población, por su vivencia en un mundo globalizado y mediatizado por las tecnologías, posee formas de ser y de aprender que van más allá de una transmisión de conocimientos a través de una clase magistral u otra estrategia educativa tradicional mediada por una herramienta digital (Rubio, 2003; Correa, 2004</w:t>
      </w:r>
      <w:r>
        <w:rPr>
          <w:rFonts w:ascii="Times New Roman" w:hAnsi="Times New Roman" w:cs="Times New Roman"/>
        </w:rPr>
        <w:t>;</w:t>
      </w:r>
      <w:r w:rsidR="00203CAD" w:rsidRPr="00152F2D">
        <w:rPr>
          <w:rFonts w:ascii="Times New Roman" w:hAnsi="Times New Roman" w:cs="Times New Roman"/>
        </w:rPr>
        <w:t xml:space="preserve"> Campos, 2009). Así,</w:t>
      </w:r>
      <w:r w:rsidR="008C1DE7">
        <w:rPr>
          <w:rFonts w:ascii="Times New Roman" w:hAnsi="Times New Roman" w:cs="Times New Roman"/>
        </w:rPr>
        <w:t xml:space="preserve"> pues,</w:t>
      </w:r>
      <w:r w:rsidR="00203CAD" w:rsidRPr="00152F2D">
        <w:rPr>
          <w:rFonts w:ascii="Times New Roman" w:hAnsi="Times New Roman" w:cs="Times New Roman"/>
        </w:rPr>
        <w:t xml:space="preserve"> la </w:t>
      </w:r>
      <w:r w:rsidR="00203CAD" w:rsidRPr="00152F2D">
        <w:rPr>
          <w:rFonts w:ascii="Times New Roman" w:hAnsi="Times New Roman" w:cs="Times New Roman"/>
        </w:rPr>
        <w:lastRenderedPageBreak/>
        <w:t>modalidad virtual promueve la cooperación entre la gente y la creación de comunidades en línea (</w:t>
      </w:r>
      <w:proofErr w:type="spellStart"/>
      <w:r w:rsidR="00203CAD" w:rsidRPr="00152F2D">
        <w:rPr>
          <w:rFonts w:ascii="Times New Roman" w:hAnsi="Times New Roman" w:cs="Times New Roman"/>
        </w:rPr>
        <w:t>Koll</w:t>
      </w:r>
      <w:r w:rsidR="00700273">
        <w:rPr>
          <w:rFonts w:ascii="Times New Roman" w:hAnsi="Times New Roman" w:cs="Times New Roman"/>
        </w:rPr>
        <w:t>ányi</w:t>
      </w:r>
      <w:proofErr w:type="spellEnd"/>
      <w:r w:rsidR="00700273">
        <w:rPr>
          <w:rFonts w:ascii="Times New Roman" w:hAnsi="Times New Roman" w:cs="Times New Roman"/>
        </w:rPr>
        <w:t xml:space="preserve">, </w:t>
      </w:r>
      <w:proofErr w:type="spellStart"/>
      <w:r w:rsidR="00700273">
        <w:rPr>
          <w:rFonts w:ascii="Times New Roman" w:hAnsi="Times New Roman" w:cs="Times New Roman"/>
        </w:rPr>
        <w:t>Molnár</w:t>
      </w:r>
      <w:proofErr w:type="spellEnd"/>
      <w:r w:rsidR="00700273">
        <w:rPr>
          <w:rFonts w:ascii="Times New Roman" w:hAnsi="Times New Roman" w:cs="Times New Roman"/>
        </w:rPr>
        <w:t xml:space="preserve"> </w:t>
      </w:r>
      <w:r>
        <w:rPr>
          <w:rFonts w:ascii="Times New Roman" w:hAnsi="Times New Roman" w:cs="Times New Roman"/>
        </w:rPr>
        <w:t>y</w:t>
      </w:r>
      <w:r w:rsidRPr="00152F2D">
        <w:rPr>
          <w:rFonts w:ascii="Times New Roman" w:hAnsi="Times New Roman" w:cs="Times New Roman"/>
        </w:rPr>
        <w:t xml:space="preserve"> </w:t>
      </w:r>
      <w:proofErr w:type="spellStart"/>
      <w:r w:rsidR="004946A1" w:rsidRPr="00152F2D">
        <w:rPr>
          <w:rFonts w:ascii="Times New Roman" w:hAnsi="Times New Roman" w:cs="Times New Roman"/>
        </w:rPr>
        <w:t>Székely</w:t>
      </w:r>
      <w:proofErr w:type="spellEnd"/>
      <w:r w:rsidR="004946A1" w:rsidRPr="00152F2D">
        <w:rPr>
          <w:rFonts w:ascii="Times New Roman" w:hAnsi="Times New Roman" w:cs="Times New Roman"/>
        </w:rPr>
        <w:t xml:space="preserve">, 2007). </w:t>
      </w:r>
    </w:p>
    <w:p w14:paraId="5EE80ADE" w14:textId="57A2579E" w:rsidR="008A4515" w:rsidRDefault="00495AC0" w:rsidP="008A4515">
      <w:pPr>
        <w:spacing w:after="0" w:line="360" w:lineRule="auto"/>
        <w:ind w:firstLine="708"/>
        <w:jc w:val="both"/>
        <w:rPr>
          <w:rFonts w:ascii="Times New Roman" w:hAnsi="Times New Roman" w:cs="Times New Roman"/>
          <w:lang w:val="es-ES"/>
        </w:rPr>
      </w:pPr>
      <w:r w:rsidRPr="00152F2D">
        <w:rPr>
          <w:rFonts w:ascii="Times New Roman" w:hAnsi="Times New Roman" w:cs="Times New Roman"/>
        </w:rPr>
        <w:t xml:space="preserve">En cuanto a su clasificación, el </w:t>
      </w:r>
      <w:r w:rsidR="00341BDC">
        <w:rPr>
          <w:rFonts w:ascii="Times New Roman" w:hAnsi="Times New Roman" w:cs="Times New Roman"/>
          <w:lang w:val="es-ES"/>
        </w:rPr>
        <w:t>p</w:t>
      </w:r>
      <w:r w:rsidR="00150E24" w:rsidRPr="00152F2D">
        <w:rPr>
          <w:rFonts w:ascii="Times New Roman" w:hAnsi="Times New Roman" w:cs="Times New Roman"/>
          <w:lang w:val="es-ES"/>
        </w:rPr>
        <w:t>royec</w:t>
      </w:r>
      <w:r w:rsidR="006711B2" w:rsidRPr="00152F2D">
        <w:rPr>
          <w:rFonts w:ascii="Times New Roman" w:hAnsi="Times New Roman" w:cs="Times New Roman"/>
          <w:lang w:val="es-ES"/>
        </w:rPr>
        <w:t xml:space="preserve">to </w:t>
      </w:r>
      <w:proofErr w:type="spellStart"/>
      <w:r w:rsidR="006711B2" w:rsidRPr="00152F2D">
        <w:rPr>
          <w:rFonts w:ascii="Times New Roman" w:hAnsi="Times New Roman" w:cs="Times New Roman"/>
          <w:lang w:val="es-ES"/>
        </w:rPr>
        <w:t>Tuning</w:t>
      </w:r>
      <w:proofErr w:type="spellEnd"/>
      <w:r w:rsidR="00341BDC" w:rsidRPr="00341BDC">
        <w:rPr>
          <w:rFonts w:ascii="Times New Roman" w:hAnsi="Times New Roman" w:cs="Times New Roman"/>
          <w:lang w:val="es-ES"/>
        </w:rPr>
        <w:t>-América Latina 2004-2006</w:t>
      </w:r>
      <w:r w:rsidR="00742294" w:rsidRPr="00152F2D">
        <w:rPr>
          <w:rFonts w:ascii="Times New Roman" w:hAnsi="Times New Roman" w:cs="Times New Roman"/>
          <w:lang w:val="es-ES"/>
        </w:rPr>
        <w:t xml:space="preserve"> (2007</w:t>
      </w:r>
      <w:r w:rsidR="006711B2" w:rsidRPr="00152F2D">
        <w:rPr>
          <w:rFonts w:ascii="Times New Roman" w:hAnsi="Times New Roman" w:cs="Times New Roman"/>
          <w:lang w:val="es-ES"/>
        </w:rPr>
        <w:t>) dividió a las competencias</w:t>
      </w:r>
      <w:r w:rsidRPr="00152F2D">
        <w:rPr>
          <w:rFonts w:ascii="Times New Roman" w:hAnsi="Times New Roman" w:cs="Times New Roman"/>
          <w:lang w:val="es-ES"/>
        </w:rPr>
        <w:t xml:space="preserve"> </w:t>
      </w:r>
      <w:r w:rsidR="00150E24" w:rsidRPr="00152F2D">
        <w:rPr>
          <w:rFonts w:ascii="Times New Roman" w:hAnsi="Times New Roman" w:cs="Times New Roman"/>
          <w:lang w:val="es-ES"/>
        </w:rPr>
        <w:t>en genéricas y específicas. Las primeras son definidas como atributos compartidos por un conjunto de profesiones en común y que son desarrollad</w:t>
      </w:r>
      <w:r w:rsidR="009378D5">
        <w:rPr>
          <w:rFonts w:ascii="Times New Roman" w:hAnsi="Times New Roman" w:cs="Times New Roman"/>
          <w:lang w:val="es-ES"/>
        </w:rPr>
        <w:t>o</w:t>
      </w:r>
      <w:r w:rsidR="00150E24" w:rsidRPr="00152F2D">
        <w:rPr>
          <w:rFonts w:ascii="Times New Roman" w:hAnsi="Times New Roman" w:cs="Times New Roman"/>
          <w:lang w:val="es-ES"/>
        </w:rPr>
        <w:t>s por diversas disciplinas</w:t>
      </w:r>
      <w:r w:rsidR="00341BDC">
        <w:rPr>
          <w:rFonts w:ascii="Times New Roman" w:hAnsi="Times New Roman" w:cs="Times New Roman"/>
          <w:lang w:val="es-ES"/>
        </w:rPr>
        <w:t>:</w:t>
      </w:r>
      <w:r w:rsidR="00150E24" w:rsidRPr="00152F2D">
        <w:rPr>
          <w:rFonts w:ascii="Times New Roman" w:hAnsi="Times New Roman" w:cs="Times New Roman"/>
          <w:lang w:val="es-ES"/>
        </w:rPr>
        <w:t xml:space="preserve"> se relacionan con los comportamientos y actitudes laborales en diversos </w:t>
      </w:r>
      <w:r w:rsidR="008C1970" w:rsidRPr="00152F2D">
        <w:rPr>
          <w:rFonts w:ascii="Times New Roman" w:hAnsi="Times New Roman" w:cs="Times New Roman"/>
          <w:lang w:val="es-ES"/>
        </w:rPr>
        <w:t>ámbitos de la vida laboral</w:t>
      </w:r>
      <w:r w:rsidR="00902BF2" w:rsidRPr="00152F2D">
        <w:rPr>
          <w:rFonts w:ascii="Times New Roman" w:hAnsi="Times New Roman" w:cs="Times New Roman"/>
          <w:lang w:val="es-ES"/>
        </w:rPr>
        <w:t xml:space="preserve"> </w:t>
      </w:r>
      <w:r w:rsidR="00341BDC">
        <w:rPr>
          <w:rFonts w:ascii="Times New Roman" w:hAnsi="Times New Roman" w:cs="Times New Roman"/>
          <w:lang w:val="es-ES"/>
        </w:rPr>
        <w:t>y</w:t>
      </w:r>
      <w:r w:rsidR="00902BF2" w:rsidRPr="00152F2D">
        <w:rPr>
          <w:rFonts w:ascii="Times New Roman" w:hAnsi="Times New Roman" w:cs="Times New Roman"/>
          <w:lang w:val="es-ES"/>
        </w:rPr>
        <w:t xml:space="preserve"> </w:t>
      </w:r>
      <w:r w:rsidR="00341BDC">
        <w:rPr>
          <w:rFonts w:ascii="Times New Roman" w:hAnsi="Times New Roman" w:cs="Times New Roman"/>
          <w:lang w:val="es-ES"/>
        </w:rPr>
        <w:t xml:space="preserve">su </w:t>
      </w:r>
      <w:r w:rsidR="00902BF2" w:rsidRPr="00152F2D">
        <w:rPr>
          <w:rFonts w:ascii="Times New Roman" w:hAnsi="Times New Roman" w:cs="Times New Roman"/>
          <w:lang w:val="es-ES"/>
        </w:rPr>
        <w:t xml:space="preserve">relevancia </w:t>
      </w:r>
      <w:r w:rsidR="00341BDC">
        <w:rPr>
          <w:rFonts w:ascii="Times New Roman" w:hAnsi="Times New Roman" w:cs="Times New Roman"/>
          <w:lang w:val="es-ES"/>
        </w:rPr>
        <w:t>se debe a que son</w:t>
      </w:r>
      <w:r w:rsidR="00902BF2" w:rsidRPr="00152F2D">
        <w:rPr>
          <w:rFonts w:ascii="Times New Roman" w:hAnsi="Times New Roman" w:cs="Times New Roman"/>
          <w:lang w:val="es-ES"/>
        </w:rPr>
        <w:t xml:space="preserve"> transferibles y necesari</w:t>
      </w:r>
      <w:r w:rsidR="009378D5">
        <w:rPr>
          <w:rFonts w:ascii="Times New Roman" w:hAnsi="Times New Roman" w:cs="Times New Roman"/>
          <w:lang w:val="es-ES"/>
        </w:rPr>
        <w:t>os</w:t>
      </w:r>
      <w:r w:rsidR="00902BF2" w:rsidRPr="00152F2D">
        <w:rPr>
          <w:rFonts w:ascii="Times New Roman" w:hAnsi="Times New Roman" w:cs="Times New Roman"/>
          <w:lang w:val="es-ES"/>
        </w:rPr>
        <w:t xml:space="preserve"> para el empleo y la vida como ciudadano responsable, independientemente de la disciplina </w:t>
      </w:r>
      <w:r w:rsidR="00341BDC">
        <w:rPr>
          <w:rFonts w:ascii="Times New Roman" w:hAnsi="Times New Roman" w:cs="Times New Roman"/>
          <w:lang w:val="es-ES"/>
        </w:rPr>
        <w:t>de formación</w:t>
      </w:r>
      <w:r w:rsidR="009378D5">
        <w:rPr>
          <w:rFonts w:ascii="Times New Roman" w:hAnsi="Times New Roman" w:cs="Times New Roman"/>
          <w:lang w:val="es-ES"/>
        </w:rPr>
        <w:t>. En consecuencia,</w:t>
      </w:r>
      <w:r w:rsidR="00902BF2" w:rsidRPr="00152F2D">
        <w:rPr>
          <w:rFonts w:ascii="Times New Roman" w:hAnsi="Times New Roman" w:cs="Times New Roman"/>
          <w:lang w:val="es-ES"/>
        </w:rPr>
        <w:t xml:space="preserve"> comprenden un amplio rango de combinaciones del saber y del hacer, conocimientos, habilidades y actitudes, </w:t>
      </w:r>
      <w:r w:rsidR="007B3E4F">
        <w:rPr>
          <w:rFonts w:ascii="Times New Roman" w:hAnsi="Times New Roman" w:cs="Times New Roman"/>
          <w:lang w:val="es-ES"/>
        </w:rPr>
        <w:t>que</w:t>
      </w:r>
      <w:r w:rsidR="00902BF2" w:rsidRPr="00152F2D">
        <w:rPr>
          <w:rFonts w:ascii="Times New Roman" w:hAnsi="Times New Roman" w:cs="Times New Roman"/>
          <w:lang w:val="es-ES"/>
        </w:rPr>
        <w:t xml:space="preserve"> permiten un ejercicio eficaz y eficiente en cualquier profesión (Baños y Pérez, 2005).</w:t>
      </w:r>
      <w:r w:rsidR="008C1970" w:rsidRPr="00152F2D">
        <w:rPr>
          <w:rFonts w:ascii="Times New Roman" w:hAnsi="Times New Roman" w:cs="Times New Roman"/>
          <w:lang w:val="es-ES"/>
        </w:rPr>
        <w:t xml:space="preserve"> </w:t>
      </w:r>
    </w:p>
    <w:p w14:paraId="36BFF9A7" w14:textId="6A74A7AE" w:rsidR="00150E24" w:rsidRPr="00782BC3" w:rsidRDefault="008C1970" w:rsidP="00782BC3">
      <w:pPr>
        <w:spacing w:after="0" w:line="360" w:lineRule="auto"/>
        <w:ind w:firstLine="708"/>
        <w:jc w:val="both"/>
        <w:rPr>
          <w:rFonts w:ascii="Times New Roman" w:hAnsi="Times New Roman" w:cs="Times New Roman"/>
          <w:lang w:val="es-ES"/>
        </w:rPr>
      </w:pPr>
      <w:r w:rsidRPr="00152F2D">
        <w:rPr>
          <w:rFonts w:ascii="Times New Roman" w:hAnsi="Times New Roman" w:cs="Times New Roman"/>
          <w:lang w:val="es-ES"/>
        </w:rPr>
        <w:t>Mientras que las segundas,</w:t>
      </w:r>
      <w:r w:rsidR="00150E24" w:rsidRPr="00152F2D">
        <w:rPr>
          <w:rFonts w:ascii="Times New Roman" w:hAnsi="Times New Roman" w:cs="Times New Roman"/>
          <w:lang w:val="es-ES"/>
        </w:rPr>
        <w:t xml:space="preserve"> </w:t>
      </w:r>
      <w:r w:rsidR="008A4515">
        <w:rPr>
          <w:rFonts w:ascii="Times New Roman" w:hAnsi="Times New Roman" w:cs="Times New Roman"/>
          <w:lang w:val="es-ES"/>
        </w:rPr>
        <w:t xml:space="preserve">las competencias específicas, </w:t>
      </w:r>
      <w:r w:rsidR="00150E24" w:rsidRPr="00152F2D">
        <w:rPr>
          <w:rFonts w:ascii="Times New Roman" w:hAnsi="Times New Roman" w:cs="Times New Roman"/>
          <w:lang w:val="es-ES"/>
        </w:rPr>
        <w:t>están vinculadas a la serie de conocimientos y actitudes de cada profesión en particular.</w:t>
      </w:r>
      <w:r w:rsidRPr="00152F2D">
        <w:rPr>
          <w:rFonts w:ascii="Times New Roman" w:hAnsi="Times New Roman" w:cs="Times New Roman"/>
          <w:lang w:val="es-ES"/>
        </w:rPr>
        <w:t xml:space="preserve"> </w:t>
      </w:r>
      <w:r w:rsidR="008A4515">
        <w:rPr>
          <w:rFonts w:ascii="Times New Roman" w:hAnsi="Times New Roman" w:cs="Times New Roman"/>
          <w:lang w:val="es-ES"/>
        </w:rPr>
        <w:t>Al respecto, el</w:t>
      </w:r>
      <w:r w:rsidR="00742294" w:rsidRPr="00152F2D">
        <w:rPr>
          <w:rFonts w:ascii="Times New Roman" w:hAnsi="Times New Roman" w:cs="Times New Roman"/>
          <w:lang w:val="es-ES"/>
        </w:rPr>
        <w:t xml:space="preserve"> </w:t>
      </w:r>
      <w:r w:rsidR="008A4515">
        <w:rPr>
          <w:rFonts w:ascii="Times New Roman" w:hAnsi="Times New Roman" w:cs="Times New Roman"/>
          <w:lang w:val="es-ES"/>
        </w:rPr>
        <w:t xml:space="preserve">proyecto </w:t>
      </w:r>
      <w:proofErr w:type="spellStart"/>
      <w:r w:rsidR="008A4515" w:rsidRPr="00152F2D">
        <w:rPr>
          <w:rFonts w:ascii="Times New Roman" w:hAnsi="Times New Roman" w:cs="Times New Roman"/>
          <w:lang w:val="es-ES"/>
        </w:rPr>
        <w:t>Tuning</w:t>
      </w:r>
      <w:proofErr w:type="spellEnd"/>
      <w:r w:rsidR="008A4515" w:rsidRPr="00341BDC">
        <w:rPr>
          <w:rFonts w:ascii="Times New Roman" w:hAnsi="Times New Roman" w:cs="Times New Roman"/>
          <w:lang w:val="es-ES"/>
        </w:rPr>
        <w:t>-América Latina</w:t>
      </w:r>
      <w:r w:rsidR="008A4515">
        <w:rPr>
          <w:rFonts w:ascii="Times New Roman" w:hAnsi="Times New Roman" w:cs="Times New Roman"/>
          <w:lang w:val="es-ES"/>
        </w:rPr>
        <w:t xml:space="preserve"> (2007)</w:t>
      </w:r>
      <w:r w:rsidR="008A4515" w:rsidRPr="00341BDC">
        <w:rPr>
          <w:rFonts w:ascii="Times New Roman" w:hAnsi="Times New Roman" w:cs="Times New Roman"/>
          <w:lang w:val="es-ES"/>
        </w:rPr>
        <w:t xml:space="preserve"> </w:t>
      </w:r>
      <w:r w:rsidRPr="00152F2D">
        <w:rPr>
          <w:rFonts w:ascii="Times New Roman" w:hAnsi="Times New Roman" w:cs="Times New Roman"/>
          <w:lang w:val="es-ES"/>
        </w:rPr>
        <w:t xml:space="preserve">las </w:t>
      </w:r>
      <w:r w:rsidR="00150E24" w:rsidRPr="00152F2D">
        <w:rPr>
          <w:rFonts w:ascii="Times New Roman" w:hAnsi="Times New Roman" w:cs="Times New Roman"/>
          <w:lang w:val="es-ES"/>
        </w:rPr>
        <w:t>clasif</w:t>
      </w:r>
      <w:r w:rsidR="00902BF2" w:rsidRPr="00152F2D">
        <w:rPr>
          <w:rFonts w:ascii="Times New Roman" w:hAnsi="Times New Roman" w:cs="Times New Roman"/>
          <w:lang w:val="es-ES"/>
        </w:rPr>
        <w:t xml:space="preserve">ica </w:t>
      </w:r>
      <w:r w:rsidR="00150E24" w:rsidRPr="00152F2D">
        <w:rPr>
          <w:rFonts w:ascii="Times New Roman" w:hAnsi="Times New Roman" w:cs="Times New Roman"/>
          <w:lang w:val="es-ES"/>
        </w:rPr>
        <w:t>en instrumentales, interpersonales y sistémicas</w:t>
      </w:r>
      <w:r w:rsidR="005200B9" w:rsidRPr="00152F2D">
        <w:rPr>
          <w:rFonts w:ascii="Times New Roman" w:hAnsi="Times New Roman" w:cs="Times New Roman"/>
        </w:rPr>
        <w:t>.</w:t>
      </w:r>
      <w:r w:rsidR="00915241" w:rsidRPr="00152F2D">
        <w:rPr>
          <w:rFonts w:ascii="Times New Roman" w:hAnsi="Times New Roman" w:cs="Times New Roman"/>
        </w:rPr>
        <w:t xml:space="preserve"> </w:t>
      </w:r>
      <w:r w:rsidR="00150E24" w:rsidRPr="00152F2D">
        <w:rPr>
          <w:rFonts w:ascii="Times New Roman" w:hAnsi="Times New Roman" w:cs="Times New Roman"/>
          <w:lang w:val="es-ES"/>
        </w:rPr>
        <w:t>Las primeras se enfocan en el desarrollo de técnicas y procedimientos básicos para el desempeño de la actividad laboral. Las segundas se orientan en favorecer los procesos de interacción social y de cooperación</w:t>
      </w:r>
      <w:r w:rsidR="008A4515">
        <w:rPr>
          <w:rFonts w:ascii="Times New Roman" w:hAnsi="Times New Roman" w:cs="Times New Roman"/>
          <w:lang w:val="es-ES"/>
        </w:rPr>
        <w:t>,</w:t>
      </w:r>
      <w:r w:rsidR="00150E24" w:rsidRPr="00152F2D">
        <w:rPr>
          <w:rFonts w:ascii="Times New Roman" w:hAnsi="Times New Roman" w:cs="Times New Roman"/>
          <w:lang w:val="es-ES"/>
        </w:rPr>
        <w:t xml:space="preserve"> por lo que se vinculan con la disposición al trabajo, la organización, coordinación, adaptación e intervención. Las terceras se relacionan con las destrezas y habilidades que</w:t>
      </w:r>
      <w:r w:rsidR="008A4515">
        <w:rPr>
          <w:rFonts w:ascii="Times New Roman" w:hAnsi="Times New Roman" w:cs="Times New Roman"/>
          <w:lang w:val="es-ES"/>
        </w:rPr>
        <w:t>, conjuntamente,</w:t>
      </w:r>
      <w:r w:rsidR="00150E24" w:rsidRPr="00152F2D">
        <w:rPr>
          <w:rFonts w:ascii="Times New Roman" w:hAnsi="Times New Roman" w:cs="Times New Roman"/>
          <w:lang w:val="es-ES"/>
        </w:rPr>
        <w:t xml:space="preserve"> permit</w:t>
      </w:r>
      <w:r w:rsidR="008A4515">
        <w:rPr>
          <w:rFonts w:ascii="Times New Roman" w:hAnsi="Times New Roman" w:cs="Times New Roman"/>
          <w:lang w:val="es-ES"/>
        </w:rPr>
        <w:t>en</w:t>
      </w:r>
      <w:r w:rsidR="00150E24" w:rsidRPr="00152F2D">
        <w:rPr>
          <w:rFonts w:ascii="Times New Roman" w:hAnsi="Times New Roman" w:cs="Times New Roman"/>
          <w:lang w:val="es-ES"/>
        </w:rPr>
        <w:t xml:space="preserve"> la aplicación de los conocimientos en la vida laboral. Estas son las principales competencias que cualquier profesionista requiere desarrollar en la educación superior porque constituyen el conjunto de habilidades, destrezas y actitudes que le permitirán interactuar en el medio </w:t>
      </w:r>
      <w:r w:rsidR="005200B9" w:rsidRPr="00152F2D">
        <w:rPr>
          <w:rFonts w:ascii="Times New Roman" w:hAnsi="Times New Roman" w:cs="Times New Roman"/>
          <w:lang w:val="es-ES"/>
        </w:rPr>
        <w:t>laboral</w:t>
      </w:r>
      <w:r w:rsidR="008A4515">
        <w:rPr>
          <w:rFonts w:ascii="Times New Roman" w:hAnsi="Times New Roman" w:cs="Times New Roman"/>
          <w:lang w:val="es-ES"/>
        </w:rPr>
        <w:t>.</w:t>
      </w:r>
    </w:p>
    <w:p w14:paraId="14172065" w14:textId="571DB9ED" w:rsidR="007154BA" w:rsidRDefault="009117B5" w:rsidP="00782BC3">
      <w:pPr>
        <w:spacing w:after="0" w:line="360" w:lineRule="auto"/>
        <w:ind w:firstLine="708"/>
        <w:contextualSpacing/>
        <w:jc w:val="both"/>
        <w:rPr>
          <w:rFonts w:ascii="Times New Roman" w:hAnsi="Times New Roman" w:cs="Times New Roman"/>
          <w:lang w:val="es-ES"/>
        </w:rPr>
      </w:pPr>
      <w:r>
        <w:rPr>
          <w:rFonts w:ascii="Times New Roman" w:hAnsi="Times New Roman" w:cs="Times New Roman"/>
          <w:lang w:val="es-ES"/>
        </w:rPr>
        <w:t xml:space="preserve">Cabe </w:t>
      </w:r>
      <w:r w:rsidR="00A40356">
        <w:rPr>
          <w:rFonts w:ascii="Times New Roman" w:hAnsi="Times New Roman" w:cs="Times New Roman"/>
          <w:lang w:val="es-ES"/>
        </w:rPr>
        <w:t>constatar</w:t>
      </w:r>
      <w:r>
        <w:rPr>
          <w:rFonts w:ascii="Times New Roman" w:hAnsi="Times New Roman" w:cs="Times New Roman"/>
          <w:lang w:val="es-ES"/>
        </w:rPr>
        <w:t xml:space="preserve"> que hay varios</w:t>
      </w:r>
      <w:r w:rsidR="006711B2" w:rsidRPr="00152F2D">
        <w:rPr>
          <w:rFonts w:ascii="Times New Roman" w:hAnsi="Times New Roman" w:cs="Times New Roman"/>
          <w:lang w:val="es-ES"/>
        </w:rPr>
        <w:t xml:space="preserve"> estudios previos real</w:t>
      </w:r>
      <w:r w:rsidR="00915241" w:rsidRPr="00152F2D">
        <w:rPr>
          <w:rFonts w:ascii="Times New Roman" w:hAnsi="Times New Roman" w:cs="Times New Roman"/>
          <w:lang w:val="es-ES"/>
        </w:rPr>
        <w:t xml:space="preserve">izados </w:t>
      </w:r>
      <w:r w:rsidR="008A4515">
        <w:rPr>
          <w:rFonts w:ascii="Times New Roman" w:hAnsi="Times New Roman" w:cs="Times New Roman"/>
          <w:lang w:val="es-ES"/>
        </w:rPr>
        <w:t>en torno a</w:t>
      </w:r>
      <w:r w:rsidR="008A4515" w:rsidRPr="00152F2D">
        <w:rPr>
          <w:rFonts w:ascii="Times New Roman" w:hAnsi="Times New Roman" w:cs="Times New Roman"/>
          <w:lang w:val="es-ES"/>
        </w:rPr>
        <w:t xml:space="preserve"> </w:t>
      </w:r>
      <w:r w:rsidR="006711B2" w:rsidRPr="00152F2D">
        <w:rPr>
          <w:rFonts w:ascii="Times New Roman" w:hAnsi="Times New Roman" w:cs="Times New Roman"/>
          <w:lang w:val="es-ES"/>
        </w:rPr>
        <w:t>esta tem</w:t>
      </w:r>
      <w:r w:rsidR="00915241" w:rsidRPr="00152F2D">
        <w:rPr>
          <w:rFonts w:ascii="Times New Roman" w:hAnsi="Times New Roman" w:cs="Times New Roman"/>
          <w:lang w:val="es-ES"/>
        </w:rPr>
        <w:t>ática</w:t>
      </w:r>
      <w:r>
        <w:rPr>
          <w:rFonts w:ascii="Times New Roman" w:hAnsi="Times New Roman" w:cs="Times New Roman"/>
          <w:lang w:val="es-ES"/>
        </w:rPr>
        <w:t>.</w:t>
      </w:r>
      <w:r w:rsidR="00915241" w:rsidRPr="00152F2D">
        <w:rPr>
          <w:rFonts w:ascii="Times New Roman" w:hAnsi="Times New Roman" w:cs="Times New Roman"/>
          <w:lang w:val="es-ES"/>
        </w:rPr>
        <w:t xml:space="preserve"> </w:t>
      </w:r>
      <w:r>
        <w:rPr>
          <w:rFonts w:ascii="Times New Roman" w:hAnsi="Times New Roman" w:cs="Times New Roman"/>
          <w:lang w:val="es-ES"/>
        </w:rPr>
        <w:t>Entre ellos se</w:t>
      </w:r>
      <w:r w:rsidRPr="00152F2D">
        <w:rPr>
          <w:rFonts w:ascii="Times New Roman" w:hAnsi="Times New Roman" w:cs="Times New Roman"/>
          <w:lang w:val="es-ES"/>
        </w:rPr>
        <w:t xml:space="preserve"> </w:t>
      </w:r>
      <w:r w:rsidR="00915241" w:rsidRPr="00152F2D">
        <w:rPr>
          <w:rFonts w:ascii="Times New Roman" w:hAnsi="Times New Roman" w:cs="Times New Roman"/>
          <w:lang w:val="es-ES"/>
        </w:rPr>
        <w:t>encuentra el llevado a cabo</w:t>
      </w:r>
      <w:r w:rsidR="006711B2" w:rsidRPr="00152F2D">
        <w:rPr>
          <w:rFonts w:ascii="Times New Roman" w:hAnsi="Times New Roman" w:cs="Times New Roman"/>
          <w:lang w:val="es-ES"/>
        </w:rPr>
        <w:t xml:space="preserve"> por</w:t>
      </w:r>
      <w:r w:rsidR="00915241" w:rsidRPr="00152F2D">
        <w:rPr>
          <w:rFonts w:ascii="Times New Roman" w:hAnsi="Times New Roman" w:cs="Times New Roman"/>
          <w:lang w:val="es-ES"/>
        </w:rPr>
        <w:t xml:space="preserve"> </w:t>
      </w:r>
      <w:proofErr w:type="spellStart"/>
      <w:r w:rsidR="003B6803" w:rsidRPr="00152F2D">
        <w:rPr>
          <w:rFonts w:ascii="Times New Roman" w:hAnsi="Times New Roman" w:cs="Times New Roman"/>
          <w:lang w:val="es-ES"/>
        </w:rPr>
        <w:t>Brenzini</w:t>
      </w:r>
      <w:proofErr w:type="spellEnd"/>
      <w:r w:rsidR="003B6803" w:rsidRPr="00152F2D">
        <w:rPr>
          <w:rFonts w:ascii="Times New Roman" w:hAnsi="Times New Roman" w:cs="Times New Roman"/>
          <w:lang w:val="es-ES"/>
        </w:rPr>
        <w:t xml:space="preserve"> y Martínez (2012)</w:t>
      </w:r>
      <w:r>
        <w:rPr>
          <w:rFonts w:ascii="Times New Roman" w:hAnsi="Times New Roman" w:cs="Times New Roman"/>
          <w:lang w:val="es-ES"/>
        </w:rPr>
        <w:t>,</w:t>
      </w:r>
      <w:r w:rsidR="003B6803" w:rsidRPr="00152F2D">
        <w:rPr>
          <w:rFonts w:ascii="Times New Roman" w:hAnsi="Times New Roman" w:cs="Times New Roman"/>
          <w:lang w:val="es-ES"/>
        </w:rPr>
        <w:t xml:space="preserve"> quienes determinaron la poca presencia de las competencias genéricas en el perfil de los ingenieros civiles en cuanto a la capacidad de análisis y de organizar, </w:t>
      </w:r>
      <w:r w:rsidR="00CF4874">
        <w:rPr>
          <w:rFonts w:ascii="Times New Roman" w:hAnsi="Times New Roman" w:cs="Times New Roman"/>
          <w:lang w:val="es-ES"/>
        </w:rPr>
        <w:t xml:space="preserve">al igual que respecto a las </w:t>
      </w:r>
      <w:r w:rsidR="003B6803" w:rsidRPr="00152F2D">
        <w:rPr>
          <w:rFonts w:ascii="Times New Roman" w:hAnsi="Times New Roman" w:cs="Times New Roman"/>
          <w:lang w:val="es-ES"/>
        </w:rPr>
        <w:t xml:space="preserve">habilidades para el manejo de las TIC, la resolución de problemas y toma de decisiones, así como el conocimiento de una segunda lengua. </w:t>
      </w:r>
      <w:r w:rsidR="00F51D35">
        <w:rPr>
          <w:rFonts w:ascii="Times New Roman" w:hAnsi="Times New Roman" w:cs="Times New Roman"/>
          <w:lang w:val="es-ES"/>
        </w:rPr>
        <w:t xml:space="preserve">En tanto, </w:t>
      </w:r>
      <w:r w:rsidR="003B6803" w:rsidRPr="00152F2D">
        <w:rPr>
          <w:rFonts w:ascii="Times New Roman" w:hAnsi="Times New Roman" w:cs="Times New Roman"/>
          <w:lang w:val="es-ES"/>
        </w:rPr>
        <w:t xml:space="preserve">Farías y </w:t>
      </w:r>
      <w:proofErr w:type="spellStart"/>
      <w:r w:rsidR="003B6803" w:rsidRPr="00152F2D">
        <w:rPr>
          <w:rFonts w:ascii="Times New Roman" w:hAnsi="Times New Roman" w:cs="Times New Roman"/>
          <w:lang w:val="es-ES"/>
        </w:rPr>
        <w:t>Firinguet</w:t>
      </w:r>
      <w:r w:rsidR="00742294" w:rsidRPr="00152F2D">
        <w:rPr>
          <w:rFonts w:ascii="Times New Roman" w:hAnsi="Times New Roman" w:cs="Times New Roman"/>
          <w:lang w:val="es-ES"/>
        </w:rPr>
        <w:t>ti</w:t>
      </w:r>
      <w:proofErr w:type="spellEnd"/>
      <w:r w:rsidR="00742294" w:rsidRPr="00152F2D">
        <w:rPr>
          <w:rFonts w:ascii="Times New Roman" w:hAnsi="Times New Roman" w:cs="Times New Roman"/>
          <w:lang w:val="es-ES"/>
        </w:rPr>
        <w:t xml:space="preserve"> (2012)</w:t>
      </w:r>
      <w:r w:rsidR="003B6803" w:rsidRPr="00152F2D">
        <w:rPr>
          <w:rFonts w:ascii="Times New Roman" w:hAnsi="Times New Roman" w:cs="Times New Roman"/>
          <w:lang w:val="es-ES"/>
        </w:rPr>
        <w:t xml:space="preserve"> hallaron que, de las competencias sistémicas, la gestión de proyecto es la más valorada</w:t>
      </w:r>
      <w:r>
        <w:rPr>
          <w:rFonts w:ascii="Times New Roman" w:hAnsi="Times New Roman" w:cs="Times New Roman"/>
          <w:lang w:val="es-ES"/>
        </w:rPr>
        <w:t>;</w:t>
      </w:r>
      <w:r w:rsidRPr="00152F2D">
        <w:rPr>
          <w:rFonts w:ascii="Times New Roman" w:hAnsi="Times New Roman" w:cs="Times New Roman"/>
          <w:lang w:val="es-ES"/>
        </w:rPr>
        <w:t xml:space="preserve"> </w:t>
      </w:r>
      <w:r w:rsidR="003B6803" w:rsidRPr="00152F2D">
        <w:rPr>
          <w:rFonts w:ascii="Times New Roman" w:hAnsi="Times New Roman" w:cs="Times New Roman"/>
          <w:lang w:val="es-ES"/>
        </w:rPr>
        <w:t>en las interpersonales</w:t>
      </w:r>
      <w:r w:rsidR="004A33C8">
        <w:rPr>
          <w:rFonts w:ascii="Times New Roman" w:hAnsi="Times New Roman" w:cs="Times New Roman"/>
          <w:lang w:val="es-ES"/>
        </w:rPr>
        <w:t xml:space="preserve">, </w:t>
      </w:r>
      <w:r w:rsidR="003B6803" w:rsidRPr="00152F2D">
        <w:rPr>
          <w:rFonts w:ascii="Times New Roman" w:hAnsi="Times New Roman" w:cs="Times New Roman"/>
          <w:lang w:val="es-ES"/>
        </w:rPr>
        <w:t>el tratamiento de conflictos y negociación</w:t>
      </w:r>
      <w:r>
        <w:rPr>
          <w:rFonts w:ascii="Times New Roman" w:hAnsi="Times New Roman" w:cs="Times New Roman"/>
          <w:lang w:val="es-ES"/>
        </w:rPr>
        <w:t>;</w:t>
      </w:r>
      <w:r w:rsidRPr="00152F2D">
        <w:rPr>
          <w:rFonts w:ascii="Times New Roman" w:hAnsi="Times New Roman" w:cs="Times New Roman"/>
          <w:lang w:val="es-ES"/>
        </w:rPr>
        <w:t xml:space="preserve"> </w:t>
      </w:r>
      <w:r w:rsidR="004A33C8">
        <w:rPr>
          <w:rFonts w:ascii="Times New Roman" w:hAnsi="Times New Roman" w:cs="Times New Roman"/>
          <w:lang w:val="es-ES"/>
        </w:rPr>
        <w:t>en cuanto a</w:t>
      </w:r>
      <w:r w:rsidR="003B6803" w:rsidRPr="00152F2D">
        <w:rPr>
          <w:rFonts w:ascii="Times New Roman" w:hAnsi="Times New Roman" w:cs="Times New Roman"/>
          <w:lang w:val="es-ES"/>
        </w:rPr>
        <w:t xml:space="preserve"> las instrumentales</w:t>
      </w:r>
      <w:r>
        <w:rPr>
          <w:rFonts w:ascii="Times New Roman" w:hAnsi="Times New Roman" w:cs="Times New Roman"/>
          <w:lang w:val="es-ES"/>
        </w:rPr>
        <w:t xml:space="preserve">, </w:t>
      </w:r>
      <w:r w:rsidR="003B6803" w:rsidRPr="00152F2D">
        <w:rPr>
          <w:rFonts w:ascii="Times New Roman" w:hAnsi="Times New Roman" w:cs="Times New Roman"/>
          <w:lang w:val="es-ES"/>
        </w:rPr>
        <w:t xml:space="preserve">el análisis y la </w:t>
      </w:r>
      <w:r w:rsidR="00F51D35">
        <w:rPr>
          <w:rFonts w:ascii="Times New Roman" w:hAnsi="Times New Roman" w:cs="Times New Roman"/>
          <w:lang w:val="es-ES"/>
        </w:rPr>
        <w:t xml:space="preserve">capacidad de </w:t>
      </w:r>
      <w:r w:rsidR="003B6803" w:rsidRPr="00152F2D">
        <w:rPr>
          <w:rFonts w:ascii="Times New Roman" w:hAnsi="Times New Roman" w:cs="Times New Roman"/>
          <w:lang w:val="es-ES"/>
        </w:rPr>
        <w:t xml:space="preserve">síntesis. </w:t>
      </w:r>
      <w:r w:rsidR="004A33C8">
        <w:rPr>
          <w:rFonts w:ascii="Times New Roman" w:hAnsi="Times New Roman" w:cs="Times New Roman"/>
          <w:lang w:val="es-ES"/>
        </w:rPr>
        <w:t>Por el contrario</w:t>
      </w:r>
      <w:r w:rsidR="003B6803" w:rsidRPr="00152F2D">
        <w:rPr>
          <w:rFonts w:ascii="Times New Roman" w:hAnsi="Times New Roman" w:cs="Times New Roman"/>
          <w:lang w:val="es-ES"/>
        </w:rPr>
        <w:t xml:space="preserve">, las menos </w:t>
      </w:r>
      <w:r w:rsidR="003B6803" w:rsidRPr="00152F2D">
        <w:rPr>
          <w:rFonts w:ascii="Times New Roman" w:hAnsi="Times New Roman" w:cs="Times New Roman"/>
          <w:lang w:val="es-ES"/>
        </w:rPr>
        <w:lastRenderedPageBreak/>
        <w:t>valoradas fueron</w:t>
      </w:r>
      <w:r w:rsidR="004A33C8">
        <w:rPr>
          <w:rFonts w:ascii="Times New Roman" w:hAnsi="Times New Roman" w:cs="Times New Roman"/>
          <w:lang w:val="es-ES"/>
        </w:rPr>
        <w:t xml:space="preserve"> la</w:t>
      </w:r>
      <w:r w:rsidR="004A33C8" w:rsidRPr="00152F2D">
        <w:rPr>
          <w:rFonts w:ascii="Times New Roman" w:hAnsi="Times New Roman" w:cs="Times New Roman"/>
          <w:lang w:val="es-ES"/>
        </w:rPr>
        <w:t xml:space="preserve"> </w:t>
      </w:r>
      <w:r w:rsidR="003B6803" w:rsidRPr="00152F2D">
        <w:rPr>
          <w:rFonts w:ascii="Times New Roman" w:hAnsi="Times New Roman" w:cs="Times New Roman"/>
          <w:lang w:val="es-ES"/>
        </w:rPr>
        <w:t xml:space="preserve">capacidad de comunicación en un segundo idioma, </w:t>
      </w:r>
      <w:r w:rsidR="004A33C8">
        <w:rPr>
          <w:rFonts w:ascii="Times New Roman" w:hAnsi="Times New Roman" w:cs="Times New Roman"/>
          <w:lang w:val="es-ES"/>
        </w:rPr>
        <w:t xml:space="preserve">la </w:t>
      </w:r>
      <w:r w:rsidR="003B6803" w:rsidRPr="00152F2D">
        <w:rPr>
          <w:rFonts w:ascii="Times New Roman" w:hAnsi="Times New Roman" w:cs="Times New Roman"/>
          <w:lang w:val="es-ES"/>
        </w:rPr>
        <w:t xml:space="preserve">habilidad para trabajar en contextos internacionales y </w:t>
      </w:r>
      <w:r w:rsidR="004A33C8">
        <w:rPr>
          <w:rFonts w:ascii="Times New Roman" w:hAnsi="Times New Roman" w:cs="Times New Roman"/>
          <w:lang w:val="es-ES"/>
        </w:rPr>
        <w:t xml:space="preserve">el </w:t>
      </w:r>
      <w:r w:rsidR="003B6803" w:rsidRPr="00152F2D">
        <w:rPr>
          <w:rFonts w:ascii="Times New Roman" w:hAnsi="Times New Roman" w:cs="Times New Roman"/>
          <w:lang w:val="es-ES"/>
        </w:rPr>
        <w:t xml:space="preserve">compromiso con la preservación del medio ambiente. </w:t>
      </w:r>
    </w:p>
    <w:p w14:paraId="50C18A03" w14:textId="056755D0" w:rsidR="00656C85" w:rsidRPr="00152F2D" w:rsidRDefault="003B6803" w:rsidP="00782BC3">
      <w:pPr>
        <w:spacing w:after="0" w:line="360" w:lineRule="auto"/>
        <w:ind w:firstLine="708"/>
        <w:contextualSpacing/>
        <w:jc w:val="both"/>
        <w:rPr>
          <w:rFonts w:ascii="Times New Roman" w:eastAsia="Times New Roman" w:hAnsi="Times New Roman" w:cs="Times New Roman"/>
          <w:lang w:eastAsia="es-MX"/>
        </w:rPr>
      </w:pPr>
      <w:r w:rsidRPr="00152F2D">
        <w:rPr>
          <w:rFonts w:ascii="Times New Roman" w:hAnsi="Times New Roman" w:cs="Times New Roman"/>
          <w:lang w:val="es-ES"/>
        </w:rPr>
        <w:t>Durán y Estay (</w:t>
      </w:r>
      <w:r w:rsidR="00742294" w:rsidRPr="00152F2D">
        <w:rPr>
          <w:rFonts w:ascii="Times New Roman" w:hAnsi="Times New Roman" w:cs="Times New Roman"/>
          <w:lang w:val="es-ES"/>
        </w:rPr>
        <w:t>2012)</w:t>
      </w:r>
      <w:r w:rsidR="00340D8A">
        <w:rPr>
          <w:rFonts w:ascii="Times New Roman" w:hAnsi="Times New Roman" w:cs="Times New Roman"/>
          <w:lang w:val="es-ES"/>
        </w:rPr>
        <w:t xml:space="preserve">, por su parte, </w:t>
      </w:r>
      <w:r w:rsidR="00742294" w:rsidRPr="00152F2D">
        <w:rPr>
          <w:rFonts w:ascii="Times New Roman" w:hAnsi="Times New Roman" w:cs="Times New Roman"/>
          <w:lang w:val="es-ES"/>
        </w:rPr>
        <w:t xml:space="preserve">encontraron </w:t>
      </w:r>
      <w:r w:rsidRPr="00152F2D">
        <w:rPr>
          <w:rFonts w:ascii="Times New Roman" w:hAnsi="Times New Roman" w:cs="Times New Roman"/>
          <w:lang w:val="es-ES"/>
        </w:rPr>
        <w:t>que las competencias genéricas más desarrolladas en una escala de valoración de cero a cinco fueron</w:t>
      </w:r>
      <w:r w:rsidR="00340D8A">
        <w:rPr>
          <w:rFonts w:ascii="Times New Roman" w:hAnsi="Times New Roman" w:cs="Times New Roman"/>
          <w:lang w:val="es-ES"/>
        </w:rPr>
        <w:t xml:space="preserve"> las siguientes</w:t>
      </w:r>
      <w:r w:rsidRPr="00152F2D">
        <w:rPr>
          <w:rFonts w:ascii="Times New Roman" w:hAnsi="Times New Roman" w:cs="Times New Roman"/>
          <w:lang w:val="es-ES"/>
        </w:rPr>
        <w:t xml:space="preserve">: </w:t>
      </w:r>
      <w:r w:rsidR="00340D8A">
        <w:rPr>
          <w:rFonts w:ascii="Times New Roman" w:hAnsi="Times New Roman" w:cs="Times New Roman"/>
          <w:lang w:val="es-ES"/>
        </w:rPr>
        <w:t>la c</w:t>
      </w:r>
      <w:r w:rsidR="00340D8A" w:rsidRPr="00152F2D">
        <w:rPr>
          <w:rFonts w:ascii="Times New Roman" w:hAnsi="Times New Roman" w:cs="Times New Roman"/>
          <w:lang w:val="es-ES"/>
        </w:rPr>
        <w:t xml:space="preserve">apacidad </w:t>
      </w:r>
      <w:r w:rsidRPr="00152F2D">
        <w:rPr>
          <w:rFonts w:ascii="Times New Roman" w:hAnsi="Times New Roman" w:cs="Times New Roman"/>
          <w:lang w:val="es-ES"/>
        </w:rPr>
        <w:t>de aplicar los conocimientos en la práctica,</w:t>
      </w:r>
      <w:r w:rsidR="00340D8A">
        <w:rPr>
          <w:rFonts w:ascii="Times New Roman" w:hAnsi="Times New Roman" w:cs="Times New Roman"/>
          <w:lang w:val="es-ES"/>
        </w:rPr>
        <w:t xml:space="preserve"> las</w:t>
      </w:r>
      <w:r w:rsidRPr="00152F2D">
        <w:rPr>
          <w:rFonts w:ascii="Times New Roman" w:hAnsi="Times New Roman" w:cs="Times New Roman"/>
          <w:lang w:val="es-ES"/>
        </w:rPr>
        <w:t xml:space="preserve"> habilidades en el uso de las TIC,</w:t>
      </w:r>
      <w:r w:rsidR="00340D8A">
        <w:rPr>
          <w:rFonts w:ascii="Times New Roman" w:hAnsi="Times New Roman" w:cs="Times New Roman"/>
          <w:lang w:val="es-ES"/>
        </w:rPr>
        <w:t xml:space="preserve"> la</w:t>
      </w:r>
      <w:r w:rsidRPr="00152F2D">
        <w:rPr>
          <w:rFonts w:ascii="Times New Roman" w:hAnsi="Times New Roman" w:cs="Times New Roman"/>
          <w:lang w:val="es-ES"/>
        </w:rPr>
        <w:t xml:space="preserve"> capacidad de investigación, </w:t>
      </w:r>
      <w:r w:rsidR="00340D8A">
        <w:rPr>
          <w:rFonts w:ascii="Times New Roman" w:hAnsi="Times New Roman" w:cs="Times New Roman"/>
          <w:lang w:val="es-ES"/>
        </w:rPr>
        <w:t xml:space="preserve">la </w:t>
      </w:r>
      <w:r w:rsidRPr="00152F2D">
        <w:rPr>
          <w:rFonts w:ascii="Times New Roman" w:hAnsi="Times New Roman" w:cs="Times New Roman"/>
          <w:lang w:val="es-ES"/>
        </w:rPr>
        <w:t>capacidad para plantear y resolver problemas,</w:t>
      </w:r>
      <w:r w:rsidR="00340D8A">
        <w:rPr>
          <w:rFonts w:ascii="Times New Roman" w:hAnsi="Times New Roman" w:cs="Times New Roman"/>
          <w:lang w:val="es-ES"/>
        </w:rPr>
        <w:t xml:space="preserve"> la</w:t>
      </w:r>
      <w:r w:rsidRPr="00152F2D">
        <w:rPr>
          <w:rFonts w:ascii="Times New Roman" w:hAnsi="Times New Roman" w:cs="Times New Roman"/>
          <w:lang w:val="es-ES"/>
        </w:rPr>
        <w:t xml:space="preserve"> habilidad para trabajar de forma autónoma y </w:t>
      </w:r>
      <w:r w:rsidR="00340D8A">
        <w:rPr>
          <w:rFonts w:ascii="Times New Roman" w:hAnsi="Times New Roman" w:cs="Times New Roman"/>
          <w:lang w:val="es-ES"/>
        </w:rPr>
        <w:t xml:space="preserve">la </w:t>
      </w:r>
      <w:r w:rsidRPr="00152F2D">
        <w:rPr>
          <w:rFonts w:ascii="Times New Roman" w:hAnsi="Times New Roman" w:cs="Times New Roman"/>
          <w:lang w:val="es-ES"/>
        </w:rPr>
        <w:t xml:space="preserve">capacidad de crítica y autocrítica </w:t>
      </w:r>
      <w:r w:rsidR="00126CFF">
        <w:rPr>
          <w:rFonts w:ascii="Times New Roman" w:hAnsi="Times New Roman" w:cs="Times New Roman"/>
          <w:lang w:val="es-ES"/>
        </w:rPr>
        <w:t xml:space="preserve">(todas ellas </w:t>
      </w:r>
      <w:r w:rsidRPr="00152F2D">
        <w:rPr>
          <w:rFonts w:ascii="Times New Roman" w:hAnsi="Times New Roman" w:cs="Times New Roman"/>
          <w:lang w:val="es-ES"/>
        </w:rPr>
        <w:t>con un</w:t>
      </w:r>
      <w:r w:rsidR="00126CFF">
        <w:rPr>
          <w:rFonts w:ascii="Times New Roman" w:hAnsi="Times New Roman" w:cs="Times New Roman"/>
          <w:lang w:val="es-ES"/>
        </w:rPr>
        <w:t xml:space="preserve">a valoración </w:t>
      </w:r>
      <w:r w:rsidRPr="00152F2D">
        <w:rPr>
          <w:rFonts w:ascii="Times New Roman" w:hAnsi="Times New Roman" w:cs="Times New Roman"/>
          <w:lang w:val="es-ES"/>
        </w:rPr>
        <w:t>de cinco</w:t>
      </w:r>
      <w:r w:rsidR="00126CFF">
        <w:rPr>
          <w:rFonts w:ascii="Times New Roman" w:hAnsi="Times New Roman" w:cs="Times New Roman"/>
          <w:lang w:val="es-ES"/>
        </w:rPr>
        <w:t>)</w:t>
      </w:r>
      <w:r w:rsidRPr="00152F2D">
        <w:rPr>
          <w:rFonts w:ascii="Times New Roman" w:hAnsi="Times New Roman" w:cs="Times New Roman"/>
          <w:lang w:val="es-ES"/>
        </w:rPr>
        <w:t>. Mientras que la capacidad de abstracción, análisis y síntesis</w:t>
      </w:r>
      <w:r w:rsidR="00CF4874">
        <w:rPr>
          <w:rFonts w:ascii="Times New Roman" w:hAnsi="Times New Roman" w:cs="Times New Roman"/>
          <w:lang w:val="es-ES"/>
        </w:rPr>
        <w:t xml:space="preserve"> y las</w:t>
      </w:r>
      <w:r w:rsidR="00CF4874" w:rsidRPr="00152F2D">
        <w:rPr>
          <w:rFonts w:ascii="Times New Roman" w:hAnsi="Times New Roman" w:cs="Times New Roman"/>
          <w:lang w:val="es-ES"/>
        </w:rPr>
        <w:t xml:space="preserve"> </w:t>
      </w:r>
      <w:r w:rsidRPr="00152F2D">
        <w:rPr>
          <w:rFonts w:ascii="Times New Roman" w:hAnsi="Times New Roman" w:cs="Times New Roman"/>
          <w:lang w:val="es-ES"/>
        </w:rPr>
        <w:t>habilidades para buscar, procesar y analizar información procedente de fuentes diversas, así como la capacidad de motivar y conducir hacia metas comunes</w:t>
      </w:r>
      <w:r w:rsidR="00CF4874">
        <w:rPr>
          <w:rFonts w:ascii="Times New Roman" w:hAnsi="Times New Roman" w:cs="Times New Roman"/>
          <w:lang w:val="es-ES"/>
        </w:rPr>
        <w:t>,</w:t>
      </w:r>
      <w:r w:rsidRPr="00152F2D">
        <w:rPr>
          <w:rFonts w:ascii="Times New Roman" w:hAnsi="Times New Roman" w:cs="Times New Roman"/>
          <w:lang w:val="es-ES"/>
        </w:rPr>
        <w:t xml:space="preserve"> tuvieron un nivel de cuatro en el estudiantado de la modalidad virtual. Las men</w:t>
      </w:r>
      <w:r w:rsidR="00742294" w:rsidRPr="00152F2D">
        <w:rPr>
          <w:rFonts w:ascii="Times New Roman" w:hAnsi="Times New Roman" w:cs="Times New Roman"/>
          <w:lang w:val="es-ES"/>
        </w:rPr>
        <w:t>os valoradas</w:t>
      </w:r>
      <w:r w:rsidRPr="00152F2D">
        <w:rPr>
          <w:rFonts w:ascii="Times New Roman" w:hAnsi="Times New Roman" w:cs="Times New Roman"/>
          <w:lang w:val="es-ES"/>
        </w:rPr>
        <w:t xml:space="preserve"> fueron la capacidad de trabajar en equipo con un nivel de logro de tres.</w:t>
      </w:r>
    </w:p>
    <w:p w14:paraId="5AB1C489" w14:textId="368025EB" w:rsidR="00C807A9" w:rsidRDefault="00A21E13" w:rsidP="00782BC3">
      <w:pPr>
        <w:spacing w:after="0" w:line="360" w:lineRule="auto"/>
        <w:ind w:firstLine="708"/>
        <w:contextualSpacing/>
        <w:jc w:val="both"/>
        <w:rPr>
          <w:rFonts w:ascii="Times New Roman" w:hAnsi="Times New Roman" w:cs="Times New Roman"/>
        </w:rPr>
      </w:pPr>
      <w:r w:rsidRPr="00152F2D">
        <w:rPr>
          <w:rFonts w:ascii="Times New Roman" w:eastAsia="Times New Roman" w:hAnsi="Times New Roman" w:cs="Times New Roman"/>
          <w:lang w:eastAsia="es-MX"/>
        </w:rPr>
        <w:t>Además, e</w:t>
      </w:r>
      <w:r w:rsidR="003B6803" w:rsidRPr="00152F2D">
        <w:rPr>
          <w:rFonts w:ascii="Times New Roman" w:eastAsia="Times New Roman" w:hAnsi="Times New Roman" w:cs="Times New Roman"/>
          <w:lang w:eastAsia="es-MX"/>
        </w:rPr>
        <w:t xml:space="preserve">n la investigación de </w:t>
      </w:r>
      <w:r w:rsidR="003B6803" w:rsidRPr="00152F2D">
        <w:rPr>
          <w:rFonts w:ascii="Times New Roman" w:hAnsi="Times New Roman" w:cs="Times New Roman"/>
        </w:rPr>
        <w:t>Cabero, Ll</w:t>
      </w:r>
      <w:r w:rsidR="00742294" w:rsidRPr="00152F2D">
        <w:rPr>
          <w:rFonts w:ascii="Times New Roman" w:hAnsi="Times New Roman" w:cs="Times New Roman"/>
        </w:rPr>
        <w:t xml:space="preserve">orente y Puentes (2010) </w:t>
      </w:r>
      <w:r w:rsidR="00126CFF">
        <w:rPr>
          <w:rFonts w:ascii="Times New Roman" w:hAnsi="Times New Roman" w:cs="Times New Roman"/>
        </w:rPr>
        <w:t xml:space="preserve">se identificó </w:t>
      </w:r>
      <w:r w:rsidR="003B6803" w:rsidRPr="00152F2D">
        <w:rPr>
          <w:rFonts w:ascii="Times New Roman" w:hAnsi="Times New Roman" w:cs="Times New Roman"/>
        </w:rPr>
        <w:t>que 84</w:t>
      </w:r>
      <w:r w:rsidR="00126CFF">
        <w:rPr>
          <w:rFonts w:ascii="Times New Roman" w:hAnsi="Times New Roman" w:cs="Times New Roman"/>
        </w:rPr>
        <w:t xml:space="preserve"> </w:t>
      </w:r>
      <w:r w:rsidR="003B6803" w:rsidRPr="00152F2D">
        <w:rPr>
          <w:rFonts w:ascii="Times New Roman" w:hAnsi="Times New Roman" w:cs="Times New Roman"/>
        </w:rPr>
        <w:t>% del alumnado manifest</w:t>
      </w:r>
      <w:r w:rsidR="00126CFF">
        <w:rPr>
          <w:rFonts w:ascii="Times New Roman" w:hAnsi="Times New Roman" w:cs="Times New Roman"/>
        </w:rPr>
        <w:t>ó</w:t>
      </w:r>
      <w:r w:rsidR="003B6803" w:rsidRPr="00152F2D">
        <w:rPr>
          <w:rFonts w:ascii="Times New Roman" w:hAnsi="Times New Roman" w:cs="Times New Roman"/>
        </w:rPr>
        <w:t xml:space="preserve"> un nivel elevado de satisfacción por cursar la licenciatura en la modalidad en línea</w:t>
      </w:r>
      <w:r w:rsidR="00126CFF">
        <w:rPr>
          <w:rFonts w:ascii="Times New Roman" w:hAnsi="Times New Roman" w:cs="Times New Roman"/>
        </w:rPr>
        <w:t>. Esto</w:t>
      </w:r>
      <w:r w:rsidR="003B6803" w:rsidRPr="00152F2D">
        <w:rPr>
          <w:rFonts w:ascii="Times New Roman" w:hAnsi="Times New Roman" w:cs="Times New Roman"/>
        </w:rPr>
        <w:t xml:space="preserve"> debido a que </w:t>
      </w:r>
      <w:r w:rsidR="00126CFF" w:rsidRPr="00152F2D">
        <w:rPr>
          <w:rFonts w:ascii="Times New Roman" w:hAnsi="Times New Roman" w:cs="Times New Roman"/>
        </w:rPr>
        <w:t>los hallazgos sobre las características de la asignatura tuvieron</w:t>
      </w:r>
      <w:r w:rsidR="00126CFF">
        <w:rPr>
          <w:rFonts w:ascii="Times New Roman" w:hAnsi="Times New Roman" w:cs="Times New Roman"/>
        </w:rPr>
        <w:t xml:space="preserve">, </w:t>
      </w:r>
      <w:r w:rsidR="00126CFF" w:rsidRPr="00152F2D">
        <w:rPr>
          <w:rFonts w:ascii="Times New Roman" w:hAnsi="Times New Roman" w:cs="Times New Roman"/>
        </w:rPr>
        <w:t xml:space="preserve">en una escala de valoración </w:t>
      </w:r>
      <w:r w:rsidR="00126CFF">
        <w:rPr>
          <w:rFonts w:ascii="Times New Roman" w:hAnsi="Times New Roman" w:cs="Times New Roman"/>
        </w:rPr>
        <w:t>que iba</w:t>
      </w:r>
      <w:r w:rsidR="00126CFF" w:rsidRPr="00152F2D">
        <w:rPr>
          <w:rFonts w:ascii="Times New Roman" w:hAnsi="Times New Roman" w:cs="Times New Roman"/>
        </w:rPr>
        <w:t xml:space="preserve"> de </w:t>
      </w:r>
      <w:r w:rsidR="00126CFF">
        <w:rPr>
          <w:rFonts w:ascii="Times New Roman" w:hAnsi="Times New Roman" w:cs="Times New Roman"/>
        </w:rPr>
        <w:t xml:space="preserve">uno </w:t>
      </w:r>
      <w:r w:rsidR="00126CFF" w:rsidRPr="00152F2D">
        <w:rPr>
          <w:rFonts w:ascii="Times New Roman" w:hAnsi="Times New Roman" w:cs="Times New Roman"/>
        </w:rPr>
        <w:t xml:space="preserve">(totalmente en desacuerdo) a </w:t>
      </w:r>
      <w:r w:rsidR="00126CFF">
        <w:rPr>
          <w:rFonts w:ascii="Times New Roman" w:hAnsi="Times New Roman" w:cs="Times New Roman"/>
        </w:rPr>
        <w:t xml:space="preserve">cuatro </w:t>
      </w:r>
      <w:r w:rsidR="00126CFF" w:rsidRPr="00152F2D">
        <w:rPr>
          <w:rFonts w:ascii="Times New Roman" w:hAnsi="Times New Roman" w:cs="Times New Roman"/>
        </w:rPr>
        <w:t>(totalmente de acuerdo)</w:t>
      </w:r>
      <w:r w:rsidR="00126CFF">
        <w:rPr>
          <w:rFonts w:ascii="Times New Roman" w:hAnsi="Times New Roman" w:cs="Times New Roman"/>
        </w:rPr>
        <w:t>,</w:t>
      </w:r>
      <w:r w:rsidR="003B6803" w:rsidRPr="00152F2D">
        <w:rPr>
          <w:rFonts w:ascii="Times New Roman" w:hAnsi="Times New Roman" w:cs="Times New Roman"/>
        </w:rPr>
        <w:t xml:space="preserve"> una media de 3.15; el papel del tutor </w:t>
      </w:r>
      <w:r w:rsidR="00126CFF" w:rsidRPr="00782BC3">
        <w:rPr>
          <w:rFonts w:ascii="Times New Roman" w:hAnsi="Times New Roman" w:cs="Times New Roman"/>
          <w:i/>
        </w:rPr>
        <w:t>online</w:t>
      </w:r>
      <w:r w:rsidR="00126CFF">
        <w:rPr>
          <w:rFonts w:ascii="Times New Roman" w:hAnsi="Times New Roman" w:cs="Times New Roman"/>
        </w:rPr>
        <w:t xml:space="preserve"> alcanzó, por su parte, </w:t>
      </w:r>
      <w:r w:rsidR="003B6803" w:rsidRPr="00152F2D">
        <w:rPr>
          <w:rFonts w:ascii="Times New Roman" w:hAnsi="Times New Roman" w:cs="Times New Roman"/>
        </w:rPr>
        <w:t>un</w:t>
      </w:r>
      <w:r w:rsidR="00126CFF">
        <w:rPr>
          <w:rFonts w:ascii="Times New Roman" w:hAnsi="Times New Roman" w:cs="Times New Roman"/>
        </w:rPr>
        <w:t>a media de</w:t>
      </w:r>
      <w:r w:rsidR="003B6803" w:rsidRPr="00152F2D">
        <w:rPr>
          <w:rFonts w:ascii="Times New Roman" w:hAnsi="Times New Roman" w:cs="Times New Roman"/>
        </w:rPr>
        <w:t xml:space="preserve"> 3.25; el desarrollo de los contenidos</w:t>
      </w:r>
      <w:r w:rsidR="00126CFF">
        <w:rPr>
          <w:rFonts w:ascii="Times New Roman" w:hAnsi="Times New Roman" w:cs="Times New Roman"/>
        </w:rPr>
        <w:t>,</w:t>
      </w:r>
      <w:r w:rsidR="003B6803" w:rsidRPr="00152F2D">
        <w:rPr>
          <w:rFonts w:ascii="Times New Roman" w:hAnsi="Times New Roman" w:cs="Times New Roman"/>
        </w:rPr>
        <w:t xml:space="preserve"> 3.04; la comunicación </w:t>
      </w:r>
      <w:r w:rsidR="00126CFF">
        <w:rPr>
          <w:rFonts w:ascii="Times New Roman" w:hAnsi="Times New Roman" w:cs="Times New Roman"/>
        </w:rPr>
        <w:t>en línea,</w:t>
      </w:r>
      <w:r w:rsidR="003B6803" w:rsidRPr="00152F2D">
        <w:rPr>
          <w:rFonts w:ascii="Times New Roman" w:hAnsi="Times New Roman" w:cs="Times New Roman"/>
        </w:rPr>
        <w:t xml:space="preserve"> 2.95</w:t>
      </w:r>
      <w:r w:rsidR="00CF4874">
        <w:rPr>
          <w:rFonts w:ascii="Times New Roman" w:hAnsi="Times New Roman" w:cs="Times New Roman"/>
        </w:rPr>
        <w:t>,</w:t>
      </w:r>
      <w:r w:rsidR="003B6803" w:rsidRPr="00152F2D">
        <w:rPr>
          <w:rFonts w:ascii="Times New Roman" w:hAnsi="Times New Roman" w:cs="Times New Roman"/>
        </w:rPr>
        <w:t xml:space="preserve"> y el manejo de la plataforma</w:t>
      </w:r>
      <w:r w:rsidR="00126CFF">
        <w:rPr>
          <w:rFonts w:ascii="Times New Roman" w:hAnsi="Times New Roman" w:cs="Times New Roman"/>
        </w:rPr>
        <w:t>,</w:t>
      </w:r>
      <w:r w:rsidR="003B6803" w:rsidRPr="00152F2D">
        <w:rPr>
          <w:rFonts w:ascii="Times New Roman" w:hAnsi="Times New Roman" w:cs="Times New Roman"/>
        </w:rPr>
        <w:t xml:space="preserve"> 3.16</w:t>
      </w:r>
      <w:r w:rsidR="00126CFF">
        <w:rPr>
          <w:rFonts w:ascii="Times New Roman" w:hAnsi="Times New Roman" w:cs="Times New Roman"/>
        </w:rPr>
        <w:t>.</w:t>
      </w:r>
    </w:p>
    <w:p w14:paraId="2BCBF9F9" w14:textId="30B041B0" w:rsidR="00E67406" w:rsidRDefault="00C807A9">
      <w:pPr>
        <w:spacing w:after="0" w:line="360" w:lineRule="auto"/>
        <w:contextualSpacing/>
        <w:jc w:val="both"/>
        <w:rPr>
          <w:rFonts w:ascii="Times New Roman" w:hAnsi="Times New Roman" w:cs="Times New Roman"/>
        </w:rPr>
      </w:pPr>
      <w:r>
        <w:rPr>
          <w:rFonts w:ascii="Times New Roman" w:hAnsi="Times New Roman" w:cs="Times New Roman"/>
        </w:rPr>
        <w:tab/>
      </w:r>
      <w:r w:rsidR="00126CFF">
        <w:rPr>
          <w:rFonts w:ascii="Times New Roman" w:hAnsi="Times New Roman" w:cs="Times New Roman"/>
        </w:rPr>
        <w:t xml:space="preserve">Por otro lado, </w:t>
      </w:r>
      <w:r w:rsidR="003B6803" w:rsidRPr="00152F2D">
        <w:rPr>
          <w:rFonts w:ascii="Times New Roman" w:hAnsi="Times New Roman" w:cs="Times New Roman"/>
          <w:lang w:val="es-ES"/>
        </w:rPr>
        <w:t xml:space="preserve"> </w:t>
      </w:r>
      <w:r w:rsidR="006711B2" w:rsidRPr="00152F2D">
        <w:rPr>
          <w:rFonts w:ascii="Times New Roman" w:hAnsi="Times New Roman" w:cs="Times New Roman"/>
          <w:lang w:val="es-ES"/>
        </w:rPr>
        <w:t>Medi</w:t>
      </w:r>
      <w:r w:rsidR="003B6803" w:rsidRPr="00152F2D">
        <w:rPr>
          <w:rFonts w:ascii="Times New Roman" w:hAnsi="Times New Roman" w:cs="Times New Roman"/>
          <w:lang w:val="es-ES"/>
        </w:rPr>
        <w:t>na, Amado y Brito (2010)</w:t>
      </w:r>
      <w:r w:rsidR="00742294" w:rsidRPr="00152F2D">
        <w:rPr>
          <w:rFonts w:ascii="Times New Roman" w:hAnsi="Times New Roman" w:cs="Times New Roman"/>
          <w:lang w:val="es-ES"/>
        </w:rPr>
        <w:t xml:space="preserve"> determinaron</w:t>
      </w:r>
      <w:r w:rsidR="006711B2" w:rsidRPr="00152F2D">
        <w:rPr>
          <w:rFonts w:ascii="Times New Roman" w:hAnsi="Times New Roman" w:cs="Times New Roman"/>
          <w:lang w:val="es-ES"/>
        </w:rPr>
        <w:t xml:space="preserve"> que las competencias genéricas más importa</w:t>
      </w:r>
      <w:r w:rsidR="00742294" w:rsidRPr="00152F2D">
        <w:rPr>
          <w:rFonts w:ascii="Times New Roman" w:hAnsi="Times New Roman" w:cs="Times New Roman"/>
          <w:lang w:val="es-ES"/>
        </w:rPr>
        <w:t xml:space="preserve">ntes </w:t>
      </w:r>
      <w:r w:rsidR="006711B2" w:rsidRPr="00152F2D">
        <w:rPr>
          <w:rFonts w:ascii="Times New Roman" w:hAnsi="Times New Roman" w:cs="Times New Roman"/>
          <w:lang w:val="es-ES"/>
        </w:rPr>
        <w:t>fueron</w:t>
      </w:r>
      <w:r w:rsidR="00126CFF">
        <w:rPr>
          <w:rFonts w:ascii="Times New Roman" w:hAnsi="Times New Roman" w:cs="Times New Roman"/>
          <w:lang w:val="es-ES"/>
        </w:rPr>
        <w:t xml:space="preserve"> el</w:t>
      </w:r>
      <w:r w:rsidR="006711B2" w:rsidRPr="00152F2D">
        <w:rPr>
          <w:rFonts w:ascii="Times New Roman" w:hAnsi="Times New Roman" w:cs="Times New Roman"/>
          <w:lang w:val="es-ES"/>
        </w:rPr>
        <w:t xml:space="preserve"> conocimiento sobre el área de estudios y la profesión,</w:t>
      </w:r>
      <w:r w:rsidR="00126CFF">
        <w:rPr>
          <w:rFonts w:ascii="Times New Roman" w:hAnsi="Times New Roman" w:cs="Times New Roman"/>
          <w:lang w:val="es-ES"/>
        </w:rPr>
        <w:t xml:space="preserve"> las</w:t>
      </w:r>
      <w:r w:rsidR="002F38CC">
        <w:rPr>
          <w:rFonts w:ascii="Times New Roman" w:hAnsi="Times New Roman" w:cs="Times New Roman"/>
          <w:lang w:val="es-ES"/>
        </w:rPr>
        <w:t xml:space="preserve"> </w:t>
      </w:r>
      <w:r w:rsidR="006711B2" w:rsidRPr="00152F2D">
        <w:rPr>
          <w:rFonts w:ascii="Times New Roman" w:hAnsi="Times New Roman" w:cs="Times New Roman"/>
          <w:lang w:val="es-ES"/>
        </w:rPr>
        <w:t xml:space="preserve">habilidades en el uso de las TIC, </w:t>
      </w:r>
      <w:r w:rsidR="00126CFF">
        <w:rPr>
          <w:rFonts w:ascii="Times New Roman" w:hAnsi="Times New Roman" w:cs="Times New Roman"/>
          <w:lang w:val="es-ES"/>
        </w:rPr>
        <w:t xml:space="preserve">la </w:t>
      </w:r>
      <w:r w:rsidR="006711B2" w:rsidRPr="00152F2D">
        <w:rPr>
          <w:rFonts w:ascii="Times New Roman" w:hAnsi="Times New Roman" w:cs="Times New Roman"/>
          <w:lang w:val="es-ES"/>
        </w:rPr>
        <w:t>capacidad para tomar decisiones,</w:t>
      </w:r>
      <w:r w:rsidR="00126CFF">
        <w:rPr>
          <w:rFonts w:ascii="Times New Roman" w:hAnsi="Times New Roman" w:cs="Times New Roman"/>
          <w:lang w:val="es-ES"/>
        </w:rPr>
        <w:t xml:space="preserve"> las</w:t>
      </w:r>
      <w:r w:rsidR="006711B2" w:rsidRPr="00152F2D">
        <w:rPr>
          <w:rFonts w:ascii="Times New Roman" w:hAnsi="Times New Roman" w:cs="Times New Roman"/>
          <w:lang w:val="es-ES"/>
        </w:rPr>
        <w:t xml:space="preserve"> habilidades interpersonales, </w:t>
      </w:r>
      <w:r w:rsidR="00126CFF">
        <w:rPr>
          <w:rFonts w:ascii="Times New Roman" w:hAnsi="Times New Roman" w:cs="Times New Roman"/>
          <w:lang w:val="es-ES"/>
        </w:rPr>
        <w:t xml:space="preserve">la </w:t>
      </w:r>
      <w:r w:rsidR="006711B2" w:rsidRPr="00152F2D">
        <w:rPr>
          <w:rFonts w:ascii="Times New Roman" w:hAnsi="Times New Roman" w:cs="Times New Roman"/>
          <w:lang w:val="es-ES"/>
        </w:rPr>
        <w:t xml:space="preserve">capacidad de motivar y conducir hacia metas comunes, </w:t>
      </w:r>
      <w:r w:rsidR="00126CFF">
        <w:rPr>
          <w:rFonts w:ascii="Times New Roman" w:hAnsi="Times New Roman" w:cs="Times New Roman"/>
          <w:lang w:val="es-ES"/>
        </w:rPr>
        <w:t xml:space="preserve">la </w:t>
      </w:r>
      <w:r w:rsidR="006711B2" w:rsidRPr="00152F2D">
        <w:rPr>
          <w:rFonts w:ascii="Times New Roman" w:hAnsi="Times New Roman" w:cs="Times New Roman"/>
          <w:lang w:val="es-ES"/>
        </w:rPr>
        <w:t xml:space="preserve">capacidad para formular y gestionar proyectos, </w:t>
      </w:r>
      <w:r w:rsidR="00126CFF">
        <w:rPr>
          <w:rFonts w:ascii="Times New Roman" w:hAnsi="Times New Roman" w:cs="Times New Roman"/>
          <w:lang w:val="es-ES"/>
        </w:rPr>
        <w:t xml:space="preserve">el </w:t>
      </w:r>
      <w:r w:rsidR="006711B2" w:rsidRPr="00152F2D">
        <w:rPr>
          <w:rFonts w:ascii="Times New Roman" w:hAnsi="Times New Roman" w:cs="Times New Roman"/>
          <w:lang w:val="es-ES"/>
        </w:rPr>
        <w:t xml:space="preserve">compromiso con la calidad e iniciativo y </w:t>
      </w:r>
      <w:r w:rsidR="00126CFF">
        <w:rPr>
          <w:rFonts w:ascii="Times New Roman" w:hAnsi="Times New Roman" w:cs="Times New Roman"/>
          <w:lang w:val="es-ES"/>
        </w:rPr>
        <w:t xml:space="preserve">el </w:t>
      </w:r>
      <w:r w:rsidR="006711B2" w:rsidRPr="00152F2D">
        <w:rPr>
          <w:rFonts w:ascii="Times New Roman" w:hAnsi="Times New Roman" w:cs="Times New Roman"/>
          <w:lang w:val="es-ES"/>
        </w:rPr>
        <w:t>espíritu emprendedor</w:t>
      </w:r>
      <w:r w:rsidR="00126CFF">
        <w:rPr>
          <w:rFonts w:ascii="Times New Roman" w:hAnsi="Times New Roman" w:cs="Times New Roman"/>
          <w:lang w:val="es-ES"/>
        </w:rPr>
        <w:t>; todas ellas</w:t>
      </w:r>
      <w:r w:rsidR="006711B2" w:rsidRPr="00152F2D">
        <w:rPr>
          <w:rFonts w:ascii="Times New Roman" w:hAnsi="Times New Roman" w:cs="Times New Roman"/>
          <w:lang w:val="es-ES"/>
        </w:rPr>
        <w:t xml:space="preserve"> distribuidas en forma uniforme entre los tres tipos de competencias genéricas.</w:t>
      </w:r>
      <w:r w:rsidR="00DB507E" w:rsidRPr="00152F2D">
        <w:rPr>
          <w:rFonts w:ascii="Times New Roman" w:hAnsi="Times New Roman" w:cs="Times New Roman"/>
          <w:lang w:val="es-ES"/>
        </w:rPr>
        <w:t xml:space="preserve"> </w:t>
      </w:r>
      <w:r w:rsidR="00742294" w:rsidRPr="00152F2D">
        <w:rPr>
          <w:rFonts w:ascii="Times New Roman" w:hAnsi="Times New Roman" w:cs="Times New Roman"/>
          <w:lang w:val="es-ES"/>
        </w:rPr>
        <w:t>Así</w:t>
      </w:r>
      <w:r w:rsidR="006711B2" w:rsidRPr="00152F2D">
        <w:rPr>
          <w:rFonts w:ascii="Times New Roman" w:hAnsi="Times New Roman" w:cs="Times New Roman"/>
        </w:rPr>
        <w:t>,</w:t>
      </w:r>
      <w:r w:rsidR="00126CFF">
        <w:rPr>
          <w:rFonts w:ascii="Times New Roman" w:hAnsi="Times New Roman" w:cs="Times New Roman"/>
        </w:rPr>
        <w:t xml:space="preserve"> </w:t>
      </w:r>
      <w:r w:rsidR="006711B2" w:rsidRPr="00152F2D">
        <w:rPr>
          <w:rFonts w:ascii="Times New Roman" w:hAnsi="Times New Roman" w:cs="Times New Roman"/>
        </w:rPr>
        <w:t>a nivel mundial</w:t>
      </w:r>
      <w:r w:rsidR="00126CFF">
        <w:rPr>
          <w:rFonts w:ascii="Times New Roman" w:hAnsi="Times New Roman" w:cs="Times New Roman"/>
        </w:rPr>
        <w:t>,</w:t>
      </w:r>
      <w:r w:rsidR="006711B2" w:rsidRPr="00152F2D">
        <w:rPr>
          <w:rFonts w:ascii="Times New Roman" w:hAnsi="Times New Roman" w:cs="Times New Roman"/>
        </w:rPr>
        <w:t xml:space="preserve"> se observa el interés</w:t>
      </w:r>
      <w:r w:rsidR="003B6803" w:rsidRPr="00152F2D">
        <w:rPr>
          <w:rFonts w:ascii="Times New Roman" w:hAnsi="Times New Roman" w:cs="Times New Roman"/>
        </w:rPr>
        <w:t xml:space="preserve"> por el estudio de los niveles de desarrollo de las competencias genéricas como un componente de la calidad educativa</w:t>
      </w:r>
      <w:r w:rsidR="00126CFF">
        <w:rPr>
          <w:rFonts w:ascii="Times New Roman" w:hAnsi="Times New Roman" w:cs="Times New Roman"/>
        </w:rPr>
        <w:t>,</w:t>
      </w:r>
      <w:r w:rsidR="003B6803" w:rsidRPr="00152F2D">
        <w:rPr>
          <w:rFonts w:ascii="Times New Roman" w:hAnsi="Times New Roman" w:cs="Times New Roman"/>
        </w:rPr>
        <w:t xml:space="preserve"> por lo que </w:t>
      </w:r>
      <w:r w:rsidR="00126CFF">
        <w:rPr>
          <w:rFonts w:ascii="Times New Roman" w:hAnsi="Times New Roman" w:cs="Times New Roman"/>
        </w:rPr>
        <w:t>es</w:t>
      </w:r>
      <w:r w:rsidR="003B6803" w:rsidRPr="00152F2D">
        <w:rPr>
          <w:rFonts w:ascii="Times New Roman" w:hAnsi="Times New Roman" w:cs="Times New Roman"/>
        </w:rPr>
        <w:t xml:space="preserve"> necesario valorar su desarrollo en la modalidad en línea para obtener información relevante con la finalidad de diseñar estrategias de intervención que consoliden los procesos de selección, evaluación del desempeño, desarrollo profesional, equipamiento y gestión tanto académica como administrativa en la institución que brinda este tipo de oferta educativa (Denis, </w:t>
      </w:r>
      <w:proofErr w:type="spellStart"/>
      <w:r w:rsidR="003B6803" w:rsidRPr="00152F2D">
        <w:rPr>
          <w:rFonts w:ascii="Times New Roman" w:hAnsi="Times New Roman" w:cs="Times New Roman"/>
        </w:rPr>
        <w:t>Watland</w:t>
      </w:r>
      <w:proofErr w:type="spellEnd"/>
      <w:r w:rsidR="003B6803" w:rsidRPr="00152F2D">
        <w:rPr>
          <w:rFonts w:ascii="Times New Roman" w:hAnsi="Times New Roman" w:cs="Times New Roman"/>
        </w:rPr>
        <w:t xml:space="preserve">, </w:t>
      </w:r>
      <w:r w:rsidR="00B302CE">
        <w:rPr>
          <w:rFonts w:ascii="Times New Roman" w:hAnsi="Times New Roman" w:cs="Times New Roman"/>
        </w:rPr>
        <w:t xml:space="preserve">Pirotte </w:t>
      </w:r>
      <w:r w:rsidR="00126CFF">
        <w:rPr>
          <w:rFonts w:ascii="Times New Roman" w:hAnsi="Times New Roman" w:cs="Times New Roman"/>
        </w:rPr>
        <w:t>y</w:t>
      </w:r>
      <w:r w:rsidR="00126CFF" w:rsidRPr="00152F2D">
        <w:rPr>
          <w:rFonts w:ascii="Times New Roman" w:hAnsi="Times New Roman" w:cs="Times New Roman"/>
        </w:rPr>
        <w:t xml:space="preserve"> </w:t>
      </w:r>
      <w:proofErr w:type="spellStart"/>
      <w:r w:rsidR="003B6803" w:rsidRPr="00152F2D">
        <w:rPr>
          <w:rFonts w:ascii="Times New Roman" w:hAnsi="Times New Roman" w:cs="Times New Roman"/>
        </w:rPr>
        <w:t>Verday</w:t>
      </w:r>
      <w:proofErr w:type="spellEnd"/>
      <w:r w:rsidR="003B6803" w:rsidRPr="00152F2D">
        <w:rPr>
          <w:rFonts w:ascii="Times New Roman" w:hAnsi="Times New Roman" w:cs="Times New Roman"/>
        </w:rPr>
        <w:t xml:space="preserve">, 2004). </w:t>
      </w:r>
    </w:p>
    <w:p w14:paraId="2F60BA18" w14:textId="7CEA46BA" w:rsidR="00B302CE" w:rsidRDefault="00126CFF" w:rsidP="00782BC3">
      <w:pPr>
        <w:spacing w:after="0" w:line="360" w:lineRule="auto"/>
        <w:ind w:firstLine="708"/>
        <w:contextualSpacing/>
        <w:jc w:val="both"/>
        <w:rPr>
          <w:rFonts w:ascii="Times New Roman" w:hAnsi="Times New Roman" w:cs="Times New Roman"/>
        </w:rPr>
      </w:pPr>
      <w:r>
        <w:rPr>
          <w:rFonts w:ascii="Times New Roman" w:hAnsi="Times New Roman" w:cs="Times New Roman"/>
        </w:rPr>
        <w:lastRenderedPageBreak/>
        <w:t>Por último</w:t>
      </w:r>
      <w:r w:rsidR="003B6803" w:rsidRPr="00152F2D">
        <w:rPr>
          <w:rFonts w:ascii="Times New Roman" w:hAnsi="Times New Roman" w:cs="Times New Roman"/>
        </w:rPr>
        <w:t xml:space="preserve">, </w:t>
      </w:r>
      <w:proofErr w:type="spellStart"/>
      <w:r w:rsidR="00700273">
        <w:rPr>
          <w:rFonts w:ascii="Times New Roman" w:hAnsi="Times New Roman" w:cs="Times New Roman"/>
        </w:rPr>
        <w:t>Lindblom</w:t>
      </w:r>
      <w:proofErr w:type="spellEnd"/>
      <w:r>
        <w:rPr>
          <w:rFonts w:ascii="Times New Roman" w:hAnsi="Times New Roman" w:cs="Times New Roman"/>
        </w:rPr>
        <w:t>,</w:t>
      </w:r>
      <w:r w:rsidR="00700273">
        <w:rPr>
          <w:rFonts w:ascii="Times New Roman" w:hAnsi="Times New Roman" w:cs="Times New Roman"/>
        </w:rPr>
        <w:t xml:space="preserve"> </w:t>
      </w:r>
      <w:proofErr w:type="spellStart"/>
      <w:r w:rsidR="00700273">
        <w:rPr>
          <w:rFonts w:ascii="Times New Roman" w:hAnsi="Times New Roman" w:cs="Times New Roman"/>
        </w:rPr>
        <w:t>Ylanne</w:t>
      </w:r>
      <w:proofErr w:type="spellEnd"/>
      <w:r w:rsidR="00700273">
        <w:rPr>
          <w:rFonts w:ascii="Times New Roman" w:hAnsi="Times New Roman" w:cs="Times New Roman"/>
        </w:rPr>
        <w:t xml:space="preserve">, </w:t>
      </w:r>
      <w:proofErr w:type="spellStart"/>
      <w:r w:rsidR="00700273">
        <w:rPr>
          <w:rFonts w:ascii="Times New Roman" w:hAnsi="Times New Roman" w:cs="Times New Roman"/>
        </w:rPr>
        <w:t>Pihlajamäki</w:t>
      </w:r>
      <w:proofErr w:type="spellEnd"/>
      <w:r w:rsidR="00700273">
        <w:rPr>
          <w:rFonts w:ascii="Times New Roman" w:hAnsi="Times New Roman" w:cs="Times New Roman"/>
        </w:rPr>
        <w:t xml:space="preserve"> </w:t>
      </w:r>
      <w:r>
        <w:rPr>
          <w:rFonts w:ascii="Times New Roman" w:hAnsi="Times New Roman" w:cs="Times New Roman"/>
        </w:rPr>
        <w:t>y</w:t>
      </w:r>
      <w:r w:rsidRPr="00152F2D">
        <w:rPr>
          <w:rFonts w:ascii="Times New Roman" w:hAnsi="Times New Roman" w:cs="Times New Roman"/>
        </w:rPr>
        <w:t xml:space="preserve"> </w:t>
      </w:r>
      <w:proofErr w:type="spellStart"/>
      <w:r w:rsidR="003B6803" w:rsidRPr="00152F2D">
        <w:rPr>
          <w:rFonts w:ascii="Times New Roman" w:hAnsi="Times New Roman" w:cs="Times New Roman"/>
        </w:rPr>
        <w:t>Kotkas</w:t>
      </w:r>
      <w:proofErr w:type="spellEnd"/>
      <w:r w:rsidR="003B6803" w:rsidRPr="00152F2D">
        <w:rPr>
          <w:rFonts w:ascii="Times New Roman" w:hAnsi="Times New Roman" w:cs="Times New Roman"/>
        </w:rPr>
        <w:t xml:space="preserve"> (2006) y Kearney (2013) señalaron que </w:t>
      </w:r>
      <w:r w:rsidR="007D101B">
        <w:rPr>
          <w:rFonts w:ascii="Times New Roman" w:hAnsi="Times New Roman" w:cs="Times New Roman"/>
        </w:rPr>
        <w:t>la</w:t>
      </w:r>
      <w:r w:rsidR="007D101B" w:rsidRPr="00152F2D">
        <w:rPr>
          <w:rFonts w:ascii="Times New Roman" w:hAnsi="Times New Roman" w:cs="Times New Roman"/>
        </w:rPr>
        <w:t xml:space="preserve"> </w:t>
      </w:r>
      <w:r w:rsidR="003B6803" w:rsidRPr="00152F2D">
        <w:rPr>
          <w:rFonts w:ascii="Times New Roman" w:hAnsi="Times New Roman" w:cs="Times New Roman"/>
        </w:rPr>
        <w:t>implantación</w:t>
      </w:r>
      <w:r w:rsidR="007D101B">
        <w:rPr>
          <w:rFonts w:ascii="Times New Roman" w:hAnsi="Times New Roman" w:cs="Times New Roman"/>
        </w:rPr>
        <w:t xml:space="preserve"> de ambas competencias</w:t>
      </w:r>
      <w:r w:rsidR="003B6803" w:rsidRPr="00152F2D">
        <w:rPr>
          <w:rFonts w:ascii="Times New Roman" w:hAnsi="Times New Roman" w:cs="Times New Roman"/>
        </w:rPr>
        <w:t xml:space="preserve"> en la educación superior es una realidad todavía incipiente</w:t>
      </w:r>
      <w:r w:rsidR="001907BC">
        <w:rPr>
          <w:rFonts w:ascii="Times New Roman" w:hAnsi="Times New Roman" w:cs="Times New Roman"/>
        </w:rPr>
        <w:t>, y que</w:t>
      </w:r>
      <w:r w:rsidR="003B6803" w:rsidRPr="00152F2D">
        <w:rPr>
          <w:rFonts w:ascii="Times New Roman" w:hAnsi="Times New Roman" w:cs="Times New Roman"/>
        </w:rPr>
        <w:t xml:space="preserve"> la participación del alumnado es una condición indispensable para impulsar la reflexión sobre los procesos y resultados de aprendizaje que permitan identificar el nivel de logro de las competencias adquiridas. </w:t>
      </w:r>
    </w:p>
    <w:p w14:paraId="2CCFF114" w14:textId="4EF008EA" w:rsidR="006711B2" w:rsidRPr="00152F2D" w:rsidRDefault="009C0F85" w:rsidP="00782BC3">
      <w:pPr>
        <w:spacing w:after="0" w:line="360" w:lineRule="auto"/>
        <w:ind w:firstLine="708"/>
        <w:contextualSpacing/>
        <w:jc w:val="both"/>
        <w:rPr>
          <w:rFonts w:ascii="Times New Roman" w:hAnsi="Times New Roman" w:cs="Times New Roman"/>
          <w:lang w:val="es-ES"/>
        </w:rPr>
      </w:pPr>
      <w:r>
        <w:rPr>
          <w:rFonts w:ascii="Times New Roman" w:hAnsi="Times New Roman" w:cs="Times New Roman"/>
        </w:rPr>
        <w:t>Teniendo en cuenta todo lo hasta aquí mencionado</w:t>
      </w:r>
      <w:r w:rsidR="00B302CE">
        <w:rPr>
          <w:rFonts w:ascii="Times New Roman" w:hAnsi="Times New Roman" w:cs="Times New Roman"/>
        </w:rPr>
        <w:t>, p</w:t>
      </w:r>
      <w:r w:rsidR="003B6803" w:rsidRPr="00152F2D">
        <w:rPr>
          <w:rFonts w:ascii="Times New Roman" w:hAnsi="Times New Roman" w:cs="Times New Roman"/>
        </w:rPr>
        <w:t>ara esta investigación</w:t>
      </w:r>
      <w:r w:rsidR="006711B2" w:rsidRPr="00152F2D">
        <w:rPr>
          <w:rFonts w:ascii="Times New Roman" w:hAnsi="Times New Roman" w:cs="Times New Roman"/>
        </w:rPr>
        <w:t xml:space="preserve"> </w:t>
      </w:r>
      <w:r w:rsidR="00040F74" w:rsidRPr="00152F2D">
        <w:rPr>
          <w:rFonts w:ascii="Times New Roman" w:hAnsi="Times New Roman" w:cs="Times New Roman"/>
        </w:rPr>
        <w:t>se consideró</w:t>
      </w:r>
      <w:r>
        <w:rPr>
          <w:rFonts w:ascii="Times New Roman" w:hAnsi="Times New Roman" w:cs="Times New Roman"/>
        </w:rPr>
        <w:t xml:space="preserve"> tomar como objeto de estudio</w:t>
      </w:r>
      <w:r w:rsidR="00040F74" w:rsidRPr="00152F2D">
        <w:rPr>
          <w:rFonts w:ascii="Times New Roman" w:hAnsi="Times New Roman" w:cs="Times New Roman"/>
        </w:rPr>
        <w:t xml:space="preserve"> a</w:t>
      </w:r>
      <w:r w:rsidR="006711B2" w:rsidRPr="00152F2D">
        <w:rPr>
          <w:rFonts w:ascii="Times New Roman" w:hAnsi="Times New Roman" w:cs="Times New Roman"/>
        </w:rPr>
        <w:t>l Institut</w:t>
      </w:r>
      <w:r w:rsidR="00040F74" w:rsidRPr="00152F2D">
        <w:rPr>
          <w:rFonts w:ascii="Times New Roman" w:hAnsi="Times New Roman" w:cs="Times New Roman"/>
        </w:rPr>
        <w:t xml:space="preserve">o Politécnico Nacional (IPN) por ser </w:t>
      </w:r>
      <w:r w:rsidR="006711B2" w:rsidRPr="00152F2D">
        <w:rPr>
          <w:rFonts w:ascii="Times New Roman" w:hAnsi="Times New Roman" w:cs="Times New Roman"/>
        </w:rPr>
        <w:t>una organización que ofrece</w:t>
      </w:r>
      <w:r w:rsidR="00DB507E" w:rsidRPr="00152F2D">
        <w:rPr>
          <w:rFonts w:ascii="Times New Roman" w:hAnsi="Times New Roman" w:cs="Times New Roman"/>
          <w:bdr w:val="none" w:sz="0" w:space="0" w:color="auto" w:frame="1"/>
          <w:shd w:val="clear" w:color="auto" w:fill="FFFFFF"/>
        </w:rPr>
        <w:t xml:space="preserve"> a nivel licenciatura los siguientes programas académicos</w:t>
      </w:r>
      <w:r w:rsidR="00B302CE">
        <w:rPr>
          <w:rFonts w:ascii="Times New Roman" w:hAnsi="Times New Roman" w:cs="Times New Roman"/>
          <w:bdr w:val="none" w:sz="0" w:space="0" w:color="auto" w:frame="1"/>
          <w:shd w:val="clear" w:color="auto" w:fill="FFFFFF"/>
        </w:rPr>
        <w:t xml:space="preserve"> en la modalidad virtual</w:t>
      </w:r>
      <w:r w:rsidR="00DB507E" w:rsidRPr="00152F2D">
        <w:rPr>
          <w:rFonts w:ascii="Times New Roman" w:hAnsi="Times New Roman" w:cs="Times New Roman"/>
          <w:bdr w:val="none" w:sz="0" w:space="0" w:color="auto" w:frame="1"/>
          <w:shd w:val="clear" w:color="auto" w:fill="FFFFFF"/>
        </w:rPr>
        <w:t xml:space="preserve">: </w:t>
      </w:r>
      <w:r w:rsidR="006711B2" w:rsidRPr="00152F2D">
        <w:rPr>
          <w:rFonts w:ascii="Times New Roman" w:hAnsi="Times New Roman" w:cs="Times New Roman"/>
        </w:rPr>
        <w:t>Administración y Desarrollo Empresarial, Contador Público, Negocios Internac</w:t>
      </w:r>
      <w:r w:rsidR="00D83684" w:rsidRPr="00152F2D">
        <w:rPr>
          <w:rFonts w:ascii="Times New Roman" w:hAnsi="Times New Roman" w:cs="Times New Roman"/>
        </w:rPr>
        <w:t>ionales, Relaciones Comerciales y Comercio Internacional</w:t>
      </w:r>
      <w:r w:rsidR="006711B2" w:rsidRPr="00152F2D">
        <w:rPr>
          <w:rFonts w:ascii="Times New Roman" w:hAnsi="Times New Roman" w:cs="Times New Roman"/>
        </w:rPr>
        <w:t xml:space="preserve">. </w:t>
      </w:r>
    </w:p>
    <w:p w14:paraId="4060553F" w14:textId="77777777" w:rsidR="00902BF2" w:rsidRPr="00152F2D" w:rsidRDefault="00902BF2" w:rsidP="00E462DD">
      <w:pPr>
        <w:spacing w:after="0" w:line="360" w:lineRule="auto"/>
        <w:jc w:val="both"/>
        <w:rPr>
          <w:rFonts w:ascii="Times New Roman" w:eastAsia="Times New Roman" w:hAnsi="Times New Roman" w:cs="Times New Roman"/>
          <w:lang w:eastAsia="es-MX"/>
        </w:rPr>
      </w:pPr>
    </w:p>
    <w:p w14:paraId="4AB32894" w14:textId="77777777" w:rsidR="005602F1" w:rsidRPr="00782BC3" w:rsidRDefault="005602F1" w:rsidP="00782BC3">
      <w:pPr>
        <w:spacing w:after="0" w:line="360" w:lineRule="auto"/>
        <w:rPr>
          <w:rFonts w:ascii="Times New Roman" w:hAnsi="Times New Roman" w:cs="Times New Roman"/>
          <w:b/>
        </w:rPr>
      </w:pPr>
      <w:r w:rsidRPr="00782BC3">
        <w:rPr>
          <w:rFonts w:ascii="Times New Roman" w:hAnsi="Times New Roman" w:cs="Times New Roman"/>
          <w:b/>
        </w:rPr>
        <w:t>Objetivo del estudio</w:t>
      </w:r>
    </w:p>
    <w:p w14:paraId="562895AC" w14:textId="3A991C3C" w:rsidR="00C55BE8" w:rsidRPr="00152F2D" w:rsidRDefault="005602F1" w:rsidP="00782BC3">
      <w:pPr>
        <w:spacing w:after="0" w:line="360" w:lineRule="auto"/>
        <w:ind w:firstLine="708"/>
        <w:jc w:val="both"/>
        <w:rPr>
          <w:rFonts w:ascii="Times New Roman" w:hAnsi="Times New Roman" w:cs="Times New Roman"/>
        </w:rPr>
      </w:pPr>
      <w:r w:rsidRPr="00152F2D">
        <w:rPr>
          <w:rFonts w:ascii="Times New Roman" w:hAnsi="Times New Roman" w:cs="Times New Roman"/>
          <w:lang w:val="es-ES"/>
        </w:rPr>
        <w:t>E</w:t>
      </w:r>
      <w:r w:rsidR="00A5332A" w:rsidRPr="00152F2D">
        <w:rPr>
          <w:rFonts w:ascii="Times New Roman" w:hAnsi="Times New Roman" w:cs="Times New Roman"/>
          <w:color w:val="000000"/>
          <w:shd w:val="clear" w:color="auto" w:fill="FFFFFF"/>
        </w:rPr>
        <w:t xml:space="preserve">valuar desde la percepción del estudiantado los niveles de desarrollo de las competencias genéricas en la educación superior en la modalidad en línea del </w:t>
      </w:r>
      <w:r w:rsidR="00F427D8">
        <w:rPr>
          <w:rFonts w:ascii="Times New Roman" w:hAnsi="Times New Roman" w:cs="Times New Roman"/>
          <w:color w:val="000000"/>
          <w:shd w:val="clear" w:color="auto" w:fill="FFFFFF"/>
        </w:rPr>
        <w:t>IPN</w:t>
      </w:r>
      <w:r w:rsidR="00BC06A3">
        <w:rPr>
          <w:rFonts w:ascii="Times New Roman" w:hAnsi="Times New Roman" w:cs="Times New Roman"/>
          <w:color w:val="000000"/>
          <w:shd w:val="clear" w:color="auto" w:fill="FFFFFF"/>
        </w:rPr>
        <w:t xml:space="preserve"> </w:t>
      </w:r>
      <w:r w:rsidR="00F427D8">
        <w:rPr>
          <w:rFonts w:ascii="Times New Roman" w:hAnsi="Times New Roman" w:cs="Times New Roman"/>
          <w:color w:val="000000"/>
          <w:shd w:val="clear" w:color="auto" w:fill="FFFFFF"/>
        </w:rPr>
        <w:t>en el área de comercio y administración</w:t>
      </w:r>
      <w:r w:rsidR="00A5332A" w:rsidRPr="00152F2D">
        <w:rPr>
          <w:rFonts w:ascii="Times New Roman" w:hAnsi="Times New Roman" w:cs="Times New Roman"/>
          <w:color w:val="000000"/>
          <w:shd w:val="clear" w:color="auto" w:fill="FFFFFF"/>
        </w:rPr>
        <w:t>.</w:t>
      </w:r>
    </w:p>
    <w:p w14:paraId="540A9571" w14:textId="77777777" w:rsidR="00C807A9" w:rsidRDefault="00C807A9" w:rsidP="00E462DD">
      <w:pPr>
        <w:spacing w:after="0" w:line="360" w:lineRule="auto"/>
        <w:jc w:val="both"/>
        <w:rPr>
          <w:rFonts w:ascii="Times New Roman" w:hAnsi="Times New Roman" w:cs="Times New Roman"/>
          <w:b/>
        </w:rPr>
      </w:pPr>
    </w:p>
    <w:p w14:paraId="6E02D481" w14:textId="1A1C8AEE" w:rsidR="00D853BC" w:rsidRPr="00782BC3" w:rsidRDefault="0054334D" w:rsidP="00782BC3">
      <w:pPr>
        <w:spacing w:after="0" w:line="360" w:lineRule="auto"/>
        <w:rPr>
          <w:rFonts w:ascii="Calibri" w:eastAsia="Times New Roman" w:hAnsi="Calibri" w:cs="Calibri"/>
          <w:b/>
          <w:color w:val="000000"/>
          <w:sz w:val="28"/>
          <w:szCs w:val="28"/>
          <w:lang w:eastAsia="es-MX"/>
        </w:rPr>
      </w:pPr>
      <w:r w:rsidRPr="00782BC3">
        <w:rPr>
          <w:rFonts w:ascii="Calibri" w:eastAsia="Times New Roman" w:hAnsi="Calibri" w:cs="Calibri"/>
          <w:b/>
          <w:color w:val="000000"/>
          <w:sz w:val="28"/>
          <w:szCs w:val="28"/>
          <w:lang w:eastAsia="es-MX"/>
        </w:rPr>
        <w:t>Método</w:t>
      </w:r>
    </w:p>
    <w:p w14:paraId="7D9F3DB7" w14:textId="77777777" w:rsidR="00FE2040" w:rsidRPr="00782BC3" w:rsidRDefault="00FE2040" w:rsidP="00782BC3">
      <w:pPr>
        <w:spacing w:after="0" w:line="360" w:lineRule="auto"/>
        <w:rPr>
          <w:rFonts w:ascii="Times New Roman" w:hAnsi="Times New Roman" w:cs="Times New Roman"/>
          <w:b/>
        </w:rPr>
      </w:pPr>
      <w:r w:rsidRPr="00782BC3">
        <w:rPr>
          <w:rFonts w:ascii="Times New Roman" w:hAnsi="Times New Roman" w:cs="Times New Roman"/>
          <w:b/>
        </w:rPr>
        <w:t>Tipo de estudio</w:t>
      </w:r>
    </w:p>
    <w:p w14:paraId="610F8233" w14:textId="181420D3" w:rsidR="001C6B40" w:rsidRPr="00152F2D" w:rsidRDefault="003B6803" w:rsidP="00782BC3">
      <w:pPr>
        <w:spacing w:after="0" w:line="360" w:lineRule="auto"/>
        <w:ind w:firstLine="708"/>
        <w:jc w:val="both"/>
        <w:rPr>
          <w:rFonts w:ascii="Times New Roman" w:hAnsi="Times New Roman" w:cs="Times New Roman"/>
          <w:color w:val="000000" w:themeColor="text1"/>
        </w:rPr>
      </w:pPr>
      <w:r w:rsidRPr="00152F2D">
        <w:rPr>
          <w:rFonts w:ascii="Times New Roman" w:hAnsi="Times New Roman" w:cs="Times New Roman"/>
          <w:color w:val="000000" w:themeColor="text1"/>
        </w:rPr>
        <w:t xml:space="preserve">El tipo </w:t>
      </w:r>
      <w:r w:rsidR="006F6780">
        <w:rPr>
          <w:rFonts w:ascii="Times New Roman" w:hAnsi="Times New Roman" w:cs="Times New Roman"/>
          <w:color w:val="000000" w:themeColor="text1"/>
        </w:rPr>
        <w:t>de</w:t>
      </w:r>
      <w:r w:rsidR="00FE2040" w:rsidRPr="00152F2D">
        <w:rPr>
          <w:rFonts w:ascii="Times New Roman" w:hAnsi="Times New Roman" w:cs="Times New Roman"/>
          <w:color w:val="000000" w:themeColor="text1"/>
        </w:rPr>
        <w:t xml:space="preserve"> metodología</w:t>
      </w:r>
      <w:r w:rsidR="006F6780">
        <w:rPr>
          <w:rFonts w:ascii="Times New Roman" w:hAnsi="Times New Roman" w:cs="Times New Roman"/>
          <w:color w:val="000000" w:themeColor="text1"/>
        </w:rPr>
        <w:t xml:space="preserve"> que se utilizó fue una</w:t>
      </w:r>
      <w:r w:rsidR="00FE2040" w:rsidRPr="00152F2D">
        <w:rPr>
          <w:rFonts w:ascii="Times New Roman" w:hAnsi="Times New Roman" w:cs="Times New Roman"/>
          <w:color w:val="000000" w:themeColor="text1"/>
        </w:rPr>
        <w:t xml:space="preserve"> </w:t>
      </w:r>
      <w:r w:rsidR="006F6780">
        <w:rPr>
          <w:rFonts w:ascii="Times New Roman" w:hAnsi="Times New Roman" w:cs="Times New Roman"/>
          <w:color w:val="000000" w:themeColor="text1"/>
        </w:rPr>
        <w:t>de</w:t>
      </w:r>
      <w:r w:rsidRPr="00152F2D">
        <w:rPr>
          <w:rFonts w:ascii="Times New Roman" w:hAnsi="Times New Roman" w:cs="Times New Roman"/>
          <w:color w:val="000000" w:themeColor="text1"/>
        </w:rPr>
        <w:t xml:space="preserve"> en</w:t>
      </w:r>
      <w:r w:rsidR="00FE2040" w:rsidRPr="00152F2D">
        <w:rPr>
          <w:rFonts w:ascii="Times New Roman" w:hAnsi="Times New Roman" w:cs="Times New Roman"/>
          <w:color w:val="000000" w:themeColor="text1"/>
        </w:rPr>
        <w:t>foque cuantitativo</w:t>
      </w:r>
      <w:r w:rsidR="006F6780">
        <w:rPr>
          <w:rFonts w:ascii="Times New Roman" w:hAnsi="Times New Roman" w:cs="Times New Roman"/>
          <w:color w:val="000000" w:themeColor="text1"/>
        </w:rPr>
        <w:t xml:space="preserve"> y</w:t>
      </w:r>
      <w:r w:rsidR="00FE2040" w:rsidRPr="00152F2D">
        <w:rPr>
          <w:rFonts w:ascii="Times New Roman" w:hAnsi="Times New Roman" w:cs="Times New Roman"/>
          <w:color w:val="000000" w:themeColor="text1"/>
        </w:rPr>
        <w:t xml:space="preserve"> </w:t>
      </w:r>
      <w:r w:rsidRPr="00152F2D">
        <w:rPr>
          <w:rFonts w:ascii="Times New Roman" w:hAnsi="Times New Roman" w:cs="Times New Roman"/>
          <w:color w:val="000000" w:themeColor="text1"/>
        </w:rPr>
        <w:t>con un alcance descriptivo</w:t>
      </w:r>
      <w:r w:rsidR="006F6780">
        <w:rPr>
          <w:rFonts w:ascii="Times New Roman" w:hAnsi="Times New Roman" w:cs="Times New Roman"/>
          <w:color w:val="000000" w:themeColor="text1"/>
        </w:rPr>
        <w:t>.</w:t>
      </w:r>
      <w:r w:rsidR="00FE2040" w:rsidRPr="00152F2D">
        <w:rPr>
          <w:rFonts w:ascii="Times New Roman" w:hAnsi="Times New Roman" w:cs="Times New Roman"/>
          <w:color w:val="000000"/>
        </w:rPr>
        <w:t xml:space="preserve"> </w:t>
      </w:r>
      <w:r w:rsidR="006F6780">
        <w:rPr>
          <w:rFonts w:ascii="Times New Roman" w:hAnsi="Times New Roman" w:cs="Times New Roman"/>
          <w:color w:val="000000"/>
        </w:rPr>
        <w:t>Esto a causa de que</w:t>
      </w:r>
      <w:r w:rsidR="00C03CFF">
        <w:rPr>
          <w:rFonts w:ascii="Times New Roman" w:hAnsi="Times New Roman" w:cs="Times New Roman"/>
          <w:color w:val="000000"/>
        </w:rPr>
        <w:t>, como ya se estableció,</w:t>
      </w:r>
      <w:r w:rsidR="006F6780" w:rsidRPr="00152F2D">
        <w:rPr>
          <w:rFonts w:ascii="Times New Roman" w:hAnsi="Times New Roman" w:cs="Times New Roman"/>
          <w:color w:val="000000"/>
        </w:rPr>
        <w:t xml:space="preserve"> </w:t>
      </w:r>
      <w:r w:rsidR="00C03CFF">
        <w:rPr>
          <w:rFonts w:ascii="Times New Roman" w:hAnsi="Times New Roman" w:cs="Times New Roman"/>
          <w:color w:val="000000"/>
        </w:rPr>
        <w:t>la meta fue</w:t>
      </w:r>
      <w:r w:rsidR="00FE2040" w:rsidRPr="00152F2D">
        <w:rPr>
          <w:rFonts w:ascii="Times New Roman" w:hAnsi="Times New Roman" w:cs="Times New Roman"/>
          <w:color w:val="000000"/>
        </w:rPr>
        <w:t xml:space="preserve"> evaluar el desarrollo de las competencias genéricas adquiridas en el proceso de formación a nivel licenciatura en la modalidad virtual </w:t>
      </w:r>
      <w:r w:rsidRPr="00152F2D">
        <w:rPr>
          <w:rFonts w:ascii="Times New Roman" w:hAnsi="Times New Roman" w:cs="Times New Roman"/>
          <w:color w:val="000000" w:themeColor="text1"/>
        </w:rPr>
        <w:t xml:space="preserve">(Hernández, Fernández y Baptista, 2010). </w:t>
      </w:r>
    </w:p>
    <w:p w14:paraId="511B29B9" w14:textId="77777777" w:rsidR="00C807A9" w:rsidRDefault="00C807A9" w:rsidP="00E462DD">
      <w:pPr>
        <w:spacing w:after="0" w:line="360" w:lineRule="auto"/>
        <w:jc w:val="both"/>
        <w:rPr>
          <w:rFonts w:ascii="Times New Roman" w:hAnsi="Times New Roman" w:cs="Times New Roman"/>
          <w:b/>
          <w:color w:val="000000"/>
        </w:rPr>
      </w:pPr>
    </w:p>
    <w:p w14:paraId="2B02CDF3" w14:textId="286F4E4A" w:rsidR="00F5064D" w:rsidRPr="00782BC3" w:rsidRDefault="00124DAB" w:rsidP="00782BC3">
      <w:pPr>
        <w:spacing w:after="0" w:line="360" w:lineRule="auto"/>
        <w:rPr>
          <w:rFonts w:ascii="Times New Roman" w:hAnsi="Times New Roman" w:cs="Times New Roman"/>
          <w:b/>
        </w:rPr>
      </w:pPr>
      <w:r w:rsidRPr="00782BC3">
        <w:rPr>
          <w:rFonts w:ascii="Times New Roman" w:hAnsi="Times New Roman" w:cs="Times New Roman"/>
          <w:b/>
        </w:rPr>
        <w:t>Participantes</w:t>
      </w:r>
    </w:p>
    <w:p w14:paraId="25A39A94" w14:textId="678943D9" w:rsidR="00656C85" w:rsidRPr="00152F2D" w:rsidRDefault="00764B08" w:rsidP="00782BC3">
      <w:pPr>
        <w:pStyle w:val="ecxmsolistparagraph"/>
        <w:shd w:val="clear" w:color="auto" w:fill="FFFFFF"/>
        <w:spacing w:after="0" w:line="360" w:lineRule="auto"/>
        <w:ind w:firstLine="708"/>
        <w:jc w:val="both"/>
        <w:rPr>
          <w:color w:val="000000" w:themeColor="text1"/>
        </w:rPr>
      </w:pPr>
      <w:r w:rsidRPr="00152F2D">
        <w:rPr>
          <w:color w:val="000000" w:themeColor="text1"/>
        </w:rPr>
        <w:t>La p</w:t>
      </w:r>
      <w:r w:rsidR="009D2371" w:rsidRPr="00152F2D">
        <w:rPr>
          <w:color w:val="000000" w:themeColor="text1"/>
        </w:rPr>
        <w:t xml:space="preserve">oblación del estudio estuvo </w:t>
      </w:r>
      <w:r w:rsidR="00293AFD" w:rsidRPr="00152F2D">
        <w:rPr>
          <w:color w:val="000000" w:themeColor="text1"/>
        </w:rPr>
        <w:t>integrada por los</w:t>
      </w:r>
      <w:r w:rsidRPr="00152F2D">
        <w:rPr>
          <w:color w:val="000000" w:themeColor="text1"/>
        </w:rPr>
        <w:t xml:space="preserve"> estudiantes </w:t>
      </w:r>
      <w:r w:rsidR="000B2C5A">
        <w:rPr>
          <w:color w:val="000000" w:themeColor="text1"/>
        </w:rPr>
        <w:t>de</w:t>
      </w:r>
      <w:r w:rsidRPr="00152F2D">
        <w:rPr>
          <w:color w:val="000000" w:themeColor="text1"/>
        </w:rPr>
        <w:t xml:space="preserve"> los cinco programas de licenciatura </w:t>
      </w:r>
      <w:r w:rsidR="000B2C5A">
        <w:rPr>
          <w:color w:val="000000" w:themeColor="text1"/>
        </w:rPr>
        <w:t>de</w:t>
      </w:r>
      <w:r w:rsidR="009D2371" w:rsidRPr="00152F2D">
        <w:rPr>
          <w:color w:val="000000" w:themeColor="text1"/>
        </w:rPr>
        <w:t xml:space="preserve"> </w:t>
      </w:r>
      <w:r w:rsidRPr="00152F2D">
        <w:rPr>
          <w:color w:val="000000" w:themeColor="text1"/>
        </w:rPr>
        <w:t>m</w:t>
      </w:r>
      <w:r w:rsidR="009D2371" w:rsidRPr="00152F2D">
        <w:rPr>
          <w:color w:val="000000" w:themeColor="text1"/>
        </w:rPr>
        <w:t>odalidad</w:t>
      </w:r>
      <w:r w:rsidR="000B2C5A">
        <w:rPr>
          <w:color w:val="000000" w:themeColor="text1"/>
        </w:rPr>
        <w:t xml:space="preserve"> virtual</w:t>
      </w:r>
      <w:r w:rsidR="00A21E13" w:rsidRPr="00152F2D">
        <w:rPr>
          <w:color w:val="000000" w:themeColor="text1"/>
        </w:rPr>
        <w:t xml:space="preserve"> impartidos por el IPN. </w:t>
      </w:r>
      <w:r w:rsidR="00C77313" w:rsidRPr="00152F2D">
        <w:rPr>
          <w:color w:val="000000" w:themeColor="text1"/>
        </w:rPr>
        <w:t>Para</w:t>
      </w:r>
      <w:r w:rsidRPr="00152F2D">
        <w:rPr>
          <w:color w:val="000000" w:themeColor="text1"/>
        </w:rPr>
        <w:t xml:space="preserve"> hallar el tamaño óptimo</w:t>
      </w:r>
      <w:r w:rsidR="00293AFD" w:rsidRPr="00152F2D">
        <w:rPr>
          <w:color w:val="000000" w:themeColor="text1"/>
        </w:rPr>
        <w:t xml:space="preserve"> de la muestra se empleó el procedimiento recomendado por Martínez (2012)</w:t>
      </w:r>
      <w:r w:rsidR="006F6780">
        <w:rPr>
          <w:color w:val="000000" w:themeColor="text1"/>
        </w:rPr>
        <w:t>,</w:t>
      </w:r>
      <w:r w:rsidR="00293AFD" w:rsidRPr="00152F2D">
        <w:rPr>
          <w:color w:val="000000" w:themeColor="text1"/>
        </w:rPr>
        <w:t xml:space="preserve"> así como por</w:t>
      </w:r>
      <w:r w:rsidRPr="00152F2D">
        <w:rPr>
          <w:color w:val="000000" w:themeColor="text1"/>
        </w:rPr>
        <w:t xml:space="preserve"> </w:t>
      </w:r>
      <w:r w:rsidRPr="00152F2D">
        <w:rPr>
          <w:color w:val="000000"/>
        </w:rPr>
        <w:t>Münch y Ángeles (2007),</w:t>
      </w:r>
      <w:r w:rsidR="00293AFD" w:rsidRPr="00152F2D">
        <w:rPr>
          <w:color w:val="000000" w:themeColor="text1"/>
        </w:rPr>
        <w:t xml:space="preserve"> con base en</w:t>
      </w:r>
      <w:r w:rsidRPr="00152F2D">
        <w:rPr>
          <w:color w:val="000000" w:themeColor="text1"/>
        </w:rPr>
        <w:t xml:space="preserve"> las siguientes condiciones: </w:t>
      </w:r>
      <w:r w:rsidR="006F6780">
        <w:rPr>
          <w:color w:val="000000" w:themeColor="text1"/>
        </w:rPr>
        <w:t>u</w:t>
      </w:r>
      <w:r w:rsidR="006F6780" w:rsidRPr="00152F2D">
        <w:rPr>
          <w:color w:val="000000" w:themeColor="text1"/>
        </w:rPr>
        <w:t xml:space="preserve">na </w:t>
      </w:r>
      <w:r w:rsidRPr="00152F2D">
        <w:rPr>
          <w:color w:val="000000" w:themeColor="text1"/>
        </w:rPr>
        <w:t xml:space="preserve">población </w:t>
      </w:r>
      <w:r w:rsidR="00293AFD" w:rsidRPr="00152F2D">
        <w:rPr>
          <w:color w:val="000000" w:themeColor="text1"/>
        </w:rPr>
        <w:t>de 3184</w:t>
      </w:r>
      <w:r w:rsidRPr="00152F2D">
        <w:rPr>
          <w:color w:val="000000" w:themeColor="text1"/>
        </w:rPr>
        <w:t xml:space="preserve"> personas, una probabilidad de éxito de 0.5 (</w:t>
      </w:r>
      <w:r w:rsidRPr="00782BC3">
        <w:rPr>
          <w:i/>
          <w:color w:val="000000" w:themeColor="text1"/>
        </w:rPr>
        <w:t>p</w:t>
      </w:r>
      <w:r w:rsidR="000B2C5A" w:rsidRPr="00152F2D">
        <w:rPr>
          <w:color w:val="000000" w:themeColor="text1"/>
        </w:rPr>
        <w:t>)</w:t>
      </w:r>
      <w:r w:rsidR="000B2C5A">
        <w:rPr>
          <w:color w:val="000000" w:themeColor="text1"/>
        </w:rPr>
        <w:t xml:space="preserve"> y</w:t>
      </w:r>
      <w:r w:rsidR="000B2C5A" w:rsidRPr="00152F2D">
        <w:rPr>
          <w:color w:val="000000" w:themeColor="text1"/>
        </w:rPr>
        <w:t xml:space="preserve"> </w:t>
      </w:r>
      <w:r w:rsidRPr="00152F2D">
        <w:rPr>
          <w:color w:val="000000" w:themeColor="text1"/>
        </w:rPr>
        <w:t>un nivel de confianza de 95</w:t>
      </w:r>
      <w:r w:rsidR="006F6780">
        <w:rPr>
          <w:color w:val="000000" w:themeColor="text1"/>
        </w:rPr>
        <w:t xml:space="preserve"> </w:t>
      </w:r>
      <w:r w:rsidR="006F6780" w:rsidRPr="00152F2D">
        <w:rPr>
          <w:color w:val="000000" w:themeColor="text1"/>
        </w:rPr>
        <w:t>%</w:t>
      </w:r>
      <w:r w:rsidR="006F6780">
        <w:rPr>
          <w:color w:val="000000" w:themeColor="text1"/>
        </w:rPr>
        <w:t>.</w:t>
      </w:r>
      <w:r w:rsidR="006F6780" w:rsidRPr="00152F2D">
        <w:rPr>
          <w:color w:val="000000" w:themeColor="text1"/>
        </w:rPr>
        <w:t xml:space="preserve"> </w:t>
      </w:r>
      <w:r w:rsidR="006F6780">
        <w:rPr>
          <w:color w:val="000000" w:themeColor="text1"/>
        </w:rPr>
        <w:t xml:space="preserve">Por consiguiente, </w:t>
      </w:r>
      <w:r w:rsidR="00293AFD" w:rsidRPr="00152F2D">
        <w:rPr>
          <w:color w:val="000000" w:themeColor="text1"/>
        </w:rPr>
        <w:t xml:space="preserve">se </w:t>
      </w:r>
      <w:r w:rsidRPr="00152F2D">
        <w:rPr>
          <w:color w:val="000000" w:themeColor="text1"/>
        </w:rPr>
        <w:t>obtuvo un</w:t>
      </w:r>
      <w:r w:rsidR="003D3859" w:rsidRPr="00152F2D">
        <w:rPr>
          <w:color w:val="000000" w:themeColor="text1"/>
        </w:rPr>
        <w:t xml:space="preserve">a muestra </w:t>
      </w:r>
      <w:r w:rsidR="003D3859" w:rsidRPr="00152F2D">
        <w:rPr>
          <w:color w:val="000000" w:themeColor="text1"/>
        </w:rPr>
        <w:lastRenderedPageBreak/>
        <w:t>representativa de</w:t>
      </w:r>
      <w:r w:rsidRPr="00152F2D">
        <w:rPr>
          <w:color w:val="000000" w:themeColor="text1"/>
        </w:rPr>
        <w:t xml:space="preserve"> </w:t>
      </w:r>
      <w:r w:rsidR="003D3859" w:rsidRPr="00152F2D">
        <w:rPr>
          <w:color w:val="000000" w:themeColor="text1"/>
        </w:rPr>
        <w:t xml:space="preserve">343 </w:t>
      </w:r>
      <w:r w:rsidRPr="00152F2D">
        <w:rPr>
          <w:color w:val="000000" w:themeColor="text1"/>
        </w:rPr>
        <w:t>estud</w:t>
      </w:r>
      <w:r w:rsidR="00293AFD" w:rsidRPr="00152F2D">
        <w:rPr>
          <w:color w:val="000000" w:themeColor="text1"/>
        </w:rPr>
        <w:t>iantes.</w:t>
      </w:r>
      <w:r w:rsidR="00DB507E" w:rsidRPr="00152F2D">
        <w:rPr>
          <w:color w:val="000000" w:themeColor="text1"/>
        </w:rPr>
        <w:t xml:space="preserve"> </w:t>
      </w:r>
      <w:r w:rsidR="00293AFD" w:rsidRPr="00152F2D">
        <w:rPr>
          <w:color w:val="000000" w:themeColor="text1"/>
        </w:rPr>
        <w:t xml:space="preserve">Posteriormente, </w:t>
      </w:r>
      <w:r w:rsidRPr="00152F2D">
        <w:rPr>
          <w:color w:val="000000" w:themeColor="text1"/>
        </w:rPr>
        <w:t>se realizó un muestreo estratificado</w:t>
      </w:r>
      <w:r w:rsidR="00293AFD" w:rsidRPr="00152F2D">
        <w:rPr>
          <w:color w:val="000000" w:themeColor="text1"/>
        </w:rPr>
        <w:t xml:space="preserve"> para determinar el número de participantes en cada programa de licenciat</w:t>
      </w:r>
      <w:r w:rsidR="005200B9" w:rsidRPr="00152F2D">
        <w:rPr>
          <w:color w:val="000000" w:themeColor="text1"/>
        </w:rPr>
        <w:t>ura (</w:t>
      </w:r>
      <w:r w:rsidR="00C569C2">
        <w:rPr>
          <w:color w:val="000000" w:themeColor="text1"/>
        </w:rPr>
        <w:t xml:space="preserve">véase </w:t>
      </w:r>
      <w:r w:rsidR="005200B9" w:rsidRPr="00152F2D">
        <w:rPr>
          <w:color w:val="000000" w:themeColor="text1"/>
        </w:rPr>
        <w:t>tabla 1</w:t>
      </w:r>
      <w:r w:rsidR="00293AFD" w:rsidRPr="00152F2D">
        <w:rPr>
          <w:color w:val="000000" w:themeColor="text1"/>
        </w:rPr>
        <w:t xml:space="preserve">). </w:t>
      </w:r>
    </w:p>
    <w:p w14:paraId="106DD531" w14:textId="77777777" w:rsidR="00040F74" w:rsidRPr="00152F2D" w:rsidRDefault="00040F74" w:rsidP="00E462DD">
      <w:pPr>
        <w:pStyle w:val="ecxmsolistparagraph"/>
        <w:shd w:val="clear" w:color="auto" w:fill="FFFFFF"/>
        <w:spacing w:after="0" w:line="360" w:lineRule="auto"/>
        <w:jc w:val="both"/>
        <w:rPr>
          <w:color w:val="000000" w:themeColor="text1"/>
        </w:rPr>
      </w:pPr>
    </w:p>
    <w:p w14:paraId="60987FD5" w14:textId="77777777" w:rsidR="003D3859" w:rsidRPr="00782BC3" w:rsidRDefault="003D3859" w:rsidP="00E462DD">
      <w:pPr>
        <w:tabs>
          <w:tab w:val="left" w:pos="-720"/>
        </w:tabs>
        <w:suppressAutoHyphens/>
        <w:spacing w:after="0" w:line="360" w:lineRule="auto"/>
        <w:jc w:val="center"/>
        <w:rPr>
          <w:rFonts w:ascii="Times New Roman" w:hAnsi="Times New Roman" w:cs="Times New Roman"/>
          <w:color w:val="000000" w:themeColor="text1"/>
          <w:szCs w:val="20"/>
        </w:rPr>
      </w:pPr>
      <w:r w:rsidRPr="00782BC3">
        <w:rPr>
          <w:rFonts w:ascii="Times New Roman" w:hAnsi="Times New Roman" w:cs="Times New Roman"/>
          <w:b/>
          <w:color w:val="000000" w:themeColor="text1"/>
          <w:szCs w:val="20"/>
        </w:rPr>
        <w:t xml:space="preserve">Tabla </w:t>
      </w:r>
      <w:r w:rsidR="005200B9" w:rsidRPr="00782BC3">
        <w:rPr>
          <w:rFonts w:ascii="Times New Roman" w:hAnsi="Times New Roman" w:cs="Times New Roman"/>
          <w:b/>
          <w:color w:val="000000" w:themeColor="text1"/>
          <w:szCs w:val="20"/>
        </w:rPr>
        <w:t>1</w:t>
      </w:r>
      <w:r w:rsidRPr="00782BC3">
        <w:rPr>
          <w:rFonts w:ascii="Times New Roman" w:hAnsi="Times New Roman" w:cs="Times New Roman"/>
          <w:color w:val="000000" w:themeColor="text1"/>
          <w:szCs w:val="20"/>
        </w:rPr>
        <w:t>. Mu</w:t>
      </w:r>
      <w:r w:rsidR="00124DAB" w:rsidRPr="00782BC3">
        <w:rPr>
          <w:rFonts w:ascii="Times New Roman" w:hAnsi="Times New Roman" w:cs="Times New Roman"/>
          <w:color w:val="000000" w:themeColor="text1"/>
          <w:szCs w:val="20"/>
        </w:rPr>
        <w:t>estra</w:t>
      </w:r>
      <w:r w:rsidR="00631C5C" w:rsidRPr="00782BC3">
        <w:rPr>
          <w:rFonts w:ascii="Times New Roman" w:hAnsi="Times New Roman" w:cs="Times New Roman"/>
          <w:color w:val="000000" w:themeColor="text1"/>
          <w:szCs w:val="20"/>
        </w:rPr>
        <w:t xml:space="preserve"> del estudio</w:t>
      </w:r>
    </w:p>
    <w:tbl>
      <w:tblPr>
        <w:tblStyle w:val="Tablaconcuadrcula"/>
        <w:tblW w:w="0" w:type="auto"/>
        <w:jc w:val="center"/>
        <w:tblLook w:val="04A0" w:firstRow="1" w:lastRow="0" w:firstColumn="1" w:lastColumn="0" w:noHBand="0" w:noVBand="1"/>
      </w:tblPr>
      <w:tblGrid>
        <w:gridCol w:w="4253"/>
        <w:gridCol w:w="1701"/>
        <w:gridCol w:w="1985"/>
        <w:gridCol w:w="1323"/>
      </w:tblGrid>
      <w:tr w:rsidR="00B94399" w:rsidRPr="006F6780" w14:paraId="29808D51" w14:textId="77777777" w:rsidTr="00DF1895">
        <w:trPr>
          <w:jc w:val="center"/>
        </w:trPr>
        <w:tc>
          <w:tcPr>
            <w:tcW w:w="4253" w:type="dxa"/>
          </w:tcPr>
          <w:p w14:paraId="556CEFB6" w14:textId="77777777" w:rsidR="00B94399" w:rsidRPr="00782BC3" w:rsidRDefault="00B94399" w:rsidP="00E462DD">
            <w:pPr>
              <w:pStyle w:val="ecxmsolistparagraph"/>
              <w:spacing w:after="0" w:line="360" w:lineRule="auto"/>
              <w:jc w:val="center"/>
              <w:rPr>
                <w:b/>
                <w:color w:val="000000" w:themeColor="text1"/>
              </w:rPr>
            </w:pPr>
            <w:r w:rsidRPr="00782BC3">
              <w:rPr>
                <w:b/>
                <w:color w:val="000000" w:themeColor="text1"/>
              </w:rPr>
              <w:t>Licenciatura</w:t>
            </w:r>
          </w:p>
        </w:tc>
        <w:tc>
          <w:tcPr>
            <w:tcW w:w="1701" w:type="dxa"/>
          </w:tcPr>
          <w:p w14:paraId="4F34F115" w14:textId="77777777" w:rsidR="00B94399" w:rsidRPr="00782BC3" w:rsidRDefault="00B94399" w:rsidP="00E462DD">
            <w:pPr>
              <w:pStyle w:val="ecxmsolistparagraph"/>
              <w:spacing w:after="0" w:line="360" w:lineRule="auto"/>
              <w:jc w:val="center"/>
              <w:rPr>
                <w:b/>
                <w:color w:val="000000" w:themeColor="text1"/>
              </w:rPr>
            </w:pPr>
            <w:r w:rsidRPr="00782BC3">
              <w:rPr>
                <w:b/>
                <w:color w:val="000000" w:themeColor="text1"/>
              </w:rPr>
              <w:t>Estudiantes</w:t>
            </w:r>
          </w:p>
        </w:tc>
        <w:tc>
          <w:tcPr>
            <w:tcW w:w="1985" w:type="dxa"/>
          </w:tcPr>
          <w:p w14:paraId="3D1195E9" w14:textId="77777777" w:rsidR="00B94399" w:rsidRPr="00782BC3" w:rsidRDefault="00B94399" w:rsidP="00E462DD">
            <w:pPr>
              <w:pStyle w:val="ecxmsolistparagraph"/>
              <w:spacing w:after="0" w:line="360" w:lineRule="auto"/>
              <w:jc w:val="center"/>
              <w:rPr>
                <w:b/>
                <w:color w:val="000000" w:themeColor="text1"/>
              </w:rPr>
            </w:pPr>
            <w:r w:rsidRPr="00782BC3">
              <w:rPr>
                <w:b/>
                <w:color w:val="000000" w:themeColor="text1"/>
              </w:rPr>
              <w:t>Muestra estratificada</w:t>
            </w:r>
          </w:p>
        </w:tc>
        <w:tc>
          <w:tcPr>
            <w:tcW w:w="1178" w:type="dxa"/>
          </w:tcPr>
          <w:p w14:paraId="66B0D8F8" w14:textId="77777777" w:rsidR="00B94399" w:rsidRPr="00782BC3" w:rsidRDefault="00B94399" w:rsidP="00E462DD">
            <w:pPr>
              <w:pStyle w:val="ecxmsolistparagraph"/>
              <w:spacing w:after="0" w:line="360" w:lineRule="auto"/>
              <w:jc w:val="center"/>
              <w:rPr>
                <w:b/>
                <w:color w:val="000000" w:themeColor="text1"/>
              </w:rPr>
            </w:pPr>
            <w:r w:rsidRPr="00782BC3">
              <w:rPr>
                <w:b/>
                <w:color w:val="000000" w:themeColor="text1"/>
              </w:rPr>
              <w:t>Porcentaje</w:t>
            </w:r>
          </w:p>
        </w:tc>
      </w:tr>
      <w:tr w:rsidR="00B94399" w:rsidRPr="006F6780" w14:paraId="2C70D790" w14:textId="77777777" w:rsidTr="00DF1895">
        <w:trPr>
          <w:jc w:val="center"/>
        </w:trPr>
        <w:tc>
          <w:tcPr>
            <w:tcW w:w="4253" w:type="dxa"/>
          </w:tcPr>
          <w:p w14:paraId="43BA337E"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Administración y Desarrollo Empresarial</w:t>
            </w:r>
            <w:r w:rsidR="001D12DF" w:rsidRPr="00782BC3">
              <w:rPr>
                <w:color w:val="000000" w:themeColor="text1"/>
              </w:rPr>
              <w:t xml:space="preserve"> (ADE)</w:t>
            </w:r>
          </w:p>
        </w:tc>
        <w:tc>
          <w:tcPr>
            <w:tcW w:w="1701" w:type="dxa"/>
          </w:tcPr>
          <w:p w14:paraId="59564529"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124</w:t>
            </w:r>
          </w:p>
        </w:tc>
        <w:tc>
          <w:tcPr>
            <w:tcW w:w="1985" w:type="dxa"/>
          </w:tcPr>
          <w:p w14:paraId="5DA80E4F"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13</w:t>
            </w:r>
          </w:p>
        </w:tc>
        <w:tc>
          <w:tcPr>
            <w:tcW w:w="1178" w:type="dxa"/>
          </w:tcPr>
          <w:p w14:paraId="1339D36E" w14:textId="34754AF3" w:rsidR="00B94399" w:rsidRPr="00782BC3" w:rsidRDefault="00B94399" w:rsidP="00E462DD">
            <w:pPr>
              <w:pStyle w:val="ecxmsolistparagraph"/>
              <w:spacing w:after="0" w:line="360" w:lineRule="auto"/>
              <w:jc w:val="center"/>
              <w:rPr>
                <w:color w:val="000000" w:themeColor="text1"/>
              </w:rPr>
            </w:pPr>
            <w:r w:rsidRPr="00782BC3">
              <w:rPr>
                <w:color w:val="000000" w:themeColor="text1"/>
              </w:rPr>
              <w:t>4</w:t>
            </w:r>
            <w:r w:rsidR="006F6780" w:rsidRPr="00782BC3">
              <w:rPr>
                <w:color w:val="000000" w:themeColor="text1"/>
              </w:rPr>
              <w:t xml:space="preserve"> </w:t>
            </w:r>
            <w:r w:rsidRPr="00782BC3">
              <w:rPr>
                <w:color w:val="000000" w:themeColor="text1"/>
              </w:rPr>
              <w:t>%</w:t>
            </w:r>
          </w:p>
        </w:tc>
      </w:tr>
      <w:tr w:rsidR="00B94399" w:rsidRPr="006F6780" w14:paraId="4F75CEC0" w14:textId="77777777" w:rsidTr="00DF1895">
        <w:trPr>
          <w:jc w:val="center"/>
        </w:trPr>
        <w:tc>
          <w:tcPr>
            <w:tcW w:w="4253" w:type="dxa"/>
          </w:tcPr>
          <w:p w14:paraId="000A766C"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Contador Público</w:t>
            </w:r>
            <w:r w:rsidR="001D12DF" w:rsidRPr="00782BC3">
              <w:rPr>
                <w:color w:val="000000" w:themeColor="text1"/>
              </w:rPr>
              <w:t xml:space="preserve"> (CP)</w:t>
            </w:r>
          </w:p>
        </w:tc>
        <w:tc>
          <w:tcPr>
            <w:tcW w:w="1701" w:type="dxa"/>
          </w:tcPr>
          <w:p w14:paraId="2C6DCF2C"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594</w:t>
            </w:r>
          </w:p>
        </w:tc>
        <w:tc>
          <w:tcPr>
            <w:tcW w:w="1985" w:type="dxa"/>
          </w:tcPr>
          <w:p w14:paraId="0BB19ED6"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64</w:t>
            </w:r>
          </w:p>
        </w:tc>
        <w:tc>
          <w:tcPr>
            <w:tcW w:w="1178" w:type="dxa"/>
          </w:tcPr>
          <w:p w14:paraId="38271C4F" w14:textId="12C92419" w:rsidR="00B94399" w:rsidRPr="00782BC3" w:rsidRDefault="00B94399" w:rsidP="00E462DD">
            <w:pPr>
              <w:pStyle w:val="ecxmsolistparagraph"/>
              <w:spacing w:after="0" w:line="360" w:lineRule="auto"/>
              <w:jc w:val="center"/>
              <w:rPr>
                <w:color w:val="000000" w:themeColor="text1"/>
              </w:rPr>
            </w:pPr>
            <w:r w:rsidRPr="00782BC3">
              <w:rPr>
                <w:color w:val="000000" w:themeColor="text1"/>
              </w:rPr>
              <w:t>19</w:t>
            </w:r>
            <w:r w:rsidR="006F6780" w:rsidRPr="00782BC3">
              <w:rPr>
                <w:color w:val="000000" w:themeColor="text1"/>
              </w:rPr>
              <w:t xml:space="preserve"> </w:t>
            </w:r>
            <w:r w:rsidRPr="00782BC3">
              <w:rPr>
                <w:color w:val="000000" w:themeColor="text1"/>
              </w:rPr>
              <w:t>%</w:t>
            </w:r>
          </w:p>
        </w:tc>
      </w:tr>
      <w:tr w:rsidR="00B94399" w:rsidRPr="006F6780" w14:paraId="5000CBDE" w14:textId="77777777" w:rsidTr="00DF1895">
        <w:trPr>
          <w:jc w:val="center"/>
        </w:trPr>
        <w:tc>
          <w:tcPr>
            <w:tcW w:w="4253" w:type="dxa"/>
          </w:tcPr>
          <w:p w14:paraId="75898399"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Negocios Internacionales</w:t>
            </w:r>
            <w:r w:rsidR="001D12DF" w:rsidRPr="00782BC3">
              <w:rPr>
                <w:color w:val="000000" w:themeColor="text1"/>
              </w:rPr>
              <w:t xml:space="preserve"> (NI)</w:t>
            </w:r>
          </w:p>
        </w:tc>
        <w:tc>
          <w:tcPr>
            <w:tcW w:w="1701" w:type="dxa"/>
          </w:tcPr>
          <w:p w14:paraId="378A7B58"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951</w:t>
            </w:r>
          </w:p>
        </w:tc>
        <w:tc>
          <w:tcPr>
            <w:tcW w:w="1985" w:type="dxa"/>
          </w:tcPr>
          <w:p w14:paraId="56AAB50F"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103</w:t>
            </w:r>
          </w:p>
        </w:tc>
        <w:tc>
          <w:tcPr>
            <w:tcW w:w="1178" w:type="dxa"/>
          </w:tcPr>
          <w:p w14:paraId="6DF0F556" w14:textId="497A8210" w:rsidR="00B94399" w:rsidRPr="00782BC3" w:rsidRDefault="00B94399" w:rsidP="00E462DD">
            <w:pPr>
              <w:pStyle w:val="ecxmsolistparagraph"/>
              <w:spacing w:after="0" w:line="360" w:lineRule="auto"/>
              <w:jc w:val="center"/>
              <w:rPr>
                <w:color w:val="000000" w:themeColor="text1"/>
              </w:rPr>
            </w:pPr>
            <w:r w:rsidRPr="00782BC3">
              <w:rPr>
                <w:color w:val="000000" w:themeColor="text1"/>
              </w:rPr>
              <w:t>30</w:t>
            </w:r>
            <w:r w:rsidR="006F6780" w:rsidRPr="00782BC3">
              <w:rPr>
                <w:color w:val="000000" w:themeColor="text1"/>
              </w:rPr>
              <w:t xml:space="preserve"> </w:t>
            </w:r>
            <w:r w:rsidRPr="00782BC3">
              <w:rPr>
                <w:color w:val="000000" w:themeColor="text1"/>
              </w:rPr>
              <w:t>%</w:t>
            </w:r>
          </w:p>
        </w:tc>
      </w:tr>
      <w:tr w:rsidR="00B94399" w:rsidRPr="006F6780" w14:paraId="110A489A" w14:textId="77777777" w:rsidTr="00DF1895">
        <w:trPr>
          <w:jc w:val="center"/>
        </w:trPr>
        <w:tc>
          <w:tcPr>
            <w:tcW w:w="4253" w:type="dxa"/>
          </w:tcPr>
          <w:p w14:paraId="4999E594"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Relaciones Comerciales</w:t>
            </w:r>
            <w:r w:rsidR="001D12DF" w:rsidRPr="00782BC3">
              <w:rPr>
                <w:color w:val="000000" w:themeColor="text1"/>
              </w:rPr>
              <w:t xml:space="preserve"> (RC)</w:t>
            </w:r>
          </w:p>
        </w:tc>
        <w:tc>
          <w:tcPr>
            <w:tcW w:w="1701" w:type="dxa"/>
          </w:tcPr>
          <w:p w14:paraId="3009481E"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661</w:t>
            </w:r>
          </w:p>
        </w:tc>
        <w:tc>
          <w:tcPr>
            <w:tcW w:w="1985" w:type="dxa"/>
          </w:tcPr>
          <w:p w14:paraId="6F206935"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71</w:t>
            </w:r>
          </w:p>
        </w:tc>
        <w:tc>
          <w:tcPr>
            <w:tcW w:w="1178" w:type="dxa"/>
          </w:tcPr>
          <w:p w14:paraId="49710CF1" w14:textId="7BDC7561" w:rsidR="00B94399" w:rsidRPr="00782BC3" w:rsidRDefault="00B94399" w:rsidP="00E462DD">
            <w:pPr>
              <w:pStyle w:val="ecxmsolistparagraph"/>
              <w:spacing w:after="0" w:line="360" w:lineRule="auto"/>
              <w:jc w:val="center"/>
              <w:rPr>
                <w:color w:val="000000" w:themeColor="text1"/>
              </w:rPr>
            </w:pPr>
            <w:r w:rsidRPr="00782BC3">
              <w:rPr>
                <w:color w:val="000000" w:themeColor="text1"/>
              </w:rPr>
              <w:t>20</w:t>
            </w:r>
            <w:r w:rsidR="006F6780" w:rsidRPr="00782BC3">
              <w:rPr>
                <w:color w:val="000000" w:themeColor="text1"/>
              </w:rPr>
              <w:t xml:space="preserve"> </w:t>
            </w:r>
            <w:r w:rsidRPr="00782BC3">
              <w:rPr>
                <w:color w:val="000000" w:themeColor="text1"/>
              </w:rPr>
              <w:t>%</w:t>
            </w:r>
          </w:p>
        </w:tc>
      </w:tr>
      <w:tr w:rsidR="00B94399" w:rsidRPr="006F6780" w14:paraId="119AF60F" w14:textId="77777777" w:rsidTr="00DF1895">
        <w:trPr>
          <w:jc w:val="center"/>
        </w:trPr>
        <w:tc>
          <w:tcPr>
            <w:tcW w:w="4253" w:type="dxa"/>
          </w:tcPr>
          <w:p w14:paraId="5290079F"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Comercio Internacional</w:t>
            </w:r>
            <w:r w:rsidR="001D12DF" w:rsidRPr="00782BC3">
              <w:rPr>
                <w:color w:val="000000" w:themeColor="text1"/>
              </w:rPr>
              <w:t xml:space="preserve"> (CI)</w:t>
            </w:r>
          </w:p>
        </w:tc>
        <w:tc>
          <w:tcPr>
            <w:tcW w:w="1701" w:type="dxa"/>
          </w:tcPr>
          <w:p w14:paraId="7A814A21"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854</w:t>
            </w:r>
          </w:p>
        </w:tc>
        <w:tc>
          <w:tcPr>
            <w:tcW w:w="1985" w:type="dxa"/>
          </w:tcPr>
          <w:p w14:paraId="4D05DF5B"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92</w:t>
            </w:r>
          </w:p>
        </w:tc>
        <w:tc>
          <w:tcPr>
            <w:tcW w:w="1178" w:type="dxa"/>
          </w:tcPr>
          <w:p w14:paraId="75567A33" w14:textId="538FF4B6" w:rsidR="00B94399" w:rsidRPr="00782BC3" w:rsidRDefault="00B94399" w:rsidP="00E462DD">
            <w:pPr>
              <w:pStyle w:val="ecxmsolistparagraph"/>
              <w:spacing w:after="0" w:line="360" w:lineRule="auto"/>
              <w:jc w:val="center"/>
              <w:rPr>
                <w:color w:val="000000" w:themeColor="text1"/>
              </w:rPr>
            </w:pPr>
            <w:r w:rsidRPr="00782BC3">
              <w:rPr>
                <w:color w:val="000000" w:themeColor="text1"/>
              </w:rPr>
              <w:t>27</w:t>
            </w:r>
            <w:r w:rsidR="006F6780" w:rsidRPr="00782BC3">
              <w:rPr>
                <w:color w:val="000000" w:themeColor="text1"/>
              </w:rPr>
              <w:t xml:space="preserve"> </w:t>
            </w:r>
            <w:r w:rsidRPr="00782BC3">
              <w:rPr>
                <w:color w:val="000000" w:themeColor="text1"/>
              </w:rPr>
              <w:t>%</w:t>
            </w:r>
          </w:p>
        </w:tc>
      </w:tr>
      <w:tr w:rsidR="00B94399" w:rsidRPr="006F6780" w14:paraId="288494A9" w14:textId="77777777" w:rsidTr="00DF1895">
        <w:trPr>
          <w:jc w:val="center"/>
        </w:trPr>
        <w:tc>
          <w:tcPr>
            <w:tcW w:w="4253" w:type="dxa"/>
          </w:tcPr>
          <w:p w14:paraId="00DE56EC"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Total</w:t>
            </w:r>
          </w:p>
        </w:tc>
        <w:tc>
          <w:tcPr>
            <w:tcW w:w="1701" w:type="dxa"/>
          </w:tcPr>
          <w:p w14:paraId="6CB95B6C" w14:textId="17FCCB1A" w:rsidR="00B94399" w:rsidRPr="00782BC3" w:rsidRDefault="00B94399" w:rsidP="00E462DD">
            <w:pPr>
              <w:pStyle w:val="ecxmsolistparagraph"/>
              <w:spacing w:after="0" w:line="360" w:lineRule="auto"/>
              <w:jc w:val="center"/>
              <w:rPr>
                <w:color w:val="000000" w:themeColor="text1"/>
              </w:rPr>
            </w:pPr>
            <w:r w:rsidRPr="00782BC3">
              <w:rPr>
                <w:color w:val="000000" w:themeColor="text1"/>
              </w:rPr>
              <w:t>3184</w:t>
            </w:r>
          </w:p>
        </w:tc>
        <w:tc>
          <w:tcPr>
            <w:tcW w:w="1985" w:type="dxa"/>
          </w:tcPr>
          <w:p w14:paraId="1DF52736" w14:textId="77777777" w:rsidR="00B94399" w:rsidRPr="00782BC3" w:rsidRDefault="00B94399" w:rsidP="00E462DD">
            <w:pPr>
              <w:pStyle w:val="ecxmsolistparagraph"/>
              <w:spacing w:after="0" w:line="360" w:lineRule="auto"/>
              <w:jc w:val="center"/>
              <w:rPr>
                <w:color w:val="000000" w:themeColor="text1"/>
              </w:rPr>
            </w:pPr>
            <w:r w:rsidRPr="00782BC3">
              <w:rPr>
                <w:color w:val="000000" w:themeColor="text1"/>
              </w:rPr>
              <w:t>343</w:t>
            </w:r>
          </w:p>
        </w:tc>
        <w:tc>
          <w:tcPr>
            <w:tcW w:w="1178" w:type="dxa"/>
          </w:tcPr>
          <w:p w14:paraId="60EE1410" w14:textId="54ABC84D" w:rsidR="00B94399" w:rsidRPr="00782BC3" w:rsidRDefault="00B94399" w:rsidP="00E462DD">
            <w:pPr>
              <w:pStyle w:val="ecxmsolistparagraph"/>
              <w:spacing w:after="0" w:line="360" w:lineRule="auto"/>
              <w:jc w:val="center"/>
              <w:rPr>
                <w:color w:val="000000" w:themeColor="text1"/>
              </w:rPr>
            </w:pPr>
            <w:r w:rsidRPr="00782BC3">
              <w:rPr>
                <w:color w:val="000000" w:themeColor="text1"/>
              </w:rPr>
              <w:t>100</w:t>
            </w:r>
            <w:r w:rsidR="006F6780" w:rsidRPr="00782BC3">
              <w:rPr>
                <w:color w:val="000000" w:themeColor="text1"/>
              </w:rPr>
              <w:t xml:space="preserve"> </w:t>
            </w:r>
            <w:r w:rsidRPr="00782BC3">
              <w:rPr>
                <w:color w:val="000000" w:themeColor="text1"/>
              </w:rPr>
              <w:t>%</w:t>
            </w:r>
          </w:p>
        </w:tc>
      </w:tr>
    </w:tbl>
    <w:p w14:paraId="0147F1FD" w14:textId="77777777" w:rsidR="007154BA" w:rsidRPr="00782BC3" w:rsidRDefault="003D3859" w:rsidP="00E462DD">
      <w:pPr>
        <w:spacing w:after="0" w:line="360" w:lineRule="auto"/>
        <w:jc w:val="center"/>
        <w:rPr>
          <w:rFonts w:ascii="Times New Roman" w:hAnsi="Times New Roman" w:cs="Times New Roman"/>
          <w:szCs w:val="20"/>
        </w:rPr>
      </w:pPr>
      <w:r w:rsidRPr="00782BC3">
        <w:rPr>
          <w:rFonts w:ascii="Times New Roman" w:hAnsi="Times New Roman" w:cs="Times New Roman"/>
          <w:szCs w:val="20"/>
        </w:rPr>
        <w:t xml:space="preserve">Fuente: Elaboración propia </w:t>
      </w:r>
    </w:p>
    <w:p w14:paraId="4048158B" w14:textId="77777777" w:rsidR="00C807A9" w:rsidRDefault="00C807A9" w:rsidP="00E462DD">
      <w:pPr>
        <w:spacing w:after="0" w:line="360" w:lineRule="auto"/>
        <w:jc w:val="both"/>
        <w:rPr>
          <w:rFonts w:ascii="Times New Roman" w:hAnsi="Times New Roman" w:cs="Times New Roman"/>
          <w:b/>
          <w:color w:val="000000"/>
          <w:sz w:val="28"/>
          <w:shd w:val="clear" w:color="auto" w:fill="FFFFFF"/>
        </w:rPr>
      </w:pPr>
    </w:p>
    <w:p w14:paraId="401B1B2D" w14:textId="25FEEFF3" w:rsidR="00F5064D" w:rsidRPr="00782BC3" w:rsidRDefault="00F5064D" w:rsidP="00782BC3">
      <w:pPr>
        <w:spacing w:after="0" w:line="360" w:lineRule="auto"/>
        <w:rPr>
          <w:rFonts w:ascii="Times New Roman" w:hAnsi="Times New Roman" w:cs="Times New Roman"/>
          <w:b/>
        </w:rPr>
      </w:pPr>
      <w:r w:rsidRPr="00782BC3">
        <w:rPr>
          <w:rFonts w:ascii="Times New Roman" w:hAnsi="Times New Roman" w:cs="Times New Roman"/>
          <w:b/>
        </w:rPr>
        <w:t>Instrumento</w:t>
      </w:r>
    </w:p>
    <w:p w14:paraId="6AEE63E4" w14:textId="118E9EA8" w:rsidR="00124DAB" w:rsidRDefault="00F5064D" w:rsidP="00782BC3">
      <w:pPr>
        <w:spacing w:after="0" w:line="360" w:lineRule="auto"/>
        <w:ind w:firstLine="708"/>
        <w:jc w:val="both"/>
        <w:rPr>
          <w:rFonts w:ascii="Times New Roman" w:hAnsi="Times New Roman" w:cs="Times New Roman"/>
        </w:rPr>
      </w:pPr>
      <w:r w:rsidRPr="00152F2D">
        <w:rPr>
          <w:rFonts w:ascii="Times New Roman" w:hAnsi="Times New Roman" w:cs="Times New Roman"/>
          <w:color w:val="000000"/>
          <w:shd w:val="clear" w:color="auto" w:fill="FFFFFF"/>
        </w:rPr>
        <w:t>Para recolectar los datos del estudio sobre las competencias genéricas desarrolladas</w:t>
      </w:r>
      <w:r w:rsidR="00A61FF3">
        <w:rPr>
          <w:rFonts w:ascii="Times New Roman" w:hAnsi="Times New Roman" w:cs="Times New Roman"/>
          <w:color w:val="000000"/>
          <w:shd w:val="clear" w:color="auto" w:fill="FFFFFF"/>
        </w:rPr>
        <w:t xml:space="preserve"> se empleó </w:t>
      </w:r>
      <w:r w:rsidR="00D853BC" w:rsidRPr="00152F2D">
        <w:rPr>
          <w:rFonts w:ascii="Times New Roman" w:hAnsi="Times New Roman" w:cs="Times New Roman"/>
          <w:color w:val="000000"/>
          <w:shd w:val="clear" w:color="auto" w:fill="FFFFFF"/>
        </w:rPr>
        <w:t xml:space="preserve">un cuestionario </w:t>
      </w:r>
      <w:r w:rsidR="00A21E13" w:rsidRPr="00152F2D">
        <w:rPr>
          <w:rFonts w:ascii="Times New Roman" w:hAnsi="Times New Roman" w:cs="Times New Roman"/>
          <w:color w:val="000000"/>
          <w:shd w:val="clear" w:color="auto" w:fill="FFFFFF"/>
        </w:rPr>
        <w:t xml:space="preserve">basado en </w:t>
      </w:r>
      <w:r w:rsidR="00A61FF3">
        <w:rPr>
          <w:rFonts w:ascii="Times New Roman" w:hAnsi="Times New Roman" w:cs="Times New Roman"/>
          <w:color w:val="000000"/>
          <w:shd w:val="clear" w:color="auto" w:fill="FFFFFF"/>
        </w:rPr>
        <w:t>la</w:t>
      </w:r>
      <w:r w:rsidR="00A61FF3" w:rsidRPr="00152F2D">
        <w:rPr>
          <w:rFonts w:ascii="Times New Roman" w:hAnsi="Times New Roman" w:cs="Times New Roman"/>
          <w:color w:val="000000"/>
          <w:shd w:val="clear" w:color="auto" w:fill="FFFFFF"/>
        </w:rPr>
        <w:t xml:space="preserve"> </w:t>
      </w:r>
      <w:r w:rsidR="00A21E13" w:rsidRPr="00152F2D">
        <w:rPr>
          <w:rFonts w:ascii="Times New Roman" w:hAnsi="Times New Roman" w:cs="Times New Roman"/>
          <w:color w:val="000000"/>
          <w:shd w:val="clear" w:color="auto" w:fill="FFFFFF"/>
        </w:rPr>
        <w:t>escala Likert</w:t>
      </w:r>
      <w:r w:rsidR="00A61FF3">
        <w:rPr>
          <w:rFonts w:ascii="Times New Roman" w:hAnsi="Times New Roman" w:cs="Times New Roman"/>
          <w:color w:val="000000"/>
          <w:shd w:val="clear" w:color="auto" w:fill="FFFFFF"/>
        </w:rPr>
        <w:t>. Y</w:t>
      </w:r>
      <w:r w:rsidR="00A21E13" w:rsidRPr="00152F2D">
        <w:rPr>
          <w:rFonts w:ascii="Times New Roman" w:hAnsi="Times New Roman" w:cs="Times New Roman"/>
          <w:color w:val="000000"/>
          <w:shd w:val="clear" w:color="auto" w:fill="FFFFFF"/>
        </w:rPr>
        <w:t xml:space="preserve"> para</w:t>
      </w:r>
      <w:r w:rsidR="00F30184" w:rsidRPr="00152F2D">
        <w:rPr>
          <w:rFonts w:ascii="Times New Roman" w:hAnsi="Times New Roman" w:cs="Times New Roman"/>
          <w:color w:val="000000"/>
          <w:shd w:val="clear" w:color="auto" w:fill="FFFFFF"/>
        </w:rPr>
        <w:t xml:space="preserve"> su diseño</w:t>
      </w:r>
      <w:r w:rsidR="00F30184" w:rsidRPr="00152F2D">
        <w:rPr>
          <w:rFonts w:ascii="Times New Roman" w:hAnsi="Times New Roman" w:cs="Times New Roman"/>
          <w:color w:val="000000" w:themeColor="text1"/>
        </w:rPr>
        <w:t xml:space="preserve"> se consideraron las</w:t>
      </w:r>
      <w:r w:rsidR="00F30184" w:rsidRPr="00152F2D">
        <w:rPr>
          <w:rFonts w:ascii="Times New Roman" w:hAnsi="Times New Roman" w:cs="Times New Roman"/>
        </w:rPr>
        <w:t xml:space="preserve"> aportaciones de </w:t>
      </w:r>
      <w:r w:rsidR="00F30184" w:rsidRPr="00152F2D">
        <w:rPr>
          <w:rFonts w:ascii="Times New Roman" w:hAnsi="Times New Roman" w:cs="Times New Roman"/>
          <w:lang w:val="es-ES"/>
        </w:rPr>
        <w:t>Medina</w:t>
      </w:r>
      <w:r w:rsidR="00126CFF">
        <w:rPr>
          <w:rFonts w:ascii="Times New Roman" w:hAnsi="Times New Roman" w:cs="Times New Roman"/>
          <w:lang w:val="es-ES"/>
        </w:rPr>
        <w:t xml:space="preserve"> </w:t>
      </w:r>
      <w:r w:rsidR="00126CFF">
        <w:rPr>
          <w:rFonts w:ascii="Times New Roman" w:hAnsi="Times New Roman" w:cs="Times New Roman"/>
          <w:i/>
          <w:lang w:val="es-ES"/>
        </w:rPr>
        <w:t>et al.</w:t>
      </w:r>
      <w:r w:rsidR="00F30184" w:rsidRPr="00152F2D">
        <w:rPr>
          <w:rFonts w:ascii="Times New Roman" w:hAnsi="Times New Roman" w:cs="Times New Roman"/>
          <w:lang w:val="es-ES"/>
        </w:rPr>
        <w:t xml:space="preserve"> (2010), Farías y </w:t>
      </w:r>
      <w:proofErr w:type="spellStart"/>
      <w:r w:rsidR="00F30184" w:rsidRPr="00152F2D">
        <w:rPr>
          <w:rFonts w:ascii="Times New Roman" w:hAnsi="Times New Roman" w:cs="Times New Roman"/>
          <w:lang w:val="es-ES"/>
        </w:rPr>
        <w:t>Firinguetti</w:t>
      </w:r>
      <w:proofErr w:type="spellEnd"/>
      <w:r w:rsidR="00F30184" w:rsidRPr="00152F2D">
        <w:rPr>
          <w:rFonts w:ascii="Times New Roman" w:hAnsi="Times New Roman" w:cs="Times New Roman"/>
          <w:lang w:val="es-ES"/>
        </w:rPr>
        <w:t xml:space="preserve"> (2012), Durán y Estay (2012)</w:t>
      </w:r>
      <w:r w:rsidR="00A61FF3">
        <w:rPr>
          <w:rFonts w:ascii="Times New Roman" w:hAnsi="Times New Roman" w:cs="Times New Roman"/>
          <w:lang w:val="es-ES"/>
        </w:rPr>
        <w:t>,</w:t>
      </w:r>
      <w:r w:rsidR="00F30184" w:rsidRPr="00152F2D">
        <w:rPr>
          <w:rFonts w:ascii="Times New Roman" w:hAnsi="Times New Roman" w:cs="Times New Roman"/>
          <w:lang w:val="es-ES"/>
        </w:rPr>
        <w:t xml:space="preserve"> así como </w:t>
      </w:r>
      <w:r w:rsidR="00A61FF3">
        <w:rPr>
          <w:rFonts w:ascii="Times New Roman" w:hAnsi="Times New Roman" w:cs="Times New Roman"/>
          <w:lang w:val="es-ES"/>
        </w:rPr>
        <w:t>d</w:t>
      </w:r>
      <w:r w:rsidR="00F30184" w:rsidRPr="00152F2D">
        <w:rPr>
          <w:rFonts w:ascii="Times New Roman" w:hAnsi="Times New Roman" w:cs="Times New Roman"/>
          <w:lang w:val="es-ES"/>
        </w:rPr>
        <w:t xml:space="preserve">el </w:t>
      </w:r>
      <w:r w:rsidR="00A61FF3">
        <w:rPr>
          <w:rFonts w:ascii="Times New Roman" w:hAnsi="Times New Roman" w:cs="Times New Roman"/>
          <w:lang w:val="es-ES"/>
        </w:rPr>
        <w:t>p</w:t>
      </w:r>
      <w:r w:rsidR="00A61FF3" w:rsidRPr="00152F2D">
        <w:rPr>
          <w:rFonts w:ascii="Times New Roman" w:hAnsi="Times New Roman" w:cs="Times New Roman"/>
          <w:lang w:val="es-ES"/>
        </w:rPr>
        <w:t>royecto</w:t>
      </w:r>
      <w:r w:rsidR="00A61FF3">
        <w:rPr>
          <w:rFonts w:ascii="Times New Roman" w:hAnsi="Times New Roman" w:cs="Times New Roman"/>
          <w:lang w:val="es-ES"/>
        </w:rPr>
        <w:t xml:space="preserve"> mismo proyecto</w:t>
      </w:r>
      <w:r w:rsidR="00A61FF3" w:rsidRPr="00152F2D">
        <w:rPr>
          <w:rFonts w:ascii="Times New Roman" w:hAnsi="Times New Roman" w:cs="Times New Roman"/>
          <w:lang w:val="es-ES"/>
        </w:rPr>
        <w:t xml:space="preserve"> </w:t>
      </w:r>
      <w:proofErr w:type="spellStart"/>
      <w:r w:rsidR="001D12DF" w:rsidRPr="00152F2D">
        <w:rPr>
          <w:rFonts w:ascii="Times New Roman" w:hAnsi="Times New Roman" w:cs="Times New Roman"/>
          <w:lang w:val="es-ES"/>
        </w:rPr>
        <w:t>Tuning</w:t>
      </w:r>
      <w:proofErr w:type="spellEnd"/>
      <w:r w:rsidR="00A61FF3">
        <w:rPr>
          <w:rFonts w:ascii="Times New Roman" w:hAnsi="Times New Roman" w:cs="Times New Roman"/>
          <w:lang w:val="es-ES"/>
        </w:rPr>
        <w:t>-América Latina</w:t>
      </w:r>
      <w:r w:rsidR="001D12DF" w:rsidRPr="00152F2D">
        <w:rPr>
          <w:rFonts w:ascii="Times New Roman" w:hAnsi="Times New Roman" w:cs="Times New Roman"/>
          <w:lang w:val="es-ES"/>
        </w:rPr>
        <w:t xml:space="preserve"> (2007</w:t>
      </w:r>
      <w:r w:rsidR="00F30184" w:rsidRPr="00152F2D">
        <w:rPr>
          <w:rFonts w:ascii="Times New Roman" w:hAnsi="Times New Roman" w:cs="Times New Roman"/>
          <w:lang w:val="es-ES"/>
        </w:rPr>
        <w:t>)</w:t>
      </w:r>
      <w:r w:rsidR="00D55973">
        <w:rPr>
          <w:rFonts w:ascii="Times New Roman" w:hAnsi="Times New Roman" w:cs="Times New Roman"/>
          <w:lang w:val="es-ES"/>
        </w:rPr>
        <w:t>.</w:t>
      </w:r>
      <w:r w:rsidR="00F30184" w:rsidRPr="00152F2D">
        <w:rPr>
          <w:rFonts w:ascii="Times New Roman" w:hAnsi="Times New Roman" w:cs="Times New Roman"/>
          <w:lang w:val="es-ES"/>
        </w:rPr>
        <w:t xml:space="preserve"> </w:t>
      </w:r>
      <w:r w:rsidR="00D55973">
        <w:rPr>
          <w:rFonts w:ascii="Times New Roman" w:hAnsi="Times New Roman" w:cs="Times New Roman"/>
          <w:lang w:val="es-ES"/>
        </w:rPr>
        <w:t>Los reactivos de dicho cuestionario se</w:t>
      </w:r>
      <w:r w:rsidR="00F30184" w:rsidRPr="00152F2D">
        <w:rPr>
          <w:rFonts w:ascii="Times New Roman" w:hAnsi="Times New Roman" w:cs="Times New Roman"/>
          <w:color w:val="000000"/>
          <w:shd w:val="clear" w:color="auto" w:fill="FFFFFF"/>
        </w:rPr>
        <w:t xml:space="preserve"> </w:t>
      </w:r>
      <w:r w:rsidR="00D55973" w:rsidRPr="00152F2D">
        <w:rPr>
          <w:rFonts w:ascii="Times New Roman" w:hAnsi="Times New Roman" w:cs="Times New Roman"/>
          <w:color w:val="000000"/>
          <w:shd w:val="clear" w:color="auto" w:fill="FFFFFF"/>
        </w:rPr>
        <w:t>organiz</w:t>
      </w:r>
      <w:r w:rsidR="00D55973">
        <w:rPr>
          <w:rFonts w:ascii="Times New Roman" w:hAnsi="Times New Roman" w:cs="Times New Roman"/>
          <w:color w:val="000000"/>
          <w:shd w:val="clear" w:color="auto" w:fill="FFFFFF"/>
        </w:rPr>
        <w:t>aron</w:t>
      </w:r>
      <w:r w:rsidR="00D55973" w:rsidRPr="00152F2D">
        <w:rPr>
          <w:rFonts w:ascii="Times New Roman" w:hAnsi="Times New Roman" w:cs="Times New Roman"/>
          <w:color w:val="000000"/>
          <w:shd w:val="clear" w:color="auto" w:fill="FFFFFF"/>
        </w:rPr>
        <w:t xml:space="preserve"> </w:t>
      </w:r>
      <w:r w:rsidR="00D55973">
        <w:rPr>
          <w:rFonts w:ascii="Times New Roman" w:hAnsi="Times New Roman" w:cs="Times New Roman"/>
          <w:color w:val="000000"/>
          <w:shd w:val="clear" w:color="auto" w:fill="FFFFFF"/>
        </w:rPr>
        <w:t>según</w:t>
      </w:r>
      <w:r w:rsidR="00D55973" w:rsidRPr="00152F2D">
        <w:rPr>
          <w:rFonts w:ascii="Times New Roman" w:hAnsi="Times New Roman" w:cs="Times New Roman"/>
          <w:color w:val="000000"/>
          <w:shd w:val="clear" w:color="auto" w:fill="FFFFFF"/>
        </w:rPr>
        <w:t xml:space="preserve"> </w:t>
      </w:r>
      <w:r w:rsidR="00F30184" w:rsidRPr="00152F2D">
        <w:rPr>
          <w:rFonts w:ascii="Times New Roman" w:hAnsi="Times New Roman" w:cs="Times New Roman"/>
          <w:color w:val="000000"/>
          <w:shd w:val="clear" w:color="auto" w:fill="FFFFFF"/>
        </w:rPr>
        <w:t>los siguientes</w:t>
      </w:r>
      <w:r w:rsidR="00267812" w:rsidRPr="00152F2D">
        <w:rPr>
          <w:rFonts w:ascii="Times New Roman" w:hAnsi="Times New Roman" w:cs="Times New Roman"/>
          <w:color w:val="000000"/>
          <w:shd w:val="clear" w:color="auto" w:fill="FFFFFF"/>
        </w:rPr>
        <w:t xml:space="preserve"> apartados: 1) Datos contextuales</w:t>
      </w:r>
      <w:r w:rsidR="00F30184" w:rsidRPr="00152F2D">
        <w:rPr>
          <w:rFonts w:ascii="Times New Roman" w:hAnsi="Times New Roman" w:cs="Times New Roman"/>
          <w:color w:val="000000"/>
          <w:shd w:val="clear" w:color="auto" w:fill="FFFFFF"/>
        </w:rPr>
        <w:t xml:space="preserve">: Rasgos generales relacionados con el perfil de los alumnos y </w:t>
      </w:r>
      <w:r w:rsidR="00F30184" w:rsidRPr="00782BC3">
        <w:rPr>
          <w:rFonts w:ascii="Times New Roman" w:hAnsi="Times New Roman" w:cs="Times New Roman"/>
          <w:i/>
          <w:color w:val="000000"/>
          <w:shd w:val="clear" w:color="auto" w:fill="FFFFFF"/>
        </w:rPr>
        <w:t>2)</w:t>
      </w:r>
      <w:r w:rsidR="00F30184" w:rsidRPr="00152F2D">
        <w:rPr>
          <w:rFonts w:ascii="Times New Roman" w:hAnsi="Times New Roman" w:cs="Times New Roman"/>
          <w:color w:val="000000"/>
          <w:shd w:val="clear" w:color="auto" w:fill="FFFFFF"/>
        </w:rPr>
        <w:t xml:space="preserve"> Niveles de evaluación de las competencias genéricas: Conjunto de competencias clasificadas en instrumentales, interpersonales y sistémicas desarrolladas</w:t>
      </w:r>
      <w:r w:rsidR="00B0495B">
        <w:rPr>
          <w:rFonts w:ascii="Times New Roman" w:hAnsi="Times New Roman" w:cs="Times New Roman"/>
          <w:color w:val="000000"/>
          <w:shd w:val="clear" w:color="auto" w:fill="FFFFFF"/>
        </w:rPr>
        <w:t xml:space="preserve"> </w:t>
      </w:r>
      <w:r w:rsidR="00F30184" w:rsidRPr="00152F2D">
        <w:rPr>
          <w:rFonts w:ascii="Times New Roman" w:hAnsi="Times New Roman" w:cs="Times New Roman"/>
          <w:color w:val="000000"/>
          <w:shd w:val="clear" w:color="auto" w:fill="FFFFFF"/>
        </w:rPr>
        <w:t>en l</w:t>
      </w:r>
      <w:r w:rsidR="000442D7" w:rsidRPr="00152F2D">
        <w:rPr>
          <w:rFonts w:ascii="Times New Roman" w:hAnsi="Times New Roman" w:cs="Times New Roman"/>
          <w:color w:val="000000"/>
          <w:shd w:val="clear" w:color="auto" w:fill="FFFFFF"/>
        </w:rPr>
        <w:t xml:space="preserve">a licenciatura. </w:t>
      </w:r>
      <w:r w:rsidR="00441F53" w:rsidRPr="00152F2D">
        <w:rPr>
          <w:rFonts w:ascii="Times New Roman" w:hAnsi="Times New Roman" w:cs="Times New Roman"/>
        </w:rPr>
        <w:t>Una vez construido el instrumento en su versión inicial, para verificar la validez de contenido se utilizó la técnica de juicio de expertos</w:t>
      </w:r>
      <w:r w:rsidR="00B0495B">
        <w:rPr>
          <w:rFonts w:ascii="Times New Roman" w:hAnsi="Times New Roman" w:cs="Times New Roman"/>
        </w:rPr>
        <w:t>:</w:t>
      </w:r>
      <w:r w:rsidR="00441F53" w:rsidRPr="00152F2D">
        <w:rPr>
          <w:rFonts w:ascii="Times New Roman" w:hAnsi="Times New Roman" w:cs="Times New Roman"/>
        </w:rPr>
        <w:t xml:space="preserve"> se seleccionaron a seis investigadores con un alto grado de conocimientos sobre esta temática, quienes analizaron</w:t>
      </w:r>
      <w:r w:rsidR="00B0495B">
        <w:rPr>
          <w:rFonts w:ascii="Times New Roman" w:hAnsi="Times New Roman" w:cs="Times New Roman"/>
        </w:rPr>
        <w:t xml:space="preserve"> los ítems</w:t>
      </w:r>
      <w:r w:rsidR="00441F53" w:rsidRPr="00152F2D">
        <w:rPr>
          <w:rFonts w:ascii="Times New Roman" w:hAnsi="Times New Roman" w:cs="Times New Roman"/>
        </w:rPr>
        <w:t xml:space="preserve"> </w:t>
      </w:r>
      <w:r w:rsidR="00B0495B">
        <w:rPr>
          <w:rFonts w:ascii="Times New Roman" w:hAnsi="Times New Roman" w:cs="Times New Roman"/>
        </w:rPr>
        <w:t>en cuanto a</w:t>
      </w:r>
      <w:r w:rsidR="00441F53" w:rsidRPr="00152F2D">
        <w:rPr>
          <w:rFonts w:ascii="Times New Roman" w:hAnsi="Times New Roman" w:cs="Times New Roman"/>
        </w:rPr>
        <w:t xml:space="preserve"> claridad, congruencia y tendenciosidad con la finalidad de “estudiar la exactitud con que puede</w:t>
      </w:r>
      <w:r w:rsidR="000269BA">
        <w:rPr>
          <w:rFonts w:ascii="Times New Roman" w:hAnsi="Times New Roman" w:cs="Times New Roman"/>
        </w:rPr>
        <w:t>n</w:t>
      </w:r>
      <w:r w:rsidR="00441F53" w:rsidRPr="00152F2D">
        <w:rPr>
          <w:rFonts w:ascii="Times New Roman" w:hAnsi="Times New Roman" w:cs="Times New Roman"/>
        </w:rPr>
        <w:t xml:space="preserve"> hacerse medidas significativas y adecuadas con un instrumento, y en el sentido que se mida realmente el rasgo que</w:t>
      </w:r>
      <w:r w:rsidR="002B5A9D" w:rsidRPr="00152F2D">
        <w:rPr>
          <w:rFonts w:ascii="Times New Roman" w:hAnsi="Times New Roman" w:cs="Times New Roman"/>
        </w:rPr>
        <w:t xml:space="preserve"> se pretende medir” (Ruíz, 1998, p. </w:t>
      </w:r>
      <w:r w:rsidR="00441F53" w:rsidRPr="00152F2D">
        <w:rPr>
          <w:rFonts w:ascii="Times New Roman" w:hAnsi="Times New Roman" w:cs="Times New Roman"/>
        </w:rPr>
        <w:t xml:space="preserve">73). </w:t>
      </w:r>
    </w:p>
    <w:p w14:paraId="567AFF43" w14:textId="452E912F" w:rsidR="00441F53" w:rsidRPr="00152F2D" w:rsidRDefault="00441F53" w:rsidP="00782BC3">
      <w:pPr>
        <w:spacing w:after="0" w:line="360" w:lineRule="auto"/>
        <w:ind w:firstLine="708"/>
        <w:jc w:val="both"/>
        <w:rPr>
          <w:rFonts w:ascii="Times New Roman" w:hAnsi="Times New Roman" w:cs="Times New Roman"/>
          <w:color w:val="000000"/>
          <w:shd w:val="clear" w:color="auto" w:fill="FFFFFF"/>
        </w:rPr>
      </w:pPr>
      <w:r w:rsidRPr="00152F2D">
        <w:rPr>
          <w:rFonts w:ascii="Times New Roman" w:hAnsi="Times New Roman" w:cs="Times New Roman"/>
        </w:rPr>
        <w:lastRenderedPageBreak/>
        <w:t>Con base en esta información, se llevaron a cabo las modificaciones necesarias y se elaboró la versión final del cuestionario.</w:t>
      </w:r>
      <w:r w:rsidR="00040F74" w:rsidRPr="00152F2D">
        <w:rPr>
          <w:rFonts w:ascii="Times New Roman" w:hAnsi="Times New Roman" w:cs="Times New Roman"/>
        </w:rPr>
        <w:t xml:space="preserve"> </w:t>
      </w:r>
      <w:r w:rsidRPr="00152F2D">
        <w:rPr>
          <w:rFonts w:ascii="Times New Roman" w:hAnsi="Times New Roman" w:cs="Times New Roman"/>
          <w:color w:val="000000" w:themeColor="text1"/>
        </w:rPr>
        <w:t>Posteriormente, se calculó el coeficiente alfa de Cronbach para medir la confiabilidad de la escala para cada dimensión</w:t>
      </w:r>
      <w:r w:rsidR="000C4F3E">
        <w:rPr>
          <w:rFonts w:ascii="Times New Roman" w:hAnsi="Times New Roman" w:cs="Times New Roman"/>
          <w:color w:val="000000" w:themeColor="text1"/>
        </w:rPr>
        <w:t>; al respecto,</w:t>
      </w:r>
      <w:r w:rsidRPr="00152F2D">
        <w:rPr>
          <w:rFonts w:ascii="Times New Roman" w:hAnsi="Times New Roman" w:cs="Times New Roman"/>
          <w:color w:val="000000" w:themeColor="text1"/>
        </w:rPr>
        <w:t xml:space="preserve"> se halló que para las de tipo instrumental fue de 0.824, las interpersonales fue de 0.843 y las sistémicas fue de 0.872, con un valor total de 0.846, </w:t>
      </w:r>
      <w:r w:rsidR="000C4F3E">
        <w:rPr>
          <w:rFonts w:ascii="Times New Roman" w:hAnsi="Times New Roman" w:cs="Times New Roman"/>
          <w:color w:val="000000" w:themeColor="text1"/>
        </w:rPr>
        <w:t>valores que</w:t>
      </w:r>
      <w:r w:rsidRPr="00152F2D">
        <w:rPr>
          <w:rFonts w:ascii="Times New Roman" w:hAnsi="Times New Roman" w:cs="Times New Roman"/>
          <w:color w:val="000000" w:themeColor="text1"/>
        </w:rPr>
        <w:t xml:space="preserve"> se interpretan como una consistencia interna adecuada para el instrumento (Cea, 1999).</w:t>
      </w:r>
      <w:r w:rsidR="00FE2040" w:rsidRPr="00152F2D">
        <w:rPr>
          <w:rFonts w:ascii="Times New Roman" w:hAnsi="Times New Roman" w:cs="Times New Roman"/>
          <w:color w:val="000000" w:themeColor="text1"/>
        </w:rPr>
        <w:t xml:space="preserve"> </w:t>
      </w:r>
      <w:r w:rsidR="00BA38A6">
        <w:rPr>
          <w:rFonts w:ascii="Times New Roman" w:hAnsi="Times New Roman" w:cs="Times New Roman"/>
          <w:color w:val="000000" w:themeColor="text1"/>
        </w:rPr>
        <w:t xml:space="preserve">Asimismo, </w:t>
      </w:r>
      <w:r w:rsidRPr="00152F2D">
        <w:rPr>
          <w:rFonts w:ascii="Times New Roman" w:hAnsi="Times New Roman" w:cs="Times New Roman"/>
          <w:color w:val="000000" w:themeColor="text1"/>
        </w:rPr>
        <w:t>se calcularon el índice de Kaiser-Meyer-</w:t>
      </w:r>
      <w:proofErr w:type="spellStart"/>
      <w:r w:rsidRPr="00152F2D">
        <w:rPr>
          <w:rFonts w:ascii="Times New Roman" w:hAnsi="Times New Roman" w:cs="Times New Roman"/>
          <w:color w:val="000000" w:themeColor="text1"/>
        </w:rPr>
        <w:t>Olkin</w:t>
      </w:r>
      <w:proofErr w:type="spellEnd"/>
      <w:r w:rsidRPr="00152F2D">
        <w:rPr>
          <w:rFonts w:ascii="Times New Roman" w:hAnsi="Times New Roman" w:cs="Times New Roman"/>
          <w:color w:val="000000" w:themeColor="text1"/>
        </w:rPr>
        <w:t xml:space="preserve"> (KMO) y la prueba de esfericidad de Bartlett</w:t>
      </w:r>
      <w:r w:rsidR="000C4F3E">
        <w:rPr>
          <w:rFonts w:ascii="Times New Roman" w:hAnsi="Times New Roman" w:cs="Times New Roman"/>
          <w:color w:val="000000" w:themeColor="text1"/>
        </w:rPr>
        <w:t>.</w:t>
      </w:r>
      <w:r w:rsidR="000C4F3E" w:rsidRPr="00152F2D">
        <w:rPr>
          <w:rFonts w:ascii="Times New Roman" w:hAnsi="Times New Roman" w:cs="Times New Roman"/>
          <w:color w:val="000000" w:themeColor="text1"/>
        </w:rPr>
        <w:t xml:space="preserve"> </w:t>
      </w:r>
      <w:r w:rsidR="000C4F3E">
        <w:rPr>
          <w:rFonts w:ascii="Times New Roman" w:hAnsi="Times New Roman" w:cs="Times New Roman"/>
          <w:color w:val="000000" w:themeColor="text1"/>
        </w:rPr>
        <w:t>P</w:t>
      </w:r>
      <w:r w:rsidR="000C4F3E" w:rsidRPr="00152F2D">
        <w:rPr>
          <w:rFonts w:ascii="Times New Roman" w:hAnsi="Times New Roman" w:cs="Times New Roman"/>
          <w:color w:val="000000" w:themeColor="text1"/>
        </w:rPr>
        <w:t xml:space="preserve">ara </w:t>
      </w:r>
      <w:r w:rsidRPr="00152F2D">
        <w:rPr>
          <w:rFonts w:ascii="Times New Roman" w:hAnsi="Times New Roman" w:cs="Times New Roman"/>
          <w:color w:val="000000" w:themeColor="text1"/>
        </w:rPr>
        <w:t>el primero se obtuvo un valor de 0.923</w:t>
      </w:r>
      <w:r w:rsidR="000C4F3E">
        <w:rPr>
          <w:rFonts w:ascii="Times New Roman" w:hAnsi="Times New Roman" w:cs="Times New Roman"/>
          <w:color w:val="000000" w:themeColor="text1"/>
        </w:rPr>
        <w:t>,</w:t>
      </w:r>
      <w:r w:rsidRPr="00152F2D">
        <w:rPr>
          <w:rFonts w:ascii="Times New Roman" w:hAnsi="Times New Roman" w:cs="Times New Roman"/>
          <w:color w:val="000000" w:themeColor="text1"/>
        </w:rPr>
        <w:t xml:space="preserve"> lo que indica una excelente adecuación muestral</w:t>
      </w:r>
      <w:r w:rsidR="00C569C2">
        <w:rPr>
          <w:rFonts w:ascii="Times New Roman" w:hAnsi="Times New Roman" w:cs="Times New Roman"/>
          <w:color w:val="000000" w:themeColor="text1"/>
        </w:rPr>
        <w:t>;</w:t>
      </w:r>
      <w:r w:rsidR="00C569C2" w:rsidRPr="00152F2D">
        <w:rPr>
          <w:rFonts w:ascii="Times New Roman" w:hAnsi="Times New Roman" w:cs="Times New Roman"/>
          <w:color w:val="000000" w:themeColor="text1"/>
        </w:rPr>
        <w:t xml:space="preserve"> </w:t>
      </w:r>
      <w:r w:rsidRPr="00152F2D">
        <w:rPr>
          <w:rFonts w:ascii="Times New Roman" w:hAnsi="Times New Roman" w:cs="Times New Roman"/>
          <w:color w:val="000000" w:themeColor="text1"/>
        </w:rPr>
        <w:t>mientras qu</w:t>
      </w:r>
      <w:r w:rsidR="00564FF9">
        <w:rPr>
          <w:rFonts w:ascii="Times New Roman" w:hAnsi="Times New Roman" w:cs="Times New Roman"/>
          <w:color w:val="000000" w:themeColor="text1"/>
        </w:rPr>
        <w:t xml:space="preserve">e </w:t>
      </w:r>
      <w:r w:rsidR="000C4F3E">
        <w:rPr>
          <w:rFonts w:ascii="Times New Roman" w:hAnsi="Times New Roman" w:cs="Times New Roman"/>
          <w:color w:val="000000" w:themeColor="text1"/>
        </w:rPr>
        <w:t xml:space="preserve">para </w:t>
      </w:r>
      <w:r w:rsidR="00564FF9">
        <w:rPr>
          <w:rFonts w:ascii="Times New Roman" w:hAnsi="Times New Roman" w:cs="Times New Roman"/>
          <w:color w:val="000000" w:themeColor="text1"/>
        </w:rPr>
        <w:t xml:space="preserve">el segundo </w:t>
      </w:r>
      <w:r w:rsidR="000C4F3E">
        <w:rPr>
          <w:rFonts w:ascii="Times New Roman" w:hAnsi="Times New Roman" w:cs="Times New Roman"/>
          <w:color w:val="000000" w:themeColor="text1"/>
        </w:rPr>
        <w:t>se ob</w:t>
      </w:r>
      <w:r w:rsidR="00564FF9">
        <w:rPr>
          <w:rFonts w:ascii="Times New Roman" w:hAnsi="Times New Roman" w:cs="Times New Roman"/>
          <w:color w:val="000000" w:themeColor="text1"/>
        </w:rPr>
        <w:t xml:space="preserve">tuvo un valor de </w:t>
      </w:r>
      <w:r w:rsidR="00564FF9" w:rsidRPr="00782BC3">
        <w:rPr>
          <w:rFonts w:ascii="Times New Roman" w:hAnsi="Times New Roman" w:cs="Times New Roman"/>
          <w:i/>
          <w:color w:val="000000" w:themeColor="text1"/>
        </w:rPr>
        <w:t>p</w:t>
      </w:r>
      <w:r w:rsidR="000C4F3E">
        <w:rPr>
          <w:rFonts w:ascii="Times New Roman" w:hAnsi="Times New Roman" w:cs="Times New Roman"/>
          <w:color w:val="000000" w:themeColor="text1"/>
        </w:rPr>
        <w:t xml:space="preserve"> </w:t>
      </w:r>
      <w:r w:rsidRPr="00152F2D">
        <w:rPr>
          <w:rFonts w:ascii="Times New Roman" w:hAnsi="Times New Roman" w:cs="Times New Roman"/>
          <w:color w:val="000000" w:themeColor="text1"/>
        </w:rPr>
        <w:t>&lt;</w:t>
      </w:r>
      <w:r w:rsidR="000C4F3E">
        <w:rPr>
          <w:rFonts w:ascii="Times New Roman" w:hAnsi="Times New Roman" w:cs="Times New Roman"/>
          <w:color w:val="000000" w:themeColor="text1"/>
        </w:rPr>
        <w:t xml:space="preserve"> </w:t>
      </w:r>
      <w:r w:rsidRPr="00152F2D">
        <w:rPr>
          <w:rFonts w:ascii="Times New Roman" w:hAnsi="Times New Roman" w:cs="Times New Roman"/>
          <w:color w:val="000000" w:themeColor="text1"/>
        </w:rPr>
        <w:t>0.05, lo que significa que es</w:t>
      </w:r>
      <w:r w:rsidR="00293225">
        <w:rPr>
          <w:rFonts w:ascii="Times New Roman" w:hAnsi="Times New Roman" w:cs="Times New Roman"/>
          <w:color w:val="000000" w:themeColor="text1"/>
        </w:rPr>
        <w:t xml:space="preserve"> lo suficientemente</w:t>
      </w:r>
      <w:r w:rsidRPr="00152F2D">
        <w:rPr>
          <w:rFonts w:ascii="Times New Roman" w:hAnsi="Times New Roman" w:cs="Times New Roman"/>
          <w:color w:val="000000" w:themeColor="text1"/>
        </w:rPr>
        <w:t xml:space="preserve"> adecuado desarrollar un análisis factorial</w:t>
      </w:r>
      <w:r w:rsidR="00293225">
        <w:rPr>
          <w:rFonts w:ascii="Times New Roman" w:hAnsi="Times New Roman" w:cs="Times New Roman"/>
          <w:color w:val="000000" w:themeColor="text1"/>
        </w:rPr>
        <w:t>.</w:t>
      </w:r>
      <w:r w:rsidR="00293225" w:rsidRPr="00152F2D">
        <w:rPr>
          <w:rFonts w:ascii="Times New Roman" w:hAnsi="Times New Roman" w:cs="Times New Roman"/>
          <w:color w:val="000000" w:themeColor="text1"/>
        </w:rPr>
        <w:t xml:space="preserve"> </w:t>
      </w:r>
      <w:r w:rsidR="00293225">
        <w:rPr>
          <w:rFonts w:ascii="Times New Roman" w:hAnsi="Times New Roman" w:cs="Times New Roman"/>
          <w:color w:val="000000" w:themeColor="text1"/>
        </w:rPr>
        <w:t xml:space="preserve">Finalmente, </w:t>
      </w:r>
      <w:r w:rsidRPr="00152F2D">
        <w:rPr>
          <w:rFonts w:ascii="Times New Roman" w:hAnsi="Times New Roman" w:cs="Times New Roman"/>
          <w:color w:val="000000" w:themeColor="text1"/>
        </w:rPr>
        <w:t>se determinaron los autovalores</w:t>
      </w:r>
      <w:r w:rsidR="00293225">
        <w:rPr>
          <w:rFonts w:ascii="Times New Roman" w:hAnsi="Times New Roman" w:cs="Times New Roman"/>
          <w:color w:val="000000" w:themeColor="text1"/>
        </w:rPr>
        <w:t>,</w:t>
      </w:r>
      <w:r w:rsidRPr="00152F2D">
        <w:rPr>
          <w:rFonts w:ascii="Times New Roman" w:hAnsi="Times New Roman" w:cs="Times New Roman"/>
          <w:color w:val="000000" w:themeColor="text1"/>
        </w:rPr>
        <w:t xml:space="preserve"> que explicaron 76.45</w:t>
      </w:r>
      <w:r w:rsidR="00293225">
        <w:rPr>
          <w:rFonts w:ascii="Times New Roman" w:hAnsi="Times New Roman" w:cs="Times New Roman"/>
          <w:color w:val="000000" w:themeColor="text1"/>
        </w:rPr>
        <w:t xml:space="preserve"> </w:t>
      </w:r>
      <w:r w:rsidRPr="00152F2D">
        <w:rPr>
          <w:rFonts w:ascii="Times New Roman" w:hAnsi="Times New Roman" w:cs="Times New Roman"/>
          <w:color w:val="000000" w:themeColor="text1"/>
        </w:rPr>
        <w:t>% de la varianza total</w:t>
      </w:r>
      <w:r w:rsidR="00293225">
        <w:rPr>
          <w:rFonts w:ascii="Times New Roman" w:hAnsi="Times New Roman" w:cs="Times New Roman"/>
          <w:color w:val="000000" w:themeColor="text1"/>
        </w:rPr>
        <w:t>,</w:t>
      </w:r>
      <w:r w:rsidRPr="00152F2D">
        <w:rPr>
          <w:rFonts w:ascii="Times New Roman" w:hAnsi="Times New Roman" w:cs="Times New Roman"/>
          <w:color w:val="000000" w:themeColor="text1"/>
        </w:rPr>
        <w:t xml:space="preserve"> por lo que se cum</w:t>
      </w:r>
      <w:r w:rsidR="000442D7" w:rsidRPr="00152F2D">
        <w:rPr>
          <w:rFonts w:ascii="Times New Roman" w:hAnsi="Times New Roman" w:cs="Times New Roman"/>
          <w:color w:val="000000" w:themeColor="text1"/>
        </w:rPr>
        <w:t>ple que el instrumento en el estudio presenta</w:t>
      </w:r>
      <w:r w:rsidRPr="00152F2D">
        <w:rPr>
          <w:rFonts w:ascii="Times New Roman" w:hAnsi="Times New Roman" w:cs="Times New Roman"/>
          <w:color w:val="000000" w:themeColor="text1"/>
        </w:rPr>
        <w:t xml:space="preserve"> </w:t>
      </w:r>
      <w:proofErr w:type="spellStart"/>
      <w:r w:rsidRPr="00152F2D">
        <w:rPr>
          <w:rFonts w:ascii="Times New Roman" w:hAnsi="Times New Roman" w:cs="Times New Roman"/>
          <w:color w:val="000000" w:themeColor="text1"/>
        </w:rPr>
        <w:t>unidimensionalidad</w:t>
      </w:r>
      <w:proofErr w:type="spellEnd"/>
      <w:r w:rsidRPr="00152F2D">
        <w:rPr>
          <w:rFonts w:ascii="Times New Roman" w:hAnsi="Times New Roman" w:cs="Times New Roman"/>
          <w:color w:val="000000" w:themeColor="text1"/>
        </w:rPr>
        <w:t xml:space="preserve"> (Burga, 2006). </w:t>
      </w:r>
    </w:p>
    <w:p w14:paraId="4D8E757F" w14:textId="77777777" w:rsidR="00C807A9" w:rsidRDefault="00C807A9" w:rsidP="00E462DD">
      <w:pPr>
        <w:spacing w:after="0" w:line="360" w:lineRule="auto"/>
        <w:jc w:val="both"/>
        <w:rPr>
          <w:rFonts w:ascii="Times New Roman" w:hAnsi="Times New Roman" w:cs="Times New Roman"/>
          <w:b/>
          <w:color w:val="000000"/>
          <w:shd w:val="clear" w:color="auto" w:fill="FFFFFF"/>
        </w:rPr>
      </w:pPr>
    </w:p>
    <w:p w14:paraId="479F9AA9" w14:textId="0F871DCA" w:rsidR="00F30184" w:rsidRPr="00782BC3" w:rsidRDefault="00AB6DDD" w:rsidP="00782BC3">
      <w:pPr>
        <w:spacing w:after="0" w:line="360" w:lineRule="auto"/>
        <w:rPr>
          <w:rFonts w:ascii="Times New Roman" w:hAnsi="Times New Roman" w:cs="Times New Roman"/>
          <w:b/>
        </w:rPr>
      </w:pPr>
      <w:r w:rsidRPr="00782BC3">
        <w:rPr>
          <w:rFonts w:ascii="Times New Roman" w:hAnsi="Times New Roman" w:cs="Times New Roman"/>
          <w:b/>
        </w:rPr>
        <w:t>Análisis de datos</w:t>
      </w:r>
    </w:p>
    <w:p w14:paraId="50FD1FC2" w14:textId="1150B85A" w:rsidR="00AB6DDD" w:rsidRDefault="00293225" w:rsidP="00782BC3">
      <w:pPr>
        <w:spacing w:after="0" w:line="360" w:lineRule="auto"/>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De acuerdo con</w:t>
      </w:r>
      <w:r w:rsidR="00D853BC" w:rsidRPr="00152F2D">
        <w:rPr>
          <w:rFonts w:ascii="Times New Roman" w:hAnsi="Times New Roman" w:cs="Times New Roman"/>
          <w:color w:val="000000"/>
          <w:shd w:val="clear" w:color="auto" w:fill="FFFFFF"/>
        </w:rPr>
        <w:t xml:space="preserve"> Stevens (2001)</w:t>
      </w:r>
      <w:r w:rsidR="00777E9C" w:rsidRPr="00152F2D">
        <w:rPr>
          <w:rFonts w:ascii="Times New Roman" w:hAnsi="Times New Roman" w:cs="Times New Roman"/>
          <w:color w:val="000000"/>
          <w:shd w:val="clear" w:color="auto" w:fill="FFFFFF"/>
        </w:rPr>
        <w:t>, se emple</w:t>
      </w:r>
      <w:r w:rsidR="00D853BC" w:rsidRPr="00152F2D">
        <w:rPr>
          <w:rFonts w:ascii="Times New Roman" w:hAnsi="Times New Roman" w:cs="Times New Roman"/>
          <w:color w:val="000000"/>
          <w:shd w:val="clear" w:color="auto" w:fill="FFFFFF"/>
        </w:rPr>
        <w:t xml:space="preserve">ó una escala de evaluación que permitió medir las características de </w:t>
      </w:r>
      <w:r w:rsidR="00777E9C" w:rsidRPr="00152F2D">
        <w:rPr>
          <w:rFonts w:ascii="Times New Roman" w:hAnsi="Times New Roman" w:cs="Times New Roman"/>
          <w:color w:val="000000"/>
          <w:shd w:val="clear" w:color="auto" w:fill="FFFFFF"/>
        </w:rPr>
        <w:t>las competencias genéricas</w:t>
      </w:r>
      <w:r w:rsidR="00D853BC" w:rsidRPr="00152F2D">
        <w:rPr>
          <w:rFonts w:ascii="Times New Roman" w:hAnsi="Times New Roman" w:cs="Times New Roman"/>
          <w:color w:val="000000"/>
          <w:shd w:val="clear" w:color="auto" w:fill="FFFFFF"/>
        </w:rPr>
        <w:t xml:space="preserve">, </w:t>
      </w:r>
      <w:r w:rsidR="005F284D">
        <w:rPr>
          <w:rFonts w:ascii="Times New Roman" w:hAnsi="Times New Roman" w:cs="Times New Roman"/>
          <w:color w:val="000000"/>
          <w:shd w:val="clear" w:color="auto" w:fill="FFFFFF"/>
        </w:rPr>
        <w:t>a través de la asignación de</w:t>
      </w:r>
      <w:r w:rsidR="005F284D" w:rsidRPr="00152F2D">
        <w:rPr>
          <w:rFonts w:ascii="Times New Roman" w:hAnsi="Times New Roman" w:cs="Times New Roman"/>
          <w:color w:val="000000"/>
          <w:shd w:val="clear" w:color="auto" w:fill="FFFFFF"/>
        </w:rPr>
        <w:t xml:space="preserve"> </w:t>
      </w:r>
      <w:r w:rsidR="004A627A" w:rsidRPr="00152F2D">
        <w:rPr>
          <w:rFonts w:ascii="Times New Roman" w:hAnsi="Times New Roman" w:cs="Times New Roman"/>
          <w:color w:val="000000"/>
          <w:shd w:val="clear" w:color="auto" w:fill="FFFFFF"/>
        </w:rPr>
        <w:t>números o valores</w:t>
      </w:r>
      <w:r w:rsidR="005F284D">
        <w:rPr>
          <w:rFonts w:ascii="Times New Roman" w:hAnsi="Times New Roman" w:cs="Times New Roman"/>
          <w:color w:val="000000"/>
          <w:shd w:val="clear" w:color="auto" w:fill="FFFFFF"/>
        </w:rPr>
        <w:t xml:space="preserve">: </w:t>
      </w:r>
      <w:r w:rsidR="00D853BC" w:rsidRPr="00152F2D">
        <w:rPr>
          <w:rFonts w:ascii="Times New Roman" w:hAnsi="Times New Roman" w:cs="Times New Roman"/>
          <w:color w:val="000000"/>
          <w:shd w:val="clear" w:color="auto" w:fill="FFFFFF"/>
        </w:rPr>
        <w:t>c</w:t>
      </w:r>
      <w:r w:rsidR="00777E9C" w:rsidRPr="00152F2D">
        <w:rPr>
          <w:rFonts w:ascii="Times New Roman" w:hAnsi="Times New Roman" w:cs="Times New Roman"/>
          <w:color w:val="000000"/>
          <w:shd w:val="clear" w:color="auto" w:fill="FFFFFF"/>
        </w:rPr>
        <w:t>ada uno de los ítems tuvo</w:t>
      </w:r>
      <w:r w:rsidR="00D853BC" w:rsidRPr="00152F2D">
        <w:rPr>
          <w:rFonts w:ascii="Times New Roman" w:hAnsi="Times New Roman" w:cs="Times New Roman"/>
          <w:color w:val="000000"/>
          <w:shd w:val="clear" w:color="auto" w:fill="FFFFFF"/>
        </w:rPr>
        <w:t xml:space="preserve"> cinco opciones de respuesta </w:t>
      </w:r>
      <w:r w:rsidR="005F284D">
        <w:rPr>
          <w:rFonts w:ascii="Times New Roman" w:hAnsi="Times New Roman" w:cs="Times New Roman"/>
          <w:color w:val="000000"/>
          <w:shd w:val="clear" w:color="auto" w:fill="FFFFFF"/>
        </w:rPr>
        <w:t>que iban de</w:t>
      </w:r>
      <w:r w:rsidR="00D853BC" w:rsidRPr="00152F2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cero</w:t>
      </w:r>
      <w:r w:rsidRPr="00152F2D">
        <w:rPr>
          <w:rFonts w:ascii="Times New Roman" w:hAnsi="Times New Roman" w:cs="Times New Roman"/>
          <w:color w:val="000000"/>
          <w:shd w:val="clear" w:color="auto" w:fill="FFFFFF"/>
        </w:rPr>
        <w:t xml:space="preserve"> </w:t>
      </w:r>
      <w:r w:rsidR="00D853BC" w:rsidRPr="00152F2D">
        <w:rPr>
          <w:rFonts w:ascii="Times New Roman" w:hAnsi="Times New Roman" w:cs="Times New Roman"/>
          <w:color w:val="000000"/>
          <w:shd w:val="clear" w:color="auto" w:fill="FFFFFF"/>
        </w:rPr>
        <w:t>(no desarrollad</w:t>
      </w:r>
      <w:r w:rsidR="00FE2040" w:rsidRPr="00152F2D">
        <w:rPr>
          <w:rFonts w:ascii="Times New Roman" w:hAnsi="Times New Roman" w:cs="Times New Roman"/>
          <w:color w:val="000000"/>
          <w:shd w:val="clear" w:color="auto" w:fill="FFFFFF"/>
        </w:rPr>
        <w:t xml:space="preserve">a) </w:t>
      </w:r>
      <w:r w:rsidR="005F284D">
        <w:rPr>
          <w:rFonts w:ascii="Times New Roman" w:hAnsi="Times New Roman" w:cs="Times New Roman"/>
          <w:color w:val="000000"/>
          <w:shd w:val="clear" w:color="auto" w:fill="FFFFFF"/>
        </w:rPr>
        <w:t>a</w:t>
      </w:r>
      <w:r w:rsidR="005F284D" w:rsidRPr="00152F2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cuatro</w:t>
      </w:r>
      <w:r w:rsidRPr="00152F2D">
        <w:rPr>
          <w:rFonts w:ascii="Times New Roman" w:hAnsi="Times New Roman" w:cs="Times New Roman"/>
          <w:color w:val="000000"/>
          <w:shd w:val="clear" w:color="auto" w:fill="FFFFFF"/>
        </w:rPr>
        <w:t xml:space="preserve"> </w:t>
      </w:r>
      <w:r w:rsidR="00FE2040" w:rsidRPr="00152F2D">
        <w:rPr>
          <w:rFonts w:ascii="Times New Roman" w:hAnsi="Times New Roman" w:cs="Times New Roman"/>
          <w:color w:val="000000"/>
          <w:shd w:val="clear" w:color="auto" w:fill="FFFFFF"/>
        </w:rPr>
        <w:t xml:space="preserve">(muy desarrollada). </w:t>
      </w:r>
    </w:p>
    <w:p w14:paraId="4A524438" w14:textId="74FC8F84" w:rsidR="00F427D8" w:rsidRPr="00AB6DDD" w:rsidRDefault="007154BA" w:rsidP="00782BC3">
      <w:pPr>
        <w:pStyle w:val="ecxmsolistparagraph"/>
        <w:shd w:val="clear" w:color="auto" w:fill="FFFFFF"/>
        <w:spacing w:after="0" w:line="360" w:lineRule="auto"/>
        <w:ind w:firstLine="708"/>
        <w:jc w:val="both"/>
      </w:pPr>
      <w:r>
        <w:rPr>
          <w:lang w:val="es-ES_tradnl"/>
        </w:rPr>
        <w:t>Realizado</w:t>
      </w:r>
      <w:r w:rsidR="00AB6DDD" w:rsidRPr="00202BBB">
        <w:t xml:space="preserve"> el trabajo de campo, se procedió a organizar la información recabada </w:t>
      </w:r>
      <w:r w:rsidR="009948DF">
        <w:t>por medio</w:t>
      </w:r>
      <w:r w:rsidR="009948DF" w:rsidRPr="00202BBB">
        <w:t xml:space="preserve"> </w:t>
      </w:r>
      <w:r w:rsidR="009948DF">
        <w:t>d</w:t>
      </w:r>
      <w:r w:rsidR="00AB6DDD" w:rsidRPr="00202BBB">
        <w:t xml:space="preserve">el programa </w:t>
      </w:r>
      <w:r w:rsidR="00AB6DDD">
        <w:t>SPSS</w:t>
      </w:r>
      <w:r w:rsidR="00AB6DDD" w:rsidRPr="00202BBB">
        <w:t xml:space="preserve"> </w:t>
      </w:r>
      <w:r w:rsidR="00AB6DDD">
        <w:t xml:space="preserve">con el fin de realizar tanto el análisis descriptivo como inferencial </w:t>
      </w:r>
      <w:r w:rsidR="005F284D">
        <w:t xml:space="preserve">y, con ello, </w:t>
      </w:r>
      <w:r w:rsidR="00AB6DDD">
        <w:t>determinar la influencia de las variables de género, edad y programa</w:t>
      </w:r>
      <w:r w:rsidR="009948DF">
        <w:t>,</w:t>
      </w:r>
      <w:r w:rsidR="00AB6DDD">
        <w:t xml:space="preserve"> aplicando pruebas de comparación de medias con base en la prueba t</w:t>
      </w:r>
      <w:r w:rsidR="00860881">
        <w:t>-</w:t>
      </w:r>
      <w:proofErr w:type="spellStart"/>
      <w:r w:rsidR="00AB6DDD">
        <w:t>Student</w:t>
      </w:r>
      <w:proofErr w:type="spellEnd"/>
      <w:r w:rsidR="00AB6DDD">
        <w:t xml:space="preserve"> y </w:t>
      </w:r>
      <w:r w:rsidR="00127D7F">
        <w:t>el a</w:t>
      </w:r>
      <w:r w:rsidR="00127D7F" w:rsidRPr="00127D7F">
        <w:t>nálisis de la varianza</w:t>
      </w:r>
      <w:r w:rsidR="00127D7F" w:rsidRPr="00127D7F" w:rsidDel="00127D7F">
        <w:t xml:space="preserve"> </w:t>
      </w:r>
      <w:r w:rsidR="00127D7F">
        <w:t>(</w:t>
      </w:r>
      <w:proofErr w:type="spellStart"/>
      <w:r w:rsidR="00127D7F">
        <w:t>Anova</w:t>
      </w:r>
      <w:proofErr w:type="spellEnd"/>
      <w:r w:rsidR="00127D7F">
        <w:t>)</w:t>
      </w:r>
      <w:r w:rsidR="00AB6DDD">
        <w:t>, respectivamente.</w:t>
      </w:r>
    </w:p>
    <w:p w14:paraId="510FE931" w14:textId="52461967" w:rsidR="00D853BC" w:rsidRPr="00152F2D" w:rsidRDefault="00AB6DDD" w:rsidP="00782BC3">
      <w:pPr>
        <w:spacing w:after="0" w:line="360" w:lineRule="auto"/>
        <w:ind w:firstLine="708"/>
        <w:jc w:val="both"/>
        <w:rPr>
          <w:rFonts w:ascii="Times New Roman" w:hAnsi="Times New Roman" w:cs="Times New Roman"/>
          <w:color w:val="000000"/>
          <w:shd w:val="clear" w:color="auto" w:fill="FFFFFF"/>
        </w:rPr>
      </w:pPr>
      <w:r>
        <w:rPr>
          <w:rFonts w:ascii="Times New Roman" w:hAnsi="Times New Roman" w:cs="Times New Roman"/>
          <w:lang w:val="es-MX"/>
        </w:rPr>
        <w:t>Posteriormente, se llevó a cabo</w:t>
      </w:r>
      <w:r w:rsidR="00F85121" w:rsidRPr="00152F2D">
        <w:rPr>
          <w:rFonts w:ascii="Times New Roman" w:hAnsi="Times New Roman" w:cs="Times New Roman"/>
        </w:rPr>
        <w:t xml:space="preserve"> la interpretación de los resultados</w:t>
      </w:r>
      <w:r w:rsidR="00D853BC" w:rsidRPr="00152F2D">
        <w:rPr>
          <w:rFonts w:ascii="Times New Roman" w:hAnsi="Times New Roman" w:cs="Times New Roman"/>
        </w:rPr>
        <w:t xml:space="preserve"> </w:t>
      </w:r>
      <w:r w:rsidR="00F85121" w:rsidRPr="00152F2D">
        <w:rPr>
          <w:rFonts w:ascii="Times New Roman" w:hAnsi="Times New Roman" w:cs="Times New Roman"/>
        </w:rPr>
        <w:t>obtenidos</w:t>
      </w:r>
      <w:r w:rsidR="00127D7F">
        <w:rPr>
          <w:rFonts w:ascii="Times New Roman" w:hAnsi="Times New Roman" w:cs="Times New Roman"/>
        </w:rPr>
        <w:t xml:space="preserve"> a través de</w:t>
      </w:r>
      <w:r w:rsidR="00D853BC" w:rsidRPr="00152F2D">
        <w:rPr>
          <w:rFonts w:ascii="Times New Roman" w:hAnsi="Times New Roman" w:cs="Times New Roman"/>
          <w:noProof/>
        </w:rPr>
        <w:t xml:space="preserve"> la siguiente escala de evaluación: De 0.00 a 1.00 se consideró un nivel de competencia no desarrollado; de 1.10 a 2.00 como un nivel de desarrollo insuficiente; de 2.10 a 3.00 como un nivel de desarrollo regular o moderado</w:t>
      </w:r>
      <w:r w:rsidR="00127D7F">
        <w:rPr>
          <w:rFonts w:ascii="Times New Roman" w:hAnsi="Times New Roman" w:cs="Times New Roman"/>
          <w:noProof/>
        </w:rPr>
        <w:t>,</w:t>
      </w:r>
      <w:r w:rsidR="00D853BC" w:rsidRPr="00152F2D">
        <w:rPr>
          <w:rFonts w:ascii="Times New Roman" w:hAnsi="Times New Roman" w:cs="Times New Roman"/>
          <w:noProof/>
        </w:rPr>
        <w:t xml:space="preserve"> y de 3.10 a 4.00 como un nivel de desarrollo consolidado. </w:t>
      </w:r>
    </w:p>
    <w:p w14:paraId="02303C54" w14:textId="578FB1BF" w:rsidR="00C807A9" w:rsidRDefault="00C807A9" w:rsidP="00E462DD">
      <w:pPr>
        <w:spacing w:after="0" w:line="360" w:lineRule="auto"/>
        <w:jc w:val="both"/>
        <w:rPr>
          <w:rFonts w:ascii="Times New Roman" w:hAnsi="Times New Roman" w:cs="Times New Roman"/>
          <w:b/>
        </w:rPr>
      </w:pPr>
    </w:p>
    <w:p w14:paraId="3EA2DD12" w14:textId="0907CD4A" w:rsidR="008A20AE" w:rsidRDefault="008A20AE" w:rsidP="00E462DD">
      <w:pPr>
        <w:spacing w:after="0" w:line="360" w:lineRule="auto"/>
        <w:jc w:val="both"/>
        <w:rPr>
          <w:rFonts w:ascii="Times New Roman" w:hAnsi="Times New Roman" w:cs="Times New Roman"/>
          <w:b/>
        </w:rPr>
      </w:pPr>
    </w:p>
    <w:p w14:paraId="0B5B49E1" w14:textId="482E06D8" w:rsidR="008A20AE" w:rsidRDefault="008A20AE" w:rsidP="00E462DD">
      <w:pPr>
        <w:spacing w:after="0" w:line="360" w:lineRule="auto"/>
        <w:jc w:val="both"/>
        <w:rPr>
          <w:rFonts w:ascii="Times New Roman" w:hAnsi="Times New Roman" w:cs="Times New Roman"/>
          <w:b/>
        </w:rPr>
      </w:pPr>
    </w:p>
    <w:p w14:paraId="28C95899" w14:textId="77777777" w:rsidR="008A20AE" w:rsidRDefault="008A20AE" w:rsidP="00E462DD">
      <w:pPr>
        <w:spacing w:after="0" w:line="360" w:lineRule="auto"/>
        <w:jc w:val="both"/>
        <w:rPr>
          <w:rFonts w:ascii="Times New Roman" w:hAnsi="Times New Roman" w:cs="Times New Roman"/>
          <w:b/>
        </w:rPr>
      </w:pPr>
    </w:p>
    <w:p w14:paraId="6A71D643" w14:textId="7F6FE1A4" w:rsidR="00D853BC" w:rsidRPr="00782BC3" w:rsidRDefault="005602F1" w:rsidP="00782BC3">
      <w:pPr>
        <w:spacing w:after="0" w:line="360" w:lineRule="auto"/>
        <w:rPr>
          <w:rFonts w:ascii="Calibri" w:eastAsia="Times New Roman" w:hAnsi="Calibri" w:cs="Calibri"/>
          <w:b/>
          <w:color w:val="000000"/>
          <w:sz w:val="28"/>
          <w:szCs w:val="28"/>
          <w:lang w:eastAsia="es-MX"/>
        </w:rPr>
      </w:pPr>
      <w:r w:rsidRPr="00782BC3">
        <w:rPr>
          <w:rFonts w:ascii="Calibri" w:eastAsia="Times New Roman" w:hAnsi="Calibri" w:cs="Calibri"/>
          <w:b/>
          <w:color w:val="000000"/>
          <w:sz w:val="28"/>
          <w:szCs w:val="28"/>
          <w:lang w:eastAsia="es-MX"/>
        </w:rPr>
        <w:lastRenderedPageBreak/>
        <w:t>Resultados</w:t>
      </w:r>
    </w:p>
    <w:p w14:paraId="2C35C3E6" w14:textId="77777777" w:rsidR="00D853BC" w:rsidRPr="00782BC3" w:rsidRDefault="00267812" w:rsidP="00782BC3">
      <w:pPr>
        <w:spacing w:after="0" w:line="360" w:lineRule="auto"/>
        <w:rPr>
          <w:rFonts w:ascii="Times New Roman" w:hAnsi="Times New Roman" w:cs="Times New Roman"/>
          <w:b/>
        </w:rPr>
      </w:pPr>
      <w:r w:rsidRPr="00782BC3">
        <w:rPr>
          <w:rFonts w:ascii="Times New Roman" w:hAnsi="Times New Roman" w:cs="Times New Roman"/>
          <w:b/>
        </w:rPr>
        <w:t>Resultados contextuales</w:t>
      </w:r>
      <w:r w:rsidR="00D853BC" w:rsidRPr="00782BC3">
        <w:rPr>
          <w:rFonts w:ascii="Times New Roman" w:hAnsi="Times New Roman" w:cs="Times New Roman"/>
          <w:b/>
        </w:rPr>
        <w:t xml:space="preserve"> de la muestra</w:t>
      </w:r>
    </w:p>
    <w:p w14:paraId="25A91630" w14:textId="10B1902B" w:rsidR="00124DAB" w:rsidRDefault="00D853BC" w:rsidP="00782BC3">
      <w:pPr>
        <w:spacing w:after="0" w:line="360" w:lineRule="auto"/>
        <w:ind w:firstLine="708"/>
        <w:jc w:val="both"/>
        <w:rPr>
          <w:rFonts w:ascii="Times New Roman" w:hAnsi="Times New Roman" w:cs="Times New Roman"/>
        </w:rPr>
      </w:pPr>
      <w:r w:rsidRPr="00152F2D">
        <w:rPr>
          <w:rFonts w:ascii="Times New Roman" w:hAnsi="Times New Roman" w:cs="Times New Roman"/>
        </w:rPr>
        <w:t>El género de l</w:t>
      </w:r>
      <w:r w:rsidR="006F5FD2" w:rsidRPr="00152F2D">
        <w:rPr>
          <w:rFonts w:ascii="Times New Roman" w:hAnsi="Times New Roman" w:cs="Times New Roman"/>
        </w:rPr>
        <w:t>a muestra se distribuyó en 82</w:t>
      </w:r>
      <w:r w:rsidR="00127D7F">
        <w:rPr>
          <w:rFonts w:ascii="Times New Roman" w:hAnsi="Times New Roman" w:cs="Times New Roman"/>
        </w:rPr>
        <w:t xml:space="preserve"> </w:t>
      </w:r>
      <w:r w:rsidR="006F5FD2" w:rsidRPr="00152F2D">
        <w:rPr>
          <w:rFonts w:ascii="Times New Roman" w:hAnsi="Times New Roman" w:cs="Times New Roman"/>
        </w:rPr>
        <w:t>% mujeres y 18</w:t>
      </w:r>
      <w:r w:rsidR="00127D7F">
        <w:rPr>
          <w:rFonts w:ascii="Times New Roman" w:hAnsi="Times New Roman" w:cs="Times New Roman"/>
        </w:rPr>
        <w:t xml:space="preserve"> </w:t>
      </w:r>
      <w:r w:rsidRPr="00152F2D">
        <w:rPr>
          <w:rFonts w:ascii="Times New Roman" w:hAnsi="Times New Roman" w:cs="Times New Roman"/>
        </w:rPr>
        <w:t xml:space="preserve">% hombres, </w:t>
      </w:r>
      <w:r w:rsidR="00127D7F">
        <w:rPr>
          <w:rFonts w:ascii="Times New Roman" w:hAnsi="Times New Roman" w:cs="Times New Roman"/>
        </w:rPr>
        <w:t xml:space="preserve">esto es, una participación </w:t>
      </w:r>
      <w:r w:rsidR="00002247" w:rsidRPr="00152F2D">
        <w:rPr>
          <w:rFonts w:ascii="Times New Roman" w:hAnsi="Times New Roman" w:cs="Times New Roman"/>
        </w:rPr>
        <w:t>más alta del sexo femenino</w:t>
      </w:r>
      <w:r w:rsidRPr="00152F2D">
        <w:rPr>
          <w:rFonts w:ascii="Times New Roman" w:hAnsi="Times New Roman" w:cs="Times New Roman"/>
        </w:rPr>
        <w:t xml:space="preserve"> en la investigación. En lo que se refiere a </w:t>
      </w:r>
      <w:r w:rsidR="006F5FD2" w:rsidRPr="00152F2D">
        <w:rPr>
          <w:rFonts w:ascii="Times New Roman" w:hAnsi="Times New Roman" w:cs="Times New Roman"/>
        </w:rPr>
        <w:t>la edad, se identificó que 25</w:t>
      </w:r>
      <w:r w:rsidR="00127D7F">
        <w:rPr>
          <w:rFonts w:ascii="Times New Roman" w:hAnsi="Times New Roman" w:cs="Times New Roman"/>
        </w:rPr>
        <w:t xml:space="preserve"> </w:t>
      </w:r>
      <w:r w:rsidRPr="00152F2D">
        <w:rPr>
          <w:rFonts w:ascii="Times New Roman" w:hAnsi="Times New Roman" w:cs="Times New Roman"/>
        </w:rPr>
        <w:t>% de los encuesta</w:t>
      </w:r>
      <w:r w:rsidR="006F5FD2" w:rsidRPr="00152F2D">
        <w:rPr>
          <w:rFonts w:ascii="Times New Roman" w:hAnsi="Times New Roman" w:cs="Times New Roman"/>
        </w:rPr>
        <w:t>dos tiene de 25 a 29 años; 46</w:t>
      </w:r>
      <w:r w:rsidR="00127D7F">
        <w:rPr>
          <w:rFonts w:ascii="Times New Roman" w:hAnsi="Times New Roman" w:cs="Times New Roman"/>
        </w:rPr>
        <w:t xml:space="preserve"> </w:t>
      </w:r>
      <w:r w:rsidRPr="00152F2D">
        <w:rPr>
          <w:rFonts w:ascii="Times New Roman" w:hAnsi="Times New Roman" w:cs="Times New Roman"/>
        </w:rPr>
        <w:t xml:space="preserve">% se sitúa en el </w:t>
      </w:r>
      <w:r w:rsidR="006F5FD2" w:rsidRPr="00152F2D">
        <w:rPr>
          <w:rFonts w:ascii="Times New Roman" w:hAnsi="Times New Roman" w:cs="Times New Roman"/>
        </w:rPr>
        <w:t>intervalo de 30 a 34 años; 26</w:t>
      </w:r>
      <w:r w:rsidR="00127D7F">
        <w:rPr>
          <w:rFonts w:ascii="Times New Roman" w:hAnsi="Times New Roman" w:cs="Times New Roman"/>
        </w:rPr>
        <w:t xml:space="preserve"> </w:t>
      </w:r>
      <w:r w:rsidR="006F5FD2" w:rsidRPr="00152F2D">
        <w:rPr>
          <w:rFonts w:ascii="Times New Roman" w:hAnsi="Times New Roman" w:cs="Times New Roman"/>
        </w:rPr>
        <w:t>% de 35 a 39 años</w:t>
      </w:r>
      <w:r w:rsidR="00127D7F">
        <w:rPr>
          <w:rFonts w:ascii="Times New Roman" w:hAnsi="Times New Roman" w:cs="Times New Roman"/>
        </w:rPr>
        <w:t>,</w:t>
      </w:r>
      <w:r w:rsidR="006F5FD2" w:rsidRPr="00152F2D">
        <w:rPr>
          <w:rFonts w:ascii="Times New Roman" w:hAnsi="Times New Roman" w:cs="Times New Roman"/>
        </w:rPr>
        <w:t xml:space="preserve"> y</w:t>
      </w:r>
      <w:r w:rsidR="00127D7F">
        <w:rPr>
          <w:rFonts w:ascii="Times New Roman" w:hAnsi="Times New Roman" w:cs="Times New Roman"/>
        </w:rPr>
        <w:t xml:space="preserve"> el porcentaje restante</w:t>
      </w:r>
      <w:r w:rsidR="006F5FD2" w:rsidRPr="00152F2D">
        <w:rPr>
          <w:rFonts w:ascii="Times New Roman" w:hAnsi="Times New Roman" w:cs="Times New Roman"/>
        </w:rPr>
        <w:t xml:space="preserve"> </w:t>
      </w:r>
      <w:r w:rsidR="00127D7F">
        <w:rPr>
          <w:rFonts w:ascii="Times New Roman" w:hAnsi="Times New Roman" w:cs="Times New Roman"/>
        </w:rPr>
        <w:t>(</w:t>
      </w:r>
      <w:r w:rsidR="006F5FD2" w:rsidRPr="00152F2D">
        <w:rPr>
          <w:rFonts w:ascii="Times New Roman" w:hAnsi="Times New Roman" w:cs="Times New Roman"/>
        </w:rPr>
        <w:t>3</w:t>
      </w:r>
      <w:r w:rsidR="00127D7F">
        <w:rPr>
          <w:rFonts w:ascii="Times New Roman" w:hAnsi="Times New Roman" w:cs="Times New Roman"/>
        </w:rPr>
        <w:t xml:space="preserve"> </w:t>
      </w:r>
      <w:r w:rsidRPr="00152F2D">
        <w:rPr>
          <w:rFonts w:ascii="Times New Roman" w:hAnsi="Times New Roman" w:cs="Times New Roman"/>
        </w:rPr>
        <w:t>%</w:t>
      </w:r>
      <w:r w:rsidR="00127D7F">
        <w:rPr>
          <w:rFonts w:ascii="Times New Roman" w:hAnsi="Times New Roman" w:cs="Times New Roman"/>
        </w:rPr>
        <w:t>)</w:t>
      </w:r>
      <w:r w:rsidRPr="00152F2D">
        <w:rPr>
          <w:rFonts w:ascii="Times New Roman" w:hAnsi="Times New Roman" w:cs="Times New Roman"/>
        </w:rPr>
        <w:t xml:space="preserve"> se encuentra en el rango de mayor edad</w:t>
      </w:r>
      <w:r w:rsidR="00127D7F">
        <w:rPr>
          <w:rFonts w:ascii="Times New Roman" w:hAnsi="Times New Roman" w:cs="Times New Roman"/>
        </w:rPr>
        <w:t>, a saber,</w:t>
      </w:r>
      <w:r w:rsidRPr="00152F2D">
        <w:rPr>
          <w:rFonts w:ascii="Times New Roman" w:hAnsi="Times New Roman" w:cs="Times New Roman"/>
        </w:rPr>
        <w:t xml:space="preserve"> de 40 a 44 años.</w:t>
      </w:r>
      <w:r w:rsidR="00FE2040" w:rsidRPr="00152F2D">
        <w:rPr>
          <w:rFonts w:ascii="Times New Roman" w:hAnsi="Times New Roman" w:cs="Times New Roman"/>
        </w:rPr>
        <w:t xml:space="preserve"> </w:t>
      </w:r>
    </w:p>
    <w:p w14:paraId="62C4FBCA" w14:textId="3579BEAE" w:rsidR="007154BA" w:rsidRDefault="00D853BC" w:rsidP="00782BC3">
      <w:pPr>
        <w:spacing w:after="0" w:line="360" w:lineRule="auto"/>
        <w:ind w:firstLine="708"/>
        <w:jc w:val="both"/>
        <w:rPr>
          <w:rFonts w:ascii="Times New Roman" w:hAnsi="Times New Roman" w:cs="Times New Roman"/>
        </w:rPr>
      </w:pPr>
      <w:r w:rsidRPr="00152F2D">
        <w:rPr>
          <w:rFonts w:ascii="Times New Roman" w:hAnsi="Times New Roman" w:cs="Times New Roman"/>
        </w:rPr>
        <w:t>En cuanto a la experiencia laboral de los par</w:t>
      </w:r>
      <w:r w:rsidR="006F5FD2" w:rsidRPr="00152F2D">
        <w:rPr>
          <w:rFonts w:ascii="Times New Roman" w:hAnsi="Times New Roman" w:cs="Times New Roman"/>
        </w:rPr>
        <w:t>ticipantes</w:t>
      </w:r>
      <w:r w:rsidR="00127D7F">
        <w:rPr>
          <w:rFonts w:ascii="Times New Roman" w:hAnsi="Times New Roman" w:cs="Times New Roman"/>
        </w:rPr>
        <w:t>,</w:t>
      </w:r>
      <w:r w:rsidR="006F5FD2" w:rsidRPr="00152F2D">
        <w:rPr>
          <w:rFonts w:ascii="Times New Roman" w:hAnsi="Times New Roman" w:cs="Times New Roman"/>
        </w:rPr>
        <w:t xml:space="preserve"> se halló que 14</w:t>
      </w:r>
      <w:r w:rsidR="00127D7F">
        <w:rPr>
          <w:rFonts w:ascii="Times New Roman" w:hAnsi="Times New Roman" w:cs="Times New Roman"/>
        </w:rPr>
        <w:t xml:space="preserve"> </w:t>
      </w:r>
      <w:r w:rsidR="006F5FD2" w:rsidRPr="00152F2D">
        <w:rPr>
          <w:rFonts w:ascii="Times New Roman" w:hAnsi="Times New Roman" w:cs="Times New Roman"/>
        </w:rPr>
        <w:t>% tiene de 0 a 4 años; 34</w:t>
      </w:r>
      <w:r w:rsidR="00127D7F">
        <w:rPr>
          <w:rFonts w:ascii="Times New Roman" w:hAnsi="Times New Roman" w:cs="Times New Roman"/>
        </w:rPr>
        <w:t xml:space="preserve"> </w:t>
      </w:r>
      <w:r w:rsidR="006F5FD2" w:rsidRPr="00152F2D">
        <w:rPr>
          <w:rFonts w:ascii="Times New Roman" w:hAnsi="Times New Roman" w:cs="Times New Roman"/>
        </w:rPr>
        <w:t>% de 5 a 9 años; 35</w:t>
      </w:r>
      <w:r w:rsidR="004F2CB4">
        <w:rPr>
          <w:rFonts w:ascii="Times New Roman" w:hAnsi="Times New Roman" w:cs="Times New Roman"/>
        </w:rPr>
        <w:t xml:space="preserve"> </w:t>
      </w:r>
      <w:r w:rsidR="006F5FD2" w:rsidRPr="00152F2D">
        <w:rPr>
          <w:rFonts w:ascii="Times New Roman" w:hAnsi="Times New Roman" w:cs="Times New Roman"/>
        </w:rPr>
        <w:t>% de 10 a 14 años; 8</w:t>
      </w:r>
      <w:r w:rsidR="004F2CB4">
        <w:rPr>
          <w:rFonts w:ascii="Times New Roman" w:hAnsi="Times New Roman" w:cs="Times New Roman"/>
        </w:rPr>
        <w:t xml:space="preserve"> </w:t>
      </w:r>
      <w:r w:rsidR="006F5FD2" w:rsidRPr="00152F2D">
        <w:rPr>
          <w:rFonts w:ascii="Times New Roman" w:hAnsi="Times New Roman" w:cs="Times New Roman"/>
        </w:rPr>
        <w:t>% de 15 a 19 años</w:t>
      </w:r>
      <w:r w:rsidR="004F2CB4">
        <w:rPr>
          <w:rFonts w:ascii="Times New Roman" w:hAnsi="Times New Roman" w:cs="Times New Roman"/>
        </w:rPr>
        <w:t>,</w:t>
      </w:r>
      <w:r w:rsidR="006F5FD2" w:rsidRPr="00152F2D">
        <w:rPr>
          <w:rFonts w:ascii="Times New Roman" w:hAnsi="Times New Roman" w:cs="Times New Roman"/>
        </w:rPr>
        <w:t xml:space="preserve"> y 9</w:t>
      </w:r>
      <w:r w:rsidR="004F2CB4">
        <w:rPr>
          <w:rFonts w:ascii="Times New Roman" w:hAnsi="Times New Roman" w:cs="Times New Roman"/>
        </w:rPr>
        <w:t xml:space="preserve"> </w:t>
      </w:r>
      <w:r w:rsidRPr="00152F2D">
        <w:rPr>
          <w:rFonts w:ascii="Times New Roman" w:hAnsi="Times New Roman" w:cs="Times New Roman"/>
        </w:rPr>
        <w:t xml:space="preserve">% de 20 a 24 años. </w:t>
      </w:r>
      <w:r w:rsidR="00267812" w:rsidRPr="00152F2D">
        <w:rPr>
          <w:rFonts w:ascii="Times New Roman" w:hAnsi="Times New Roman" w:cs="Times New Roman"/>
        </w:rPr>
        <w:t>Respecto al nivel académico en el que se encuentra el alumnado, se determinó que 28</w:t>
      </w:r>
      <w:r w:rsidR="004F2CB4">
        <w:rPr>
          <w:rFonts w:ascii="Times New Roman" w:hAnsi="Times New Roman" w:cs="Times New Roman"/>
        </w:rPr>
        <w:t xml:space="preserve"> </w:t>
      </w:r>
      <w:r w:rsidR="00267812" w:rsidRPr="00152F2D">
        <w:rPr>
          <w:rFonts w:ascii="Times New Roman" w:hAnsi="Times New Roman" w:cs="Times New Roman"/>
        </w:rPr>
        <w:t>% cursa el primer año de estudios; 36</w:t>
      </w:r>
      <w:r w:rsidR="004F2CB4">
        <w:rPr>
          <w:rFonts w:ascii="Times New Roman" w:hAnsi="Times New Roman" w:cs="Times New Roman"/>
        </w:rPr>
        <w:t xml:space="preserve"> </w:t>
      </w:r>
      <w:r w:rsidR="00267812" w:rsidRPr="00152F2D">
        <w:rPr>
          <w:rFonts w:ascii="Times New Roman" w:hAnsi="Times New Roman" w:cs="Times New Roman"/>
        </w:rPr>
        <w:t>%, el segundo; 25</w:t>
      </w:r>
      <w:r w:rsidR="004F2CB4">
        <w:rPr>
          <w:rFonts w:ascii="Times New Roman" w:hAnsi="Times New Roman" w:cs="Times New Roman"/>
        </w:rPr>
        <w:t xml:space="preserve"> </w:t>
      </w:r>
      <w:r w:rsidR="00267812" w:rsidRPr="00152F2D">
        <w:rPr>
          <w:rFonts w:ascii="Times New Roman" w:hAnsi="Times New Roman" w:cs="Times New Roman"/>
        </w:rPr>
        <w:t>%, el tercero y 11%</w:t>
      </w:r>
      <w:r w:rsidR="004F2CB4">
        <w:rPr>
          <w:rFonts w:ascii="Times New Roman" w:hAnsi="Times New Roman" w:cs="Times New Roman"/>
        </w:rPr>
        <w:t xml:space="preserve"> se encuentra en</w:t>
      </w:r>
      <w:r w:rsidR="00267812" w:rsidRPr="00152F2D">
        <w:rPr>
          <w:rFonts w:ascii="Times New Roman" w:hAnsi="Times New Roman" w:cs="Times New Roman"/>
        </w:rPr>
        <w:t xml:space="preserve"> el cuarto</w:t>
      </w:r>
      <w:r w:rsidR="004F2CB4">
        <w:rPr>
          <w:rFonts w:ascii="Times New Roman" w:hAnsi="Times New Roman" w:cs="Times New Roman"/>
        </w:rPr>
        <w:t xml:space="preserve"> año de estudios</w:t>
      </w:r>
      <w:r w:rsidR="00267812" w:rsidRPr="00152F2D">
        <w:rPr>
          <w:rFonts w:ascii="Times New Roman" w:hAnsi="Times New Roman" w:cs="Times New Roman"/>
        </w:rPr>
        <w:t>.</w:t>
      </w:r>
      <w:r w:rsidR="005C6362" w:rsidRPr="00152F2D">
        <w:rPr>
          <w:rFonts w:ascii="Times New Roman" w:hAnsi="Times New Roman" w:cs="Times New Roman"/>
        </w:rPr>
        <w:t xml:space="preserve"> </w:t>
      </w:r>
    </w:p>
    <w:p w14:paraId="39FC51BF" w14:textId="4A4E2D54" w:rsidR="00124DAB" w:rsidRDefault="00D853BC" w:rsidP="00782BC3">
      <w:pPr>
        <w:spacing w:after="0" w:line="360" w:lineRule="auto"/>
        <w:ind w:firstLine="708"/>
        <w:jc w:val="both"/>
        <w:rPr>
          <w:rFonts w:ascii="Times New Roman" w:hAnsi="Times New Roman" w:cs="Times New Roman"/>
        </w:rPr>
      </w:pPr>
      <w:r w:rsidRPr="00152F2D">
        <w:rPr>
          <w:rFonts w:ascii="Times New Roman" w:hAnsi="Times New Roman" w:cs="Times New Roman"/>
        </w:rPr>
        <w:t>Además, se identificó que la principal razón que motivó que los encuestados</w:t>
      </w:r>
      <w:r w:rsidR="00002247" w:rsidRPr="00152F2D">
        <w:rPr>
          <w:rFonts w:ascii="Times New Roman" w:hAnsi="Times New Roman" w:cs="Times New Roman"/>
        </w:rPr>
        <w:t xml:space="preserve"> a </w:t>
      </w:r>
      <w:r w:rsidRPr="00152F2D">
        <w:rPr>
          <w:rFonts w:ascii="Times New Roman" w:hAnsi="Times New Roman" w:cs="Times New Roman"/>
        </w:rPr>
        <w:t>realizar sus estudios de licenciatura fue para fortal</w:t>
      </w:r>
      <w:r w:rsidR="00002247" w:rsidRPr="00152F2D">
        <w:rPr>
          <w:rFonts w:ascii="Times New Roman" w:hAnsi="Times New Roman" w:cs="Times New Roman"/>
        </w:rPr>
        <w:t>ecer su desempeño laboral</w:t>
      </w:r>
      <w:r w:rsidR="00072E72">
        <w:rPr>
          <w:rFonts w:ascii="Times New Roman" w:hAnsi="Times New Roman" w:cs="Times New Roman"/>
        </w:rPr>
        <w:t xml:space="preserve"> (</w:t>
      </w:r>
      <w:r w:rsidR="00072E72" w:rsidRPr="00152F2D">
        <w:rPr>
          <w:rFonts w:ascii="Times New Roman" w:hAnsi="Times New Roman" w:cs="Times New Roman"/>
        </w:rPr>
        <w:t>72</w:t>
      </w:r>
      <w:r w:rsidR="00072E72">
        <w:rPr>
          <w:rFonts w:ascii="Times New Roman" w:hAnsi="Times New Roman" w:cs="Times New Roman"/>
        </w:rPr>
        <w:t xml:space="preserve"> %)</w:t>
      </w:r>
      <w:r w:rsidR="00002247" w:rsidRPr="00152F2D">
        <w:rPr>
          <w:rFonts w:ascii="Times New Roman" w:hAnsi="Times New Roman" w:cs="Times New Roman"/>
        </w:rPr>
        <w:t>;</w:t>
      </w:r>
      <w:r w:rsidR="00072E72">
        <w:rPr>
          <w:rFonts w:ascii="Times New Roman" w:hAnsi="Times New Roman" w:cs="Times New Roman"/>
        </w:rPr>
        <w:t xml:space="preserve"> y</w:t>
      </w:r>
      <w:r w:rsidR="00002247" w:rsidRPr="00152F2D">
        <w:rPr>
          <w:rFonts w:ascii="Times New Roman" w:hAnsi="Times New Roman" w:cs="Times New Roman"/>
        </w:rPr>
        <w:t xml:space="preserve"> </w:t>
      </w:r>
      <w:r w:rsidR="00072E72">
        <w:rPr>
          <w:rFonts w:ascii="Times New Roman" w:hAnsi="Times New Roman" w:cs="Times New Roman"/>
        </w:rPr>
        <w:t xml:space="preserve">en menor medida </w:t>
      </w:r>
      <w:r w:rsidRPr="00152F2D">
        <w:rPr>
          <w:rFonts w:ascii="Times New Roman" w:hAnsi="Times New Roman" w:cs="Times New Roman"/>
        </w:rPr>
        <w:t>para obtener un ascenso la</w:t>
      </w:r>
      <w:r w:rsidR="00002247" w:rsidRPr="00152F2D">
        <w:rPr>
          <w:rFonts w:ascii="Times New Roman" w:hAnsi="Times New Roman" w:cs="Times New Roman"/>
        </w:rPr>
        <w:t>boral en la organización</w:t>
      </w:r>
      <w:r w:rsidR="00072E72">
        <w:rPr>
          <w:rFonts w:ascii="Times New Roman" w:hAnsi="Times New Roman" w:cs="Times New Roman"/>
        </w:rPr>
        <w:t xml:space="preserve"> (</w:t>
      </w:r>
      <w:r w:rsidR="00072E72" w:rsidRPr="00152F2D">
        <w:rPr>
          <w:rFonts w:ascii="Times New Roman" w:hAnsi="Times New Roman" w:cs="Times New Roman"/>
        </w:rPr>
        <w:t>23</w:t>
      </w:r>
      <w:r w:rsidR="00072E72">
        <w:rPr>
          <w:rFonts w:ascii="Times New Roman" w:hAnsi="Times New Roman" w:cs="Times New Roman"/>
        </w:rPr>
        <w:t xml:space="preserve"> </w:t>
      </w:r>
      <w:r w:rsidR="00072E72" w:rsidRPr="00152F2D">
        <w:rPr>
          <w:rFonts w:ascii="Times New Roman" w:hAnsi="Times New Roman" w:cs="Times New Roman"/>
        </w:rPr>
        <w:t>%</w:t>
      </w:r>
      <w:r w:rsidR="00072E72">
        <w:rPr>
          <w:rFonts w:ascii="Times New Roman" w:hAnsi="Times New Roman" w:cs="Times New Roman"/>
        </w:rPr>
        <w:t>)</w:t>
      </w:r>
      <w:r w:rsidR="00002247" w:rsidRPr="00152F2D">
        <w:rPr>
          <w:rFonts w:ascii="Times New Roman" w:hAnsi="Times New Roman" w:cs="Times New Roman"/>
        </w:rPr>
        <w:t xml:space="preserve"> y </w:t>
      </w:r>
      <w:r w:rsidRPr="00152F2D">
        <w:rPr>
          <w:rFonts w:ascii="Times New Roman" w:hAnsi="Times New Roman" w:cs="Times New Roman"/>
        </w:rPr>
        <w:t>para tener me</w:t>
      </w:r>
      <w:r w:rsidR="00FE2040" w:rsidRPr="00152F2D">
        <w:rPr>
          <w:rFonts w:ascii="Times New Roman" w:hAnsi="Times New Roman" w:cs="Times New Roman"/>
        </w:rPr>
        <w:t>jores oportunidades de trabajo</w:t>
      </w:r>
      <w:r w:rsidR="00072E72">
        <w:rPr>
          <w:rFonts w:ascii="Times New Roman" w:hAnsi="Times New Roman" w:cs="Times New Roman"/>
        </w:rPr>
        <w:t xml:space="preserve"> (5 %)</w:t>
      </w:r>
      <w:r w:rsidR="00FE2040" w:rsidRPr="00152F2D">
        <w:rPr>
          <w:rFonts w:ascii="Times New Roman" w:hAnsi="Times New Roman" w:cs="Times New Roman"/>
        </w:rPr>
        <w:t>.</w:t>
      </w:r>
      <w:r w:rsidR="00742294" w:rsidRPr="00152F2D">
        <w:rPr>
          <w:rFonts w:ascii="Times New Roman" w:hAnsi="Times New Roman" w:cs="Times New Roman"/>
        </w:rPr>
        <w:t xml:space="preserve"> </w:t>
      </w:r>
      <w:r w:rsidR="00002247" w:rsidRPr="00152F2D">
        <w:rPr>
          <w:rFonts w:ascii="Times New Roman" w:hAnsi="Times New Roman" w:cs="Times New Roman"/>
        </w:rPr>
        <w:t>También se encontró que 70</w:t>
      </w:r>
      <w:r w:rsidR="00072E72">
        <w:rPr>
          <w:rFonts w:ascii="Times New Roman" w:hAnsi="Times New Roman" w:cs="Times New Roman"/>
        </w:rPr>
        <w:t xml:space="preserve"> </w:t>
      </w:r>
      <w:r w:rsidRPr="00152F2D">
        <w:rPr>
          <w:rFonts w:ascii="Times New Roman" w:hAnsi="Times New Roman" w:cs="Times New Roman"/>
        </w:rPr>
        <w:t>% de los participantes decidieron cursar la licenciatura en modalidad virtual por la c</w:t>
      </w:r>
      <w:r w:rsidR="00002247" w:rsidRPr="00152F2D">
        <w:rPr>
          <w:rFonts w:ascii="Times New Roman" w:hAnsi="Times New Roman" w:cs="Times New Roman"/>
        </w:rPr>
        <w:t>arga de trabajo que poseen; 2</w:t>
      </w:r>
      <w:r w:rsidRPr="00152F2D">
        <w:rPr>
          <w:rFonts w:ascii="Times New Roman" w:hAnsi="Times New Roman" w:cs="Times New Roman"/>
        </w:rPr>
        <w:t>0</w:t>
      </w:r>
      <w:r w:rsidR="00072E72">
        <w:rPr>
          <w:rFonts w:ascii="Times New Roman" w:hAnsi="Times New Roman" w:cs="Times New Roman"/>
        </w:rPr>
        <w:t xml:space="preserve"> </w:t>
      </w:r>
      <w:r w:rsidRPr="00152F2D">
        <w:rPr>
          <w:rFonts w:ascii="Times New Roman" w:hAnsi="Times New Roman" w:cs="Times New Roman"/>
        </w:rPr>
        <w:t>% por la distancia para as</w:t>
      </w:r>
      <w:r w:rsidR="00002247" w:rsidRPr="00152F2D">
        <w:rPr>
          <w:rFonts w:ascii="Times New Roman" w:hAnsi="Times New Roman" w:cs="Times New Roman"/>
        </w:rPr>
        <w:t>istir al centro educativo y 10</w:t>
      </w:r>
      <w:r w:rsidR="00072E72">
        <w:rPr>
          <w:rFonts w:ascii="Times New Roman" w:hAnsi="Times New Roman" w:cs="Times New Roman"/>
        </w:rPr>
        <w:t xml:space="preserve"> </w:t>
      </w:r>
      <w:r w:rsidRPr="00152F2D">
        <w:rPr>
          <w:rFonts w:ascii="Times New Roman" w:hAnsi="Times New Roman" w:cs="Times New Roman"/>
        </w:rPr>
        <w:t>% pa</w:t>
      </w:r>
      <w:r w:rsidR="00FE2040" w:rsidRPr="00152F2D">
        <w:rPr>
          <w:rFonts w:ascii="Times New Roman" w:hAnsi="Times New Roman" w:cs="Times New Roman"/>
        </w:rPr>
        <w:t xml:space="preserve">ra atender asuntos personales. </w:t>
      </w:r>
    </w:p>
    <w:p w14:paraId="1FD8CC4E" w14:textId="21C76727" w:rsidR="00D853BC" w:rsidRDefault="00D853BC" w:rsidP="00782BC3">
      <w:pPr>
        <w:spacing w:after="0" w:line="360" w:lineRule="auto"/>
        <w:ind w:firstLine="708"/>
        <w:jc w:val="both"/>
        <w:rPr>
          <w:rFonts w:ascii="Times New Roman" w:hAnsi="Times New Roman" w:cs="Times New Roman"/>
        </w:rPr>
      </w:pPr>
      <w:r w:rsidRPr="00152F2D">
        <w:rPr>
          <w:rFonts w:ascii="Times New Roman" w:hAnsi="Times New Roman" w:cs="Times New Roman"/>
        </w:rPr>
        <w:t xml:space="preserve">En lo que se refiere a la satisfacción por el servicio educativo </w:t>
      </w:r>
      <w:r w:rsidR="00002247" w:rsidRPr="00152F2D">
        <w:rPr>
          <w:rFonts w:ascii="Times New Roman" w:hAnsi="Times New Roman" w:cs="Times New Roman"/>
        </w:rPr>
        <w:t xml:space="preserve">que han </w:t>
      </w:r>
      <w:r w:rsidRPr="00152F2D">
        <w:rPr>
          <w:rFonts w:ascii="Times New Roman" w:hAnsi="Times New Roman" w:cs="Times New Roman"/>
        </w:rPr>
        <w:t>recibido en su formación profesional</w:t>
      </w:r>
      <w:r w:rsidR="00002247" w:rsidRPr="00152F2D">
        <w:rPr>
          <w:rFonts w:ascii="Times New Roman" w:hAnsi="Times New Roman" w:cs="Times New Roman"/>
        </w:rPr>
        <w:t xml:space="preserve"> a nivel superior, se halló que 49</w:t>
      </w:r>
      <w:r w:rsidR="00072E72">
        <w:rPr>
          <w:rFonts w:ascii="Times New Roman" w:hAnsi="Times New Roman" w:cs="Times New Roman"/>
        </w:rPr>
        <w:t xml:space="preserve"> </w:t>
      </w:r>
      <w:r w:rsidR="00002247" w:rsidRPr="00152F2D">
        <w:rPr>
          <w:rFonts w:ascii="Times New Roman" w:hAnsi="Times New Roman" w:cs="Times New Roman"/>
        </w:rPr>
        <w:t>% de los estudiante</w:t>
      </w:r>
      <w:r w:rsidRPr="00152F2D">
        <w:rPr>
          <w:rFonts w:ascii="Times New Roman" w:hAnsi="Times New Roman" w:cs="Times New Roman"/>
        </w:rPr>
        <w:t xml:space="preserve">s </w:t>
      </w:r>
      <w:r w:rsidR="00072E72" w:rsidRPr="00152F2D">
        <w:rPr>
          <w:rFonts w:ascii="Times New Roman" w:hAnsi="Times New Roman" w:cs="Times New Roman"/>
        </w:rPr>
        <w:t>consider</w:t>
      </w:r>
      <w:r w:rsidR="00072E72">
        <w:rPr>
          <w:rFonts w:ascii="Times New Roman" w:hAnsi="Times New Roman" w:cs="Times New Roman"/>
        </w:rPr>
        <w:t>a</w:t>
      </w:r>
      <w:r w:rsidR="00072E72" w:rsidRPr="00152F2D">
        <w:rPr>
          <w:rFonts w:ascii="Times New Roman" w:hAnsi="Times New Roman" w:cs="Times New Roman"/>
        </w:rPr>
        <w:t xml:space="preserve"> </w:t>
      </w:r>
      <w:r w:rsidRPr="00152F2D">
        <w:rPr>
          <w:rFonts w:ascii="Times New Roman" w:hAnsi="Times New Roman" w:cs="Times New Roman"/>
        </w:rPr>
        <w:t>que se les</w:t>
      </w:r>
      <w:r w:rsidR="00002247" w:rsidRPr="00152F2D">
        <w:rPr>
          <w:rFonts w:ascii="Times New Roman" w:hAnsi="Times New Roman" w:cs="Times New Roman"/>
        </w:rPr>
        <w:t xml:space="preserve"> ha brindado</w:t>
      </w:r>
      <w:r w:rsidRPr="00152F2D">
        <w:rPr>
          <w:rFonts w:ascii="Times New Roman" w:hAnsi="Times New Roman" w:cs="Times New Roman"/>
        </w:rPr>
        <w:t xml:space="preserve"> una preparación acorde pa</w:t>
      </w:r>
      <w:r w:rsidR="00002247" w:rsidRPr="00152F2D">
        <w:rPr>
          <w:rFonts w:ascii="Times New Roman" w:hAnsi="Times New Roman" w:cs="Times New Roman"/>
        </w:rPr>
        <w:t>ra su desarrollo laboral; 34</w:t>
      </w:r>
      <w:r w:rsidR="00072E72">
        <w:rPr>
          <w:rFonts w:ascii="Times New Roman" w:hAnsi="Times New Roman" w:cs="Times New Roman"/>
        </w:rPr>
        <w:t xml:space="preserve"> </w:t>
      </w:r>
      <w:r w:rsidRPr="00152F2D">
        <w:rPr>
          <w:rFonts w:ascii="Times New Roman" w:hAnsi="Times New Roman" w:cs="Times New Roman"/>
        </w:rPr>
        <w:t>%</w:t>
      </w:r>
      <w:r w:rsidR="00072E72">
        <w:rPr>
          <w:rFonts w:ascii="Times New Roman" w:hAnsi="Times New Roman" w:cs="Times New Roman"/>
        </w:rPr>
        <w:t xml:space="preserve"> que</w:t>
      </w:r>
      <w:r w:rsidRPr="00152F2D">
        <w:rPr>
          <w:rFonts w:ascii="Times New Roman" w:hAnsi="Times New Roman" w:cs="Times New Roman"/>
        </w:rPr>
        <w:t xml:space="preserve"> les </w:t>
      </w:r>
      <w:r w:rsidR="00002247" w:rsidRPr="00152F2D">
        <w:rPr>
          <w:rFonts w:ascii="Times New Roman" w:hAnsi="Times New Roman" w:cs="Times New Roman"/>
        </w:rPr>
        <w:t>ha posibilitado</w:t>
      </w:r>
      <w:r w:rsidRPr="00152F2D">
        <w:rPr>
          <w:rFonts w:ascii="Times New Roman" w:hAnsi="Times New Roman" w:cs="Times New Roman"/>
        </w:rPr>
        <w:t xml:space="preserve"> ampliar sus</w:t>
      </w:r>
      <w:r w:rsidR="00002247" w:rsidRPr="00152F2D">
        <w:rPr>
          <w:rFonts w:ascii="Times New Roman" w:hAnsi="Times New Roman" w:cs="Times New Roman"/>
        </w:rPr>
        <w:t xml:space="preserve"> oportunidades laborales y 17</w:t>
      </w:r>
      <w:r w:rsidR="00072E72">
        <w:rPr>
          <w:rFonts w:ascii="Times New Roman" w:hAnsi="Times New Roman" w:cs="Times New Roman"/>
        </w:rPr>
        <w:t xml:space="preserve"> </w:t>
      </w:r>
      <w:r w:rsidRPr="00152F2D">
        <w:rPr>
          <w:rFonts w:ascii="Times New Roman" w:hAnsi="Times New Roman" w:cs="Times New Roman"/>
        </w:rPr>
        <w:t xml:space="preserve">% </w:t>
      </w:r>
      <w:r w:rsidR="00072E72">
        <w:rPr>
          <w:rFonts w:ascii="Times New Roman" w:hAnsi="Times New Roman" w:cs="Times New Roman"/>
        </w:rPr>
        <w:t>que</w:t>
      </w:r>
      <w:r w:rsidRPr="00152F2D">
        <w:rPr>
          <w:rFonts w:ascii="Times New Roman" w:hAnsi="Times New Roman" w:cs="Times New Roman"/>
        </w:rPr>
        <w:t xml:space="preserve"> les </w:t>
      </w:r>
      <w:r w:rsidR="00072E72">
        <w:rPr>
          <w:rFonts w:ascii="Times New Roman" w:hAnsi="Times New Roman" w:cs="Times New Roman"/>
        </w:rPr>
        <w:t xml:space="preserve">ha permitido </w:t>
      </w:r>
      <w:r w:rsidR="00002247" w:rsidRPr="00152F2D">
        <w:rPr>
          <w:rFonts w:ascii="Times New Roman" w:hAnsi="Times New Roman" w:cs="Times New Roman"/>
        </w:rPr>
        <w:t>alcanzar una meta personal al efectuar</w:t>
      </w:r>
      <w:r w:rsidRPr="00152F2D">
        <w:rPr>
          <w:rFonts w:ascii="Times New Roman" w:hAnsi="Times New Roman" w:cs="Times New Roman"/>
        </w:rPr>
        <w:t xml:space="preserve"> sus estudios de licenciatura. </w:t>
      </w:r>
    </w:p>
    <w:p w14:paraId="2FB2F50E" w14:textId="77777777" w:rsidR="00C807A9" w:rsidRPr="00152F2D" w:rsidRDefault="00C807A9" w:rsidP="00E462DD">
      <w:pPr>
        <w:spacing w:after="0" w:line="360" w:lineRule="auto"/>
        <w:jc w:val="both"/>
        <w:rPr>
          <w:rFonts w:ascii="Times New Roman" w:hAnsi="Times New Roman" w:cs="Times New Roman"/>
        </w:rPr>
      </w:pPr>
    </w:p>
    <w:p w14:paraId="5B227D7D" w14:textId="77777777" w:rsidR="00D853BC" w:rsidRPr="00782BC3" w:rsidRDefault="007A42B2" w:rsidP="00782BC3">
      <w:pPr>
        <w:spacing w:after="0" w:line="360" w:lineRule="auto"/>
        <w:rPr>
          <w:rFonts w:ascii="Times New Roman" w:hAnsi="Times New Roman" w:cs="Times New Roman"/>
          <w:b/>
        </w:rPr>
      </w:pPr>
      <w:r w:rsidRPr="00782BC3">
        <w:rPr>
          <w:rFonts w:ascii="Times New Roman" w:hAnsi="Times New Roman" w:cs="Times New Roman"/>
          <w:b/>
        </w:rPr>
        <w:t>Resultados</w:t>
      </w:r>
      <w:r w:rsidR="00D853BC" w:rsidRPr="00782BC3">
        <w:rPr>
          <w:rFonts w:ascii="Times New Roman" w:hAnsi="Times New Roman" w:cs="Times New Roman"/>
          <w:b/>
        </w:rPr>
        <w:t xml:space="preserve"> sobre las competencias genéricas </w:t>
      </w:r>
    </w:p>
    <w:p w14:paraId="5535043E" w14:textId="4C6F205D" w:rsidR="00D853BC" w:rsidRDefault="00D853BC" w:rsidP="00782BC3">
      <w:pPr>
        <w:spacing w:after="0" w:line="360" w:lineRule="auto"/>
        <w:ind w:firstLine="708"/>
        <w:jc w:val="both"/>
        <w:rPr>
          <w:rFonts w:ascii="Times New Roman" w:hAnsi="Times New Roman" w:cs="Times New Roman"/>
        </w:rPr>
      </w:pPr>
      <w:r w:rsidRPr="00152F2D">
        <w:rPr>
          <w:rFonts w:ascii="Times New Roman" w:hAnsi="Times New Roman" w:cs="Times New Roman"/>
        </w:rPr>
        <w:t>Los resultad</w:t>
      </w:r>
      <w:r w:rsidR="002A1272" w:rsidRPr="00152F2D">
        <w:rPr>
          <w:rFonts w:ascii="Times New Roman" w:hAnsi="Times New Roman" w:cs="Times New Roman"/>
        </w:rPr>
        <w:t>os sobre la evaluación de las competencias genéricas</w:t>
      </w:r>
      <w:r w:rsidRPr="00152F2D">
        <w:rPr>
          <w:rFonts w:ascii="Times New Roman" w:hAnsi="Times New Roman" w:cs="Times New Roman"/>
        </w:rPr>
        <w:t xml:space="preserve"> de tipo instrume</w:t>
      </w:r>
      <w:r w:rsidR="005200B9" w:rsidRPr="00152F2D">
        <w:rPr>
          <w:rFonts w:ascii="Times New Roman" w:hAnsi="Times New Roman" w:cs="Times New Roman"/>
        </w:rPr>
        <w:t>ntal se concentran en la tabla 2</w:t>
      </w:r>
      <w:r w:rsidRPr="00152F2D">
        <w:rPr>
          <w:rFonts w:ascii="Times New Roman" w:hAnsi="Times New Roman" w:cs="Times New Roman"/>
        </w:rPr>
        <w:t>.</w:t>
      </w:r>
    </w:p>
    <w:p w14:paraId="5E3977A2" w14:textId="4F58AE09" w:rsidR="00C807A9" w:rsidRDefault="00C807A9" w:rsidP="00E462DD">
      <w:pPr>
        <w:spacing w:after="0" w:line="360" w:lineRule="auto"/>
        <w:jc w:val="both"/>
        <w:rPr>
          <w:rFonts w:ascii="Times New Roman" w:hAnsi="Times New Roman" w:cs="Times New Roman"/>
        </w:rPr>
      </w:pPr>
    </w:p>
    <w:p w14:paraId="181981EA" w14:textId="25999E0A" w:rsidR="008A20AE" w:rsidRDefault="008A20AE" w:rsidP="00E462DD">
      <w:pPr>
        <w:spacing w:after="0" w:line="360" w:lineRule="auto"/>
        <w:jc w:val="both"/>
        <w:rPr>
          <w:rFonts w:ascii="Times New Roman" w:hAnsi="Times New Roman" w:cs="Times New Roman"/>
        </w:rPr>
      </w:pPr>
    </w:p>
    <w:p w14:paraId="1150A9AC" w14:textId="77777777" w:rsidR="008A20AE" w:rsidRPr="00152F2D" w:rsidRDefault="008A20AE" w:rsidP="00E462DD">
      <w:pPr>
        <w:spacing w:after="0" w:line="360" w:lineRule="auto"/>
        <w:jc w:val="both"/>
        <w:rPr>
          <w:rFonts w:ascii="Times New Roman" w:hAnsi="Times New Roman" w:cs="Times New Roman"/>
        </w:rPr>
      </w:pPr>
    </w:p>
    <w:p w14:paraId="6DF0A493" w14:textId="77777777" w:rsidR="00D853BC" w:rsidRPr="00782BC3" w:rsidRDefault="005200B9" w:rsidP="00E462DD">
      <w:pPr>
        <w:spacing w:after="0" w:line="360" w:lineRule="auto"/>
        <w:jc w:val="center"/>
        <w:rPr>
          <w:rFonts w:ascii="Times New Roman" w:hAnsi="Times New Roman" w:cs="Times New Roman"/>
          <w:szCs w:val="20"/>
        </w:rPr>
      </w:pPr>
      <w:r w:rsidRPr="00782BC3">
        <w:rPr>
          <w:rFonts w:ascii="Times New Roman" w:hAnsi="Times New Roman" w:cs="Times New Roman"/>
          <w:b/>
          <w:szCs w:val="20"/>
        </w:rPr>
        <w:lastRenderedPageBreak/>
        <w:t>Tabla 2</w:t>
      </w:r>
      <w:r w:rsidR="00D853BC" w:rsidRPr="00782BC3">
        <w:rPr>
          <w:rFonts w:ascii="Times New Roman" w:hAnsi="Times New Roman" w:cs="Times New Roman"/>
          <w:szCs w:val="20"/>
        </w:rPr>
        <w:t>. Competencias</w:t>
      </w:r>
      <w:r w:rsidR="00810308" w:rsidRPr="00782BC3">
        <w:rPr>
          <w:rFonts w:ascii="Times New Roman" w:hAnsi="Times New Roman" w:cs="Times New Roman"/>
          <w:szCs w:val="20"/>
        </w:rPr>
        <w:t xml:space="preserve"> instrumentales del estudiantado</w:t>
      </w:r>
    </w:p>
    <w:tbl>
      <w:tblPr>
        <w:tblStyle w:val="Tablaconcuadrcula"/>
        <w:tblW w:w="0" w:type="auto"/>
        <w:tblLayout w:type="fixed"/>
        <w:tblLook w:val="04A0" w:firstRow="1" w:lastRow="0" w:firstColumn="1" w:lastColumn="0" w:noHBand="0" w:noVBand="1"/>
      </w:tblPr>
      <w:tblGrid>
        <w:gridCol w:w="1663"/>
        <w:gridCol w:w="3294"/>
        <w:gridCol w:w="887"/>
        <w:gridCol w:w="628"/>
        <w:gridCol w:w="611"/>
        <w:gridCol w:w="709"/>
        <w:gridCol w:w="567"/>
        <w:gridCol w:w="567"/>
      </w:tblGrid>
      <w:tr w:rsidR="00491EF1" w:rsidRPr="008A20AE" w14:paraId="47DDA8A9" w14:textId="77777777" w:rsidTr="00FE2040">
        <w:trPr>
          <w:trHeight w:val="165"/>
        </w:trPr>
        <w:tc>
          <w:tcPr>
            <w:tcW w:w="1663" w:type="dxa"/>
            <w:vMerge w:val="restart"/>
          </w:tcPr>
          <w:p w14:paraId="43E68461" w14:textId="79CD02EE" w:rsidR="00491EF1" w:rsidRPr="008A20AE" w:rsidRDefault="00127D7F" w:rsidP="008A20AE">
            <w:pPr>
              <w:spacing w:after="0" w:line="276" w:lineRule="auto"/>
              <w:contextualSpacing/>
              <w:jc w:val="center"/>
              <w:rPr>
                <w:rFonts w:ascii="Times New Roman" w:hAnsi="Times New Roman" w:cs="Times New Roman"/>
                <w:b/>
                <w:sz w:val="22"/>
                <w:lang w:val="es-ES"/>
              </w:rPr>
            </w:pPr>
            <w:r w:rsidRPr="008A20AE">
              <w:rPr>
                <w:rFonts w:ascii="Times New Roman" w:hAnsi="Times New Roman" w:cs="Times New Roman"/>
                <w:b/>
                <w:sz w:val="22"/>
                <w:lang w:val="es-ES"/>
              </w:rPr>
              <w:t>Competencia genérica</w:t>
            </w:r>
          </w:p>
        </w:tc>
        <w:tc>
          <w:tcPr>
            <w:tcW w:w="3294" w:type="dxa"/>
            <w:vMerge w:val="restart"/>
          </w:tcPr>
          <w:p w14:paraId="7D714325" w14:textId="063F439E" w:rsidR="00491EF1" w:rsidRPr="008A20AE" w:rsidRDefault="00127D7F" w:rsidP="008A20AE">
            <w:pPr>
              <w:spacing w:after="0" w:line="276" w:lineRule="auto"/>
              <w:contextualSpacing/>
              <w:jc w:val="center"/>
              <w:rPr>
                <w:rFonts w:ascii="Times New Roman" w:hAnsi="Times New Roman" w:cs="Times New Roman"/>
                <w:b/>
                <w:sz w:val="22"/>
                <w:lang w:val="es-ES"/>
              </w:rPr>
            </w:pPr>
            <w:r w:rsidRPr="008A20AE">
              <w:rPr>
                <w:rFonts w:ascii="Times New Roman" w:hAnsi="Times New Roman" w:cs="Times New Roman"/>
                <w:b/>
                <w:sz w:val="22"/>
                <w:lang w:val="es-ES"/>
              </w:rPr>
              <w:t>Dimensiones</w:t>
            </w:r>
          </w:p>
        </w:tc>
        <w:tc>
          <w:tcPr>
            <w:tcW w:w="3969" w:type="dxa"/>
            <w:gridSpan w:val="6"/>
          </w:tcPr>
          <w:p w14:paraId="7D29CE56" w14:textId="783D8D3B" w:rsidR="00491EF1" w:rsidRPr="008A20AE" w:rsidRDefault="00127D7F" w:rsidP="008A20AE">
            <w:pPr>
              <w:spacing w:after="0" w:line="276" w:lineRule="auto"/>
              <w:contextualSpacing/>
              <w:jc w:val="center"/>
              <w:rPr>
                <w:rFonts w:ascii="Times New Roman" w:hAnsi="Times New Roman" w:cs="Times New Roman"/>
                <w:b/>
                <w:sz w:val="22"/>
                <w:lang w:val="es-ES"/>
              </w:rPr>
            </w:pPr>
            <w:r w:rsidRPr="008A20AE">
              <w:rPr>
                <w:rFonts w:ascii="Times New Roman" w:hAnsi="Times New Roman" w:cs="Times New Roman"/>
                <w:b/>
                <w:sz w:val="22"/>
                <w:lang w:val="es-ES"/>
              </w:rPr>
              <w:t xml:space="preserve">Media </w:t>
            </w:r>
          </w:p>
        </w:tc>
      </w:tr>
      <w:tr w:rsidR="00491EF1" w:rsidRPr="008A20AE" w14:paraId="12ED8CA6" w14:textId="77777777" w:rsidTr="00FE2040">
        <w:trPr>
          <w:trHeight w:val="165"/>
        </w:trPr>
        <w:tc>
          <w:tcPr>
            <w:tcW w:w="1663" w:type="dxa"/>
            <w:vMerge/>
          </w:tcPr>
          <w:p w14:paraId="1D9C3922" w14:textId="77777777" w:rsidR="00491EF1" w:rsidRPr="008A20AE" w:rsidRDefault="00491EF1" w:rsidP="008A20AE">
            <w:pPr>
              <w:spacing w:after="0" w:line="276" w:lineRule="auto"/>
              <w:contextualSpacing/>
              <w:jc w:val="center"/>
              <w:rPr>
                <w:rFonts w:ascii="Times New Roman" w:hAnsi="Times New Roman" w:cs="Times New Roman"/>
                <w:sz w:val="22"/>
                <w:lang w:val="es-ES"/>
              </w:rPr>
            </w:pPr>
          </w:p>
        </w:tc>
        <w:tc>
          <w:tcPr>
            <w:tcW w:w="3294" w:type="dxa"/>
            <w:vMerge/>
          </w:tcPr>
          <w:p w14:paraId="0D4889BF" w14:textId="77777777" w:rsidR="00491EF1" w:rsidRPr="008A20AE" w:rsidRDefault="00491EF1" w:rsidP="008A20AE">
            <w:pPr>
              <w:spacing w:after="0" w:line="276" w:lineRule="auto"/>
              <w:contextualSpacing/>
              <w:jc w:val="center"/>
              <w:rPr>
                <w:rFonts w:ascii="Times New Roman" w:hAnsi="Times New Roman" w:cs="Times New Roman"/>
                <w:sz w:val="22"/>
                <w:lang w:val="es-ES"/>
              </w:rPr>
            </w:pPr>
          </w:p>
        </w:tc>
        <w:tc>
          <w:tcPr>
            <w:tcW w:w="887" w:type="dxa"/>
          </w:tcPr>
          <w:p w14:paraId="32D9274C" w14:textId="77777777" w:rsidR="00491EF1" w:rsidRPr="001F542A" w:rsidRDefault="00491EF1" w:rsidP="008A20AE">
            <w:pPr>
              <w:spacing w:after="0" w:line="276" w:lineRule="auto"/>
              <w:contextualSpacing/>
              <w:jc w:val="center"/>
              <w:rPr>
                <w:rFonts w:ascii="Times New Roman" w:hAnsi="Times New Roman" w:cs="Times New Roman"/>
                <w:sz w:val="20"/>
                <w:szCs w:val="20"/>
                <w:lang w:val="es-ES"/>
              </w:rPr>
            </w:pPr>
            <w:r w:rsidRPr="001F542A">
              <w:rPr>
                <w:rFonts w:ascii="Times New Roman" w:hAnsi="Times New Roman" w:cs="Times New Roman"/>
                <w:sz w:val="20"/>
                <w:szCs w:val="20"/>
                <w:lang w:val="es-ES"/>
              </w:rPr>
              <w:t>General</w:t>
            </w:r>
          </w:p>
        </w:tc>
        <w:tc>
          <w:tcPr>
            <w:tcW w:w="628" w:type="dxa"/>
          </w:tcPr>
          <w:p w14:paraId="4FC57051" w14:textId="77777777" w:rsidR="00491EF1" w:rsidRPr="001F542A" w:rsidRDefault="00491EF1" w:rsidP="008A20AE">
            <w:pPr>
              <w:spacing w:after="0" w:line="276" w:lineRule="auto"/>
              <w:contextualSpacing/>
              <w:jc w:val="center"/>
              <w:rPr>
                <w:rFonts w:ascii="Times New Roman" w:hAnsi="Times New Roman" w:cs="Times New Roman"/>
                <w:sz w:val="20"/>
                <w:szCs w:val="20"/>
                <w:lang w:val="es-ES"/>
              </w:rPr>
            </w:pPr>
            <w:r w:rsidRPr="001F542A">
              <w:rPr>
                <w:rFonts w:ascii="Times New Roman" w:hAnsi="Times New Roman" w:cs="Times New Roman"/>
                <w:sz w:val="20"/>
                <w:szCs w:val="20"/>
                <w:lang w:val="es-ES"/>
              </w:rPr>
              <w:t>ADE</w:t>
            </w:r>
          </w:p>
        </w:tc>
        <w:tc>
          <w:tcPr>
            <w:tcW w:w="611" w:type="dxa"/>
          </w:tcPr>
          <w:p w14:paraId="6472A7DE" w14:textId="77777777" w:rsidR="00491EF1" w:rsidRPr="001F542A" w:rsidRDefault="00491EF1" w:rsidP="008A20AE">
            <w:pPr>
              <w:spacing w:after="0" w:line="276" w:lineRule="auto"/>
              <w:contextualSpacing/>
              <w:jc w:val="center"/>
              <w:rPr>
                <w:rFonts w:ascii="Times New Roman" w:hAnsi="Times New Roman" w:cs="Times New Roman"/>
                <w:sz w:val="20"/>
                <w:szCs w:val="20"/>
                <w:lang w:val="es-ES"/>
              </w:rPr>
            </w:pPr>
            <w:r w:rsidRPr="001F542A">
              <w:rPr>
                <w:rFonts w:ascii="Times New Roman" w:hAnsi="Times New Roman" w:cs="Times New Roman"/>
                <w:sz w:val="20"/>
                <w:szCs w:val="20"/>
                <w:lang w:val="es-ES"/>
              </w:rPr>
              <w:t>CP</w:t>
            </w:r>
          </w:p>
        </w:tc>
        <w:tc>
          <w:tcPr>
            <w:tcW w:w="709" w:type="dxa"/>
          </w:tcPr>
          <w:p w14:paraId="1D9EE4B0" w14:textId="77777777" w:rsidR="00491EF1" w:rsidRPr="001F542A" w:rsidRDefault="00491EF1" w:rsidP="008A20AE">
            <w:pPr>
              <w:spacing w:after="0" w:line="276" w:lineRule="auto"/>
              <w:contextualSpacing/>
              <w:jc w:val="center"/>
              <w:rPr>
                <w:rFonts w:ascii="Times New Roman" w:hAnsi="Times New Roman" w:cs="Times New Roman"/>
                <w:sz w:val="20"/>
                <w:szCs w:val="20"/>
                <w:lang w:val="es-ES"/>
              </w:rPr>
            </w:pPr>
            <w:r w:rsidRPr="001F542A">
              <w:rPr>
                <w:rFonts w:ascii="Times New Roman" w:hAnsi="Times New Roman" w:cs="Times New Roman"/>
                <w:sz w:val="20"/>
                <w:szCs w:val="20"/>
                <w:lang w:val="es-ES"/>
              </w:rPr>
              <w:t>NI</w:t>
            </w:r>
          </w:p>
        </w:tc>
        <w:tc>
          <w:tcPr>
            <w:tcW w:w="567" w:type="dxa"/>
          </w:tcPr>
          <w:p w14:paraId="73B80322" w14:textId="77777777" w:rsidR="00491EF1" w:rsidRPr="001F542A" w:rsidRDefault="00491EF1" w:rsidP="008A20AE">
            <w:pPr>
              <w:spacing w:after="0" w:line="276" w:lineRule="auto"/>
              <w:contextualSpacing/>
              <w:jc w:val="center"/>
              <w:rPr>
                <w:rFonts w:ascii="Times New Roman" w:hAnsi="Times New Roman" w:cs="Times New Roman"/>
                <w:sz w:val="20"/>
                <w:szCs w:val="20"/>
                <w:lang w:val="es-ES"/>
              </w:rPr>
            </w:pPr>
            <w:r w:rsidRPr="001F542A">
              <w:rPr>
                <w:rFonts w:ascii="Times New Roman" w:hAnsi="Times New Roman" w:cs="Times New Roman"/>
                <w:sz w:val="20"/>
                <w:szCs w:val="20"/>
                <w:lang w:val="es-ES"/>
              </w:rPr>
              <w:t>RC</w:t>
            </w:r>
          </w:p>
        </w:tc>
        <w:tc>
          <w:tcPr>
            <w:tcW w:w="567" w:type="dxa"/>
          </w:tcPr>
          <w:p w14:paraId="755D2F53" w14:textId="77777777" w:rsidR="00491EF1" w:rsidRPr="001F542A" w:rsidRDefault="00491EF1" w:rsidP="008A20AE">
            <w:pPr>
              <w:spacing w:after="0" w:line="276" w:lineRule="auto"/>
              <w:contextualSpacing/>
              <w:jc w:val="center"/>
              <w:rPr>
                <w:rFonts w:ascii="Times New Roman" w:hAnsi="Times New Roman" w:cs="Times New Roman"/>
                <w:sz w:val="20"/>
                <w:szCs w:val="20"/>
                <w:lang w:val="es-ES"/>
              </w:rPr>
            </w:pPr>
            <w:r w:rsidRPr="001F542A">
              <w:rPr>
                <w:rFonts w:ascii="Times New Roman" w:hAnsi="Times New Roman" w:cs="Times New Roman"/>
                <w:sz w:val="20"/>
                <w:szCs w:val="20"/>
                <w:lang w:val="es-ES"/>
              </w:rPr>
              <w:t>CI</w:t>
            </w:r>
          </w:p>
        </w:tc>
      </w:tr>
      <w:tr w:rsidR="0019369B" w:rsidRPr="008A20AE" w14:paraId="585EC10F" w14:textId="77777777" w:rsidTr="00FE2040">
        <w:trPr>
          <w:trHeight w:val="37"/>
        </w:trPr>
        <w:tc>
          <w:tcPr>
            <w:tcW w:w="1663" w:type="dxa"/>
            <w:vMerge w:val="restart"/>
          </w:tcPr>
          <w:p w14:paraId="3E397BC5"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r w:rsidRPr="008A20AE">
              <w:rPr>
                <w:rFonts w:ascii="Times New Roman" w:hAnsi="Times New Roman" w:cs="Times New Roman"/>
                <w:sz w:val="22"/>
                <w:lang w:val="es-ES"/>
              </w:rPr>
              <w:t>Instrumentales</w:t>
            </w:r>
          </w:p>
        </w:tc>
        <w:tc>
          <w:tcPr>
            <w:tcW w:w="3294" w:type="dxa"/>
          </w:tcPr>
          <w:p w14:paraId="3E4E08A3" w14:textId="77777777" w:rsidR="0019369B" w:rsidRPr="008A20AE" w:rsidRDefault="0019369B"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 xml:space="preserve">Capacidad de abstracción, análisis y síntesis </w:t>
            </w:r>
          </w:p>
        </w:tc>
        <w:tc>
          <w:tcPr>
            <w:tcW w:w="887" w:type="dxa"/>
          </w:tcPr>
          <w:p w14:paraId="52AE2769"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3.29</w:t>
            </w:r>
          </w:p>
        </w:tc>
        <w:tc>
          <w:tcPr>
            <w:tcW w:w="628" w:type="dxa"/>
          </w:tcPr>
          <w:p w14:paraId="7E2ACAF2"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3.87</w:t>
            </w:r>
          </w:p>
        </w:tc>
        <w:tc>
          <w:tcPr>
            <w:tcW w:w="611" w:type="dxa"/>
          </w:tcPr>
          <w:p w14:paraId="4AB8A405"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3.48</w:t>
            </w:r>
          </w:p>
        </w:tc>
        <w:tc>
          <w:tcPr>
            <w:tcW w:w="709" w:type="dxa"/>
          </w:tcPr>
          <w:p w14:paraId="28792245"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3.11</w:t>
            </w:r>
          </w:p>
        </w:tc>
        <w:tc>
          <w:tcPr>
            <w:tcW w:w="567" w:type="dxa"/>
          </w:tcPr>
          <w:p w14:paraId="4A246B5C"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3.05</w:t>
            </w:r>
          </w:p>
        </w:tc>
        <w:tc>
          <w:tcPr>
            <w:tcW w:w="567" w:type="dxa"/>
          </w:tcPr>
          <w:p w14:paraId="72378E66"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2.94</w:t>
            </w:r>
          </w:p>
        </w:tc>
      </w:tr>
      <w:tr w:rsidR="0019369B" w:rsidRPr="008A20AE" w14:paraId="7153A44F" w14:textId="77777777" w:rsidTr="00FE2040">
        <w:trPr>
          <w:trHeight w:val="26"/>
        </w:trPr>
        <w:tc>
          <w:tcPr>
            <w:tcW w:w="1663" w:type="dxa"/>
            <w:vMerge/>
          </w:tcPr>
          <w:p w14:paraId="46214CC4"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068ADFC3" w14:textId="77777777" w:rsidR="0019369B" w:rsidRPr="008A20AE" w:rsidRDefault="0019369B"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Capacidad para organizar y planificar el tiempo</w:t>
            </w:r>
          </w:p>
        </w:tc>
        <w:tc>
          <w:tcPr>
            <w:tcW w:w="887" w:type="dxa"/>
          </w:tcPr>
          <w:p w14:paraId="18B6E62D"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3.41</w:t>
            </w:r>
          </w:p>
        </w:tc>
        <w:tc>
          <w:tcPr>
            <w:tcW w:w="628" w:type="dxa"/>
          </w:tcPr>
          <w:p w14:paraId="3BA917E0"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3.81</w:t>
            </w:r>
          </w:p>
        </w:tc>
        <w:tc>
          <w:tcPr>
            <w:tcW w:w="611" w:type="dxa"/>
          </w:tcPr>
          <w:p w14:paraId="6105C9CF"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3.72</w:t>
            </w:r>
          </w:p>
        </w:tc>
        <w:tc>
          <w:tcPr>
            <w:tcW w:w="709" w:type="dxa"/>
          </w:tcPr>
          <w:p w14:paraId="361BF772"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3.26</w:t>
            </w:r>
          </w:p>
        </w:tc>
        <w:tc>
          <w:tcPr>
            <w:tcW w:w="567" w:type="dxa"/>
          </w:tcPr>
          <w:p w14:paraId="69F0A3CF"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2.75</w:t>
            </w:r>
          </w:p>
        </w:tc>
        <w:tc>
          <w:tcPr>
            <w:tcW w:w="567" w:type="dxa"/>
          </w:tcPr>
          <w:p w14:paraId="4FC91C68"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3.51</w:t>
            </w:r>
          </w:p>
        </w:tc>
      </w:tr>
      <w:tr w:rsidR="0019369B" w:rsidRPr="008A20AE" w14:paraId="4C24BA4E" w14:textId="77777777" w:rsidTr="00FE2040">
        <w:trPr>
          <w:trHeight w:val="26"/>
        </w:trPr>
        <w:tc>
          <w:tcPr>
            <w:tcW w:w="1663" w:type="dxa"/>
            <w:vMerge/>
          </w:tcPr>
          <w:p w14:paraId="30D3656F"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38E71B2E" w14:textId="77777777" w:rsidR="0019369B" w:rsidRPr="008A20AE" w:rsidRDefault="0019369B"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Conocimiento sobre el área de estudio y la profesión</w:t>
            </w:r>
          </w:p>
        </w:tc>
        <w:tc>
          <w:tcPr>
            <w:tcW w:w="887" w:type="dxa"/>
          </w:tcPr>
          <w:p w14:paraId="150A94F9"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3.55</w:t>
            </w:r>
          </w:p>
        </w:tc>
        <w:tc>
          <w:tcPr>
            <w:tcW w:w="628" w:type="dxa"/>
          </w:tcPr>
          <w:p w14:paraId="5201BF17"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3.46</w:t>
            </w:r>
          </w:p>
        </w:tc>
        <w:tc>
          <w:tcPr>
            <w:tcW w:w="611" w:type="dxa"/>
          </w:tcPr>
          <w:p w14:paraId="280CBCC2"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3.64</w:t>
            </w:r>
          </w:p>
        </w:tc>
        <w:tc>
          <w:tcPr>
            <w:tcW w:w="709" w:type="dxa"/>
          </w:tcPr>
          <w:p w14:paraId="0BB22B6E"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3.51</w:t>
            </w:r>
          </w:p>
        </w:tc>
        <w:tc>
          <w:tcPr>
            <w:tcW w:w="567" w:type="dxa"/>
          </w:tcPr>
          <w:p w14:paraId="4D38E357"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3.52</w:t>
            </w:r>
          </w:p>
        </w:tc>
        <w:tc>
          <w:tcPr>
            <w:tcW w:w="567" w:type="dxa"/>
          </w:tcPr>
          <w:p w14:paraId="1A766C48"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3.64</w:t>
            </w:r>
          </w:p>
        </w:tc>
      </w:tr>
      <w:tr w:rsidR="0019369B" w:rsidRPr="008A20AE" w14:paraId="70E6557D" w14:textId="77777777" w:rsidTr="00FE2040">
        <w:trPr>
          <w:trHeight w:val="26"/>
        </w:trPr>
        <w:tc>
          <w:tcPr>
            <w:tcW w:w="1663" w:type="dxa"/>
            <w:vMerge/>
          </w:tcPr>
          <w:p w14:paraId="380C2C5C"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460EA016" w14:textId="77777777" w:rsidR="0019369B" w:rsidRPr="008A20AE" w:rsidRDefault="0019369B"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Capacidad de comunicación oral y escrita</w:t>
            </w:r>
          </w:p>
        </w:tc>
        <w:tc>
          <w:tcPr>
            <w:tcW w:w="887" w:type="dxa"/>
          </w:tcPr>
          <w:p w14:paraId="3A203D97"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3.14</w:t>
            </w:r>
          </w:p>
        </w:tc>
        <w:tc>
          <w:tcPr>
            <w:tcW w:w="628" w:type="dxa"/>
          </w:tcPr>
          <w:p w14:paraId="01E79C48"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3.02</w:t>
            </w:r>
          </w:p>
        </w:tc>
        <w:tc>
          <w:tcPr>
            <w:tcW w:w="611" w:type="dxa"/>
          </w:tcPr>
          <w:p w14:paraId="2D632224"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3.14</w:t>
            </w:r>
          </w:p>
        </w:tc>
        <w:tc>
          <w:tcPr>
            <w:tcW w:w="709" w:type="dxa"/>
          </w:tcPr>
          <w:p w14:paraId="4F218A75"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3.34</w:t>
            </w:r>
          </w:p>
        </w:tc>
        <w:tc>
          <w:tcPr>
            <w:tcW w:w="567" w:type="dxa"/>
          </w:tcPr>
          <w:p w14:paraId="54C99101"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3.26</w:t>
            </w:r>
          </w:p>
        </w:tc>
        <w:tc>
          <w:tcPr>
            <w:tcW w:w="567" w:type="dxa"/>
          </w:tcPr>
          <w:p w14:paraId="53CCBFC9"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2.94</w:t>
            </w:r>
          </w:p>
        </w:tc>
      </w:tr>
      <w:tr w:rsidR="0019369B" w:rsidRPr="008A20AE" w14:paraId="524D6EFB" w14:textId="77777777" w:rsidTr="00FE2040">
        <w:trPr>
          <w:trHeight w:val="26"/>
        </w:trPr>
        <w:tc>
          <w:tcPr>
            <w:tcW w:w="1663" w:type="dxa"/>
            <w:vMerge/>
          </w:tcPr>
          <w:p w14:paraId="4F6A8396"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4446EFFA" w14:textId="77777777" w:rsidR="0019369B" w:rsidRPr="008A20AE" w:rsidRDefault="0019369B"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Capacidad de comunicación en un segundo idioma</w:t>
            </w:r>
          </w:p>
        </w:tc>
        <w:tc>
          <w:tcPr>
            <w:tcW w:w="887" w:type="dxa"/>
          </w:tcPr>
          <w:p w14:paraId="70712588"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1.21</w:t>
            </w:r>
          </w:p>
        </w:tc>
        <w:tc>
          <w:tcPr>
            <w:tcW w:w="628" w:type="dxa"/>
          </w:tcPr>
          <w:p w14:paraId="3FB9B8D5"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1.08</w:t>
            </w:r>
          </w:p>
        </w:tc>
        <w:tc>
          <w:tcPr>
            <w:tcW w:w="611" w:type="dxa"/>
          </w:tcPr>
          <w:p w14:paraId="52F4A8E8"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1.08</w:t>
            </w:r>
          </w:p>
        </w:tc>
        <w:tc>
          <w:tcPr>
            <w:tcW w:w="709" w:type="dxa"/>
          </w:tcPr>
          <w:p w14:paraId="0F00AAD8"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1.42</w:t>
            </w:r>
          </w:p>
        </w:tc>
        <w:tc>
          <w:tcPr>
            <w:tcW w:w="567" w:type="dxa"/>
          </w:tcPr>
          <w:p w14:paraId="27A6DCCA"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1.11</w:t>
            </w:r>
          </w:p>
        </w:tc>
        <w:tc>
          <w:tcPr>
            <w:tcW w:w="567" w:type="dxa"/>
          </w:tcPr>
          <w:p w14:paraId="4770ED53"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1.36</w:t>
            </w:r>
          </w:p>
        </w:tc>
      </w:tr>
      <w:tr w:rsidR="0019369B" w:rsidRPr="008A20AE" w14:paraId="428D06EB" w14:textId="77777777" w:rsidTr="00FE2040">
        <w:trPr>
          <w:trHeight w:val="26"/>
        </w:trPr>
        <w:tc>
          <w:tcPr>
            <w:tcW w:w="1663" w:type="dxa"/>
            <w:vMerge/>
          </w:tcPr>
          <w:p w14:paraId="7FA76740"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5430FACF" w14:textId="77777777" w:rsidR="0019369B" w:rsidRPr="008A20AE" w:rsidRDefault="0019369B"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Habilidades en el uso de las tecnologías de la información y de la comunicación (TIC)</w:t>
            </w:r>
          </w:p>
        </w:tc>
        <w:tc>
          <w:tcPr>
            <w:tcW w:w="887" w:type="dxa"/>
          </w:tcPr>
          <w:p w14:paraId="7612BB13"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3.49</w:t>
            </w:r>
          </w:p>
        </w:tc>
        <w:tc>
          <w:tcPr>
            <w:tcW w:w="628" w:type="dxa"/>
          </w:tcPr>
          <w:p w14:paraId="479FCCFA"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3.62</w:t>
            </w:r>
          </w:p>
        </w:tc>
        <w:tc>
          <w:tcPr>
            <w:tcW w:w="611" w:type="dxa"/>
          </w:tcPr>
          <w:p w14:paraId="58875D13"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3.59</w:t>
            </w:r>
          </w:p>
        </w:tc>
        <w:tc>
          <w:tcPr>
            <w:tcW w:w="709" w:type="dxa"/>
          </w:tcPr>
          <w:p w14:paraId="5C0A7BF7"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3.57</w:t>
            </w:r>
          </w:p>
        </w:tc>
        <w:tc>
          <w:tcPr>
            <w:tcW w:w="567" w:type="dxa"/>
          </w:tcPr>
          <w:p w14:paraId="1942994F"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3.43</w:t>
            </w:r>
          </w:p>
        </w:tc>
        <w:tc>
          <w:tcPr>
            <w:tcW w:w="567" w:type="dxa"/>
          </w:tcPr>
          <w:p w14:paraId="2B0038BA"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3.24</w:t>
            </w:r>
          </w:p>
        </w:tc>
      </w:tr>
      <w:tr w:rsidR="0019369B" w:rsidRPr="008A20AE" w14:paraId="70ABC447" w14:textId="77777777" w:rsidTr="00FE2040">
        <w:trPr>
          <w:trHeight w:val="26"/>
        </w:trPr>
        <w:tc>
          <w:tcPr>
            <w:tcW w:w="1663" w:type="dxa"/>
            <w:vMerge/>
          </w:tcPr>
          <w:p w14:paraId="374F4CEC"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7846D49F" w14:textId="4B7CC721" w:rsidR="0019369B" w:rsidRPr="008A20AE" w:rsidRDefault="0019369B"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Capacidad para identificar, plan</w:t>
            </w:r>
            <w:r w:rsidR="00436DB0" w:rsidRPr="008A20AE">
              <w:rPr>
                <w:rFonts w:ascii="Times New Roman" w:hAnsi="Times New Roman" w:cs="Times New Roman"/>
                <w:sz w:val="22"/>
              </w:rPr>
              <w:t>t</w:t>
            </w:r>
            <w:r w:rsidRPr="008A20AE">
              <w:rPr>
                <w:rFonts w:ascii="Times New Roman" w:hAnsi="Times New Roman" w:cs="Times New Roman"/>
                <w:sz w:val="22"/>
              </w:rPr>
              <w:t>ear y resolver problemas</w:t>
            </w:r>
          </w:p>
        </w:tc>
        <w:tc>
          <w:tcPr>
            <w:tcW w:w="887" w:type="dxa"/>
          </w:tcPr>
          <w:p w14:paraId="5057BE43"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3.11</w:t>
            </w:r>
          </w:p>
        </w:tc>
        <w:tc>
          <w:tcPr>
            <w:tcW w:w="628" w:type="dxa"/>
          </w:tcPr>
          <w:p w14:paraId="512AFCC3"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3.55</w:t>
            </w:r>
          </w:p>
        </w:tc>
        <w:tc>
          <w:tcPr>
            <w:tcW w:w="611" w:type="dxa"/>
          </w:tcPr>
          <w:p w14:paraId="792F984F"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3.36</w:t>
            </w:r>
          </w:p>
        </w:tc>
        <w:tc>
          <w:tcPr>
            <w:tcW w:w="709" w:type="dxa"/>
          </w:tcPr>
          <w:p w14:paraId="31F2F5E0"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3.28</w:t>
            </w:r>
          </w:p>
        </w:tc>
        <w:tc>
          <w:tcPr>
            <w:tcW w:w="567" w:type="dxa"/>
          </w:tcPr>
          <w:p w14:paraId="50CF70DC"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2.31</w:t>
            </w:r>
          </w:p>
        </w:tc>
        <w:tc>
          <w:tcPr>
            <w:tcW w:w="567" w:type="dxa"/>
          </w:tcPr>
          <w:p w14:paraId="412983A2"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3.06</w:t>
            </w:r>
          </w:p>
        </w:tc>
      </w:tr>
      <w:tr w:rsidR="0019369B" w:rsidRPr="008A20AE" w14:paraId="688D2DA1" w14:textId="77777777" w:rsidTr="00FE2040">
        <w:trPr>
          <w:trHeight w:val="26"/>
        </w:trPr>
        <w:tc>
          <w:tcPr>
            <w:tcW w:w="1663" w:type="dxa"/>
            <w:vMerge/>
          </w:tcPr>
          <w:p w14:paraId="0895BD40"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7389F1A0" w14:textId="48F65467" w:rsidR="0019369B" w:rsidRPr="008A20AE" w:rsidRDefault="0019369B"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Capacidad para tomar decisiones</w:t>
            </w:r>
          </w:p>
        </w:tc>
        <w:tc>
          <w:tcPr>
            <w:tcW w:w="887" w:type="dxa"/>
          </w:tcPr>
          <w:p w14:paraId="0E077BDE"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3.24</w:t>
            </w:r>
          </w:p>
        </w:tc>
        <w:tc>
          <w:tcPr>
            <w:tcW w:w="628" w:type="dxa"/>
          </w:tcPr>
          <w:p w14:paraId="5027A720"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3.85</w:t>
            </w:r>
          </w:p>
        </w:tc>
        <w:tc>
          <w:tcPr>
            <w:tcW w:w="611" w:type="dxa"/>
          </w:tcPr>
          <w:p w14:paraId="1C43484D"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3.62</w:t>
            </w:r>
          </w:p>
        </w:tc>
        <w:tc>
          <w:tcPr>
            <w:tcW w:w="709" w:type="dxa"/>
          </w:tcPr>
          <w:p w14:paraId="5C3964FF"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2.72</w:t>
            </w:r>
          </w:p>
        </w:tc>
        <w:tc>
          <w:tcPr>
            <w:tcW w:w="567" w:type="dxa"/>
          </w:tcPr>
          <w:p w14:paraId="20E47F3A"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2.97</w:t>
            </w:r>
          </w:p>
        </w:tc>
        <w:tc>
          <w:tcPr>
            <w:tcW w:w="567" w:type="dxa"/>
          </w:tcPr>
          <w:p w14:paraId="78F19FD2"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3.04</w:t>
            </w:r>
          </w:p>
        </w:tc>
      </w:tr>
      <w:tr w:rsidR="0019369B" w:rsidRPr="008A20AE" w14:paraId="183438D9" w14:textId="77777777" w:rsidTr="00FE2040">
        <w:trPr>
          <w:trHeight w:val="26"/>
        </w:trPr>
        <w:tc>
          <w:tcPr>
            <w:tcW w:w="1663" w:type="dxa"/>
            <w:vMerge/>
          </w:tcPr>
          <w:p w14:paraId="0B1C5A86"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59C982C5" w14:textId="77777777" w:rsidR="0019369B" w:rsidRPr="008A20AE" w:rsidRDefault="0019369B" w:rsidP="008A20AE">
            <w:pPr>
              <w:spacing w:after="0" w:line="276" w:lineRule="auto"/>
              <w:contextualSpacing/>
              <w:jc w:val="both"/>
              <w:rPr>
                <w:rFonts w:ascii="Times New Roman" w:hAnsi="Times New Roman" w:cs="Times New Roman"/>
                <w:sz w:val="22"/>
                <w:lang w:val="es-ES"/>
              </w:rPr>
            </w:pPr>
            <w:r w:rsidRPr="008A20AE">
              <w:rPr>
                <w:rFonts w:ascii="Times New Roman" w:hAnsi="Times New Roman" w:cs="Times New Roman"/>
                <w:sz w:val="22"/>
              </w:rPr>
              <w:t>Capacidad crítica y autocrítica</w:t>
            </w:r>
          </w:p>
        </w:tc>
        <w:tc>
          <w:tcPr>
            <w:tcW w:w="887" w:type="dxa"/>
          </w:tcPr>
          <w:p w14:paraId="22AAB355"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3.33</w:t>
            </w:r>
          </w:p>
        </w:tc>
        <w:tc>
          <w:tcPr>
            <w:tcW w:w="628" w:type="dxa"/>
          </w:tcPr>
          <w:p w14:paraId="09AE8FB6"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3.37</w:t>
            </w:r>
          </w:p>
        </w:tc>
        <w:tc>
          <w:tcPr>
            <w:tcW w:w="611" w:type="dxa"/>
          </w:tcPr>
          <w:p w14:paraId="08CBE5B4"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3.54</w:t>
            </w:r>
          </w:p>
        </w:tc>
        <w:tc>
          <w:tcPr>
            <w:tcW w:w="709" w:type="dxa"/>
          </w:tcPr>
          <w:p w14:paraId="1137E0CB"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3.09</w:t>
            </w:r>
          </w:p>
        </w:tc>
        <w:tc>
          <w:tcPr>
            <w:tcW w:w="567" w:type="dxa"/>
          </w:tcPr>
          <w:p w14:paraId="27B77A47"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3.16</w:t>
            </w:r>
          </w:p>
        </w:tc>
        <w:tc>
          <w:tcPr>
            <w:tcW w:w="567" w:type="dxa"/>
          </w:tcPr>
          <w:p w14:paraId="44DAC7EA"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3.49</w:t>
            </w:r>
          </w:p>
        </w:tc>
      </w:tr>
      <w:tr w:rsidR="0019369B" w:rsidRPr="008A20AE" w14:paraId="24990B0F" w14:textId="77777777" w:rsidTr="00FE2040">
        <w:trPr>
          <w:trHeight w:val="26"/>
        </w:trPr>
        <w:tc>
          <w:tcPr>
            <w:tcW w:w="1663" w:type="dxa"/>
            <w:vMerge/>
          </w:tcPr>
          <w:p w14:paraId="26759255"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077B94E2" w14:textId="2D10DBA5" w:rsidR="0019369B" w:rsidRPr="008A20AE" w:rsidRDefault="0019369B" w:rsidP="008A20AE">
            <w:pPr>
              <w:spacing w:after="0" w:line="276" w:lineRule="auto"/>
              <w:contextualSpacing/>
              <w:jc w:val="both"/>
              <w:rPr>
                <w:rFonts w:ascii="Times New Roman" w:hAnsi="Times New Roman" w:cs="Times New Roman"/>
                <w:sz w:val="22"/>
                <w:lang w:val="es-ES"/>
              </w:rPr>
            </w:pPr>
            <w:r w:rsidRPr="008A20AE">
              <w:rPr>
                <w:rFonts w:ascii="Times New Roman" w:hAnsi="Times New Roman" w:cs="Times New Roman"/>
                <w:sz w:val="22"/>
              </w:rPr>
              <w:t>Capacidad de trabajo en equipo</w:t>
            </w:r>
          </w:p>
        </w:tc>
        <w:tc>
          <w:tcPr>
            <w:tcW w:w="887" w:type="dxa"/>
          </w:tcPr>
          <w:p w14:paraId="2B0B58F3"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2.42</w:t>
            </w:r>
          </w:p>
        </w:tc>
        <w:tc>
          <w:tcPr>
            <w:tcW w:w="628" w:type="dxa"/>
          </w:tcPr>
          <w:p w14:paraId="6D603A9E"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2.29</w:t>
            </w:r>
          </w:p>
        </w:tc>
        <w:tc>
          <w:tcPr>
            <w:tcW w:w="611" w:type="dxa"/>
          </w:tcPr>
          <w:p w14:paraId="1FB59F29"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2.16</w:t>
            </w:r>
          </w:p>
        </w:tc>
        <w:tc>
          <w:tcPr>
            <w:tcW w:w="709" w:type="dxa"/>
          </w:tcPr>
          <w:p w14:paraId="15A7A0C5"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2.40</w:t>
            </w:r>
          </w:p>
        </w:tc>
        <w:tc>
          <w:tcPr>
            <w:tcW w:w="567" w:type="dxa"/>
          </w:tcPr>
          <w:p w14:paraId="5ACF53DF"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2.54</w:t>
            </w:r>
          </w:p>
        </w:tc>
        <w:tc>
          <w:tcPr>
            <w:tcW w:w="567" w:type="dxa"/>
          </w:tcPr>
          <w:p w14:paraId="5ED17597"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2.71</w:t>
            </w:r>
          </w:p>
        </w:tc>
      </w:tr>
      <w:tr w:rsidR="0019369B" w:rsidRPr="008A20AE" w14:paraId="4A079712" w14:textId="77777777" w:rsidTr="00FE2040">
        <w:trPr>
          <w:trHeight w:val="26"/>
        </w:trPr>
        <w:tc>
          <w:tcPr>
            <w:tcW w:w="1663" w:type="dxa"/>
            <w:vMerge/>
          </w:tcPr>
          <w:p w14:paraId="1E49F2D4"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15F56138" w14:textId="7AC715D1" w:rsidR="0019369B" w:rsidRPr="008A20AE" w:rsidRDefault="0019369B" w:rsidP="008A20AE">
            <w:pPr>
              <w:spacing w:after="0" w:line="276" w:lineRule="auto"/>
              <w:contextualSpacing/>
              <w:jc w:val="both"/>
              <w:rPr>
                <w:rFonts w:ascii="Times New Roman" w:hAnsi="Times New Roman" w:cs="Times New Roman"/>
                <w:sz w:val="22"/>
                <w:lang w:val="es-ES"/>
              </w:rPr>
            </w:pPr>
            <w:r w:rsidRPr="008A20AE">
              <w:rPr>
                <w:rFonts w:ascii="Times New Roman" w:hAnsi="Times New Roman" w:cs="Times New Roman"/>
                <w:sz w:val="22"/>
              </w:rPr>
              <w:t>Habilidades interpersonales</w:t>
            </w:r>
          </w:p>
        </w:tc>
        <w:tc>
          <w:tcPr>
            <w:tcW w:w="887" w:type="dxa"/>
          </w:tcPr>
          <w:p w14:paraId="019F6FA6"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2.12</w:t>
            </w:r>
          </w:p>
        </w:tc>
        <w:tc>
          <w:tcPr>
            <w:tcW w:w="628" w:type="dxa"/>
          </w:tcPr>
          <w:p w14:paraId="5C8ADFA9"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2.26</w:t>
            </w:r>
          </w:p>
        </w:tc>
        <w:tc>
          <w:tcPr>
            <w:tcW w:w="611" w:type="dxa"/>
          </w:tcPr>
          <w:p w14:paraId="56B3449D"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1.73</w:t>
            </w:r>
          </w:p>
        </w:tc>
        <w:tc>
          <w:tcPr>
            <w:tcW w:w="709" w:type="dxa"/>
          </w:tcPr>
          <w:p w14:paraId="365C27C2"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2.48</w:t>
            </w:r>
          </w:p>
        </w:tc>
        <w:tc>
          <w:tcPr>
            <w:tcW w:w="567" w:type="dxa"/>
          </w:tcPr>
          <w:p w14:paraId="086E0676"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2.08</w:t>
            </w:r>
          </w:p>
        </w:tc>
        <w:tc>
          <w:tcPr>
            <w:tcW w:w="567" w:type="dxa"/>
          </w:tcPr>
          <w:p w14:paraId="7FFA8D31"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2.05</w:t>
            </w:r>
          </w:p>
        </w:tc>
      </w:tr>
      <w:tr w:rsidR="0019369B" w:rsidRPr="008A20AE" w14:paraId="628BBCE0" w14:textId="77777777" w:rsidTr="00FE2040">
        <w:trPr>
          <w:trHeight w:val="26"/>
        </w:trPr>
        <w:tc>
          <w:tcPr>
            <w:tcW w:w="1663" w:type="dxa"/>
            <w:vMerge/>
          </w:tcPr>
          <w:p w14:paraId="203B7A90"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24D9A4CE" w14:textId="429CDAB4" w:rsidR="0019369B" w:rsidRPr="008A20AE" w:rsidRDefault="0019369B" w:rsidP="008A20AE">
            <w:pPr>
              <w:spacing w:after="0" w:line="276" w:lineRule="auto"/>
              <w:contextualSpacing/>
              <w:jc w:val="both"/>
              <w:rPr>
                <w:rFonts w:ascii="Times New Roman" w:hAnsi="Times New Roman" w:cs="Times New Roman"/>
                <w:sz w:val="22"/>
                <w:lang w:val="es-ES"/>
              </w:rPr>
            </w:pPr>
            <w:r w:rsidRPr="008A20AE">
              <w:rPr>
                <w:rFonts w:ascii="Times New Roman" w:hAnsi="Times New Roman" w:cs="Times New Roman"/>
                <w:sz w:val="22"/>
              </w:rPr>
              <w:t>Habilidad para trabajar en contextos internacionales</w:t>
            </w:r>
          </w:p>
        </w:tc>
        <w:tc>
          <w:tcPr>
            <w:tcW w:w="887" w:type="dxa"/>
          </w:tcPr>
          <w:p w14:paraId="4C94390B"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1.87</w:t>
            </w:r>
          </w:p>
        </w:tc>
        <w:tc>
          <w:tcPr>
            <w:tcW w:w="628" w:type="dxa"/>
          </w:tcPr>
          <w:p w14:paraId="6D5D3C67"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1.06</w:t>
            </w:r>
          </w:p>
        </w:tc>
        <w:tc>
          <w:tcPr>
            <w:tcW w:w="611" w:type="dxa"/>
          </w:tcPr>
          <w:p w14:paraId="2CE31A5B"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1.15</w:t>
            </w:r>
          </w:p>
        </w:tc>
        <w:tc>
          <w:tcPr>
            <w:tcW w:w="709" w:type="dxa"/>
          </w:tcPr>
          <w:p w14:paraId="1F76CDEE"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2.06</w:t>
            </w:r>
          </w:p>
        </w:tc>
        <w:tc>
          <w:tcPr>
            <w:tcW w:w="567" w:type="dxa"/>
          </w:tcPr>
          <w:p w14:paraId="2BC6F822"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1.98</w:t>
            </w:r>
          </w:p>
        </w:tc>
        <w:tc>
          <w:tcPr>
            <w:tcW w:w="567" w:type="dxa"/>
          </w:tcPr>
          <w:p w14:paraId="0B29ED92"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3.10</w:t>
            </w:r>
          </w:p>
        </w:tc>
      </w:tr>
      <w:tr w:rsidR="0019369B" w:rsidRPr="008A20AE" w14:paraId="6E072B96" w14:textId="77777777" w:rsidTr="00FE2040">
        <w:trPr>
          <w:trHeight w:val="26"/>
        </w:trPr>
        <w:tc>
          <w:tcPr>
            <w:tcW w:w="1663" w:type="dxa"/>
            <w:vMerge/>
          </w:tcPr>
          <w:p w14:paraId="25D9B81D"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2C79091A" w14:textId="167EF4E6" w:rsidR="0019369B" w:rsidRPr="008A20AE" w:rsidRDefault="0019369B" w:rsidP="008A20AE">
            <w:pPr>
              <w:spacing w:after="0" w:line="276" w:lineRule="auto"/>
              <w:contextualSpacing/>
              <w:jc w:val="both"/>
              <w:rPr>
                <w:rFonts w:ascii="Times New Roman" w:hAnsi="Times New Roman" w:cs="Times New Roman"/>
                <w:sz w:val="22"/>
                <w:lang w:val="es-ES"/>
              </w:rPr>
            </w:pPr>
            <w:r w:rsidRPr="008A20AE">
              <w:rPr>
                <w:rFonts w:ascii="Times New Roman" w:hAnsi="Times New Roman" w:cs="Times New Roman"/>
                <w:sz w:val="22"/>
              </w:rPr>
              <w:t>Compromiso ético</w:t>
            </w:r>
          </w:p>
        </w:tc>
        <w:tc>
          <w:tcPr>
            <w:tcW w:w="887" w:type="dxa"/>
          </w:tcPr>
          <w:p w14:paraId="3A5EF8BF"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2.32</w:t>
            </w:r>
          </w:p>
        </w:tc>
        <w:tc>
          <w:tcPr>
            <w:tcW w:w="628" w:type="dxa"/>
          </w:tcPr>
          <w:p w14:paraId="68798A1B"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2.31</w:t>
            </w:r>
          </w:p>
        </w:tc>
        <w:tc>
          <w:tcPr>
            <w:tcW w:w="611" w:type="dxa"/>
          </w:tcPr>
          <w:p w14:paraId="19B41C08"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2.47</w:t>
            </w:r>
          </w:p>
        </w:tc>
        <w:tc>
          <w:tcPr>
            <w:tcW w:w="709" w:type="dxa"/>
          </w:tcPr>
          <w:p w14:paraId="2DA419CD"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2.18</w:t>
            </w:r>
          </w:p>
        </w:tc>
        <w:tc>
          <w:tcPr>
            <w:tcW w:w="567" w:type="dxa"/>
          </w:tcPr>
          <w:p w14:paraId="0B7E9E79"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2.29</w:t>
            </w:r>
          </w:p>
        </w:tc>
        <w:tc>
          <w:tcPr>
            <w:tcW w:w="567" w:type="dxa"/>
          </w:tcPr>
          <w:p w14:paraId="139248FF"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2.35</w:t>
            </w:r>
          </w:p>
        </w:tc>
      </w:tr>
      <w:tr w:rsidR="0019369B" w:rsidRPr="008A20AE" w14:paraId="1B3F1F69" w14:textId="77777777" w:rsidTr="00FE2040">
        <w:trPr>
          <w:trHeight w:val="231"/>
        </w:trPr>
        <w:tc>
          <w:tcPr>
            <w:tcW w:w="1663" w:type="dxa"/>
            <w:vMerge/>
          </w:tcPr>
          <w:p w14:paraId="2420083D"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7BE8D19E" w14:textId="1F85D64D" w:rsidR="0019369B" w:rsidRPr="008A20AE" w:rsidRDefault="0019369B" w:rsidP="008A20AE">
            <w:pPr>
              <w:spacing w:after="0" w:line="276" w:lineRule="auto"/>
              <w:contextualSpacing/>
              <w:jc w:val="both"/>
              <w:rPr>
                <w:rFonts w:ascii="Times New Roman" w:hAnsi="Times New Roman" w:cs="Times New Roman"/>
                <w:sz w:val="22"/>
                <w:lang w:val="es-ES"/>
              </w:rPr>
            </w:pPr>
            <w:r w:rsidRPr="008A20AE">
              <w:rPr>
                <w:rFonts w:ascii="Times New Roman" w:hAnsi="Times New Roman" w:cs="Times New Roman"/>
                <w:sz w:val="22"/>
              </w:rPr>
              <w:t>Capacidad de aplicar los conocimientos en la práctica</w:t>
            </w:r>
          </w:p>
        </w:tc>
        <w:tc>
          <w:tcPr>
            <w:tcW w:w="887" w:type="dxa"/>
          </w:tcPr>
          <w:p w14:paraId="2DBE82DA"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3.42</w:t>
            </w:r>
          </w:p>
        </w:tc>
        <w:tc>
          <w:tcPr>
            <w:tcW w:w="628" w:type="dxa"/>
          </w:tcPr>
          <w:p w14:paraId="00AEA0C4"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3.86</w:t>
            </w:r>
          </w:p>
        </w:tc>
        <w:tc>
          <w:tcPr>
            <w:tcW w:w="611" w:type="dxa"/>
          </w:tcPr>
          <w:p w14:paraId="465A4230"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3.40</w:t>
            </w:r>
          </w:p>
        </w:tc>
        <w:tc>
          <w:tcPr>
            <w:tcW w:w="709" w:type="dxa"/>
          </w:tcPr>
          <w:p w14:paraId="0FAA141E"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3.15</w:t>
            </w:r>
          </w:p>
        </w:tc>
        <w:tc>
          <w:tcPr>
            <w:tcW w:w="567" w:type="dxa"/>
          </w:tcPr>
          <w:p w14:paraId="0AD27853"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3.07</w:t>
            </w:r>
          </w:p>
        </w:tc>
        <w:tc>
          <w:tcPr>
            <w:tcW w:w="567" w:type="dxa"/>
          </w:tcPr>
          <w:p w14:paraId="475ECF2F"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3.62</w:t>
            </w:r>
          </w:p>
        </w:tc>
      </w:tr>
      <w:tr w:rsidR="0019369B" w:rsidRPr="008A20AE" w14:paraId="0489D17B" w14:textId="77777777" w:rsidTr="00FE2040">
        <w:trPr>
          <w:trHeight w:val="231"/>
        </w:trPr>
        <w:tc>
          <w:tcPr>
            <w:tcW w:w="1663" w:type="dxa"/>
            <w:vMerge/>
          </w:tcPr>
          <w:p w14:paraId="5FA4B0BF" w14:textId="77777777" w:rsidR="0019369B" w:rsidRPr="008A20AE" w:rsidRDefault="0019369B" w:rsidP="008A20AE">
            <w:pPr>
              <w:spacing w:after="0" w:line="276" w:lineRule="auto"/>
              <w:contextualSpacing/>
              <w:jc w:val="center"/>
              <w:rPr>
                <w:rFonts w:ascii="Times New Roman" w:hAnsi="Times New Roman" w:cs="Times New Roman"/>
                <w:sz w:val="22"/>
                <w:lang w:val="es-ES"/>
              </w:rPr>
            </w:pPr>
          </w:p>
        </w:tc>
        <w:tc>
          <w:tcPr>
            <w:tcW w:w="3294" w:type="dxa"/>
          </w:tcPr>
          <w:p w14:paraId="4C1D72AB" w14:textId="77777777" w:rsidR="0019369B" w:rsidRPr="008A20AE" w:rsidRDefault="00C4503B"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Media global</w:t>
            </w:r>
          </w:p>
        </w:tc>
        <w:tc>
          <w:tcPr>
            <w:tcW w:w="887" w:type="dxa"/>
          </w:tcPr>
          <w:p w14:paraId="20C4D773"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2.85</w:t>
            </w:r>
          </w:p>
        </w:tc>
        <w:tc>
          <w:tcPr>
            <w:tcW w:w="628" w:type="dxa"/>
          </w:tcPr>
          <w:p w14:paraId="3A8A1BA3"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2.96</w:t>
            </w:r>
          </w:p>
        </w:tc>
        <w:tc>
          <w:tcPr>
            <w:tcW w:w="611" w:type="dxa"/>
          </w:tcPr>
          <w:p w14:paraId="5F531348"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2.86</w:t>
            </w:r>
          </w:p>
        </w:tc>
        <w:tc>
          <w:tcPr>
            <w:tcW w:w="709" w:type="dxa"/>
          </w:tcPr>
          <w:p w14:paraId="11178D8C"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2.83</w:t>
            </w:r>
          </w:p>
        </w:tc>
        <w:tc>
          <w:tcPr>
            <w:tcW w:w="567" w:type="dxa"/>
          </w:tcPr>
          <w:p w14:paraId="4F9DE5E9"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2.68</w:t>
            </w:r>
          </w:p>
        </w:tc>
        <w:tc>
          <w:tcPr>
            <w:tcW w:w="567" w:type="dxa"/>
          </w:tcPr>
          <w:p w14:paraId="778A025E" w14:textId="77777777" w:rsidR="0019369B" w:rsidRPr="008A20AE" w:rsidRDefault="0019369B"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2.93</w:t>
            </w:r>
          </w:p>
        </w:tc>
      </w:tr>
    </w:tbl>
    <w:p w14:paraId="3635FC94" w14:textId="7D25DA47" w:rsidR="00D853BC" w:rsidRPr="00782BC3" w:rsidRDefault="00D853BC" w:rsidP="00E462DD">
      <w:pPr>
        <w:spacing w:after="0" w:line="360" w:lineRule="auto"/>
        <w:jc w:val="center"/>
        <w:rPr>
          <w:rFonts w:ascii="Times New Roman" w:hAnsi="Times New Roman" w:cs="Times New Roman"/>
          <w:szCs w:val="20"/>
        </w:rPr>
      </w:pPr>
      <w:r w:rsidRPr="00782BC3">
        <w:rPr>
          <w:rFonts w:ascii="Times New Roman" w:hAnsi="Times New Roman" w:cs="Times New Roman"/>
          <w:szCs w:val="20"/>
        </w:rPr>
        <w:t xml:space="preserve">Fuente: Elaboración propia </w:t>
      </w:r>
    </w:p>
    <w:p w14:paraId="3033C090" w14:textId="77777777" w:rsidR="00C807A9" w:rsidRPr="00124DAB" w:rsidRDefault="00C807A9" w:rsidP="00E462DD">
      <w:pPr>
        <w:spacing w:after="0" w:line="360" w:lineRule="auto"/>
        <w:jc w:val="center"/>
        <w:rPr>
          <w:rFonts w:ascii="Times New Roman" w:hAnsi="Times New Roman" w:cs="Times New Roman"/>
          <w:sz w:val="20"/>
          <w:szCs w:val="20"/>
        </w:rPr>
      </w:pPr>
    </w:p>
    <w:p w14:paraId="758E9E1D" w14:textId="77777777" w:rsidR="008A20AE" w:rsidRDefault="008A20AE" w:rsidP="00782BC3">
      <w:pPr>
        <w:spacing w:after="0" w:line="360" w:lineRule="auto"/>
        <w:ind w:firstLine="708"/>
        <w:jc w:val="both"/>
        <w:rPr>
          <w:rFonts w:ascii="Times New Roman" w:hAnsi="Times New Roman" w:cs="Times New Roman"/>
        </w:rPr>
      </w:pPr>
    </w:p>
    <w:p w14:paraId="79D9106D" w14:textId="77777777" w:rsidR="008A20AE" w:rsidRDefault="008A20AE" w:rsidP="00782BC3">
      <w:pPr>
        <w:spacing w:after="0" w:line="360" w:lineRule="auto"/>
        <w:ind w:firstLine="708"/>
        <w:jc w:val="both"/>
        <w:rPr>
          <w:rFonts w:ascii="Times New Roman" w:hAnsi="Times New Roman" w:cs="Times New Roman"/>
        </w:rPr>
      </w:pPr>
    </w:p>
    <w:p w14:paraId="502789A3" w14:textId="7B54A8B5" w:rsidR="001027AF" w:rsidRDefault="005F7603" w:rsidP="00782BC3">
      <w:pPr>
        <w:spacing w:after="0" w:line="360" w:lineRule="auto"/>
        <w:ind w:firstLine="708"/>
        <w:jc w:val="both"/>
        <w:rPr>
          <w:rFonts w:ascii="Times New Roman" w:hAnsi="Times New Roman" w:cs="Times New Roman"/>
        </w:rPr>
      </w:pPr>
      <w:r w:rsidRPr="00152F2D">
        <w:rPr>
          <w:rFonts w:ascii="Times New Roman" w:hAnsi="Times New Roman" w:cs="Times New Roman"/>
        </w:rPr>
        <w:lastRenderedPageBreak/>
        <w:t xml:space="preserve">Para el primer grupo de competencias genéricas, los </w:t>
      </w:r>
      <w:r w:rsidR="00072E72">
        <w:rPr>
          <w:rFonts w:ascii="Times New Roman" w:hAnsi="Times New Roman" w:cs="Times New Roman"/>
        </w:rPr>
        <w:t>resultados</w:t>
      </w:r>
      <w:r w:rsidR="00072E72" w:rsidRPr="00152F2D">
        <w:rPr>
          <w:rFonts w:ascii="Times New Roman" w:hAnsi="Times New Roman" w:cs="Times New Roman"/>
        </w:rPr>
        <w:t xml:space="preserve"> </w:t>
      </w:r>
      <w:r w:rsidRPr="00152F2D">
        <w:rPr>
          <w:rFonts w:ascii="Times New Roman" w:hAnsi="Times New Roman" w:cs="Times New Roman"/>
        </w:rPr>
        <w:t>permiten establecer que el nivel de desarrollo se encuentra desde insuficiente hasta consolidado. Las competencias menos desarrolladas a nivel licenciatura en la modalidad en línea son la capacidad de comunicación en un segundo idioma y la habilidad para trabajar en contexto internacionales</w:t>
      </w:r>
      <w:r w:rsidR="00072E72">
        <w:rPr>
          <w:rFonts w:ascii="Times New Roman" w:hAnsi="Times New Roman" w:cs="Times New Roman"/>
        </w:rPr>
        <w:t>.</w:t>
      </w:r>
      <w:r w:rsidR="00072E72" w:rsidRPr="00152F2D">
        <w:rPr>
          <w:rFonts w:ascii="Times New Roman" w:hAnsi="Times New Roman" w:cs="Times New Roman"/>
        </w:rPr>
        <w:t xml:space="preserve"> </w:t>
      </w:r>
      <w:r w:rsidR="00072E72">
        <w:rPr>
          <w:rFonts w:ascii="Times New Roman" w:hAnsi="Times New Roman" w:cs="Times New Roman"/>
        </w:rPr>
        <w:t>M</w:t>
      </w:r>
      <w:r w:rsidR="00072E72" w:rsidRPr="00152F2D">
        <w:rPr>
          <w:rFonts w:ascii="Times New Roman" w:hAnsi="Times New Roman" w:cs="Times New Roman"/>
        </w:rPr>
        <w:t xml:space="preserve">ientras </w:t>
      </w:r>
      <w:r w:rsidRPr="00152F2D">
        <w:rPr>
          <w:rFonts w:ascii="Times New Roman" w:hAnsi="Times New Roman" w:cs="Times New Roman"/>
        </w:rPr>
        <w:t xml:space="preserve">que </w:t>
      </w:r>
      <w:r w:rsidR="0019369B" w:rsidRPr="00152F2D">
        <w:rPr>
          <w:rFonts w:ascii="Times New Roman" w:hAnsi="Times New Roman" w:cs="Times New Roman"/>
        </w:rPr>
        <w:t xml:space="preserve">las más desarrolladas son el conocimiento sobre el área de estudio y la profesión, así como las habilidades en el uso de las TIC. En términos globales, se obtuvo un nivel de desarrollo regular con base en la escala de evaluación, en donde la </w:t>
      </w:r>
      <w:r w:rsidR="00914907">
        <w:rPr>
          <w:rFonts w:ascii="Times New Roman" w:hAnsi="Times New Roman" w:cs="Times New Roman"/>
        </w:rPr>
        <w:t>L</w:t>
      </w:r>
      <w:r w:rsidR="00914907" w:rsidRPr="00152F2D">
        <w:rPr>
          <w:rFonts w:ascii="Times New Roman" w:hAnsi="Times New Roman" w:cs="Times New Roman"/>
        </w:rPr>
        <w:t xml:space="preserve">icenciatura </w:t>
      </w:r>
      <w:r w:rsidR="00914907">
        <w:rPr>
          <w:rFonts w:ascii="Times New Roman" w:hAnsi="Times New Roman" w:cs="Times New Roman"/>
        </w:rPr>
        <w:t>en</w:t>
      </w:r>
      <w:r w:rsidR="00914907" w:rsidRPr="00152F2D">
        <w:rPr>
          <w:rFonts w:ascii="Times New Roman" w:hAnsi="Times New Roman" w:cs="Times New Roman"/>
        </w:rPr>
        <w:t xml:space="preserve"> </w:t>
      </w:r>
      <w:r w:rsidR="0019369B" w:rsidRPr="00152F2D">
        <w:rPr>
          <w:rFonts w:ascii="Times New Roman" w:hAnsi="Times New Roman" w:cs="Times New Roman"/>
        </w:rPr>
        <w:t>ADE obtuvo el mayor puntaje, en tanto</w:t>
      </w:r>
      <w:r w:rsidR="00072E72">
        <w:rPr>
          <w:rFonts w:ascii="Times New Roman" w:hAnsi="Times New Roman" w:cs="Times New Roman"/>
        </w:rPr>
        <w:t xml:space="preserve"> que</w:t>
      </w:r>
      <w:r w:rsidR="0019369B" w:rsidRPr="00152F2D">
        <w:rPr>
          <w:rFonts w:ascii="Times New Roman" w:hAnsi="Times New Roman" w:cs="Times New Roman"/>
        </w:rPr>
        <w:t xml:space="preserve"> la </w:t>
      </w:r>
      <w:r w:rsidR="00914907">
        <w:rPr>
          <w:rFonts w:ascii="Times New Roman" w:hAnsi="Times New Roman" w:cs="Times New Roman"/>
        </w:rPr>
        <w:t>L</w:t>
      </w:r>
      <w:r w:rsidR="00914907" w:rsidRPr="00152F2D">
        <w:rPr>
          <w:rFonts w:ascii="Times New Roman" w:hAnsi="Times New Roman" w:cs="Times New Roman"/>
        </w:rPr>
        <w:t xml:space="preserve">icenciatura </w:t>
      </w:r>
      <w:r w:rsidR="00914907">
        <w:rPr>
          <w:rFonts w:ascii="Times New Roman" w:hAnsi="Times New Roman" w:cs="Times New Roman"/>
        </w:rPr>
        <w:t>en</w:t>
      </w:r>
      <w:r w:rsidR="00914907" w:rsidRPr="00152F2D">
        <w:rPr>
          <w:rFonts w:ascii="Times New Roman" w:hAnsi="Times New Roman" w:cs="Times New Roman"/>
        </w:rPr>
        <w:t xml:space="preserve"> </w:t>
      </w:r>
      <w:r w:rsidR="0019369B" w:rsidRPr="00152F2D">
        <w:rPr>
          <w:rFonts w:ascii="Times New Roman" w:hAnsi="Times New Roman" w:cs="Times New Roman"/>
        </w:rPr>
        <w:t xml:space="preserve">RC fue la que tuvo el menor puntaje. </w:t>
      </w:r>
      <w:r w:rsidR="00D853BC" w:rsidRPr="00152F2D">
        <w:rPr>
          <w:rFonts w:ascii="Times New Roman" w:hAnsi="Times New Roman" w:cs="Times New Roman"/>
        </w:rPr>
        <w:t>Para el segundo tipo de competencias genéricas, los hallazgo</w:t>
      </w:r>
      <w:r w:rsidR="00224550" w:rsidRPr="00152F2D">
        <w:rPr>
          <w:rFonts w:ascii="Times New Roman" w:hAnsi="Times New Roman" w:cs="Times New Roman"/>
        </w:rPr>
        <w:t>s se concentran en la t</w:t>
      </w:r>
      <w:r w:rsidR="005200B9" w:rsidRPr="00152F2D">
        <w:rPr>
          <w:rFonts w:ascii="Times New Roman" w:hAnsi="Times New Roman" w:cs="Times New Roman"/>
        </w:rPr>
        <w:t>abla 3</w:t>
      </w:r>
      <w:r w:rsidR="00224550" w:rsidRPr="00152F2D">
        <w:rPr>
          <w:rFonts w:ascii="Times New Roman" w:hAnsi="Times New Roman" w:cs="Times New Roman"/>
        </w:rPr>
        <w:t xml:space="preserve">. </w:t>
      </w:r>
    </w:p>
    <w:p w14:paraId="17D8242F" w14:textId="77777777" w:rsidR="00D853BC" w:rsidRPr="00782BC3" w:rsidRDefault="005200B9" w:rsidP="00E462DD">
      <w:pPr>
        <w:spacing w:after="0" w:line="360" w:lineRule="auto"/>
        <w:jc w:val="center"/>
        <w:rPr>
          <w:rFonts w:ascii="Times New Roman" w:hAnsi="Times New Roman" w:cs="Times New Roman"/>
          <w:szCs w:val="20"/>
        </w:rPr>
      </w:pPr>
      <w:r w:rsidRPr="00782BC3">
        <w:rPr>
          <w:rFonts w:ascii="Times New Roman" w:hAnsi="Times New Roman" w:cs="Times New Roman"/>
          <w:b/>
          <w:szCs w:val="20"/>
        </w:rPr>
        <w:t>Tabla 3</w:t>
      </w:r>
      <w:r w:rsidR="00D853BC" w:rsidRPr="00782BC3">
        <w:rPr>
          <w:rFonts w:ascii="Times New Roman" w:hAnsi="Times New Roman" w:cs="Times New Roman"/>
          <w:szCs w:val="20"/>
        </w:rPr>
        <w:t xml:space="preserve">. Competencias </w:t>
      </w:r>
      <w:r w:rsidR="00810308" w:rsidRPr="00782BC3">
        <w:rPr>
          <w:rFonts w:ascii="Times New Roman" w:hAnsi="Times New Roman" w:cs="Times New Roman"/>
          <w:szCs w:val="20"/>
        </w:rPr>
        <w:t>interpersonales del estudiantado</w:t>
      </w:r>
    </w:p>
    <w:tbl>
      <w:tblPr>
        <w:tblStyle w:val="Tablaconcuadrcula"/>
        <w:tblW w:w="9208" w:type="dxa"/>
        <w:jc w:val="center"/>
        <w:tblLook w:val="04A0" w:firstRow="1" w:lastRow="0" w:firstColumn="1" w:lastColumn="0" w:noHBand="0" w:noVBand="1"/>
      </w:tblPr>
      <w:tblGrid>
        <w:gridCol w:w="1683"/>
        <w:gridCol w:w="3106"/>
        <w:gridCol w:w="1165"/>
        <w:gridCol w:w="710"/>
        <w:gridCol w:w="636"/>
        <w:gridCol w:w="636"/>
        <w:gridCol w:w="636"/>
        <w:gridCol w:w="636"/>
      </w:tblGrid>
      <w:tr w:rsidR="001027AF" w:rsidRPr="00072E72" w14:paraId="339EACF2" w14:textId="77777777" w:rsidTr="00862D0B">
        <w:trPr>
          <w:trHeight w:val="247"/>
          <w:jc w:val="center"/>
        </w:trPr>
        <w:tc>
          <w:tcPr>
            <w:tcW w:w="1671" w:type="dxa"/>
            <w:vMerge w:val="restart"/>
          </w:tcPr>
          <w:p w14:paraId="59F0DD1D" w14:textId="65A850A8" w:rsidR="001027AF" w:rsidRPr="00782BC3" w:rsidRDefault="00072E72" w:rsidP="00E462DD">
            <w:pPr>
              <w:spacing w:after="0" w:line="360" w:lineRule="auto"/>
              <w:contextualSpacing/>
              <w:jc w:val="center"/>
              <w:rPr>
                <w:rFonts w:ascii="Times New Roman" w:hAnsi="Times New Roman" w:cs="Times New Roman"/>
                <w:b/>
                <w:lang w:val="es-ES"/>
              </w:rPr>
            </w:pPr>
            <w:r w:rsidRPr="00782BC3">
              <w:rPr>
                <w:rFonts w:ascii="Times New Roman" w:hAnsi="Times New Roman" w:cs="Times New Roman"/>
                <w:b/>
                <w:lang w:val="es-ES"/>
              </w:rPr>
              <w:t>Competencia genérica</w:t>
            </w:r>
          </w:p>
        </w:tc>
        <w:tc>
          <w:tcPr>
            <w:tcW w:w="3428" w:type="dxa"/>
            <w:vMerge w:val="restart"/>
          </w:tcPr>
          <w:p w14:paraId="085F8AAA" w14:textId="5177A4F5" w:rsidR="001027AF" w:rsidRPr="00782BC3" w:rsidRDefault="00072E72" w:rsidP="00E462DD">
            <w:pPr>
              <w:spacing w:after="0" w:line="360" w:lineRule="auto"/>
              <w:contextualSpacing/>
              <w:jc w:val="center"/>
              <w:rPr>
                <w:rFonts w:ascii="Times New Roman" w:hAnsi="Times New Roman" w:cs="Times New Roman"/>
                <w:b/>
              </w:rPr>
            </w:pPr>
            <w:r w:rsidRPr="00782BC3">
              <w:rPr>
                <w:rFonts w:ascii="Times New Roman" w:hAnsi="Times New Roman" w:cs="Times New Roman"/>
                <w:b/>
                <w:lang w:val="es-ES"/>
              </w:rPr>
              <w:t>Dimensiones</w:t>
            </w:r>
          </w:p>
        </w:tc>
        <w:tc>
          <w:tcPr>
            <w:tcW w:w="4109" w:type="dxa"/>
            <w:gridSpan w:val="6"/>
          </w:tcPr>
          <w:p w14:paraId="5457492A" w14:textId="01C2ADCD" w:rsidR="001027AF" w:rsidRPr="00782BC3" w:rsidRDefault="00072E72" w:rsidP="00E462DD">
            <w:pPr>
              <w:spacing w:after="0" w:line="360" w:lineRule="auto"/>
              <w:contextualSpacing/>
              <w:jc w:val="center"/>
              <w:rPr>
                <w:rFonts w:ascii="Times New Roman" w:hAnsi="Times New Roman" w:cs="Times New Roman"/>
                <w:b/>
                <w:lang w:val="es-ES"/>
              </w:rPr>
            </w:pPr>
            <w:r w:rsidRPr="00782BC3">
              <w:rPr>
                <w:rFonts w:ascii="Times New Roman" w:hAnsi="Times New Roman" w:cs="Times New Roman"/>
                <w:b/>
                <w:lang w:val="es-ES"/>
              </w:rPr>
              <w:t>Media</w:t>
            </w:r>
          </w:p>
        </w:tc>
      </w:tr>
      <w:tr w:rsidR="001027AF" w:rsidRPr="00072E72" w14:paraId="5D0994F2" w14:textId="77777777" w:rsidTr="00862D0B">
        <w:trPr>
          <w:trHeight w:val="246"/>
          <w:jc w:val="center"/>
        </w:trPr>
        <w:tc>
          <w:tcPr>
            <w:tcW w:w="1671" w:type="dxa"/>
            <w:vMerge/>
          </w:tcPr>
          <w:p w14:paraId="695D8DD6" w14:textId="77777777" w:rsidR="001027AF" w:rsidRPr="00782BC3" w:rsidRDefault="001027AF" w:rsidP="00E462DD">
            <w:pPr>
              <w:spacing w:after="0" w:line="360" w:lineRule="auto"/>
              <w:contextualSpacing/>
              <w:jc w:val="center"/>
              <w:rPr>
                <w:rFonts w:ascii="Times New Roman" w:hAnsi="Times New Roman" w:cs="Times New Roman"/>
                <w:lang w:val="es-ES"/>
              </w:rPr>
            </w:pPr>
          </w:p>
        </w:tc>
        <w:tc>
          <w:tcPr>
            <w:tcW w:w="3428" w:type="dxa"/>
            <w:vMerge/>
          </w:tcPr>
          <w:p w14:paraId="45174759" w14:textId="77777777" w:rsidR="001027AF" w:rsidRPr="00782BC3" w:rsidRDefault="001027AF" w:rsidP="00E462DD">
            <w:pPr>
              <w:spacing w:after="0" w:line="360" w:lineRule="auto"/>
              <w:contextualSpacing/>
              <w:jc w:val="center"/>
              <w:rPr>
                <w:rFonts w:ascii="Times New Roman" w:hAnsi="Times New Roman" w:cs="Times New Roman"/>
                <w:lang w:val="es-ES"/>
              </w:rPr>
            </w:pPr>
          </w:p>
        </w:tc>
        <w:tc>
          <w:tcPr>
            <w:tcW w:w="1217" w:type="dxa"/>
          </w:tcPr>
          <w:p w14:paraId="2918FDCC" w14:textId="77777777" w:rsidR="001027AF" w:rsidRPr="00782BC3" w:rsidRDefault="001027AF" w:rsidP="00E462DD">
            <w:pPr>
              <w:spacing w:after="0" w:line="360" w:lineRule="auto"/>
              <w:contextualSpacing/>
              <w:jc w:val="center"/>
              <w:rPr>
                <w:rFonts w:ascii="Times New Roman" w:hAnsi="Times New Roman" w:cs="Times New Roman"/>
                <w:lang w:val="es-ES"/>
              </w:rPr>
            </w:pPr>
            <w:r w:rsidRPr="00782BC3">
              <w:rPr>
                <w:rFonts w:ascii="Times New Roman" w:hAnsi="Times New Roman" w:cs="Times New Roman"/>
                <w:lang w:val="es-ES"/>
              </w:rPr>
              <w:t>General</w:t>
            </w:r>
          </w:p>
        </w:tc>
        <w:tc>
          <w:tcPr>
            <w:tcW w:w="628" w:type="dxa"/>
          </w:tcPr>
          <w:p w14:paraId="3ECD3421" w14:textId="77777777" w:rsidR="001027AF" w:rsidRPr="00782BC3" w:rsidRDefault="001027AF" w:rsidP="00E462DD">
            <w:pPr>
              <w:spacing w:after="0" w:line="360" w:lineRule="auto"/>
              <w:contextualSpacing/>
              <w:jc w:val="center"/>
              <w:rPr>
                <w:rFonts w:ascii="Times New Roman" w:hAnsi="Times New Roman" w:cs="Times New Roman"/>
                <w:lang w:val="es-ES"/>
              </w:rPr>
            </w:pPr>
            <w:r w:rsidRPr="00782BC3">
              <w:rPr>
                <w:rFonts w:ascii="Times New Roman" w:hAnsi="Times New Roman" w:cs="Times New Roman"/>
                <w:lang w:val="es-ES"/>
              </w:rPr>
              <w:t>ADE</w:t>
            </w:r>
          </w:p>
        </w:tc>
        <w:tc>
          <w:tcPr>
            <w:tcW w:w="566" w:type="dxa"/>
          </w:tcPr>
          <w:p w14:paraId="6155B898" w14:textId="77777777" w:rsidR="001027AF" w:rsidRPr="00782BC3" w:rsidRDefault="001027AF" w:rsidP="00E462DD">
            <w:pPr>
              <w:spacing w:after="0" w:line="360" w:lineRule="auto"/>
              <w:contextualSpacing/>
              <w:jc w:val="center"/>
              <w:rPr>
                <w:rFonts w:ascii="Times New Roman" w:hAnsi="Times New Roman" w:cs="Times New Roman"/>
                <w:lang w:val="es-ES"/>
              </w:rPr>
            </w:pPr>
            <w:r w:rsidRPr="00782BC3">
              <w:rPr>
                <w:rFonts w:ascii="Times New Roman" w:hAnsi="Times New Roman" w:cs="Times New Roman"/>
                <w:lang w:val="es-ES"/>
              </w:rPr>
              <w:t>CP</w:t>
            </w:r>
          </w:p>
        </w:tc>
        <w:tc>
          <w:tcPr>
            <w:tcW w:w="566" w:type="dxa"/>
          </w:tcPr>
          <w:p w14:paraId="30977A8F" w14:textId="77777777" w:rsidR="001027AF" w:rsidRPr="00782BC3" w:rsidRDefault="001027AF" w:rsidP="00E462DD">
            <w:pPr>
              <w:spacing w:after="0" w:line="360" w:lineRule="auto"/>
              <w:contextualSpacing/>
              <w:jc w:val="center"/>
              <w:rPr>
                <w:rFonts w:ascii="Times New Roman" w:hAnsi="Times New Roman" w:cs="Times New Roman"/>
                <w:lang w:val="es-ES"/>
              </w:rPr>
            </w:pPr>
            <w:r w:rsidRPr="00782BC3">
              <w:rPr>
                <w:rFonts w:ascii="Times New Roman" w:hAnsi="Times New Roman" w:cs="Times New Roman"/>
                <w:lang w:val="es-ES"/>
              </w:rPr>
              <w:t>NI</w:t>
            </w:r>
          </w:p>
        </w:tc>
        <w:tc>
          <w:tcPr>
            <w:tcW w:w="566" w:type="dxa"/>
          </w:tcPr>
          <w:p w14:paraId="3E458389" w14:textId="77777777" w:rsidR="001027AF" w:rsidRPr="00782BC3" w:rsidRDefault="001027AF" w:rsidP="00E462DD">
            <w:pPr>
              <w:spacing w:after="0" w:line="360" w:lineRule="auto"/>
              <w:contextualSpacing/>
              <w:jc w:val="center"/>
              <w:rPr>
                <w:rFonts w:ascii="Times New Roman" w:hAnsi="Times New Roman" w:cs="Times New Roman"/>
                <w:lang w:val="es-ES"/>
              </w:rPr>
            </w:pPr>
            <w:r w:rsidRPr="00782BC3">
              <w:rPr>
                <w:rFonts w:ascii="Times New Roman" w:hAnsi="Times New Roman" w:cs="Times New Roman"/>
                <w:lang w:val="es-ES"/>
              </w:rPr>
              <w:t>RC</w:t>
            </w:r>
          </w:p>
        </w:tc>
        <w:tc>
          <w:tcPr>
            <w:tcW w:w="566" w:type="dxa"/>
          </w:tcPr>
          <w:p w14:paraId="0BD3F278" w14:textId="77777777" w:rsidR="001027AF" w:rsidRPr="00782BC3" w:rsidRDefault="001027AF" w:rsidP="00E462DD">
            <w:pPr>
              <w:spacing w:after="0" w:line="360" w:lineRule="auto"/>
              <w:contextualSpacing/>
              <w:jc w:val="center"/>
              <w:rPr>
                <w:rFonts w:ascii="Times New Roman" w:hAnsi="Times New Roman" w:cs="Times New Roman"/>
                <w:lang w:val="es-ES"/>
              </w:rPr>
            </w:pPr>
            <w:r w:rsidRPr="00782BC3">
              <w:rPr>
                <w:rFonts w:ascii="Times New Roman" w:hAnsi="Times New Roman" w:cs="Times New Roman"/>
                <w:lang w:val="es-ES"/>
              </w:rPr>
              <w:t>CI</w:t>
            </w:r>
          </w:p>
        </w:tc>
      </w:tr>
      <w:tr w:rsidR="00862D0B" w:rsidRPr="00072E72" w14:paraId="7DC0B42F" w14:textId="77777777" w:rsidTr="00862D0B">
        <w:trPr>
          <w:trHeight w:val="57"/>
          <w:jc w:val="center"/>
        </w:trPr>
        <w:tc>
          <w:tcPr>
            <w:tcW w:w="1671" w:type="dxa"/>
            <w:vMerge w:val="restart"/>
          </w:tcPr>
          <w:p w14:paraId="53A40053" w14:textId="77777777" w:rsidR="00862D0B" w:rsidRPr="00782BC3" w:rsidRDefault="00862D0B" w:rsidP="00E462DD">
            <w:pPr>
              <w:spacing w:after="0" w:line="360" w:lineRule="auto"/>
              <w:contextualSpacing/>
              <w:jc w:val="center"/>
              <w:rPr>
                <w:rFonts w:ascii="Times New Roman" w:hAnsi="Times New Roman" w:cs="Times New Roman"/>
                <w:lang w:val="es-ES"/>
              </w:rPr>
            </w:pPr>
            <w:r w:rsidRPr="00782BC3">
              <w:rPr>
                <w:rFonts w:ascii="Times New Roman" w:hAnsi="Times New Roman" w:cs="Times New Roman"/>
                <w:lang w:val="es-ES"/>
              </w:rPr>
              <w:t>Interpersonales</w:t>
            </w:r>
          </w:p>
        </w:tc>
        <w:tc>
          <w:tcPr>
            <w:tcW w:w="3428" w:type="dxa"/>
          </w:tcPr>
          <w:p w14:paraId="55AD4605" w14:textId="77777777" w:rsidR="00862D0B" w:rsidRPr="00782BC3" w:rsidRDefault="00862D0B" w:rsidP="00E462DD">
            <w:pPr>
              <w:spacing w:after="0" w:line="360" w:lineRule="auto"/>
              <w:contextualSpacing/>
              <w:jc w:val="both"/>
              <w:rPr>
                <w:rFonts w:ascii="Times New Roman" w:hAnsi="Times New Roman" w:cs="Times New Roman"/>
              </w:rPr>
            </w:pPr>
            <w:r w:rsidRPr="00782BC3">
              <w:rPr>
                <w:rFonts w:ascii="Times New Roman" w:hAnsi="Times New Roman" w:cs="Times New Roman"/>
              </w:rPr>
              <w:t>Responsabilidad social y compromiso ciudadano</w:t>
            </w:r>
          </w:p>
        </w:tc>
        <w:tc>
          <w:tcPr>
            <w:tcW w:w="1217" w:type="dxa"/>
          </w:tcPr>
          <w:p w14:paraId="73640DCC"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3.08</w:t>
            </w:r>
          </w:p>
        </w:tc>
        <w:tc>
          <w:tcPr>
            <w:tcW w:w="628" w:type="dxa"/>
          </w:tcPr>
          <w:p w14:paraId="60723F19"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3.36</w:t>
            </w:r>
          </w:p>
        </w:tc>
        <w:tc>
          <w:tcPr>
            <w:tcW w:w="566" w:type="dxa"/>
          </w:tcPr>
          <w:p w14:paraId="19EB82D1"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3.04</w:t>
            </w:r>
          </w:p>
        </w:tc>
        <w:tc>
          <w:tcPr>
            <w:tcW w:w="566" w:type="dxa"/>
          </w:tcPr>
          <w:p w14:paraId="7B065281"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2.95</w:t>
            </w:r>
          </w:p>
        </w:tc>
        <w:tc>
          <w:tcPr>
            <w:tcW w:w="566" w:type="dxa"/>
          </w:tcPr>
          <w:p w14:paraId="3C98231D"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3.31</w:t>
            </w:r>
          </w:p>
        </w:tc>
        <w:tc>
          <w:tcPr>
            <w:tcW w:w="566" w:type="dxa"/>
          </w:tcPr>
          <w:p w14:paraId="3387D9F1"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2.74</w:t>
            </w:r>
          </w:p>
        </w:tc>
      </w:tr>
      <w:tr w:rsidR="00862D0B" w:rsidRPr="00072E72" w14:paraId="72A630F1" w14:textId="77777777" w:rsidTr="00862D0B">
        <w:trPr>
          <w:trHeight w:val="53"/>
          <w:jc w:val="center"/>
        </w:trPr>
        <w:tc>
          <w:tcPr>
            <w:tcW w:w="1671" w:type="dxa"/>
            <w:vMerge/>
          </w:tcPr>
          <w:p w14:paraId="64CD73C5" w14:textId="77777777" w:rsidR="00862D0B" w:rsidRPr="00782BC3" w:rsidRDefault="00862D0B" w:rsidP="00E462DD">
            <w:pPr>
              <w:spacing w:after="0" w:line="360" w:lineRule="auto"/>
              <w:contextualSpacing/>
              <w:jc w:val="center"/>
              <w:rPr>
                <w:rFonts w:ascii="Times New Roman" w:hAnsi="Times New Roman" w:cs="Times New Roman"/>
                <w:lang w:val="es-ES"/>
              </w:rPr>
            </w:pPr>
          </w:p>
        </w:tc>
        <w:tc>
          <w:tcPr>
            <w:tcW w:w="3428" w:type="dxa"/>
          </w:tcPr>
          <w:p w14:paraId="38DF40C8" w14:textId="77777777" w:rsidR="00862D0B" w:rsidRPr="00782BC3" w:rsidRDefault="00862D0B" w:rsidP="00E462DD">
            <w:pPr>
              <w:spacing w:after="0" w:line="360" w:lineRule="auto"/>
              <w:contextualSpacing/>
              <w:jc w:val="both"/>
              <w:rPr>
                <w:rFonts w:ascii="Times New Roman" w:hAnsi="Times New Roman" w:cs="Times New Roman"/>
              </w:rPr>
            </w:pPr>
            <w:r w:rsidRPr="00782BC3">
              <w:rPr>
                <w:rFonts w:ascii="Times New Roman" w:hAnsi="Times New Roman" w:cs="Times New Roman"/>
              </w:rPr>
              <w:t>Capacidad de investigación</w:t>
            </w:r>
          </w:p>
        </w:tc>
        <w:tc>
          <w:tcPr>
            <w:tcW w:w="1217" w:type="dxa"/>
          </w:tcPr>
          <w:p w14:paraId="67C507EE"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3.12</w:t>
            </w:r>
          </w:p>
        </w:tc>
        <w:tc>
          <w:tcPr>
            <w:tcW w:w="628" w:type="dxa"/>
          </w:tcPr>
          <w:p w14:paraId="0CCE160C"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3.19</w:t>
            </w:r>
          </w:p>
        </w:tc>
        <w:tc>
          <w:tcPr>
            <w:tcW w:w="566" w:type="dxa"/>
          </w:tcPr>
          <w:p w14:paraId="59308301"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3.08</w:t>
            </w:r>
          </w:p>
        </w:tc>
        <w:tc>
          <w:tcPr>
            <w:tcW w:w="566" w:type="dxa"/>
          </w:tcPr>
          <w:p w14:paraId="351EA37E"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2.94</w:t>
            </w:r>
          </w:p>
        </w:tc>
        <w:tc>
          <w:tcPr>
            <w:tcW w:w="566" w:type="dxa"/>
          </w:tcPr>
          <w:p w14:paraId="7372E25A"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3.01</w:t>
            </w:r>
          </w:p>
        </w:tc>
        <w:tc>
          <w:tcPr>
            <w:tcW w:w="566" w:type="dxa"/>
          </w:tcPr>
          <w:p w14:paraId="19627EC6"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3.38</w:t>
            </w:r>
          </w:p>
        </w:tc>
      </w:tr>
      <w:tr w:rsidR="00862D0B" w:rsidRPr="00072E72" w14:paraId="2E3A19D3" w14:textId="77777777" w:rsidTr="00862D0B">
        <w:trPr>
          <w:trHeight w:val="53"/>
          <w:jc w:val="center"/>
        </w:trPr>
        <w:tc>
          <w:tcPr>
            <w:tcW w:w="1671" w:type="dxa"/>
            <w:vMerge/>
          </w:tcPr>
          <w:p w14:paraId="6CB08489" w14:textId="77777777" w:rsidR="00862D0B" w:rsidRPr="00782BC3" w:rsidRDefault="00862D0B" w:rsidP="00E462DD">
            <w:pPr>
              <w:spacing w:after="0" w:line="360" w:lineRule="auto"/>
              <w:contextualSpacing/>
              <w:jc w:val="center"/>
              <w:rPr>
                <w:rFonts w:ascii="Times New Roman" w:hAnsi="Times New Roman" w:cs="Times New Roman"/>
                <w:lang w:val="es-ES"/>
              </w:rPr>
            </w:pPr>
          </w:p>
        </w:tc>
        <w:tc>
          <w:tcPr>
            <w:tcW w:w="3428" w:type="dxa"/>
          </w:tcPr>
          <w:p w14:paraId="4AD966B1" w14:textId="052B2602" w:rsidR="00862D0B" w:rsidRPr="00782BC3" w:rsidRDefault="00862D0B" w:rsidP="00E462DD">
            <w:pPr>
              <w:spacing w:after="0" w:line="360" w:lineRule="auto"/>
              <w:contextualSpacing/>
              <w:jc w:val="both"/>
              <w:rPr>
                <w:rFonts w:ascii="Times New Roman" w:hAnsi="Times New Roman" w:cs="Times New Roman"/>
              </w:rPr>
            </w:pPr>
            <w:r w:rsidRPr="00782BC3">
              <w:rPr>
                <w:rFonts w:ascii="Times New Roman" w:hAnsi="Times New Roman" w:cs="Times New Roman"/>
              </w:rPr>
              <w:t>Capacidad de aprender y actualizarse permanentemente</w:t>
            </w:r>
          </w:p>
        </w:tc>
        <w:tc>
          <w:tcPr>
            <w:tcW w:w="1217" w:type="dxa"/>
          </w:tcPr>
          <w:p w14:paraId="114575EF"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2.62</w:t>
            </w:r>
          </w:p>
        </w:tc>
        <w:tc>
          <w:tcPr>
            <w:tcW w:w="628" w:type="dxa"/>
          </w:tcPr>
          <w:p w14:paraId="30CA1F4D"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2.85</w:t>
            </w:r>
          </w:p>
        </w:tc>
        <w:tc>
          <w:tcPr>
            <w:tcW w:w="566" w:type="dxa"/>
          </w:tcPr>
          <w:p w14:paraId="551F9FC4"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2.75</w:t>
            </w:r>
          </w:p>
        </w:tc>
        <w:tc>
          <w:tcPr>
            <w:tcW w:w="566" w:type="dxa"/>
          </w:tcPr>
          <w:p w14:paraId="39411764"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2.36</w:t>
            </w:r>
          </w:p>
        </w:tc>
        <w:tc>
          <w:tcPr>
            <w:tcW w:w="566" w:type="dxa"/>
          </w:tcPr>
          <w:p w14:paraId="112B3478"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2.24</w:t>
            </w:r>
          </w:p>
        </w:tc>
        <w:tc>
          <w:tcPr>
            <w:tcW w:w="566" w:type="dxa"/>
          </w:tcPr>
          <w:p w14:paraId="41888A9A"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2.90</w:t>
            </w:r>
          </w:p>
        </w:tc>
      </w:tr>
      <w:tr w:rsidR="00862D0B" w:rsidRPr="00072E72" w14:paraId="435A593B" w14:textId="77777777" w:rsidTr="00862D0B">
        <w:trPr>
          <w:trHeight w:val="53"/>
          <w:jc w:val="center"/>
        </w:trPr>
        <w:tc>
          <w:tcPr>
            <w:tcW w:w="1671" w:type="dxa"/>
            <w:vMerge/>
          </w:tcPr>
          <w:p w14:paraId="05FD925E" w14:textId="77777777" w:rsidR="00862D0B" w:rsidRPr="00782BC3" w:rsidRDefault="00862D0B" w:rsidP="00E462DD">
            <w:pPr>
              <w:spacing w:after="0" w:line="360" w:lineRule="auto"/>
              <w:contextualSpacing/>
              <w:jc w:val="center"/>
              <w:rPr>
                <w:rFonts w:ascii="Times New Roman" w:hAnsi="Times New Roman" w:cs="Times New Roman"/>
                <w:lang w:val="es-ES"/>
              </w:rPr>
            </w:pPr>
          </w:p>
        </w:tc>
        <w:tc>
          <w:tcPr>
            <w:tcW w:w="3428" w:type="dxa"/>
          </w:tcPr>
          <w:p w14:paraId="6BE4C409" w14:textId="635DE08F" w:rsidR="00862D0B" w:rsidRPr="00782BC3" w:rsidRDefault="00862D0B" w:rsidP="00E462DD">
            <w:pPr>
              <w:spacing w:after="0" w:line="360" w:lineRule="auto"/>
              <w:contextualSpacing/>
              <w:jc w:val="both"/>
              <w:rPr>
                <w:rFonts w:ascii="Times New Roman" w:hAnsi="Times New Roman" w:cs="Times New Roman"/>
              </w:rPr>
            </w:pPr>
            <w:r w:rsidRPr="00782BC3">
              <w:rPr>
                <w:rFonts w:ascii="Times New Roman" w:hAnsi="Times New Roman" w:cs="Times New Roman"/>
              </w:rPr>
              <w:t>Habilidades para buscar, procesar y analizar información procedente de fuentes diversas</w:t>
            </w:r>
          </w:p>
        </w:tc>
        <w:tc>
          <w:tcPr>
            <w:tcW w:w="1217" w:type="dxa"/>
          </w:tcPr>
          <w:p w14:paraId="42418DB2"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3.57</w:t>
            </w:r>
          </w:p>
        </w:tc>
        <w:tc>
          <w:tcPr>
            <w:tcW w:w="628" w:type="dxa"/>
          </w:tcPr>
          <w:p w14:paraId="67E5CC63"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3.64</w:t>
            </w:r>
          </w:p>
        </w:tc>
        <w:tc>
          <w:tcPr>
            <w:tcW w:w="566" w:type="dxa"/>
          </w:tcPr>
          <w:p w14:paraId="75DEF34A"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3.59</w:t>
            </w:r>
          </w:p>
        </w:tc>
        <w:tc>
          <w:tcPr>
            <w:tcW w:w="566" w:type="dxa"/>
          </w:tcPr>
          <w:p w14:paraId="05284B5B"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3.49</w:t>
            </w:r>
          </w:p>
        </w:tc>
        <w:tc>
          <w:tcPr>
            <w:tcW w:w="566" w:type="dxa"/>
          </w:tcPr>
          <w:p w14:paraId="75DFA411"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3.36</w:t>
            </w:r>
          </w:p>
        </w:tc>
        <w:tc>
          <w:tcPr>
            <w:tcW w:w="566" w:type="dxa"/>
          </w:tcPr>
          <w:p w14:paraId="1FA6215B"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3.77</w:t>
            </w:r>
          </w:p>
        </w:tc>
      </w:tr>
      <w:tr w:rsidR="00862D0B" w:rsidRPr="00072E72" w14:paraId="15173B10" w14:textId="77777777" w:rsidTr="00862D0B">
        <w:trPr>
          <w:trHeight w:val="53"/>
          <w:jc w:val="center"/>
        </w:trPr>
        <w:tc>
          <w:tcPr>
            <w:tcW w:w="1671" w:type="dxa"/>
            <w:vMerge/>
          </w:tcPr>
          <w:p w14:paraId="7C1DF69C" w14:textId="77777777" w:rsidR="00862D0B" w:rsidRPr="00782BC3" w:rsidRDefault="00862D0B" w:rsidP="00E462DD">
            <w:pPr>
              <w:spacing w:after="0" w:line="360" w:lineRule="auto"/>
              <w:contextualSpacing/>
              <w:jc w:val="center"/>
              <w:rPr>
                <w:rFonts w:ascii="Times New Roman" w:hAnsi="Times New Roman" w:cs="Times New Roman"/>
                <w:lang w:val="es-ES"/>
              </w:rPr>
            </w:pPr>
          </w:p>
        </w:tc>
        <w:tc>
          <w:tcPr>
            <w:tcW w:w="3428" w:type="dxa"/>
          </w:tcPr>
          <w:p w14:paraId="248AB822" w14:textId="237CB2E1" w:rsidR="00862D0B" w:rsidRPr="00782BC3" w:rsidRDefault="00862D0B" w:rsidP="00E462DD">
            <w:pPr>
              <w:spacing w:after="0" w:line="360" w:lineRule="auto"/>
              <w:contextualSpacing/>
              <w:jc w:val="both"/>
              <w:rPr>
                <w:rFonts w:ascii="Times New Roman" w:hAnsi="Times New Roman" w:cs="Times New Roman"/>
              </w:rPr>
            </w:pPr>
            <w:r w:rsidRPr="00782BC3">
              <w:rPr>
                <w:rFonts w:ascii="Times New Roman" w:hAnsi="Times New Roman" w:cs="Times New Roman"/>
              </w:rPr>
              <w:t>Capacidad para actuar en nuevas situaciones</w:t>
            </w:r>
          </w:p>
        </w:tc>
        <w:tc>
          <w:tcPr>
            <w:tcW w:w="1217" w:type="dxa"/>
          </w:tcPr>
          <w:p w14:paraId="78C6B4C2"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2.31</w:t>
            </w:r>
          </w:p>
        </w:tc>
        <w:tc>
          <w:tcPr>
            <w:tcW w:w="628" w:type="dxa"/>
          </w:tcPr>
          <w:p w14:paraId="7A117075"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2.26</w:t>
            </w:r>
          </w:p>
        </w:tc>
        <w:tc>
          <w:tcPr>
            <w:tcW w:w="566" w:type="dxa"/>
          </w:tcPr>
          <w:p w14:paraId="0A142D9F"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2.25</w:t>
            </w:r>
          </w:p>
        </w:tc>
        <w:tc>
          <w:tcPr>
            <w:tcW w:w="566" w:type="dxa"/>
          </w:tcPr>
          <w:p w14:paraId="4326DCA4"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2.37</w:t>
            </w:r>
          </w:p>
        </w:tc>
        <w:tc>
          <w:tcPr>
            <w:tcW w:w="566" w:type="dxa"/>
          </w:tcPr>
          <w:p w14:paraId="44EB5C0A"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2.22</w:t>
            </w:r>
          </w:p>
        </w:tc>
        <w:tc>
          <w:tcPr>
            <w:tcW w:w="566" w:type="dxa"/>
          </w:tcPr>
          <w:p w14:paraId="1436CB05"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2.45</w:t>
            </w:r>
          </w:p>
        </w:tc>
      </w:tr>
      <w:tr w:rsidR="00862D0B" w:rsidRPr="00072E72" w14:paraId="383BDEEC" w14:textId="77777777" w:rsidTr="00862D0B">
        <w:trPr>
          <w:trHeight w:val="53"/>
          <w:jc w:val="center"/>
        </w:trPr>
        <w:tc>
          <w:tcPr>
            <w:tcW w:w="1671" w:type="dxa"/>
            <w:vMerge/>
          </w:tcPr>
          <w:p w14:paraId="374189CA" w14:textId="77777777" w:rsidR="00862D0B" w:rsidRPr="00782BC3" w:rsidRDefault="00862D0B" w:rsidP="00E462DD">
            <w:pPr>
              <w:spacing w:after="0" w:line="360" w:lineRule="auto"/>
              <w:contextualSpacing/>
              <w:jc w:val="center"/>
              <w:rPr>
                <w:rFonts w:ascii="Times New Roman" w:hAnsi="Times New Roman" w:cs="Times New Roman"/>
                <w:lang w:val="es-ES"/>
              </w:rPr>
            </w:pPr>
          </w:p>
        </w:tc>
        <w:tc>
          <w:tcPr>
            <w:tcW w:w="3428" w:type="dxa"/>
          </w:tcPr>
          <w:p w14:paraId="684FCDF7" w14:textId="77777777" w:rsidR="00862D0B" w:rsidRPr="00782BC3" w:rsidRDefault="00862D0B" w:rsidP="00E462DD">
            <w:pPr>
              <w:spacing w:after="0" w:line="360" w:lineRule="auto"/>
              <w:contextualSpacing/>
              <w:jc w:val="both"/>
              <w:rPr>
                <w:rFonts w:ascii="Times New Roman" w:hAnsi="Times New Roman" w:cs="Times New Roman"/>
                <w:lang w:val="es-ES"/>
              </w:rPr>
            </w:pPr>
            <w:r w:rsidRPr="00782BC3">
              <w:rPr>
                <w:rFonts w:ascii="Times New Roman" w:hAnsi="Times New Roman" w:cs="Times New Roman"/>
              </w:rPr>
              <w:t>Capacidad creativa</w:t>
            </w:r>
          </w:p>
        </w:tc>
        <w:tc>
          <w:tcPr>
            <w:tcW w:w="1217" w:type="dxa"/>
          </w:tcPr>
          <w:p w14:paraId="589D76CA"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2.43</w:t>
            </w:r>
          </w:p>
        </w:tc>
        <w:tc>
          <w:tcPr>
            <w:tcW w:w="628" w:type="dxa"/>
          </w:tcPr>
          <w:p w14:paraId="2BE2F91A"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2.39</w:t>
            </w:r>
          </w:p>
        </w:tc>
        <w:tc>
          <w:tcPr>
            <w:tcW w:w="566" w:type="dxa"/>
          </w:tcPr>
          <w:p w14:paraId="3D7B2C7E"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2.32</w:t>
            </w:r>
          </w:p>
        </w:tc>
        <w:tc>
          <w:tcPr>
            <w:tcW w:w="566" w:type="dxa"/>
          </w:tcPr>
          <w:p w14:paraId="3966B3A4"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2.45</w:t>
            </w:r>
          </w:p>
        </w:tc>
        <w:tc>
          <w:tcPr>
            <w:tcW w:w="566" w:type="dxa"/>
          </w:tcPr>
          <w:p w14:paraId="34067A90"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2.49</w:t>
            </w:r>
          </w:p>
        </w:tc>
        <w:tc>
          <w:tcPr>
            <w:tcW w:w="566" w:type="dxa"/>
          </w:tcPr>
          <w:p w14:paraId="7798B3EF"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2.50</w:t>
            </w:r>
          </w:p>
        </w:tc>
      </w:tr>
      <w:tr w:rsidR="00862D0B" w:rsidRPr="00072E72" w14:paraId="79ABD9EF" w14:textId="77777777" w:rsidTr="00862D0B">
        <w:trPr>
          <w:trHeight w:val="231"/>
          <w:jc w:val="center"/>
        </w:trPr>
        <w:tc>
          <w:tcPr>
            <w:tcW w:w="1671" w:type="dxa"/>
            <w:vMerge/>
          </w:tcPr>
          <w:p w14:paraId="6BE3CA64" w14:textId="77777777" w:rsidR="00862D0B" w:rsidRPr="00782BC3" w:rsidRDefault="00862D0B" w:rsidP="00E462DD">
            <w:pPr>
              <w:spacing w:after="0" w:line="360" w:lineRule="auto"/>
              <w:contextualSpacing/>
              <w:jc w:val="center"/>
              <w:rPr>
                <w:rFonts w:ascii="Times New Roman" w:hAnsi="Times New Roman" w:cs="Times New Roman"/>
                <w:lang w:val="es-ES"/>
              </w:rPr>
            </w:pPr>
          </w:p>
        </w:tc>
        <w:tc>
          <w:tcPr>
            <w:tcW w:w="3428" w:type="dxa"/>
          </w:tcPr>
          <w:p w14:paraId="1CD8432F" w14:textId="01E72EEB" w:rsidR="00862D0B" w:rsidRPr="00782BC3" w:rsidRDefault="00862D0B" w:rsidP="00E462DD">
            <w:pPr>
              <w:spacing w:after="0" w:line="360" w:lineRule="auto"/>
              <w:contextualSpacing/>
              <w:jc w:val="both"/>
              <w:rPr>
                <w:rFonts w:ascii="Times New Roman" w:hAnsi="Times New Roman" w:cs="Times New Roman"/>
                <w:lang w:val="es-ES"/>
              </w:rPr>
            </w:pPr>
            <w:r w:rsidRPr="00782BC3">
              <w:rPr>
                <w:rFonts w:ascii="Times New Roman" w:hAnsi="Times New Roman" w:cs="Times New Roman"/>
              </w:rPr>
              <w:t>Capacidad de motivar y conducir hacia metas comunes</w:t>
            </w:r>
          </w:p>
        </w:tc>
        <w:tc>
          <w:tcPr>
            <w:tcW w:w="1217" w:type="dxa"/>
          </w:tcPr>
          <w:p w14:paraId="2F96286F"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1.59</w:t>
            </w:r>
          </w:p>
        </w:tc>
        <w:tc>
          <w:tcPr>
            <w:tcW w:w="628" w:type="dxa"/>
          </w:tcPr>
          <w:p w14:paraId="2E99F34E"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1.64</w:t>
            </w:r>
          </w:p>
        </w:tc>
        <w:tc>
          <w:tcPr>
            <w:tcW w:w="566" w:type="dxa"/>
          </w:tcPr>
          <w:p w14:paraId="6317CE07"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1.60</w:t>
            </w:r>
          </w:p>
        </w:tc>
        <w:tc>
          <w:tcPr>
            <w:tcW w:w="566" w:type="dxa"/>
          </w:tcPr>
          <w:p w14:paraId="2347C274"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1.57</w:t>
            </w:r>
          </w:p>
        </w:tc>
        <w:tc>
          <w:tcPr>
            <w:tcW w:w="566" w:type="dxa"/>
          </w:tcPr>
          <w:p w14:paraId="12FBA2CD"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1.53</w:t>
            </w:r>
          </w:p>
        </w:tc>
        <w:tc>
          <w:tcPr>
            <w:tcW w:w="566" w:type="dxa"/>
          </w:tcPr>
          <w:p w14:paraId="5AA150F6"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1.61</w:t>
            </w:r>
          </w:p>
        </w:tc>
      </w:tr>
      <w:tr w:rsidR="00862D0B" w:rsidRPr="00072E72" w14:paraId="5DF2C068" w14:textId="77777777" w:rsidTr="00862D0B">
        <w:trPr>
          <w:trHeight w:val="231"/>
          <w:jc w:val="center"/>
        </w:trPr>
        <w:tc>
          <w:tcPr>
            <w:tcW w:w="1671" w:type="dxa"/>
            <w:vMerge/>
          </w:tcPr>
          <w:p w14:paraId="50D4AD98" w14:textId="77777777" w:rsidR="00862D0B" w:rsidRPr="00782BC3" w:rsidRDefault="00862D0B" w:rsidP="00E462DD">
            <w:pPr>
              <w:spacing w:after="0" w:line="360" w:lineRule="auto"/>
              <w:contextualSpacing/>
              <w:jc w:val="center"/>
              <w:rPr>
                <w:rFonts w:ascii="Times New Roman" w:hAnsi="Times New Roman" w:cs="Times New Roman"/>
                <w:lang w:val="es-ES"/>
              </w:rPr>
            </w:pPr>
          </w:p>
        </w:tc>
        <w:tc>
          <w:tcPr>
            <w:tcW w:w="3428" w:type="dxa"/>
          </w:tcPr>
          <w:p w14:paraId="0A147F28" w14:textId="77777777" w:rsidR="00862D0B" w:rsidRPr="00782BC3" w:rsidRDefault="00C4503B" w:rsidP="00E462DD">
            <w:pPr>
              <w:spacing w:after="0" w:line="360" w:lineRule="auto"/>
              <w:contextualSpacing/>
              <w:jc w:val="both"/>
              <w:rPr>
                <w:rFonts w:ascii="Times New Roman" w:hAnsi="Times New Roman" w:cs="Times New Roman"/>
              </w:rPr>
            </w:pPr>
            <w:r w:rsidRPr="00782BC3">
              <w:rPr>
                <w:rFonts w:ascii="Times New Roman" w:hAnsi="Times New Roman" w:cs="Times New Roman"/>
              </w:rPr>
              <w:t>Media global</w:t>
            </w:r>
          </w:p>
        </w:tc>
        <w:tc>
          <w:tcPr>
            <w:tcW w:w="1217" w:type="dxa"/>
          </w:tcPr>
          <w:p w14:paraId="4F5EDA54" w14:textId="77777777" w:rsidR="00862D0B" w:rsidRPr="00782BC3" w:rsidRDefault="00862D0B"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2.67</w:t>
            </w:r>
          </w:p>
        </w:tc>
        <w:tc>
          <w:tcPr>
            <w:tcW w:w="628" w:type="dxa"/>
          </w:tcPr>
          <w:p w14:paraId="04EA9638" w14:textId="77777777" w:rsidR="00862D0B" w:rsidRPr="00782BC3" w:rsidRDefault="009B38FC"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2.76</w:t>
            </w:r>
          </w:p>
        </w:tc>
        <w:tc>
          <w:tcPr>
            <w:tcW w:w="566" w:type="dxa"/>
          </w:tcPr>
          <w:p w14:paraId="3691A3AF" w14:textId="77777777" w:rsidR="00862D0B" w:rsidRPr="00782BC3" w:rsidRDefault="009B38FC"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2.66</w:t>
            </w:r>
          </w:p>
        </w:tc>
        <w:tc>
          <w:tcPr>
            <w:tcW w:w="566" w:type="dxa"/>
          </w:tcPr>
          <w:p w14:paraId="0C41330A" w14:textId="77777777" w:rsidR="00862D0B" w:rsidRPr="00782BC3" w:rsidRDefault="009B38FC"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2.59</w:t>
            </w:r>
          </w:p>
        </w:tc>
        <w:tc>
          <w:tcPr>
            <w:tcW w:w="566" w:type="dxa"/>
          </w:tcPr>
          <w:p w14:paraId="3C4FBE88" w14:textId="77777777" w:rsidR="00862D0B" w:rsidRPr="00782BC3" w:rsidRDefault="009B38FC"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2.59</w:t>
            </w:r>
          </w:p>
        </w:tc>
        <w:tc>
          <w:tcPr>
            <w:tcW w:w="566" w:type="dxa"/>
          </w:tcPr>
          <w:p w14:paraId="5A4D2E36" w14:textId="77777777" w:rsidR="00862D0B" w:rsidRPr="00782BC3" w:rsidRDefault="009B38FC" w:rsidP="00E462DD">
            <w:pPr>
              <w:spacing w:after="0" w:line="360" w:lineRule="auto"/>
              <w:contextualSpacing/>
              <w:jc w:val="center"/>
              <w:rPr>
                <w:rFonts w:ascii="Times New Roman" w:hAnsi="Times New Roman" w:cs="Times New Roman"/>
              </w:rPr>
            </w:pPr>
            <w:r w:rsidRPr="00782BC3">
              <w:rPr>
                <w:rFonts w:ascii="Times New Roman" w:hAnsi="Times New Roman" w:cs="Times New Roman"/>
              </w:rPr>
              <w:t>2.76</w:t>
            </w:r>
          </w:p>
        </w:tc>
      </w:tr>
    </w:tbl>
    <w:p w14:paraId="44CC3A1C" w14:textId="77777777" w:rsidR="00D853BC" w:rsidRPr="00782BC3" w:rsidRDefault="00D853BC" w:rsidP="00E462DD">
      <w:pPr>
        <w:spacing w:after="0" w:line="360" w:lineRule="auto"/>
        <w:jc w:val="center"/>
        <w:rPr>
          <w:rFonts w:ascii="Times New Roman" w:hAnsi="Times New Roman" w:cs="Times New Roman"/>
          <w:szCs w:val="20"/>
        </w:rPr>
      </w:pPr>
      <w:r w:rsidRPr="00782BC3">
        <w:rPr>
          <w:rFonts w:ascii="Times New Roman" w:hAnsi="Times New Roman" w:cs="Times New Roman"/>
          <w:szCs w:val="20"/>
        </w:rPr>
        <w:t xml:space="preserve">Fuente: Elaboración propia </w:t>
      </w:r>
    </w:p>
    <w:p w14:paraId="2708432A" w14:textId="77777777" w:rsidR="00C807A9" w:rsidRDefault="00C807A9" w:rsidP="00E462DD">
      <w:pPr>
        <w:spacing w:after="0" w:line="360" w:lineRule="auto"/>
        <w:jc w:val="both"/>
        <w:rPr>
          <w:rFonts w:ascii="Times New Roman" w:hAnsi="Times New Roman" w:cs="Times New Roman"/>
          <w:lang w:val="es-ES"/>
        </w:rPr>
      </w:pPr>
    </w:p>
    <w:p w14:paraId="69DE2653" w14:textId="741B2418" w:rsidR="001C6B40" w:rsidRDefault="009B38FC" w:rsidP="00782BC3">
      <w:pPr>
        <w:spacing w:after="0" w:line="360" w:lineRule="auto"/>
        <w:ind w:firstLine="708"/>
        <w:jc w:val="both"/>
        <w:rPr>
          <w:rFonts w:ascii="Times New Roman" w:hAnsi="Times New Roman" w:cs="Times New Roman"/>
          <w:lang w:val="es-ES"/>
        </w:rPr>
      </w:pPr>
      <w:r w:rsidRPr="00152F2D">
        <w:rPr>
          <w:rFonts w:ascii="Times New Roman" w:hAnsi="Times New Roman" w:cs="Times New Roman"/>
          <w:lang w:val="es-ES"/>
        </w:rPr>
        <w:lastRenderedPageBreak/>
        <w:t xml:space="preserve">Para el segundo grupo de competencias genéricas, se encontró que su nivel de formación está </w:t>
      </w:r>
      <w:r w:rsidR="00FE50D1">
        <w:rPr>
          <w:rFonts w:ascii="Times New Roman" w:hAnsi="Times New Roman" w:cs="Times New Roman"/>
          <w:lang w:val="es-ES"/>
        </w:rPr>
        <w:t>considerado entre</w:t>
      </w:r>
      <w:r w:rsidRPr="00152F2D">
        <w:rPr>
          <w:rFonts w:ascii="Times New Roman" w:hAnsi="Times New Roman" w:cs="Times New Roman"/>
          <w:lang w:val="es-ES"/>
        </w:rPr>
        <w:t xml:space="preserve"> insuficiente </w:t>
      </w:r>
      <w:r w:rsidR="00FE50D1">
        <w:rPr>
          <w:rFonts w:ascii="Times New Roman" w:hAnsi="Times New Roman" w:cs="Times New Roman"/>
          <w:lang w:val="es-ES"/>
        </w:rPr>
        <w:t>y</w:t>
      </w:r>
      <w:r w:rsidRPr="00152F2D">
        <w:rPr>
          <w:rFonts w:ascii="Times New Roman" w:hAnsi="Times New Roman" w:cs="Times New Roman"/>
          <w:lang w:val="es-ES"/>
        </w:rPr>
        <w:t xml:space="preserve"> consolidado. La menos desarrollada es la capacidad de motivar y conducir hacia metas comunes, mientras que las más desarrolladas son las habilidades para buscar, procesar y analizar información, la capacidad de investigación y la responsabilidad social y compromiso ciudadano</w:t>
      </w:r>
      <w:r w:rsidR="000F3C66" w:rsidRPr="00152F2D">
        <w:rPr>
          <w:rFonts w:ascii="Times New Roman" w:hAnsi="Times New Roman" w:cs="Times New Roman"/>
          <w:lang w:val="es-ES"/>
        </w:rPr>
        <w:t>.</w:t>
      </w:r>
      <w:r w:rsidR="00FE2040" w:rsidRPr="00152F2D">
        <w:rPr>
          <w:rFonts w:ascii="Times New Roman" w:hAnsi="Times New Roman" w:cs="Times New Roman"/>
          <w:lang w:val="es-ES"/>
        </w:rPr>
        <w:t xml:space="preserve"> </w:t>
      </w:r>
      <w:r w:rsidR="000F3C66" w:rsidRPr="00152F2D">
        <w:rPr>
          <w:rFonts w:ascii="Times New Roman" w:hAnsi="Times New Roman" w:cs="Times New Roman"/>
          <w:lang w:val="es-ES"/>
        </w:rPr>
        <w:t>En términos globales, se determinó una media de 2.67</w:t>
      </w:r>
      <w:r w:rsidR="00FE50D1">
        <w:rPr>
          <w:rFonts w:ascii="Times New Roman" w:hAnsi="Times New Roman" w:cs="Times New Roman"/>
          <w:lang w:val="es-ES"/>
        </w:rPr>
        <w:t>,</w:t>
      </w:r>
      <w:r w:rsidR="000F3C66" w:rsidRPr="00152F2D">
        <w:rPr>
          <w:rFonts w:ascii="Times New Roman" w:hAnsi="Times New Roman" w:cs="Times New Roman"/>
          <w:lang w:val="es-ES"/>
        </w:rPr>
        <w:t xml:space="preserve"> </w:t>
      </w:r>
      <w:r w:rsidR="00377BD2">
        <w:rPr>
          <w:rFonts w:ascii="Times New Roman" w:hAnsi="Times New Roman" w:cs="Times New Roman"/>
          <w:lang w:val="es-ES"/>
        </w:rPr>
        <w:t xml:space="preserve">lo </w:t>
      </w:r>
      <w:r w:rsidR="000F3C66" w:rsidRPr="00152F2D">
        <w:rPr>
          <w:rFonts w:ascii="Times New Roman" w:hAnsi="Times New Roman" w:cs="Times New Roman"/>
          <w:lang w:val="es-ES"/>
        </w:rPr>
        <w:t>que significa un nivel de desarrollo moderado</w:t>
      </w:r>
      <w:r w:rsidR="00960656" w:rsidRPr="00152F2D">
        <w:rPr>
          <w:rFonts w:ascii="Times New Roman" w:hAnsi="Times New Roman" w:cs="Times New Roman"/>
          <w:lang w:val="es-ES"/>
        </w:rPr>
        <w:t xml:space="preserve"> con fundamento en la escala de evaluación</w:t>
      </w:r>
      <w:r w:rsidR="00377BD2">
        <w:rPr>
          <w:rFonts w:ascii="Times New Roman" w:hAnsi="Times New Roman" w:cs="Times New Roman"/>
          <w:lang w:val="es-ES"/>
        </w:rPr>
        <w:t>.</w:t>
      </w:r>
      <w:r w:rsidR="000F3C66" w:rsidRPr="00152F2D">
        <w:rPr>
          <w:rFonts w:ascii="Times New Roman" w:hAnsi="Times New Roman" w:cs="Times New Roman"/>
          <w:lang w:val="es-ES"/>
        </w:rPr>
        <w:t xml:space="preserve"> </w:t>
      </w:r>
      <w:r w:rsidR="00377BD2">
        <w:rPr>
          <w:rFonts w:ascii="Times New Roman" w:hAnsi="Times New Roman" w:cs="Times New Roman"/>
          <w:lang w:val="es-ES"/>
        </w:rPr>
        <w:t>Y l</w:t>
      </w:r>
      <w:r w:rsidR="00377BD2" w:rsidRPr="00152F2D">
        <w:rPr>
          <w:rFonts w:ascii="Times New Roman" w:hAnsi="Times New Roman" w:cs="Times New Roman"/>
          <w:lang w:val="es-ES"/>
        </w:rPr>
        <w:t xml:space="preserve">as </w:t>
      </w:r>
      <w:r w:rsidR="000F3C66" w:rsidRPr="00152F2D">
        <w:rPr>
          <w:rFonts w:ascii="Times New Roman" w:hAnsi="Times New Roman" w:cs="Times New Roman"/>
          <w:lang w:val="es-ES"/>
        </w:rPr>
        <w:t xml:space="preserve">licenciaturas </w:t>
      </w:r>
      <w:r w:rsidR="00914907">
        <w:rPr>
          <w:rFonts w:ascii="Times New Roman" w:hAnsi="Times New Roman" w:cs="Times New Roman"/>
          <w:lang w:val="es-ES"/>
        </w:rPr>
        <w:t>en</w:t>
      </w:r>
      <w:r w:rsidR="00914907" w:rsidRPr="00152F2D">
        <w:rPr>
          <w:rFonts w:ascii="Times New Roman" w:hAnsi="Times New Roman" w:cs="Times New Roman"/>
          <w:lang w:val="es-ES"/>
        </w:rPr>
        <w:t xml:space="preserve"> </w:t>
      </w:r>
      <w:r w:rsidR="000F3C66" w:rsidRPr="00152F2D">
        <w:rPr>
          <w:rFonts w:ascii="Times New Roman" w:hAnsi="Times New Roman" w:cs="Times New Roman"/>
          <w:lang w:val="es-ES"/>
        </w:rPr>
        <w:t xml:space="preserve">ADE y CI fueron las de mayor puntaje; en tanto las licenciaturas </w:t>
      </w:r>
      <w:r w:rsidR="00914907">
        <w:rPr>
          <w:rFonts w:ascii="Times New Roman" w:hAnsi="Times New Roman" w:cs="Times New Roman"/>
          <w:lang w:val="es-ES"/>
        </w:rPr>
        <w:t>en</w:t>
      </w:r>
      <w:r w:rsidR="00914907" w:rsidRPr="00152F2D">
        <w:rPr>
          <w:rFonts w:ascii="Times New Roman" w:hAnsi="Times New Roman" w:cs="Times New Roman"/>
          <w:lang w:val="es-ES"/>
        </w:rPr>
        <w:t xml:space="preserve"> </w:t>
      </w:r>
      <w:r w:rsidR="000F3C66" w:rsidRPr="00152F2D">
        <w:rPr>
          <w:rFonts w:ascii="Times New Roman" w:hAnsi="Times New Roman" w:cs="Times New Roman"/>
          <w:lang w:val="es-ES"/>
        </w:rPr>
        <w:t xml:space="preserve">NI y RC fueron las de menor puntaje. </w:t>
      </w:r>
      <w:r w:rsidR="00960656" w:rsidRPr="00152F2D">
        <w:rPr>
          <w:rFonts w:ascii="Times New Roman" w:hAnsi="Times New Roman" w:cs="Times New Roman"/>
          <w:lang w:val="es-ES"/>
        </w:rPr>
        <w:t>En cuanto al tercer grupo</w:t>
      </w:r>
      <w:r w:rsidR="00D853BC" w:rsidRPr="00152F2D">
        <w:rPr>
          <w:rFonts w:ascii="Times New Roman" w:hAnsi="Times New Roman" w:cs="Times New Roman"/>
          <w:lang w:val="es-ES"/>
        </w:rPr>
        <w:t xml:space="preserve"> de competencias genéricas, los resultados se </w:t>
      </w:r>
      <w:r w:rsidR="00CF7F1C">
        <w:rPr>
          <w:rFonts w:ascii="Times New Roman" w:hAnsi="Times New Roman" w:cs="Times New Roman"/>
          <w:lang w:val="es-ES"/>
        </w:rPr>
        <w:t>visualizan</w:t>
      </w:r>
      <w:r w:rsidR="00CF7F1C" w:rsidRPr="00152F2D">
        <w:rPr>
          <w:rFonts w:ascii="Times New Roman" w:hAnsi="Times New Roman" w:cs="Times New Roman"/>
          <w:lang w:val="es-ES"/>
        </w:rPr>
        <w:t xml:space="preserve"> </w:t>
      </w:r>
      <w:r w:rsidR="005200B9" w:rsidRPr="00152F2D">
        <w:rPr>
          <w:rFonts w:ascii="Times New Roman" w:hAnsi="Times New Roman" w:cs="Times New Roman"/>
          <w:lang w:val="es-ES"/>
        </w:rPr>
        <w:t>en la tabla 4</w:t>
      </w:r>
      <w:r w:rsidR="00D853BC" w:rsidRPr="00152F2D">
        <w:rPr>
          <w:rFonts w:ascii="Times New Roman" w:hAnsi="Times New Roman" w:cs="Times New Roman"/>
          <w:lang w:val="es-ES"/>
        </w:rPr>
        <w:t xml:space="preserve">. </w:t>
      </w:r>
    </w:p>
    <w:p w14:paraId="02026506" w14:textId="77777777" w:rsidR="00C807A9" w:rsidRPr="00152F2D" w:rsidRDefault="00C807A9" w:rsidP="00E462DD">
      <w:pPr>
        <w:spacing w:after="0" w:line="360" w:lineRule="auto"/>
        <w:jc w:val="both"/>
        <w:rPr>
          <w:rFonts w:ascii="Times New Roman" w:hAnsi="Times New Roman" w:cs="Times New Roman"/>
          <w:lang w:val="es-ES"/>
        </w:rPr>
      </w:pPr>
    </w:p>
    <w:p w14:paraId="0A713C69" w14:textId="77777777" w:rsidR="00D853BC" w:rsidRPr="00782BC3" w:rsidRDefault="005200B9" w:rsidP="00E462DD">
      <w:pPr>
        <w:spacing w:after="0" w:line="360" w:lineRule="auto"/>
        <w:jc w:val="center"/>
        <w:rPr>
          <w:rFonts w:ascii="Times New Roman" w:hAnsi="Times New Roman" w:cs="Times New Roman"/>
          <w:szCs w:val="20"/>
        </w:rPr>
      </w:pPr>
      <w:r w:rsidRPr="00782BC3">
        <w:rPr>
          <w:rFonts w:ascii="Times New Roman" w:hAnsi="Times New Roman" w:cs="Times New Roman"/>
          <w:b/>
          <w:szCs w:val="20"/>
        </w:rPr>
        <w:t>Tabla 4</w:t>
      </w:r>
      <w:r w:rsidR="00D853BC" w:rsidRPr="00782BC3">
        <w:rPr>
          <w:rFonts w:ascii="Times New Roman" w:hAnsi="Times New Roman" w:cs="Times New Roman"/>
          <w:szCs w:val="20"/>
        </w:rPr>
        <w:t>. Competen</w:t>
      </w:r>
      <w:r w:rsidR="00810308" w:rsidRPr="00782BC3">
        <w:rPr>
          <w:rFonts w:ascii="Times New Roman" w:hAnsi="Times New Roman" w:cs="Times New Roman"/>
          <w:szCs w:val="20"/>
        </w:rPr>
        <w:t>cias sistémicas del estudiantado</w:t>
      </w:r>
    </w:p>
    <w:tbl>
      <w:tblPr>
        <w:tblStyle w:val="Tablaconcuadrcula"/>
        <w:tblW w:w="8926" w:type="dxa"/>
        <w:tblLayout w:type="fixed"/>
        <w:tblLook w:val="04A0" w:firstRow="1" w:lastRow="0" w:firstColumn="1" w:lastColumn="0" w:noHBand="0" w:noVBand="1"/>
      </w:tblPr>
      <w:tblGrid>
        <w:gridCol w:w="1676"/>
        <w:gridCol w:w="3422"/>
        <w:gridCol w:w="851"/>
        <w:gridCol w:w="709"/>
        <w:gridCol w:w="567"/>
        <w:gridCol w:w="567"/>
        <w:gridCol w:w="567"/>
        <w:gridCol w:w="567"/>
      </w:tblGrid>
      <w:tr w:rsidR="0012081C" w:rsidRPr="008A20AE" w14:paraId="0B68F467" w14:textId="77777777" w:rsidTr="00A96BDC">
        <w:trPr>
          <w:trHeight w:val="247"/>
        </w:trPr>
        <w:tc>
          <w:tcPr>
            <w:tcW w:w="1676" w:type="dxa"/>
            <w:vMerge w:val="restart"/>
          </w:tcPr>
          <w:p w14:paraId="35273E18" w14:textId="5044A86D" w:rsidR="0012081C" w:rsidRPr="008A20AE" w:rsidRDefault="00127D7F" w:rsidP="008A20AE">
            <w:pPr>
              <w:spacing w:after="0" w:line="276" w:lineRule="auto"/>
              <w:contextualSpacing/>
              <w:jc w:val="center"/>
              <w:rPr>
                <w:rFonts w:ascii="Times New Roman" w:hAnsi="Times New Roman" w:cs="Times New Roman"/>
                <w:b/>
                <w:sz w:val="22"/>
                <w:lang w:val="es-ES"/>
              </w:rPr>
            </w:pPr>
            <w:r w:rsidRPr="008A20AE">
              <w:rPr>
                <w:rFonts w:ascii="Times New Roman" w:hAnsi="Times New Roman" w:cs="Times New Roman"/>
                <w:b/>
                <w:sz w:val="22"/>
                <w:lang w:val="es-ES"/>
              </w:rPr>
              <w:t>Competencia genérica</w:t>
            </w:r>
          </w:p>
        </w:tc>
        <w:tc>
          <w:tcPr>
            <w:tcW w:w="3422" w:type="dxa"/>
            <w:vMerge w:val="restart"/>
          </w:tcPr>
          <w:p w14:paraId="3D85F02B" w14:textId="791E6DA9" w:rsidR="0012081C" w:rsidRPr="008A20AE" w:rsidRDefault="00127D7F" w:rsidP="008A20AE">
            <w:pPr>
              <w:spacing w:after="0" w:line="276" w:lineRule="auto"/>
              <w:contextualSpacing/>
              <w:jc w:val="center"/>
              <w:rPr>
                <w:rFonts w:ascii="Times New Roman" w:hAnsi="Times New Roman" w:cs="Times New Roman"/>
                <w:b/>
                <w:sz w:val="22"/>
              </w:rPr>
            </w:pPr>
            <w:r w:rsidRPr="008A20AE">
              <w:rPr>
                <w:rFonts w:ascii="Times New Roman" w:hAnsi="Times New Roman" w:cs="Times New Roman"/>
                <w:b/>
                <w:sz w:val="22"/>
                <w:lang w:val="es-ES"/>
              </w:rPr>
              <w:t>Dimensiones</w:t>
            </w:r>
          </w:p>
        </w:tc>
        <w:tc>
          <w:tcPr>
            <w:tcW w:w="3828" w:type="dxa"/>
            <w:gridSpan w:val="6"/>
          </w:tcPr>
          <w:p w14:paraId="565B661B" w14:textId="070CC5F5" w:rsidR="0012081C" w:rsidRPr="008A20AE" w:rsidRDefault="00127D7F" w:rsidP="008A20AE">
            <w:pPr>
              <w:spacing w:after="0" w:line="276" w:lineRule="auto"/>
              <w:contextualSpacing/>
              <w:jc w:val="center"/>
              <w:rPr>
                <w:rFonts w:ascii="Times New Roman" w:hAnsi="Times New Roman" w:cs="Times New Roman"/>
                <w:b/>
                <w:sz w:val="22"/>
                <w:lang w:val="es-ES"/>
              </w:rPr>
            </w:pPr>
            <w:r w:rsidRPr="008A20AE">
              <w:rPr>
                <w:rFonts w:ascii="Times New Roman" w:hAnsi="Times New Roman" w:cs="Times New Roman"/>
                <w:b/>
                <w:sz w:val="22"/>
                <w:lang w:val="es-ES"/>
              </w:rPr>
              <w:t xml:space="preserve">Media </w:t>
            </w:r>
          </w:p>
        </w:tc>
      </w:tr>
      <w:tr w:rsidR="0012081C" w:rsidRPr="008A20AE" w14:paraId="223FD97D" w14:textId="77777777" w:rsidTr="00A96BDC">
        <w:trPr>
          <w:trHeight w:val="246"/>
        </w:trPr>
        <w:tc>
          <w:tcPr>
            <w:tcW w:w="1676" w:type="dxa"/>
            <w:vMerge/>
          </w:tcPr>
          <w:p w14:paraId="5474B7AF" w14:textId="77777777" w:rsidR="0012081C" w:rsidRPr="008A20AE" w:rsidRDefault="0012081C" w:rsidP="008A20AE">
            <w:pPr>
              <w:spacing w:after="0" w:line="276" w:lineRule="auto"/>
              <w:contextualSpacing/>
              <w:jc w:val="center"/>
              <w:rPr>
                <w:rFonts w:ascii="Times New Roman" w:hAnsi="Times New Roman" w:cs="Times New Roman"/>
                <w:sz w:val="22"/>
                <w:lang w:val="es-ES"/>
              </w:rPr>
            </w:pPr>
          </w:p>
        </w:tc>
        <w:tc>
          <w:tcPr>
            <w:tcW w:w="3422" w:type="dxa"/>
            <w:vMerge/>
          </w:tcPr>
          <w:p w14:paraId="1CB78B1E" w14:textId="77777777" w:rsidR="0012081C" w:rsidRPr="008A20AE" w:rsidRDefault="0012081C" w:rsidP="008A20AE">
            <w:pPr>
              <w:spacing w:after="0" w:line="276" w:lineRule="auto"/>
              <w:contextualSpacing/>
              <w:jc w:val="center"/>
              <w:rPr>
                <w:rFonts w:ascii="Times New Roman" w:hAnsi="Times New Roman" w:cs="Times New Roman"/>
                <w:sz w:val="22"/>
                <w:lang w:val="es-ES"/>
              </w:rPr>
            </w:pPr>
          </w:p>
        </w:tc>
        <w:tc>
          <w:tcPr>
            <w:tcW w:w="851" w:type="dxa"/>
          </w:tcPr>
          <w:p w14:paraId="4860CFDF" w14:textId="77777777" w:rsidR="0012081C" w:rsidRPr="00C84726" w:rsidRDefault="0012081C" w:rsidP="008A20AE">
            <w:pPr>
              <w:spacing w:after="0" w:line="276" w:lineRule="auto"/>
              <w:contextualSpacing/>
              <w:jc w:val="center"/>
              <w:rPr>
                <w:rFonts w:ascii="Times New Roman" w:hAnsi="Times New Roman" w:cs="Times New Roman"/>
                <w:sz w:val="20"/>
                <w:szCs w:val="20"/>
                <w:lang w:val="es-ES"/>
              </w:rPr>
            </w:pPr>
            <w:r w:rsidRPr="00C84726">
              <w:rPr>
                <w:rFonts w:ascii="Times New Roman" w:hAnsi="Times New Roman" w:cs="Times New Roman"/>
                <w:sz w:val="20"/>
                <w:szCs w:val="20"/>
                <w:lang w:val="es-ES"/>
              </w:rPr>
              <w:t>General</w:t>
            </w:r>
          </w:p>
        </w:tc>
        <w:tc>
          <w:tcPr>
            <w:tcW w:w="709" w:type="dxa"/>
          </w:tcPr>
          <w:p w14:paraId="45136CE9" w14:textId="77777777" w:rsidR="0012081C" w:rsidRPr="00C84726" w:rsidRDefault="0012081C" w:rsidP="008A20AE">
            <w:pPr>
              <w:spacing w:after="0" w:line="276" w:lineRule="auto"/>
              <w:contextualSpacing/>
              <w:jc w:val="center"/>
              <w:rPr>
                <w:rFonts w:ascii="Times New Roman" w:hAnsi="Times New Roman" w:cs="Times New Roman"/>
                <w:sz w:val="20"/>
                <w:szCs w:val="20"/>
                <w:lang w:val="es-ES"/>
              </w:rPr>
            </w:pPr>
            <w:r w:rsidRPr="00C84726">
              <w:rPr>
                <w:rFonts w:ascii="Times New Roman" w:hAnsi="Times New Roman" w:cs="Times New Roman"/>
                <w:sz w:val="20"/>
                <w:szCs w:val="20"/>
                <w:lang w:val="es-ES"/>
              </w:rPr>
              <w:t>ADE</w:t>
            </w:r>
          </w:p>
        </w:tc>
        <w:tc>
          <w:tcPr>
            <w:tcW w:w="567" w:type="dxa"/>
          </w:tcPr>
          <w:p w14:paraId="15460AC0" w14:textId="77777777" w:rsidR="0012081C" w:rsidRPr="00C84726" w:rsidRDefault="0012081C" w:rsidP="008A20AE">
            <w:pPr>
              <w:spacing w:after="0" w:line="276" w:lineRule="auto"/>
              <w:contextualSpacing/>
              <w:jc w:val="center"/>
              <w:rPr>
                <w:rFonts w:ascii="Times New Roman" w:hAnsi="Times New Roman" w:cs="Times New Roman"/>
                <w:sz w:val="20"/>
                <w:szCs w:val="20"/>
                <w:lang w:val="es-ES"/>
              </w:rPr>
            </w:pPr>
            <w:r w:rsidRPr="00C84726">
              <w:rPr>
                <w:rFonts w:ascii="Times New Roman" w:hAnsi="Times New Roman" w:cs="Times New Roman"/>
                <w:sz w:val="20"/>
                <w:szCs w:val="20"/>
                <w:lang w:val="es-ES"/>
              </w:rPr>
              <w:t>CP</w:t>
            </w:r>
          </w:p>
        </w:tc>
        <w:tc>
          <w:tcPr>
            <w:tcW w:w="567" w:type="dxa"/>
          </w:tcPr>
          <w:p w14:paraId="3B173500" w14:textId="77777777" w:rsidR="0012081C" w:rsidRPr="00C84726" w:rsidRDefault="0012081C" w:rsidP="008A20AE">
            <w:pPr>
              <w:spacing w:after="0" w:line="276" w:lineRule="auto"/>
              <w:contextualSpacing/>
              <w:jc w:val="center"/>
              <w:rPr>
                <w:rFonts w:ascii="Times New Roman" w:hAnsi="Times New Roman" w:cs="Times New Roman"/>
                <w:sz w:val="20"/>
                <w:szCs w:val="20"/>
                <w:lang w:val="es-ES"/>
              </w:rPr>
            </w:pPr>
            <w:r w:rsidRPr="00C84726">
              <w:rPr>
                <w:rFonts w:ascii="Times New Roman" w:hAnsi="Times New Roman" w:cs="Times New Roman"/>
                <w:sz w:val="20"/>
                <w:szCs w:val="20"/>
                <w:lang w:val="es-ES"/>
              </w:rPr>
              <w:t>NI</w:t>
            </w:r>
          </w:p>
        </w:tc>
        <w:tc>
          <w:tcPr>
            <w:tcW w:w="567" w:type="dxa"/>
          </w:tcPr>
          <w:p w14:paraId="04592542" w14:textId="77777777" w:rsidR="0012081C" w:rsidRPr="00C84726" w:rsidRDefault="0012081C" w:rsidP="008A20AE">
            <w:pPr>
              <w:spacing w:after="0" w:line="276" w:lineRule="auto"/>
              <w:contextualSpacing/>
              <w:jc w:val="center"/>
              <w:rPr>
                <w:rFonts w:ascii="Times New Roman" w:hAnsi="Times New Roman" w:cs="Times New Roman"/>
                <w:sz w:val="20"/>
                <w:szCs w:val="20"/>
                <w:lang w:val="es-ES"/>
              </w:rPr>
            </w:pPr>
            <w:r w:rsidRPr="00C84726">
              <w:rPr>
                <w:rFonts w:ascii="Times New Roman" w:hAnsi="Times New Roman" w:cs="Times New Roman"/>
                <w:sz w:val="20"/>
                <w:szCs w:val="20"/>
                <w:lang w:val="es-ES"/>
              </w:rPr>
              <w:t>RC</w:t>
            </w:r>
          </w:p>
        </w:tc>
        <w:tc>
          <w:tcPr>
            <w:tcW w:w="567" w:type="dxa"/>
          </w:tcPr>
          <w:p w14:paraId="6AF709CC" w14:textId="77777777" w:rsidR="0012081C" w:rsidRPr="00C84726" w:rsidRDefault="0012081C" w:rsidP="008A20AE">
            <w:pPr>
              <w:spacing w:after="0" w:line="276" w:lineRule="auto"/>
              <w:contextualSpacing/>
              <w:jc w:val="center"/>
              <w:rPr>
                <w:rFonts w:ascii="Times New Roman" w:hAnsi="Times New Roman" w:cs="Times New Roman"/>
                <w:sz w:val="20"/>
                <w:szCs w:val="20"/>
                <w:lang w:val="es-ES"/>
              </w:rPr>
            </w:pPr>
            <w:r w:rsidRPr="00C84726">
              <w:rPr>
                <w:rFonts w:ascii="Times New Roman" w:hAnsi="Times New Roman" w:cs="Times New Roman"/>
                <w:sz w:val="20"/>
                <w:szCs w:val="20"/>
                <w:lang w:val="es-ES"/>
              </w:rPr>
              <w:t>CI</w:t>
            </w:r>
          </w:p>
        </w:tc>
      </w:tr>
      <w:tr w:rsidR="00FE79C7" w:rsidRPr="008A20AE" w14:paraId="6B7B0065" w14:textId="77777777" w:rsidTr="00A96BDC">
        <w:trPr>
          <w:trHeight w:val="37"/>
        </w:trPr>
        <w:tc>
          <w:tcPr>
            <w:tcW w:w="1676" w:type="dxa"/>
            <w:vMerge w:val="restart"/>
          </w:tcPr>
          <w:p w14:paraId="068745FD" w14:textId="77777777" w:rsidR="00FE79C7" w:rsidRPr="008A20AE" w:rsidRDefault="00FE79C7" w:rsidP="008A20AE">
            <w:pPr>
              <w:spacing w:after="0" w:line="276" w:lineRule="auto"/>
              <w:contextualSpacing/>
              <w:jc w:val="center"/>
              <w:rPr>
                <w:rFonts w:ascii="Times New Roman" w:hAnsi="Times New Roman" w:cs="Times New Roman"/>
                <w:sz w:val="22"/>
                <w:lang w:val="es-ES"/>
              </w:rPr>
            </w:pPr>
            <w:r w:rsidRPr="008A20AE">
              <w:rPr>
                <w:rFonts w:ascii="Times New Roman" w:hAnsi="Times New Roman" w:cs="Times New Roman"/>
                <w:sz w:val="22"/>
                <w:lang w:val="es-ES"/>
              </w:rPr>
              <w:t>Sistémicas</w:t>
            </w:r>
          </w:p>
        </w:tc>
        <w:tc>
          <w:tcPr>
            <w:tcW w:w="3422" w:type="dxa"/>
          </w:tcPr>
          <w:p w14:paraId="0E94A985" w14:textId="74FE333D"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Compromiso con la preservación del medio ambiente</w:t>
            </w:r>
          </w:p>
        </w:tc>
        <w:tc>
          <w:tcPr>
            <w:tcW w:w="851" w:type="dxa"/>
          </w:tcPr>
          <w:p w14:paraId="7838060A"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3.22</w:t>
            </w:r>
          </w:p>
        </w:tc>
        <w:tc>
          <w:tcPr>
            <w:tcW w:w="709" w:type="dxa"/>
          </w:tcPr>
          <w:p w14:paraId="184CACB7"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3.41</w:t>
            </w:r>
          </w:p>
        </w:tc>
        <w:tc>
          <w:tcPr>
            <w:tcW w:w="567" w:type="dxa"/>
          </w:tcPr>
          <w:p w14:paraId="508A9E5A"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3.17</w:t>
            </w:r>
          </w:p>
        </w:tc>
        <w:tc>
          <w:tcPr>
            <w:tcW w:w="567" w:type="dxa"/>
          </w:tcPr>
          <w:p w14:paraId="70E9D389"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3.14</w:t>
            </w:r>
          </w:p>
        </w:tc>
        <w:tc>
          <w:tcPr>
            <w:tcW w:w="567" w:type="dxa"/>
          </w:tcPr>
          <w:p w14:paraId="55651DBD"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3.09</w:t>
            </w:r>
          </w:p>
        </w:tc>
        <w:tc>
          <w:tcPr>
            <w:tcW w:w="567" w:type="dxa"/>
          </w:tcPr>
          <w:p w14:paraId="2332B5F3"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3.29</w:t>
            </w:r>
          </w:p>
        </w:tc>
      </w:tr>
      <w:tr w:rsidR="00FE79C7" w:rsidRPr="008A20AE" w14:paraId="6AB6AB61" w14:textId="77777777" w:rsidTr="00A96BDC">
        <w:trPr>
          <w:trHeight w:val="26"/>
        </w:trPr>
        <w:tc>
          <w:tcPr>
            <w:tcW w:w="1676" w:type="dxa"/>
            <w:vMerge/>
          </w:tcPr>
          <w:p w14:paraId="68CB09B7" w14:textId="77777777" w:rsidR="00FE79C7" w:rsidRPr="008A20AE" w:rsidRDefault="00FE79C7" w:rsidP="008A20AE">
            <w:pPr>
              <w:spacing w:after="0" w:line="276" w:lineRule="auto"/>
              <w:contextualSpacing/>
              <w:jc w:val="both"/>
              <w:rPr>
                <w:rFonts w:ascii="Times New Roman" w:hAnsi="Times New Roman" w:cs="Times New Roman"/>
                <w:sz w:val="22"/>
                <w:lang w:val="es-ES"/>
              </w:rPr>
            </w:pPr>
          </w:p>
        </w:tc>
        <w:tc>
          <w:tcPr>
            <w:tcW w:w="3422" w:type="dxa"/>
          </w:tcPr>
          <w:p w14:paraId="5040A864" w14:textId="57009C9A"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Compromiso con su medio sociocultural</w:t>
            </w:r>
          </w:p>
        </w:tc>
        <w:tc>
          <w:tcPr>
            <w:tcW w:w="851" w:type="dxa"/>
          </w:tcPr>
          <w:p w14:paraId="5B88E848"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3.06</w:t>
            </w:r>
          </w:p>
        </w:tc>
        <w:tc>
          <w:tcPr>
            <w:tcW w:w="709" w:type="dxa"/>
          </w:tcPr>
          <w:p w14:paraId="2E43F7D6"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3.21</w:t>
            </w:r>
          </w:p>
        </w:tc>
        <w:tc>
          <w:tcPr>
            <w:tcW w:w="567" w:type="dxa"/>
          </w:tcPr>
          <w:p w14:paraId="008792E1"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3.14</w:t>
            </w:r>
          </w:p>
        </w:tc>
        <w:tc>
          <w:tcPr>
            <w:tcW w:w="567" w:type="dxa"/>
          </w:tcPr>
          <w:p w14:paraId="6C1A75D0"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3.05</w:t>
            </w:r>
          </w:p>
        </w:tc>
        <w:tc>
          <w:tcPr>
            <w:tcW w:w="567" w:type="dxa"/>
          </w:tcPr>
          <w:p w14:paraId="4E268F9E"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2.98</w:t>
            </w:r>
          </w:p>
        </w:tc>
        <w:tc>
          <w:tcPr>
            <w:tcW w:w="567" w:type="dxa"/>
          </w:tcPr>
          <w:p w14:paraId="38608AB9"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2.92</w:t>
            </w:r>
          </w:p>
        </w:tc>
      </w:tr>
      <w:tr w:rsidR="00FE79C7" w:rsidRPr="008A20AE" w14:paraId="6F95D234" w14:textId="77777777" w:rsidTr="00A96BDC">
        <w:trPr>
          <w:trHeight w:val="26"/>
        </w:trPr>
        <w:tc>
          <w:tcPr>
            <w:tcW w:w="1676" w:type="dxa"/>
            <w:vMerge/>
          </w:tcPr>
          <w:p w14:paraId="7CD98FB6" w14:textId="77777777" w:rsidR="00FE79C7" w:rsidRPr="008A20AE" w:rsidRDefault="00FE79C7" w:rsidP="008A20AE">
            <w:pPr>
              <w:spacing w:after="0" w:line="276" w:lineRule="auto"/>
              <w:contextualSpacing/>
              <w:jc w:val="both"/>
              <w:rPr>
                <w:rFonts w:ascii="Times New Roman" w:hAnsi="Times New Roman" w:cs="Times New Roman"/>
                <w:sz w:val="22"/>
                <w:lang w:val="es-ES"/>
              </w:rPr>
            </w:pPr>
          </w:p>
        </w:tc>
        <w:tc>
          <w:tcPr>
            <w:tcW w:w="3422" w:type="dxa"/>
          </w:tcPr>
          <w:p w14:paraId="416B3367" w14:textId="4D849A15"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 xml:space="preserve">Valoración y respeto por la diversidad y multiculturalidad </w:t>
            </w:r>
          </w:p>
        </w:tc>
        <w:tc>
          <w:tcPr>
            <w:tcW w:w="851" w:type="dxa"/>
          </w:tcPr>
          <w:p w14:paraId="489FBAAD"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1.88</w:t>
            </w:r>
          </w:p>
        </w:tc>
        <w:tc>
          <w:tcPr>
            <w:tcW w:w="709" w:type="dxa"/>
          </w:tcPr>
          <w:p w14:paraId="32C96AE5"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1.79</w:t>
            </w:r>
          </w:p>
        </w:tc>
        <w:tc>
          <w:tcPr>
            <w:tcW w:w="567" w:type="dxa"/>
          </w:tcPr>
          <w:p w14:paraId="7416AA2E"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1.73</w:t>
            </w:r>
          </w:p>
        </w:tc>
        <w:tc>
          <w:tcPr>
            <w:tcW w:w="567" w:type="dxa"/>
          </w:tcPr>
          <w:p w14:paraId="248BA27F"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2.09</w:t>
            </w:r>
          </w:p>
        </w:tc>
        <w:tc>
          <w:tcPr>
            <w:tcW w:w="567" w:type="dxa"/>
          </w:tcPr>
          <w:p w14:paraId="1BE59850"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1.82</w:t>
            </w:r>
          </w:p>
        </w:tc>
        <w:tc>
          <w:tcPr>
            <w:tcW w:w="567" w:type="dxa"/>
          </w:tcPr>
          <w:p w14:paraId="5210F50D"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1.97</w:t>
            </w:r>
          </w:p>
        </w:tc>
      </w:tr>
      <w:tr w:rsidR="00FE79C7" w:rsidRPr="008A20AE" w14:paraId="5BD28909" w14:textId="77777777" w:rsidTr="00A96BDC">
        <w:trPr>
          <w:trHeight w:val="26"/>
        </w:trPr>
        <w:tc>
          <w:tcPr>
            <w:tcW w:w="1676" w:type="dxa"/>
            <w:vMerge/>
          </w:tcPr>
          <w:p w14:paraId="61AE16F7" w14:textId="77777777" w:rsidR="00FE79C7" w:rsidRPr="008A20AE" w:rsidRDefault="00FE79C7" w:rsidP="008A20AE">
            <w:pPr>
              <w:spacing w:after="0" w:line="276" w:lineRule="auto"/>
              <w:contextualSpacing/>
              <w:jc w:val="both"/>
              <w:rPr>
                <w:rFonts w:ascii="Times New Roman" w:hAnsi="Times New Roman" w:cs="Times New Roman"/>
                <w:sz w:val="22"/>
                <w:lang w:val="es-ES"/>
              </w:rPr>
            </w:pPr>
          </w:p>
        </w:tc>
        <w:tc>
          <w:tcPr>
            <w:tcW w:w="3422" w:type="dxa"/>
          </w:tcPr>
          <w:p w14:paraId="6EB3E828" w14:textId="7318052C"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Habilidad para trabajar en forma autónoma</w:t>
            </w:r>
          </w:p>
        </w:tc>
        <w:tc>
          <w:tcPr>
            <w:tcW w:w="851" w:type="dxa"/>
          </w:tcPr>
          <w:p w14:paraId="06DE2BFD"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3.79</w:t>
            </w:r>
          </w:p>
        </w:tc>
        <w:tc>
          <w:tcPr>
            <w:tcW w:w="709" w:type="dxa"/>
          </w:tcPr>
          <w:p w14:paraId="144A3A4A"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3.83</w:t>
            </w:r>
          </w:p>
        </w:tc>
        <w:tc>
          <w:tcPr>
            <w:tcW w:w="567" w:type="dxa"/>
          </w:tcPr>
          <w:p w14:paraId="7EAAF741"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3.77</w:t>
            </w:r>
          </w:p>
        </w:tc>
        <w:tc>
          <w:tcPr>
            <w:tcW w:w="567" w:type="dxa"/>
          </w:tcPr>
          <w:p w14:paraId="7FDC78AA"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3.68</w:t>
            </w:r>
          </w:p>
        </w:tc>
        <w:tc>
          <w:tcPr>
            <w:tcW w:w="567" w:type="dxa"/>
          </w:tcPr>
          <w:p w14:paraId="480DFBEE"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3.81</w:t>
            </w:r>
          </w:p>
        </w:tc>
        <w:tc>
          <w:tcPr>
            <w:tcW w:w="567" w:type="dxa"/>
          </w:tcPr>
          <w:p w14:paraId="5B86C222"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3.86</w:t>
            </w:r>
          </w:p>
        </w:tc>
      </w:tr>
      <w:tr w:rsidR="00FE79C7" w:rsidRPr="008A20AE" w14:paraId="18D5D395" w14:textId="77777777" w:rsidTr="00A96BDC">
        <w:trPr>
          <w:trHeight w:val="258"/>
        </w:trPr>
        <w:tc>
          <w:tcPr>
            <w:tcW w:w="1676" w:type="dxa"/>
            <w:vMerge/>
          </w:tcPr>
          <w:p w14:paraId="36E013AF" w14:textId="77777777" w:rsidR="00FE79C7" w:rsidRPr="008A20AE" w:rsidRDefault="00FE79C7" w:rsidP="008A20AE">
            <w:pPr>
              <w:spacing w:after="0" w:line="276" w:lineRule="auto"/>
              <w:contextualSpacing/>
              <w:jc w:val="both"/>
              <w:rPr>
                <w:rFonts w:ascii="Times New Roman" w:hAnsi="Times New Roman" w:cs="Times New Roman"/>
                <w:sz w:val="22"/>
                <w:lang w:val="es-ES"/>
              </w:rPr>
            </w:pPr>
          </w:p>
        </w:tc>
        <w:tc>
          <w:tcPr>
            <w:tcW w:w="3422" w:type="dxa"/>
          </w:tcPr>
          <w:p w14:paraId="4D5FEC40" w14:textId="7B8B5840"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Capacidad para formular y gestionar proyectos</w:t>
            </w:r>
          </w:p>
        </w:tc>
        <w:tc>
          <w:tcPr>
            <w:tcW w:w="851" w:type="dxa"/>
          </w:tcPr>
          <w:p w14:paraId="73F73E9F"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3.42</w:t>
            </w:r>
          </w:p>
        </w:tc>
        <w:tc>
          <w:tcPr>
            <w:tcW w:w="709" w:type="dxa"/>
          </w:tcPr>
          <w:p w14:paraId="6F2A3EC3"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3.51</w:t>
            </w:r>
          </w:p>
        </w:tc>
        <w:tc>
          <w:tcPr>
            <w:tcW w:w="567" w:type="dxa"/>
          </w:tcPr>
          <w:p w14:paraId="42B6B959"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3.39</w:t>
            </w:r>
          </w:p>
        </w:tc>
        <w:tc>
          <w:tcPr>
            <w:tcW w:w="567" w:type="dxa"/>
          </w:tcPr>
          <w:p w14:paraId="76F16492"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3.41</w:t>
            </w:r>
          </w:p>
        </w:tc>
        <w:tc>
          <w:tcPr>
            <w:tcW w:w="567" w:type="dxa"/>
          </w:tcPr>
          <w:p w14:paraId="25AC1BB1"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3.32</w:t>
            </w:r>
          </w:p>
        </w:tc>
        <w:tc>
          <w:tcPr>
            <w:tcW w:w="567" w:type="dxa"/>
          </w:tcPr>
          <w:p w14:paraId="56AF2972"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3.47</w:t>
            </w:r>
          </w:p>
        </w:tc>
      </w:tr>
      <w:tr w:rsidR="00FE79C7" w:rsidRPr="008A20AE" w14:paraId="195D4EEA" w14:textId="77777777" w:rsidTr="00A96BDC">
        <w:trPr>
          <w:trHeight w:val="220"/>
        </w:trPr>
        <w:tc>
          <w:tcPr>
            <w:tcW w:w="1676" w:type="dxa"/>
            <w:vMerge/>
          </w:tcPr>
          <w:p w14:paraId="5E22B473" w14:textId="77777777" w:rsidR="00FE79C7" w:rsidRPr="008A20AE" w:rsidRDefault="00FE79C7" w:rsidP="008A20AE">
            <w:pPr>
              <w:spacing w:after="0" w:line="276" w:lineRule="auto"/>
              <w:contextualSpacing/>
              <w:jc w:val="both"/>
              <w:rPr>
                <w:rFonts w:ascii="Times New Roman" w:hAnsi="Times New Roman" w:cs="Times New Roman"/>
                <w:sz w:val="22"/>
                <w:lang w:val="es-ES"/>
              </w:rPr>
            </w:pPr>
          </w:p>
        </w:tc>
        <w:tc>
          <w:tcPr>
            <w:tcW w:w="3422" w:type="dxa"/>
          </w:tcPr>
          <w:p w14:paraId="747177E4" w14:textId="2BC5856A"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Compromiso con la calidad</w:t>
            </w:r>
          </w:p>
        </w:tc>
        <w:tc>
          <w:tcPr>
            <w:tcW w:w="851" w:type="dxa"/>
          </w:tcPr>
          <w:p w14:paraId="4011570C"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3.35</w:t>
            </w:r>
          </w:p>
        </w:tc>
        <w:tc>
          <w:tcPr>
            <w:tcW w:w="709" w:type="dxa"/>
          </w:tcPr>
          <w:p w14:paraId="74452C84"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3.42</w:t>
            </w:r>
          </w:p>
        </w:tc>
        <w:tc>
          <w:tcPr>
            <w:tcW w:w="567" w:type="dxa"/>
          </w:tcPr>
          <w:p w14:paraId="1CC9B6E5"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3.28</w:t>
            </w:r>
          </w:p>
        </w:tc>
        <w:tc>
          <w:tcPr>
            <w:tcW w:w="567" w:type="dxa"/>
          </w:tcPr>
          <w:p w14:paraId="017A3B3F"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3.32</w:t>
            </w:r>
          </w:p>
        </w:tc>
        <w:tc>
          <w:tcPr>
            <w:tcW w:w="567" w:type="dxa"/>
          </w:tcPr>
          <w:p w14:paraId="493FA160"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3.36</w:t>
            </w:r>
          </w:p>
        </w:tc>
        <w:tc>
          <w:tcPr>
            <w:tcW w:w="567" w:type="dxa"/>
          </w:tcPr>
          <w:p w14:paraId="291EB047"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3.37</w:t>
            </w:r>
          </w:p>
        </w:tc>
      </w:tr>
      <w:tr w:rsidR="00FE79C7" w:rsidRPr="008A20AE" w14:paraId="23E9491A" w14:textId="77777777" w:rsidTr="00A96BDC">
        <w:trPr>
          <w:trHeight w:val="26"/>
        </w:trPr>
        <w:tc>
          <w:tcPr>
            <w:tcW w:w="1676" w:type="dxa"/>
            <w:vMerge/>
          </w:tcPr>
          <w:p w14:paraId="2BA9268C" w14:textId="77777777" w:rsidR="00FE79C7" w:rsidRPr="008A20AE" w:rsidRDefault="00FE79C7" w:rsidP="008A20AE">
            <w:pPr>
              <w:spacing w:after="0" w:line="276" w:lineRule="auto"/>
              <w:contextualSpacing/>
              <w:jc w:val="both"/>
              <w:rPr>
                <w:rFonts w:ascii="Times New Roman" w:hAnsi="Times New Roman" w:cs="Times New Roman"/>
                <w:sz w:val="22"/>
                <w:lang w:val="es-ES"/>
              </w:rPr>
            </w:pPr>
          </w:p>
        </w:tc>
        <w:tc>
          <w:tcPr>
            <w:tcW w:w="3422" w:type="dxa"/>
          </w:tcPr>
          <w:p w14:paraId="1338A3E6" w14:textId="539BF837"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Conocimiento de culturas y costumbres de otros países</w:t>
            </w:r>
          </w:p>
        </w:tc>
        <w:tc>
          <w:tcPr>
            <w:tcW w:w="851" w:type="dxa"/>
          </w:tcPr>
          <w:p w14:paraId="7EF47CA0"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1.83</w:t>
            </w:r>
          </w:p>
        </w:tc>
        <w:tc>
          <w:tcPr>
            <w:tcW w:w="709" w:type="dxa"/>
          </w:tcPr>
          <w:p w14:paraId="045E10AC"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1.56</w:t>
            </w:r>
          </w:p>
        </w:tc>
        <w:tc>
          <w:tcPr>
            <w:tcW w:w="567" w:type="dxa"/>
          </w:tcPr>
          <w:p w14:paraId="27B2446B"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1.32</w:t>
            </w:r>
          </w:p>
        </w:tc>
        <w:tc>
          <w:tcPr>
            <w:tcW w:w="567" w:type="dxa"/>
          </w:tcPr>
          <w:p w14:paraId="7CF77D9B"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2.21</w:t>
            </w:r>
          </w:p>
        </w:tc>
        <w:tc>
          <w:tcPr>
            <w:tcW w:w="567" w:type="dxa"/>
          </w:tcPr>
          <w:p w14:paraId="3D9AA11D"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1.64</w:t>
            </w:r>
          </w:p>
        </w:tc>
        <w:tc>
          <w:tcPr>
            <w:tcW w:w="567" w:type="dxa"/>
          </w:tcPr>
          <w:p w14:paraId="7023AE79"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2.42</w:t>
            </w:r>
          </w:p>
        </w:tc>
      </w:tr>
      <w:tr w:rsidR="00FE79C7" w:rsidRPr="008A20AE" w14:paraId="5982711B" w14:textId="77777777" w:rsidTr="00A96BDC">
        <w:trPr>
          <w:trHeight w:val="26"/>
        </w:trPr>
        <w:tc>
          <w:tcPr>
            <w:tcW w:w="1676" w:type="dxa"/>
            <w:vMerge/>
          </w:tcPr>
          <w:p w14:paraId="47A628B6" w14:textId="77777777" w:rsidR="00FE79C7" w:rsidRPr="008A20AE" w:rsidRDefault="00FE79C7" w:rsidP="008A20AE">
            <w:pPr>
              <w:spacing w:after="0" w:line="276" w:lineRule="auto"/>
              <w:contextualSpacing/>
              <w:jc w:val="both"/>
              <w:rPr>
                <w:rFonts w:ascii="Times New Roman" w:hAnsi="Times New Roman" w:cs="Times New Roman"/>
                <w:sz w:val="22"/>
                <w:lang w:val="es-ES"/>
              </w:rPr>
            </w:pPr>
          </w:p>
        </w:tc>
        <w:tc>
          <w:tcPr>
            <w:tcW w:w="3422" w:type="dxa"/>
          </w:tcPr>
          <w:p w14:paraId="4C74A5C8" w14:textId="218E457A"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Iniciativa y espíritu emprendedor</w:t>
            </w:r>
          </w:p>
        </w:tc>
        <w:tc>
          <w:tcPr>
            <w:tcW w:w="851" w:type="dxa"/>
          </w:tcPr>
          <w:p w14:paraId="3208D76D"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3.50</w:t>
            </w:r>
          </w:p>
        </w:tc>
        <w:tc>
          <w:tcPr>
            <w:tcW w:w="709" w:type="dxa"/>
          </w:tcPr>
          <w:p w14:paraId="183D4E69"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3.68</w:t>
            </w:r>
          </w:p>
        </w:tc>
        <w:tc>
          <w:tcPr>
            <w:tcW w:w="567" w:type="dxa"/>
          </w:tcPr>
          <w:p w14:paraId="02F5D582"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3.24</w:t>
            </w:r>
          </w:p>
        </w:tc>
        <w:tc>
          <w:tcPr>
            <w:tcW w:w="567" w:type="dxa"/>
          </w:tcPr>
          <w:p w14:paraId="2C0C9B05"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3.42</w:t>
            </w:r>
          </w:p>
        </w:tc>
        <w:tc>
          <w:tcPr>
            <w:tcW w:w="567" w:type="dxa"/>
          </w:tcPr>
          <w:p w14:paraId="7AA3CA89"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3.57</w:t>
            </w:r>
          </w:p>
        </w:tc>
        <w:tc>
          <w:tcPr>
            <w:tcW w:w="567" w:type="dxa"/>
          </w:tcPr>
          <w:p w14:paraId="789DD1B1"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3.59</w:t>
            </w:r>
          </w:p>
        </w:tc>
      </w:tr>
      <w:tr w:rsidR="00FE79C7" w:rsidRPr="008A20AE" w14:paraId="3ABD2990" w14:textId="77777777" w:rsidTr="00FE79C7">
        <w:trPr>
          <w:trHeight w:val="114"/>
        </w:trPr>
        <w:tc>
          <w:tcPr>
            <w:tcW w:w="1676" w:type="dxa"/>
            <w:vMerge/>
          </w:tcPr>
          <w:p w14:paraId="7C39F1BF" w14:textId="77777777" w:rsidR="00FE79C7" w:rsidRPr="008A20AE" w:rsidRDefault="00FE79C7" w:rsidP="008A20AE">
            <w:pPr>
              <w:spacing w:after="0" w:line="276" w:lineRule="auto"/>
              <w:contextualSpacing/>
              <w:jc w:val="both"/>
              <w:rPr>
                <w:rFonts w:ascii="Times New Roman" w:hAnsi="Times New Roman" w:cs="Times New Roman"/>
                <w:sz w:val="22"/>
                <w:lang w:val="es-ES"/>
              </w:rPr>
            </w:pPr>
          </w:p>
        </w:tc>
        <w:tc>
          <w:tcPr>
            <w:tcW w:w="3422" w:type="dxa"/>
          </w:tcPr>
          <w:p w14:paraId="55FC1D87" w14:textId="6A0C1795"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Motivación de logro</w:t>
            </w:r>
          </w:p>
        </w:tc>
        <w:tc>
          <w:tcPr>
            <w:tcW w:w="851" w:type="dxa"/>
          </w:tcPr>
          <w:p w14:paraId="4405A8AC"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3.33</w:t>
            </w:r>
          </w:p>
        </w:tc>
        <w:tc>
          <w:tcPr>
            <w:tcW w:w="709" w:type="dxa"/>
          </w:tcPr>
          <w:p w14:paraId="2824A627"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3.38</w:t>
            </w:r>
          </w:p>
        </w:tc>
        <w:tc>
          <w:tcPr>
            <w:tcW w:w="567" w:type="dxa"/>
          </w:tcPr>
          <w:p w14:paraId="2106ED94"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3.28</w:t>
            </w:r>
          </w:p>
        </w:tc>
        <w:tc>
          <w:tcPr>
            <w:tcW w:w="567" w:type="dxa"/>
          </w:tcPr>
          <w:p w14:paraId="21D4FE37"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3.29</w:t>
            </w:r>
          </w:p>
        </w:tc>
        <w:tc>
          <w:tcPr>
            <w:tcW w:w="567" w:type="dxa"/>
          </w:tcPr>
          <w:p w14:paraId="03294758"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3.34</w:t>
            </w:r>
          </w:p>
        </w:tc>
        <w:tc>
          <w:tcPr>
            <w:tcW w:w="567" w:type="dxa"/>
          </w:tcPr>
          <w:p w14:paraId="61A2B9C2"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3.36</w:t>
            </w:r>
          </w:p>
        </w:tc>
      </w:tr>
      <w:tr w:rsidR="00FE79C7" w:rsidRPr="008A20AE" w14:paraId="04BA645E" w14:textId="77777777" w:rsidTr="00FE79C7">
        <w:trPr>
          <w:trHeight w:val="114"/>
        </w:trPr>
        <w:tc>
          <w:tcPr>
            <w:tcW w:w="1676" w:type="dxa"/>
            <w:vMerge/>
          </w:tcPr>
          <w:p w14:paraId="05F03AE1" w14:textId="77777777" w:rsidR="00FE79C7" w:rsidRPr="008A20AE" w:rsidRDefault="00FE79C7" w:rsidP="008A20AE">
            <w:pPr>
              <w:spacing w:after="0" w:line="276" w:lineRule="auto"/>
              <w:contextualSpacing/>
              <w:jc w:val="both"/>
              <w:rPr>
                <w:rFonts w:ascii="Times New Roman" w:hAnsi="Times New Roman" w:cs="Times New Roman"/>
                <w:sz w:val="22"/>
                <w:lang w:val="es-ES"/>
              </w:rPr>
            </w:pPr>
          </w:p>
        </w:tc>
        <w:tc>
          <w:tcPr>
            <w:tcW w:w="3422" w:type="dxa"/>
          </w:tcPr>
          <w:p w14:paraId="6C0F7ABD" w14:textId="77777777" w:rsidR="00FE79C7" w:rsidRPr="008A20AE" w:rsidRDefault="00FE79C7" w:rsidP="008A20AE">
            <w:pPr>
              <w:spacing w:after="0" w:line="276" w:lineRule="auto"/>
              <w:contextualSpacing/>
              <w:jc w:val="both"/>
              <w:rPr>
                <w:rFonts w:ascii="Times New Roman" w:hAnsi="Times New Roman" w:cs="Times New Roman"/>
                <w:sz w:val="22"/>
              </w:rPr>
            </w:pPr>
            <w:r w:rsidRPr="008A20AE">
              <w:rPr>
                <w:rFonts w:ascii="Times New Roman" w:hAnsi="Times New Roman" w:cs="Times New Roman"/>
                <w:sz w:val="22"/>
              </w:rPr>
              <w:t>Media global</w:t>
            </w:r>
          </w:p>
        </w:tc>
        <w:tc>
          <w:tcPr>
            <w:tcW w:w="851" w:type="dxa"/>
          </w:tcPr>
          <w:p w14:paraId="28E49CEC"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3.04</w:t>
            </w:r>
          </w:p>
        </w:tc>
        <w:tc>
          <w:tcPr>
            <w:tcW w:w="709" w:type="dxa"/>
          </w:tcPr>
          <w:p w14:paraId="6564D1BD"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3.09</w:t>
            </w:r>
          </w:p>
        </w:tc>
        <w:tc>
          <w:tcPr>
            <w:tcW w:w="567" w:type="dxa"/>
          </w:tcPr>
          <w:p w14:paraId="67CF2EDA"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2.92</w:t>
            </w:r>
          </w:p>
        </w:tc>
        <w:tc>
          <w:tcPr>
            <w:tcW w:w="567" w:type="dxa"/>
          </w:tcPr>
          <w:p w14:paraId="12455051"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3.06</w:t>
            </w:r>
          </w:p>
        </w:tc>
        <w:tc>
          <w:tcPr>
            <w:tcW w:w="567" w:type="dxa"/>
          </w:tcPr>
          <w:p w14:paraId="0826F537"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2.99</w:t>
            </w:r>
          </w:p>
        </w:tc>
        <w:tc>
          <w:tcPr>
            <w:tcW w:w="567" w:type="dxa"/>
          </w:tcPr>
          <w:p w14:paraId="599A04E3" w14:textId="77777777" w:rsidR="00FE79C7" w:rsidRPr="008A20AE" w:rsidRDefault="00FE79C7" w:rsidP="008A20AE">
            <w:pPr>
              <w:spacing w:after="0" w:line="276" w:lineRule="auto"/>
              <w:contextualSpacing/>
              <w:jc w:val="center"/>
              <w:rPr>
                <w:rFonts w:ascii="Times New Roman" w:hAnsi="Times New Roman" w:cs="Times New Roman"/>
                <w:sz w:val="22"/>
              </w:rPr>
            </w:pPr>
            <w:r w:rsidRPr="008A20AE">
              <w:rPr>
                <w:rFonts w:ascii="Times New Roman" w:hAnsi="Times New Roman" w:cs="Times New Roman"/>
                <w:sz w:val="22"/>
              </w:rPr>
              <w:t>3.14</w:t>
            </w:r>
          </w:p>
        </w:tc>
      </w:tr>
    </w:tbl>
    <w:p w14:paraId="7DA90CD6" w14:textId="67C6CC24" w:rsidR="00927473" w:rsidRPr="00782BC3" w:rsidRDefault="00D853BC" w:rsidP="00E462DD">
      <w:pPr>
        <w:spacing w:after="0" w:line="360" w:lineRule="auto"/>
        <w:jc w:val="center"/>
        <w:rPr>
          <w:rFonts w:ascii="Times New Roman" w:hAnsi="Times New Roman" w:cs="Times New Roman"/>
          <w:szCs w:val="20"/>
        </w:rPr>
      </w:pPr>
      <w:r w:rsidRPr="00782BC3">
        <w:rPr>
          <w:rFonts w:ascii="Times New Roman" w:hAnsi="Times New Roman" w:cs="Times New Roman"/>
          <w:szCs w:val="20"/>
        </w:rPr>
        <w:t>Fuente: Elaboración propia</w:t>
      </w:r>
    </w:p>
    <w:p w14:paraId="50926C4D" w14:textId="77777777" w:rsidR="00C807A9" w:rsidRPr="00124DAB" w:rsidRDefault="00C807A9" w:rsidP="00E462DD">
      <w:pPr>
        <w:spacing w:after="0" w:line="360" w:lineRule="auto"/>
        <w:jc w:val="center"/>
        <w:rPr>
          <w:rFonts w:ascii="Times New Roman" w:hAnsi="Times New Roman" w:cs="Times New Roman"/>
          <w:sz w:val="20"/>
          <w:szCs w:val="20"/>
        </w:rPr>
      </w:pPr>
    </w:p>
    <w:p w14:paraId="595E71C4" w14:textId="6DFE7683" w:rsidR="00124DAB" w:rsidRDefault="006931A7" w:rsidP="00782BC3">
      <w:pPr>
        <w:spacing w:after="0" w:line="360" w:lineRule="auto"/>
        <w:ind w:firstLine="708"/>
        <w:jc w:val="both"/>
        <w:rPr>
          <w:rFonts w:ascii="Times New Roman" w:hAnsi="Times New Roman" w:cs="Times New Roman"/>
        </w:rPr>
      </w:pPr>
      <w:r w:rsidRPr="00152F2D">
        <w:rPr>
          <w:rFonts w:ascii="Times New Roman" w:hAnsi="Times New Roman" w:cs="Times New Roman"/>
        </w:rPr>
        <w:lastRenderedPageBreak/>
        <w:t>Desde</w:t>
      </w:r>
      <w:r w:rsidRPr="00152F2D">
        <w:rPr>
          <w:rFonts w:ascii="Times New Roman" w:hAnsi="Times New Roman" w:cs="Times New Roman"/>
          <w:lang w:val="es-ES"/>
        </w:rPr>
        <w:t xml:space="preserve"> la percepción</w:t>
      </w:r>
      <w:r w:rsidR="00960656" w:rsidRPr="00152F2D">
        <w:rPr>
          <w:rFonts w:ascii="Times New Roman" w:hAnsi="Times New Roman" w:cs="Times New Roman"/>
          <w:lang w:val="es-ES"/>
        </w:rPr>
        <w:t xml:space="preserve"> de los estudiante</w:t>
      </w:r>
      <w:r w:rsidR="00FE79C7" w:rsidRPr="00152F2D">
        <w:rPr>
          <w:rFonts w:ascii="Times New Roman" w:hAnsi="Times New Roman" w:cs="Times New Roman"/>
          <w:lang w:val="es-ES"/>
        </w:rPr>
        <w:t>s</w:t>
      </w:r>
      <w:r w:rsidR="00960656" w:rsidRPr="00152F2D">
        <w:rPr>
          <w:rFonts w:ascii="Times New Roman" w:hAnsi="Times New Roman" w:cs="Times New Roman"/>
          <w:lang w:val="es-ES"/>
        </w:rPr>
        <w:t xml:space="preserve">, para este tercer grupo de competencias se identificó </w:t>
      </w:r>
      <w:r w:rsidR="00D042D7" w:rsidRPr="00152F2D">
        <w:rPr>
          <w:rFonts w:ascii="Times New Roman" w:hAnsi="Times New Roman" w:cs="Times New Roman"/>
          <w:lang w:val="es-ES"/>
        </w:rPr>
        <w:t>que las competencias genéricas menos valoradas</w:t>
      </w:r>
      <w:r w:rsidR="00CF7F1C">
        <w:rPr>
          <w:rFonts w:ascii="Times New Roman" w:hAnsi="Times New Roman" w:cs="Times New Roman"/>
          <w:lang w:val="es-ES"/>
        </w:rPr>
        <w:t>,</w:t>
      </w:r>
      <w:r w:rsidR="00D042D7" w:rsidRPr="00152F2D">
        <w:rPr>
          <w:rFonts w:ascii="Times New Roman" w:hAnsi="Times New Roman" w:cs="Times New Roman"/>
          <w:lang w:val="es-ES"/>
        </w:rPr>
        <w:t xml:space="preserve"> con un nivel insuficiente, fueron la del conocimiento de cultura</w:t>
      </w:r>
      <w:r w:rsidRPr="00152F2D">
        <w:rPr>
          <w:rFonts w:ascii="Times New Roman" w:hAnsi="Times New Roman" w:cs="Times New Roman"/>
          <w:lang w:val="es-ES"/>
        </w:rPr>
        <w:t>s y costumbres de otros países</w:t>
      </w:r>
      <w:r w:rsidR="00CF7F1C">
        <w:rPr>
          <w:rFonts w:ascii="Times New Roman" w:hAnsi="Times New Roman" w:cs="Times New Roman"/>
          <w:lang w:val="es-ES"/>
        </w:rPr>
        <w:t>,</w:t>
      </w:r>
      <w:r w:rsidRPr="00152F2D">
        <w:rPr>
          <w:rFonts w:ascii="Times New Roman" w:hAnsi="Times New Roman" w:cs="Times New Roman"/>
          <w:lang w:val="es-ES"/>
        </w:rPr>
        <w:t xml:space="preserve"> así como</w:t>
      </w:r>
      <w:r w:rsidR="00D042D7" w:rsidRPr="00152F2D">
        <w:rPr>
          <w:rFonts w:ascii="Times New Roman" w:hAnsi="Times New Roman" w:cs="Times New Roman"/>
          <w:lang w:val="es-ES"/>
        </w:rPr>
        <w:t xml:space="preserve"> la valoración y respeto por la diversidad y multiculturalidad</w:t>
      </w:r>
      <w:r w:rsidR="00263F3A" w:rsidRPr="00152F2D">
        <w:rPr>
          <w:rFonts w:ascii="Times New Roman" w:hAnsi="Times New Roman" w:cs="Times New Roman"/>
          <w:lang w:val="es-ES"/>
        </w:rPr>
        <w:t>; en tanto que las más valoradas fueron la habilidad para trab</w:t>
      </w:r>
      <w:r w:rsidR="00C4503B" w:rsidRPr="00152F2D">
        <w:rPr>
          <w:rFonts w:ascii="Times New Roman" w:hAnsi="Times New Roman" w:cs="Times New Roman"/>
          <w:lang w:val="es-ES"/>
        </w:rPr>
        <w:t>ajar en forma autónoma,</w:t>
      </w:r>
      <w:r w:rsidR="00263F3A" w:rsidRPr="00152F2D">
        <w:rPr>
          <w:rFonts w:ascii="Times New Roman" w:hAnsi="Times New Roman" w:cs="Times New Roman"/>
          <w:lang w:val="es-ES"/>
        </w:rPr>
        <w:t xml:space="preserve"> la in</w:t>
      </w:r>
      <w:r w:rsidR="00C4503B" w:rsidRPr="00152F2D">
        <w:rPr>
          <w:rFonts w:ascii="Times New Roman" w:hAnsi="Times New Roman" w:cs="Times New Roman"/>
          <w:lang w:val="es-ES"/>
        </w:rPr>
        <w:t xml:space="preserve">iciativa y espíritu emprendedor, así como la capacidad para formular y gestionar proyectos </w:t>
      </w:r>
      <w:r w:rsidR="00263F3A" w:rsidRPr="00152F2D">
        <w:rPr>
          <w:rFonts w:ascii="Times New Roman" w:hAnsi="Times New Roman" w:cs="Times New Roman"/>
          <w:lang w:val="es-ES"/>
        </w:rPr>
        <w:t xml:space="preserve">con un nivel consolidado. </w:t>
      </w:r>
      <w:r w:rsidR="00B05E64" w:rsidRPr="00152F2D">
        <w:rPr>
          <w:rFonts w:ascii="Times New Roman" w:hAnsi="Times New Roman" w:cs="Times New Roman"/>
          <w:lang w:val="es-ES"/>
        </w:rPr>
        <w:t>Con base en la escala de evaluación, se halló una media de 3.04</w:t>
      </w:r>
      <w:r w:rsidR="00CF7F1C">
        <w:rPr>
          <w:rFonts w:ascii="Times New Roman" w:hAnsi="Times New Roman" w:cs="Times New Roman"/>
          <w:lang w:val="es-ES"/>
        </w:rPr>
        <w:t>,</w:t>
      </w:r>
      <w:r w:rsidR="00B05E64" w:rsidRPr="00152F2D">
        <w:rPr>
          <w:rFonts w:ascii="Times New Roman" w:hAnsi="Times New Roman" w:cs="Times New Roman"/>
          <w:lang w:val="es-ES"/>
        </w:rPr>
        <w:t xml:space="preserve"> que corresponde a un nivel consolidado para este tercer grupo de competencias genéricas</w:t>
      </w:r>
      <w:r w:rsidR="00CF7F1C">
        <w:rPr>
          <w:rFonts w:ascii="Times New Roman" w:hAnsi="Times New Roman" w:cs="Times New Roman"/>
          <w:lang w:val="es-ES"/>
        </w:rPr>
        <w:t>; la</w:t>
      </w:r>
      <w:r w:rsidR="00B05E64" w:rsidRPr="00152F2D">
        <w:rPr>
          <w:rFonts w:ascii="Times New Roman" w:hAnsi="Times New Roman" w:cs="Times New Roman"/>
          <w:lang w:val="es-ES"/>
        </w:rPr>
        <w:t xml:space="preserve"> </w:t>
      </w:r>
      <w:r w:rsidR="00914907">
        <w:rPr>
          <w:rFonts w:ascii="Times New Roman" w:hAnsi="Times New Roman" w:cs="Times New Roman"/>
          <w:lang w:val="es-ES"/>
        </w:rPr>
        <w:t>L</w:t>
      </w:r>
      <w:r w:rsidR="00914907" w:rsidRPr="00152F2D">
        <w:rPr>
          <w:rFonts w:ascii="Times New Roman" w:hAnsi="Times New Roman" w:cs="Times New Roman"/>
          <w:lang w:val="es-ES"/>
        </w:rPr>
        <w:t xml:space="preserve">icenciatura </w:t>
      </w:r>
      <w:r w:rsidR="00914907">
        <w:rPr>
          <w:rFonts w:ascii="Times New Roman" w:hAnsi="Times New Roman" w:cs="Times New Roman"/>
          <w:lang w:val="es-ES"/>
        </w:rPr>
        <w:t>en</w:t>
      </w:r>
      <w:r w:rsidR="00914907" w:rsidRPr="00152F2D">
        <w:rPr>
          <w:rFonts w:ascii="Times New Roman" w:hAnsi="Times New Roman" w:cs="Times New Roman"/>
          <w:lang w:val="es-ES"/>
        </w:rPr>
        <w:t xml:space="preserve"> </w:t>
      </w:r>
      <w:r w:rsidR="00B05E64" w:rsidRPr="00152F2D">
        <w:rPr>
          <w:rFonts w:ascii="Times New Roman" w:hAnsi="Times New Roman" w:cs="Times New Roman"/>
          <w:lang w:val="es-ES"/>
        </w:rPr>
        <w:t xml:space="preserve">ADE fue la que obtuvo el mayor puntaje </w:t>
      </w:r>
      <w:r w:rsidR="00914907">
        <w:rPr>
          <w:rFonts w:ascii="Times New Roman" w:hAnsi="Times New Roman" w:cs="Times New Roman"/>
          <w:lang w:val="es-ES"/>
        </w:rPr>
        <w:t xml:space="preserve">y </w:t>
      </w:r>
      <w:r w:rsidR="00B05E64" w:rsidRPr="00152F2D">
        <w:rPr>
          <w:rFonts w:ascii="Times New Roman" w:hAnsi="Times New Roman" w:cs="Times New Roman"/>
          <w:lang w:val="es-ES"/>
        </w:rPr>
        <w:t xml:space="preserve">la </w:t>
      </w:r>
      <w:r w:rsidR="00914907">
        <w:rPr>
          <w:rFonts w:ascii="Times New Roman" w:hAnsi="Times New Roman" w:cs="Times New Roman"/>
          <w:lang w:val="es-ES"/>
        </w:rPr>
        <w:t>L</w:t>
      </w:r>
      <w:r w:rsidR="00914907" w:rsidRPr="00152F2D">
        <w:rPr>
          <w:rFonts w:ascii="Times New Roman" w:hAnsi="Times New Roman" w:cs="Times New Roman"/>
          <w:lang w:val="es-ES"/>
        </w:rPr>
        <w:t xml:space="preserve">icenciatura </w:t>
      </w:r>
      <w:r w:rsidR="00914907">
        <w:rPr>
          <w:rFonts w:ascii="Times New Roman" w:hAnsi="Times New Roman" w:cs="Times New Roman"/>
          <w:lang w:val="es-ES"/>
        </w:rPr>
        <w:t>en</w:t>
      </w:r>
      <w:r w:rsidR="00914907" w:rsidRPr="00152F2D">
        <w:rPr>
          <w:rFonts w:ascii="Times New Roman" w:hAnsi="Times New Roman" w:cs="Times New Roman"/>
          <w:lang w:val="es-ES"/>
        </w:rPr>
        <w:t xml:space="preserve"> </w:t>
      </w:r>
      <w:r w:rsidR="00B05E64" w:rsidRPr="00152F2D">
        <w:rPr>
          <w:rFonts w:ascii="Times New Roman" w:hAnsi="Times New Roman" w:cs="Times New Roman"/>
          <w:lang w:val="es-ES"/>
        </w:rPr>
        <w:t>CP</w:t>
      </w:r>
      <w:r w:rsidR="00914907">
        <w:rPr>
          <w:rFonts w:ascii="Times New Roman" w:hAnsi="Times New Roman" w:cs="Times New Roman"/>
          <w:lang w:val="es-ES"/>
        </w:rPr>
        <w:t xml:space="preserve"> la que ob</w:t>
      </w:r>
      <w:r w:rsidR="00B05E64" w:rsidRPr="00152F2D">
        <w:rPr>
          <w:rFonts w:ascii="Times New Roman" w:hAnsi="Times New Roman" w:cs="Times New Roman"/>
          <w:lang w:val="es-ES"/>
        </w:rPr>
        <w:t>tuvo el menor puntaje.</w:t>
      </w:r>
      <w:r w:rsidR="001D12DF" w:rsidRPr="00152F2D">
        <w:rPr>
          <w:rFonts w:ascii="Times New Roman" w:hAnsi="Times New Roman" w:cs="Times New Roman"/>
        </w:rPr>
        <w:t xml:space="preserve"> </w:t>
      </w:r>
    </w:p>
    <w:p w14:paraId="173F4825" w14:textId="7A389430" w:rsidR="00124DAB" w:rsidRDefault="00D853BC" w:rsidP="00782BC3">
      <w:pPr>
        <w:spacing w:after="0" w:line="360" w:lineRule="auto"/>
        <w:ind w:firstLine="708"/>
        <w:jc w:val="both"/>
        <w:rPr>
          <w:rFonts w:ascii="Times New Roman" w:hAnsi="Times New Roman" w:cs="Times New Roman"/>
          <w:color w:val="000000"/>
          <w:shd w:val="clear" w:color="auto" w:fill="FFFFFF"/>
        </w:rPr>
      </w:pPr>
      <w:r w:rsidRPr="00152F2D">
        <w:rPr>
          <w:rFonts w:ascii="Times New Roman" w:hAnsi="Times New Roman" w:cs="Times New Roman"/>
          <w:lang w:val="es-ES"/>
        </w:rPr>
        <w:t>Asimismo,</w:t>
      </w:r>
      <w:r w:rsidRPr="00152F2D">
        <w:rPr>
          <w:rFonts w:ascii="Times New Roman" w:hAnsi="Times New Roman" w:cs="Times New Roman"/>
        </w:rPr>
        <w:t xml:space="preserve"> la investigación se enfocó a evaluar si existen diferencias entre las variables</w:t>
      </w:r>
      <w:r w:rsidR="00914907">
        <w:rPr>
          <w:rFonts w:ascii="Times New Roman" w:hAnsi="Times New Roman" w:cs="Times New Roman"/>
        </w:rPr>
        <w:t xml:space="preserve"> de</w:t>
      </w:r>
      <w:r w:rsidRPr="00152F2D">
        <w:rPr>
          <w:rFonts w:ascii="Times New Roman" w:hAnsi="Times New Roman" w:cs="Times New Roman"/>
        </w:rPr>
        <w:t xml:space="preserve"> </w:t>
      </w:r>
      <w:r w:rsidR="00000267" w:rsidRPr="00152F2D">
        <w:rPr>
          <w:rFonts w:ascii="Times New Roman" w:hAnsi="Times New Roman" w:cs="Times New Roman"/>
          <w:color w:val="000000"/>
          <w:shd w:val="clear" w:color="auto" w:fill="FFFFFF"/>
        </w:rPr>
        <w:t>género, edad,</w:t>
      </w:r>
      <w:r w:rsidRPr="00152F2D">
        <w:rPr>
          <w:rFonts w:ascii="Times New Roman" w:hAnsi="Times New Roman" w:cs="Times New Roman"/>
          <w:color w:val="000000"/>
          <w:shd w:val="clear" w:color="auto" w:fill="FFFFFF"/>
        </w:rPr>
        <w:t xml:space="preserve"> experiencia laboral</w:t>
      </w:r>
      <w:r w:rsidR="00000267" w:rsidRPr="00152F2D">
        <w:rPr>
          <w:rFonts w:ascii="Times New Roman" w:hAnsi="Times New Roman" w:cs="Times New Roman"/>
          <w:color w:val="000000"/>
          <w:shd w:val="clear" w:color="auto" w:fill="FFFFFF"/>
        </w:rPr>
        <w:t xml:space="preserve"> y nivel académico</w:t>
      </w:r>
      <w:r w:rsidRPr="00152F2D">
        <w:rPr>
          <w:rFonts w:ascii="Times New Roman" w:hAnsi="Times New Roman" w:cs="Times New Roman"/>
          <w:color w:val="000000"/>
          <w:shd w:val="clear" w:color="auto" w:fill="FFFFFF"/>
        </w:rPr>
        <w:t xml:space="preserve">, </w:t>
      </w:r>
      <w:r w:rsidR="00914907">
        <w:rPr>
          <w:rFonts w:ascii="Times New Roman" w:hAnsi="Times New Roman" w:cs="Times New Roman"/>
          <w:color w:val="000000"/>
          <w:shd w:val="clear" w:color="auto" w:fill="FFFFFF"/>
        </w:rPr>
        <w:t>y</w:t>
      </w:r>
      <w:r w:rsidRPr="00152F2D">
        <w:rPr>
          <w:rFonts w:ascii="Times New Roman" w:hAnsi="Times New Roman" w:cs="Times New Roman"/>
          <w:color w:val="000000"/>
          <w:shd w:val="clear" w:color="auto" w:fill="FFFFFF"/>
        </w:rPr>
        <w:t xml:space="preserve"> </w:t>
      </w:r>
      <w:r w:rsidR="007A2F92" w:rsidRPr="00152F2D">
        <w:rPr>
          <w:rFonts w:ascii="Times New Roman" w:hAnsi="Times New Roman" w:cs="Times New Roman"/>
          <w:color w:val="000000"/>
          <w:shd w:val="clear" w:color="auto" w:fill="FFFFFF"/>
        </w:rPr>
        <w:t>los resultados fueron</w:t>
      </w:r>
      <w:r w:rsidR="00914907">
        <w:rPr>
          <w:rFonts w:ascii="Times New Roman" w:hAnsi="Times New Roman" w:cs="Times New Roman"/>
          <w:color w:val="000000"/>
          <w:shd w:val="clear" w:color="auto" w:fill="FFFFFF"/>
        </w:rPr>
        <w:t xml:space="preserve"> los siguientes.</w:t>
      </w:r>
      <w:r w:rsidR="007A2F92" w:rsidRPr="00152F2D">
        <w:rPr>
          <w:rFonts w:ascii="Times New Roman" w:hAnsi="Times New Roman" w:cs="Times New Roman"/>
          <w:color w:val="000000"/>
          <w:shd w:val="clear" w:color="auto" w:fill="FFFFFF"/>
        </w:rPr>
        <w:t xml:space="preserve"> S</w:t>
      </w:r>
      <w:r w:rsidRPr="00152F2D">
        <w:rPr>
          <w:rFonts w:ascii="Times New Roman" w:hAnsi="Times New Roman" w:cs="Times New Roman"/>
          <w:color w:val="000000"/>
          <w:shd w:val="clear" w:color="auto" w:fill="FFFFFF"/>
        </w:rPr>
        <w:t>e hallaron diferencias entre hombres y mujeres en lo que respecta a s</w:t>
      </w:r>
      <w:r w:rsidR="007A2F92" w:rsidRPr="00152F2D">
        <w:rPr>
          <w:rFonts w:ascii="Times New Roman" w:hAnsi="Times New Roman" w:cs="Times New Roman"/>
          <w:color w:val="000000"/>
          <w:shd w:val="clear" w:color="auto" w:fill="FFFFFF"/>
        </w:rPr>
        <w:t xml:space="preserve">us </w:t>
      </w:r>
      <w:r w:rsidR="00564FF9">
        <w:rPr>
          <w:rFonts w:ascii="Times New Roman" w:hAnsi="Times New Roman" w:cs="Times New Roman"/>
          <w:color w:val="000000"/>
          <w:shd w:val="clear" w:color="auto" w:fill="FFFFFF"/>
        </w:rPr>
        <w:t>competencias genéricas (</w:t>
      </w:r>
      <w:r w:rsidR="00564FF9" w:rsidRPr="00782BC3">
        <w:rPr>
          <w:rFonts w:ascii="Times New Roman" w:hAnsi="Times New Roman" w:cs="Times New Roman"/>
          <w:i/>
          <w:color w:val="000000"/>
          <w:shd w:val="clear" w:color="auto" w:fill="FFFFFF"/>
        </w:rPr>
        <w:t>t</w:t>
      </w:r>
      <w:r w:rsidR="00914907">
        <w:rPr>
          <w:rFonts w:ascii="Times New Roman" w:hAnsi="Times New Roman" w:cs="Times New Roman"/>
          <w:color w:val="000000"/>
          <w:shd w:val="clear" w:color="auto" w:fill="FFFFFF"/>
        </w:rPr>
        <w:t xml:space="preserve"> </w:t>
      </w:r>
      <w:r w:rsidR="00564FF9">
        <w:rPr>
          <w:rFonts w:ascii="Times New Roman" w:hAnsi="Times New Roman" w:cs="Times New Roman"/>
          <w:color w:val="000000"/>
          <w:shd w:val="clear" w:color="auto" w:fill="FFFFFF"/>
        </w:rPr>
        <w:t>=</w:t>
      </w:r>
      <w:r w:rsidR="00914907">
        <w:rPr>
          <w:rFonts w:ascii="Times New Roman" w:hAnsi="Times New Roman" w:cs="Times New Roman"/>
          <w:color w:val="000000"/>
          <w:shd w:val="clear" w:color="auto" w:fill="FFFFFF"/>
        </w:rPr>
        <w:t xml:space="preserve"> </w:t>
      </w:r>
      <w:r w:rsidR="006931A7" w:rsidRPr="00152F2D">
        <w:rPr>
          <w:rFonts w:ascii="Times New Roman" w:hAnsi="Times New Roman" w:cs="Times New Roman"/>
          <w:color w:val="000000"/>
          <w:shd w:val="clear" w:color="auto" w:fill="FFFFFF"/>
        </w:rPr>
        <w:t>4</w:t>
      </w:r>
      <w:r w:rsidRPr="00152F2D">
        <w:rPr>
          <w:rFonts w:ascii="Times New Roman" w:hAnsi="Times New Roman" w:cs="Times New Roman"/>
          <w:color w:val="000000"/>
          <w:shd w:val="clear" w:color="auto" w:fill="FFFFFF"/>
        </w:rPr>
        <w:t>.</w:t>
      </w:r>
      <w:r w:rsidR="006931A7" w:rsidRPr="00152F2D">
        <w:rPr>
          <w:rFonts w:ascii="Times New Roman" w:hAnsi="Times New Roman" w:cs="Times New Roman"/>
          <w:color w:val="000000"/>
          <w:shd w:val="clear" w:color="auto" w:fill="FFFFFF"/>
        </w:rPr>
        <w:t>325</w:t>
      </w:r>
      <w:r w:rsidR="00914907">
        <w:rPr>
          <w:rFonts w:ascii="Times New Roman" w:hAnsi="Times New Roman" w:cs="Times New Roman"/>
          <w:color w:val="000000"/>
          <w:shd w:val="clear" w:color="auto" w:fill="FFFFFF"/>
        </w:rPr>
        <w:t>;</w:t>
      </w:r>
      <w:r w:rsidR="00564FF9">
        <w:rPr>
          <w:rFonts w:ascii="Times New Roman" w:hAnsi="Times New Roman" w:cs="Times New Roman"/>
          <w:color w:val="000000"/>
          <w:shd w:val="clear" w:color="auto" w:fill="FFFFFF"/>
        </w:rPr>
        <w:t xml:space="preserve"> </w:t>
      </w:r>
      <w:r w:rsidR="00564FF9" w:rsidRPr="00782BC3">
        <w:rPr>
          <w:rFonts w:ascii="Times New Roman" w:hAnsi="Times New Roman" w:cs="Times New Roman"/>
          <w:i/>
          <w:color w:val="000000"/>
          <w:shd w:val="clear" w:color="auto" w:fill="FFFFFF"/>
        </w:rPr>
        <w:t>p</w:t>
      </w:r>
      <w:r w:rsidR="00914907">
        <w:rPr>
          <w:rFonts w:ascii="Times New Roman" w:hAnsi="Times New Roman" w:cs="Times New Roman"/>
          <w:color w:val="000000"/>
          <w:shd w:val="clear" w:color="auto" w:fill="FFFFFF"/>
        </w:rPr>
        <w:t xml:space="preserve"> </w:t>
      </w:r>
      <w:r w:rsidR="00564FF9">
        <w:rPr>
          <w:rFonts w:ascii="Times New Roman" w:hAnsi="Times New Roman" w:cs="Times New Roman"/>
          <w:color w:val="000000"/>
          <w:shd w:val="clear" w:color="auto" w:fill="FFFFFF"/>
        </w:rPr>
        <w:t>=</w:t>
      </w:r>
      <w:r w:rsidR="00914907">
        <w:rPr>
          <w:rFonts w:ascii="Times New Roman" w:hAnsi="Times New Roman" w:cs="Times New Roman"/>
          <w:color w:val="000000"/>
          <w:shd w:val="clear" w:color="auto" w:fill="FFFFFF"/>
        </w:rPr>
        <w:t xml:space="preserve"> </w:t>
      </w:r>
      <w:r w:rsidR="007A2F92" w:rsidRPr="00152F2D">
        <w:rPr>
          <w:rFonts w:ascii="Times New Roman" w:hAnsi="Times New Roman" w:cs="Times New Roman"/>
          <w:color w:val="000000"/>
          <w:shd w:val="clear" w:color="auto" w:fill="FFFFFF"/>
        </w:rPr>
        <w:t>0.00), por lo que este hallazgo permite determinar que el género masculino se autoevaluó mejor que el género femenino.</w:t>
      </w:r>
      <w:r w:rsidR="00FE2040" w:rsidRPr="00152F2D">
        <w:rPr>
          <w:rFonts w:ascii="Times New Roman" w:hAnsi="Times New Roman" w:cs="Times New Roman"/>
          <w:color w:val="000000"/>
          <w:shd w:val="clear" w:color="auto" w:fill="FFFFFF"/>
        </w:rPr>
        <w:t xml:space="preserve"> </w:t>
      </w:r>
    </w:p>
    <w:p w14:paraId="71BF620B" w14:textId="41FA03C9" w:rsidR="00124DAB" w:rsidRDefault="00000267" w:rsidP="00782BC3">
      <w:pPr>
        <w:spacing w:after="0" w:line="360" w:lineRule="auto"/>
        <w:ind w:firstLine="708"/>
        <w:jc w:val="both"/>
        <w:rPr>
          <w:rFonts w:ascii="Times New Roman" w:hAnsi="Times New Roman" w:cs="Times New Roman"/>
          <w:color w:val="000000"/>
          <w:shd w:val="clear" w:color="auto" w:fill="FFFFFF"/>
        </w:rPr>
      </w:pPr>
      <w:r w:rsidRPr="00152F2D">
        <w:rPr>
          <w:rFonts w:ascii="Times New Roman" w:hAnsi="Times New Roman" w:cs="Times New Roman"/>
          <w:color w:val="000000"/>
          <w:shd w:val="clear" w:color="auto" w:fill="FFFFFF"/>
        </w:rPr>
        <w:t>Para</w:t>
      </w:r>
      <w:r w:rsidR="00D853BC" w:rsidRPr="00152F2D">
        <w:rPr>
          <w:rFonts w:ascii="Times New Roman" w:hAnsi="Times New Roman" w:cs="Times New Roman"/>
          <w:color w:val="000000"/>
          <w:shd w:val="clear" w:color="auto" w:fill="FFFFFF"/>
        </w:rPr>
        <w:t xml:space="preserve"> la edad,</w:t>
      </w:r>
      <w:r w:rsidR="00D853BC" w:rsidRPr="00152F2D">
        <w:rPr>
          <w:rFonts w:ascii="Times New Roman" w:hAnsi="Times New Roman" w:cs="Times New Roman"/>
        </w:rPr>
        <w:t xml:space="preserve"> se </w:t>
      </w:r>
      <w:r w:rsidR="00914907" w:rsidRPr="00152F2D">
        <w:rPr>
          <w:rFonts w:ascii="Times New Roman" w:hAnsi="Times New Roman" w:cs="Times New Roman"/>
        </w:rPr>
        <w:t>organiz</w:t>
      </w:r>
      <w:r w:rsidR="00914907">
        <w:rPr>
          <w:rFonts w:ascii="Times New Roman" w:hAnsi="Times New Roman" w:cs="Times New Roman"/>
        </w:rPr>
        <w:t>ó la muestra</w:t>
      </w:r>
      <w:r w:rsidR="00914907" w:rsidRPr="00152F2D">
        <w:rPr>
          <w:rFonts w:ascii="Times New Roman" w:hAnsi="Times New Roman" w:cs="Times New Roman"/>
        </w:rPr>
        <w:t xml:space="preserve"> </w:t>
      </w:r>
      <w:r w:rsidR="00D853BC" w:rsidRPr="00152F2D">
        <w:rPr>
          <w:rFonts w:ascii="Times New Roman" w:hAnsi="Times New Roman" w:cs="Times New Roman"/>
        </w:rPr>
        <w:t xml:space="preserve">en cuatro grupos con un rango de cinco años con la finalidad de emplear la prueba </w:t>
      </w:r>
      <w:r w:rsidR="00564FF9">
        <w:rPr>
          <w:rFonts w:ascii="Times New Roman" w:hAnsi="Times New Roman" w:cs="Times New Roman"/>
        </w:rPr>
        <w:t xml:space="preserve">de contraste de medias </w:t>
      </w:r>
      <w:proofErr w:type="spellStart"/>
      <w:r w:rsidR="00914907">
        <w:rPr>
          <w:rFonts w:ascii="Times New Roman" w:hAnsi="Times New Roman" w:cs="Times New Roman"/>
        </w:rPr>
        <w:t>Anova</w:t>
      </w:r>
      <w:proofErr w:type="spellEnd"/>
      <w:r w:rsidR="00914907">
        <w:rPr>
          <w:rFonts w:ascii="Times New Roman" w:hAnsi="Times New Roman" w:cs="Times New Roman"/>
        </w:rPr>
        <w:t xml:space="preserve"> </w:t>
      </w:r>
      <w:r w:rsidR="00564FF9">
        <w:rPr>
          <w:rFonts w:ascii="Times New Roman" w:hAnsi="Times New Roman" w:cs="Times New Roman"/>
        </w:rPr>
        <w:t>(</w:t>
      </w:r>
      <w:r w:rsidR="00564FF9" w:rsidRPr="00782BC3">
        <w:rPr>
          <w:rFonts w:ascii="Times New Roman" w:hAnsi="Times New Roman" w:cs="Times New Roman"/>
          <w:i/>
        </w:rPr>
        <w:t>F</w:t>
      </w:r>
      <w:r w:rsidR="00914907">
        <w:rPr>
          <w:rFonts w:ascii="Times New Roman" w:hAnsi="Times New Roman" w:cs="Times New Roman"/>
        </w:rPr>
        <w:t xml:space="preserve"> </w:t>
      </w:r>
      <w:r w:rsidR="00564FF9">
        <w:rPr>
          <w:rFonts w:ascii="Times New Roman" w:hAnsi="Times New Roman" w:cs="Times New Roman"/>
        </w:rPr>
        <w:t>=</w:t>
      </w:r>
      <w:r w:rsidR="00914907">
        <w:rPr>
          <w:rFonts w:ascii="Times New Roman" w:hAnsi="Times New Roman" w:cs="Times New Roman"/>
        </w:rPr>
        <w:t xml:space="preserve"> </w:t>
      </w:r>
      <w:r w:rsidR="006931A7" w:rsidRPr="00152F2D">
        <w:rPr>
          <w:rFonts w:ascii="Times New Roman" w:hAnsi="Times New Roman" w:cs="Times New Roman"/>
        </w:rPr>
        <w:t>8.234</w:t>
      </w:r>
      <w:r w:rsidR="00914907">
        <w:rPr>
          <w:rFonts w:ascii="Times New Roman" w:hAnsi="Times New Roman" w:cs="Times New Roman"/>
        </w:rPr>
        <w:t>;</w:t>
      </w:r>
      <w:r w:rsidR="00914907" w:rsidRPr="00152F2D">
        <w:rPr>
          <w:rFonts w:ascii="Times New Roman" w:hAnsi="Times New Roman" w:cs="Times New Roman"/>
        </w:rPr>
        <w:t xml:space="preserve"> </w:t>
      </w:r>
      <w:r w:rsidR="00D853BC" w:rsidRPr="00782BC3">
        <w:rPr>
          <w:rFonts w:ascii="Times New Roman" w:hAnsi="Times New Roman" w:cs="Times New Roman"/>
          <w:i/>
        </w:rPr>
        <w:t>p</w:t>
      </w:r>
      <w:r w:rsidR="00914907">
        <w:rPr>
          <w:rFonts w:ascii="Times New Roman" w:hAnsi="Times New Roman" w:cs="Times New Roman"/>
        </w:rPr>
        <w:t xml:space="preserve"> </w:t>
      </w:r>
      <w:r w:rsidR="007A2F92" w:rsidRPr="00152F2D">
        <w:rPr>
          <w:rFonts w:ascii="Times New Roman" w:hAnsi="Times New Roman" w:cs="Times New Roman"/>
        </w:rPr>
        <w:t>&lt; 0.05), por lo que se encontraron</w:t>
      </w:r>
      <w:r w:rsidR="00D853BC" w:rsidRPr="00152F2D">
        <w:rPr>
          <w:rFonts w:ascii="Times New Roman" w:hAnsi="Times New Roman" w:cs="Times New Roman"/>
        </w:rPr>
        <w:t xml:space="preserve"> diferencia</w:t>
      </w:r>
      <w:r w:rsidR="007A2F92" w:rsidRPr="00152F2D">
        <w:rPr>
          <w:rFonts w:ascii="Times New Roman" w:hAnsi="Times New Roman" w:cs="Times New Roman"/>
        </w:rPr>
        <w:t>s</w:t>
      </w:r>
      <w:r w:rsidR="00D853BC" w:rsidRPr="00152F2D">
        <w:rPr>
          <w:rFonts w:ascii="Times New Roman" w:hAnsi="Times New Roman" w:cs="Times New Roman"/>
        </w:rPr>
        <w:t xml:space="preserve"> significativa</w:t>
      </w:r>
      <w:r w:rsidR="007A2F92" w:rsidRPr="00152F2D">
        <w:rPr>
          <w:rFonts w:ascii="Times New Roman" w:hAnsi="Times New Roman" w:cs="Times New Roman"/>
        </w:rPr>
        <w:t>s, lo que implica que el alumnado de menor edad se autoevaluó con un puntaje más bajo que los de mayor edad.</w:t>
      </w:r>
      <w:r w:rsidR="00FE2040" w:rsidRPr="00152F2D">
        <w:rPr>
          <w:rFonts w:ascii="Times New Roman" w:hAnsi="Times New Roman" w:cs="Times New Roman"/>
          <w:color w:val="000000"/>
          <w:shd w:val="clear" w:color="auto" w:fill="FFFFFF"/>
        </w:rPr>
        <w:t xml:space="preserve"> </w:t>
      </w:r>
    </w:p>
    <w:p w14:paraId="56213F73" w14:textId="19C9D609" w:rsidR="00000267" w:rsidRPr="00152F2D" w:rsidRDefault="00000267" w:rsidP="00782BC3">
      <w:pPr>
        <w:spacing w:after="0" w:line="360" w:lineRule="auto"/>
        <w:ind w:firstLine="708"/>
        <w:jc w:val="both"/>
        <w:rPr>
          <w:rFonts w:ascii="Times New Roman" w:hAnsi="Times New Roman" w:cs="Times New Roman"/>
        </w:rPr>
      </w:pPr>
      <w:r w:rsidRPr="00152F2D">
        <w:rPr>
          <w:rFonts w:ascii="Times New Roman" w:hAnsi="Times New Roman" w:cs="Times New Roman"/>
          <w:color w:val="000000"/>
          <w:shd w:val="clear" w:color="auto" w:fill="FFFFFF"/>
        </w:rPr>
        <w:t>Con respecto a</w:t>
      </w:r>
      <w:r w:rsidR="00D853BC" w:rsidRPr="00152F2D">
        <w:rPr>
          <w:rFonts w:ascii="Times New Roman" w:hAnsi="Times New Roman" w:cs="Times New Roman"/>
          <w:color w:val="000000"/>
          <w:shd w:val="clear" w:color="auto" w:fill="FFFFFF"/>
        </w:rPr>
        <w:t xml:space="preserve"> la experiencia laboral, también se organizó en cinco grupos con intervalos de cinco años para uti</w:t>
      </w:r>
      <w:r w:rsidR="00564FF9">
        <w:rPr>
          <w:rFonts w:ascii="Times New Roman" w:hAnsi="Times New Roman" w:cs="Times New Roman"/>
          <w:color w:val="000000"/>
          <w:shd w:val="clear" w:color="auto" w:fill="FFFFFF"/>
        </w:rPr>
        <w:t xml:space="preserve">lizar la prueba </w:t>
      </w:r>
      <w:proofErr w:type="spellStart"/>
      <w:r w:rsidR="00914907">
        <w:rPr>
          <w:rFonts w:ascii="Times New Roman" w:hAnsi="Times New Roman" w:cs="Times New Roman"/>
          <w:color w:val="000000"/>
          <w:shd w:val="clear" w:color="auto" w:fill="FFFFFF"/>
        </w:rPr>
        <w:t>Anova</w:t>
      </w:r>
      <w:proofErr w:type="spellEnd"/>
      <w:r w:rsidR="00914907">
        <w:rPr>
          <w:rFonts w:ascii="Times New Roman" w:hAnsi="Times New Roman" w:cs="Times New Roman"/>
          <w:color w:val="000000"/>
          <w:shd w:val="clear" w:color="auto" w:fill="FFFFFF"/>
        </w:rPr>
        <w:t xml:space="preserve"> </w:t>
      </w:r>
      <w:r w:rsidR="00564FF9">
        <w:rPr>
          <w:rFonts w:ascii="Times New Roman" w:hAnsi="Times New Roman" w:cs="Times New Roman"/>
          <w:color w:val="000000"/>
          <w:shd w:val="clear" w:color="auto" w:fill="FFFFFF"/>
        </w:rPr>
        <w:t>(</w:t>
      </w:r>
      <w:r w:rsidR="00564FF9" w:rsidRPr="00782BC3">
        <w:rPr>
          <w:rFonts w:ascii="Times New Roman" w:hAnsi="Times New Roman" w:cs="Times New Roman"/>
          <w:i/>
          <w:color w:val="000000"/>
          <w:shd w:val="clear" w:color="auto" w:fill="FFFFFF"/>
        </w:rPr>
        <w:t>F</w:t>
      </w:r>
      <w:r w:rsidR="00914907">
        <w:rPr>
          <w:rFonts w:ascii="Times New Roman" w:hAnsi="Times New Roman" w:cs="Times New Roman"/>
          <w:color w:val="000000"/>
          <w:shd w:val="clear" w:color="auto" w:fill="FFFFFF"/>
        </w:rPr>
        <w:t xml:space="preserve"> </w:t>
      </w:r>
      <w:r w:rsidR="00564FF9">
        <w:rPr>
          <w:rFonts w:ascii="Times New Roman" w:hAnsi="Times New Roman" w:cs="Times New Roman"/>
          <w:color w:val="000000"/>
          <w:shd w:val="clear" w:color="auto" w:fill="FFFFFF"/>
        </w:rPr>
        <w:t>=</w:t>
      </w:r>
      <w:r w:rsidR="00914907">
        <w:rPr>
          <w:rFonts w:ascii="Times New Roman" w:hAnsi="Times New Roman" w:cs="Times New Roman"/>
          <w:color w:val="000000"/>
          <w:shd w:val="clear" w:color="auto" w:fill="FFFFFF"/>
        </w:rPr>
        <w:t xml:space="preserve"> </w:t>
      </w:r>
      <w:r w:rsidR="006931A7" w:rsidRPr="00152F2D">
        <w:rPr>
          <w:rFonts w:ascii="Times New Roman" w:hAnsi="Times New Roman" w:cs="Times New Roman"/>
          <w:color w:val="000000"/>
          <w:shd w:val="clear" w:color="auto" w:fill="FFFFFF"/>
        </w:rPr>
        <w:t>6.195</w:t>
      </w:r>
      <w:r w:rsidR="00914907">
        <w:rPr>
          <w:rFonts w:ascii="Times New Roman" w:hAnsi="Times New Roman" w:cs="Times New Roman"/>
          <w:color w:val="000000"/>
          <w:shd w:val="clear" w:color="auto" w:fill="FFFFFF"/>
        </w:rPr>
        <w:t>;</w:t>
      </w:r>
      <w:r w:rsidR="00914907" w:rsidRPr="00152F2D">
        <w:rPr>
          <w:rFonts w:ascii="Times New Roman" w:hAnsi="Times New Roman" w:cs="Times New Roman"/>
          <w:color w:val="000000"/>
          <w:shd w:val="clear" w:color="auto" w:fill="FFFFFF"/>
        </w:rPr>
        <w:t xml:space="preserve"> </w:t>
      </w:r>
      <w:r w:rsidR="00564FF9" w:rsidRPr="00782BC3">
        <w:rPr>
          <w:rFonts w:ascii="Times New Roman" w:hAnsi="Times New Roman" w:cs="Times New Roman"/>
          <w:i/>
        </w:rPr>
        <w:t>p</w:t>
      </w:r>
      <w:r w:rsidR="00914907">
        <w:rPr>
          <w:rFonts w:ascii="Times New Roman" w:hAnsi="Times New Roman" w:cs="Times New Roman"/>
        </w:rPr>
        <w:t xml:space="preserve"> </w:t>
      </w:r>
      <w:r w:rsidR="00D853BC" w:rsidRPr="00152F2D">
        <w:rPr>
          <w:rFonts w:ascii="Times New Roman" w:hAnsi="Times New Roman" w:cs="Times New Roman"/>
        </w:rPr>
        <w:t xml:space="preserve">&lt; 0.05), en donde </w:t>
      </w:r>
      <w:r w:rsidR="007A2F92" w:rsidRPr="00152F2D">
        <w:rPr>
          <w:rFonts w:ascii="Times New Roman" w:hAnsi="Times New Roman" w:cs="Times New Roman"/>
        </w:rPr>
        <w:t xml:space="preserve">también </w:t>
      </w:r>
      <w:r w:rsidRPr="00152F2D">
        <w:rPr>
          <w:rFonts w:ascii="Times New Roman" w:hAnsi="Times New Roman" w:cs="Times New Roman"/>
        </w:rPr>
        <w:t>existen diferencias</w:t>
      </w:r>
      <w:r w:rsidR="00D853BC" w:rsidRPr="00152F2D">
        <w:rPr>
          <w:rFonts w:ascii="Times New Roman" w:hAnsi="Times New Roman" w:cs="Times New Roman"/>
        </w:rPr>
        <w:t xml:space="preserve"> significativa</w:t>
      </w:r>
      <w:r w:rsidR="007A2F92" w:rsidRPr="00152F2D">
        <w:rPr>
          <w:rFonts w:ascii="Times New Roman" w:hAnsi="Times New Roman" w:cs="Times New Roman"/>
        </w:rPr>
        <w:t>s</w:t>
      </w:r>
      <w:r w:rsidR="00914907">
        <w:rPr>
          <w:rFonts w:ascii="Times New Roman" w:hAnsi="Times New Roman" w:cs="Times New Roman"/>
        </w:rPr>
        <w:t>: el</w:t>
      </w:r>
      <w:r w:rsidR="007A2F92" w:rsidRPr="00152F2D">
        <w:rPr>
          <w:rFonts w:ascii="Times New Roman" w:hAnsi="Times New Roman" w:cs="Times New Roman"/>
        </w:rPr>
        <w:t xml:space="preserve"> grupo de mayor experiencia se autoevaluó con el mayor puntaje con respecto a los demás</w:t>
      </w:r>
      <w:r w:rsidR="00D853BC" w:rsidRPr="00152F2D">
        <w:rPr>
          <w:rFonts w:ascii="Times New Roman" w:hAnsi="Times New Roman" w:cs="Times New Roman"/>
        </w:rPr>
        <w:t>.</w:t>
      </w:r>
      <w:r w:rsidR="00FE2040" w:rsidRPr="00152F2D">
        <w:rPr>
          <w:rFonts w:ascii="Times New Roman" w:hAnsi="Times New Roman" w:cs="Times New Roman"/>
          <w:color w:val="000000"/>
          <w:shd w:val="clear" w:color="auto" w:fill="FFFFFF"/>
        </w:rPr>
        <w:t xml:space="preserve"> </w:t>
      </w:r>
      <w:r w:rsidRPr="00152F2D">
        <w:rPr>
          <w:rFonts w:ascii="Times New Roman" w:hAnsi="Times New Roman" w:cs="Times New Roman"/>
        </w:rPr>
        <w:t>Mientras que, para el nivel académico, se determinó la presencia de diferencias significativas a part</w:t>
      </w:r>
      <w:r w:rsidR="00564FF9">
        <w:rPr>
          <w:rFonts w:ascii="Times New Roman" w:hAnsi="Times New Roman" w:cs="Times New Roman"/>
        </w:rPr>
        <w:t xml:space="preserve">ir de </w:t>
      </w:r>
      <w:r w:rsidR="00914907">
        <w:rPr>
          <w:rFonts w:ascii="Times New Roman" w:hAnsi="Times New Roman" w:cs="Times New Roman"/>
        </w:rPr>
        <w:t>esta misma prueba</w:t>
      </w:r>
      <w:r w:rsidR="00564FF9">
        <w:rPr>
          <w:rFonts w:ascii="Times New Roman" w:hAnsi="Times New Roman" w:cs="Times New Roman"/>
        </w:rPr>
        <w:t xml:space="preserve"> (</w:t>
      </w:r>
      <w:r w:rsidR="00564FF9" w:rsidRPr="00782BC3">
        <w:rPr>
          <w:rFonts w:ascii="Times New Roman" w:hAnsi="Times New Roman" w:cs="Times New Roman"/>
          <w:i/>
        </w:rPr>
        <w:t>F</w:t>
      </w:r>
      <w:r w:rsidR="00914907">
        <w:rPr>
          <w:rFonts w:ascii="Times New Roman" w:hAnsi="Times New Roman" w:cs="Times New Roman"/>
        </w:rPr>
        <w:t xml:space="preserve"> </w:t>
      </w:r>
      <w:r w:rsidR="00564FF9">
        <w:rPr>
          <w:rFonts w:ascii="Times New Roman" w:hAnsi="Times New Roman" w:cs="Times New Roman"/>
        </w:rPr>
        <w:t>=</w:t>
      </w:r>
      <w:r w:rsidR="00914907">
        <w:rPr>
          <w:rFonts w:ascii="Times New Roman" w:hAnsi="Times New Roman" w:cs="Times New Roman"/>
        </w:rPr>
        <w:t xml:space="preserve"> </w:t>
      </w:r>
      <w:r w:rsidR="006931A7" w:rsidRPr="00152F2D">
        <w:rPr>
          <w:rFonts w:ascii="Times New Roman" w:hAnsi="Times New Roman" w:cs="Times New Roman"/>
        </w:rPr>
        <w:t>5.725</w:t>
      </w:r>
      <w:r w:rsidR="00914907">
        <w:rPr>
          <w:rFonts w:ascii="Times New Roman" w:hAnsi="Times New Roman" w:cs="Times New Roman"/>
        </w:rPr>
        <w:t xml:space="preserve">; </w:t>
      </w:r>
      <w:r w:rsidR="00564FF9" w:rsidRPr="00782BC3">
        <w:rPr>
          <w:rFonts w:ascii="Times New Roman" w:hAnsi="Times New Roman" w:cs="Times New Roman"/>
          <w:i/>
        </w:rPr>
        <w:t>p</w:t>
      </w:r>
      <w:r w:rsidR="00914907">
        <w:rPr>
          <w:rFonts w:ascii="Times New Roman" w:hAnsi="Times New Roman" w:cs="Times New Roman"/>
          <w:i/>
        </w:rPr>
        <w:t xml:space="preserve"> </w:t>
      </w:r>
      <w:r w:rsidR="00564FF9">
        <w:rPr>
          <w:rFonts w:ascii="Times New Roman" w:hAnsi="Times New Roman" w:cs="Times New Roman"/>
        </w:rPr>
        <w:t>&lt;</w:t>
      </w:r>
      <w:r w:rsidR="00914907">
        <w:rPr>
          <w:rFonts w:ascii="Times New Roman" w:hAnsi="Times New Roman" w:cs="Times New Roman"/>
        </w:rPr>
        <w:t xml:space="preserve"> </w:t>
      </w:r>
      <w:r w:rsidRPr="00152F2D">
        <w:rPr>
          <w:rFonts w:ascii="Times New Roman" w:hAnsi="Times New Roman" w:cs="Times New Roman"/>
        </w:rPr>
        <w:t>0.05), en donde el estudiantado de primer año se autoevaluó con el puntaje más bajo con relación a los de cuarto año.</w:t>
      </w:r>
    </w:p>
    <w:p w14:paraId="548BF791" w14:textId="77777777" w:rsidR="007154BA" w:rsidRDefault="007154BA" w:rsidP="00E462DD">
      <w:pPr>
        <w:spacing w:after="0" w:line="360" w:lineRule="auto"/>
        <w:jc w:val="both"/>
        <w:rPr>
          <w:rFonts w:ascii="Times New Roman" w:hAnsi="Times New Roman" w:cs="Times New Roman"/>
          <w:b/>
        </w:rPr>
      </w:pPr>
    </w:p>
    <w:p w14:paraId="18A558E2" w14:textId="77777777" w:rsidR="0054334D" w:rsidRPr="00782BC3" w:rsidRDefault="0054334D" w:rsidP="00782BC3">
      <w:pPr>
        <w:spacing w:after="0" w:line="360" w:lineRule="auto"/>
        <w:rPr>
          <w:rFonts w:ascii="Calibri" w:eastAsia="Times New Roman" w:hAnsi="Calibri" w:cs="Calibri"/>
          <w:b/>
          <w:color w:val="000000"/>
          <w:sz w:val="28"/>
          <w:szCs w:val="28"/>
          <w:lang w:eastAsia="es-MX"/>
        </w:rPr>
      </w:pPr>
      <w:r w:rsidRPr="00782BC3">
        <w:rPr>
          <w:rFonts w:ascii="Calibri" w:eastAsia="Times New Roman" w:hAnsi="Calibri" w:cs="Calibri"/>
          <w:b/>
          <w:color w:val="000000"/>
          <w:sz w:val="28"/>
          <w:szCs w:val="28"/>
          <w:lang w:eastAsia="es-MX"/>
        </w:rPr>
        <w:t>Discusión</w:t>
      </w:r>
    </w:p>
    <w:p w14:paraId="1A4F9C76" w14:textId="7B83BA69" w:rsidR="00F427D8" w:rsidRDefault="00914907" w:rsidP="00782BC3">
      <w:pPr>
        <w:spacing w:after="0" w:line="360" w:lineRule="auto"/>
        <w:ind w:firstLine="708"/>
        <w:jc w:val="both"/>
        <w:rPr>
          <w:rFonts w:ascii="Times New Roman" w:hAnsi="Times New Roman" w:cs="Times New Roman"/>
          <w:lang w:val="es-ES"/>
        </w:rPr>
      </w:pPr>
      <w:r>
        <w:rPr>
          <w:rFonts w:ascii="Times New Roman" w:hAnsi="Times New Roman" w:cs="Times New Roman"/>
          <w:lang w:val="es-ES"/>
        </w:rPr>
        <w:t>P</w:t>
      </w:r>
      <w:r w:rsidR="0054334D" w:rsidRPr="00152F2D">
        <w:rPr>
          <w:rFonts w:ascii="Times New Roman" w:hAnsi="Times New Roman" w:cs="Times New Roman"/>
          <w:lang w:val="es-ES"/>
        </w:rPr>
        <w:t xml:space="preserve">ara esta investigación se </w:t>
      </w:r>
      <w:r>
        <w:rPr>
          <w:rFonts w:ascii="Times New Roman" w:hAnsi="Times New Roman" w:cs="Times New Roman"/>
          <w:lang w:val="es-ES"/>
        </w:rPr>
        <w:t>encontró</w:t>
      </w:r>
      <w:r w:rsidRPr="00152F2D">
        <w:rPr>
          <w:rFonts w:ascii="Times New Roman" w:hAnsi="Times New Roman" w:cs="Times New Roman"/>
          <w:lang w:val="es-ES"/>
        </w:rPr>
        <w:t xml:space="preserve"> </w:t>
      </w:r>
      <w:r w:rsidR="0054334D" w:rsidRPr="00152F2D">
        <w:rPr>
          <w:rFonts w:ascii="Times New Roman" w:hAnsi="Times New Roman" w:cs="Times New Roman"/>
          <w:lang w:val="es-ES"/>
        </w:rPr>
        <w:t>un resultado similar con el estudio de Durán y Estay (2012)</w:t>
      </w:r>
      <w:r>
        <w:rPr>
          <w:rFonts w:ascii="Times New Roman" w:hAnsi="Times New Roman" w:cs="Times New Roman"/>
          <w:lang w:val="es-ES"/>
        </w:rPr>
        <w:t>,</w:t>
      </w:r>
      <w:r w:rsidR="0054334D" w:rsidRPr="00152F2D">
        <w:rPr>
          <w:rFonts w:ascii="Times New Roman" w:hAnsi="Times New Roman" w:cs="Times New Roman"/>
          <w:lang w:val="es-ES"/>
        </w:rPr>
        <w:t xml:space="preserve"> así como</w:t>
      </w:r>
      <w:r>
        <w:rPr>
          <w:rFonts w:ascii="Times New Roman" w:hAnsi="Times New Roman" w:cs="Times New Roman"/>
          <w:lang w:val="es-ES"/>
        </w:rPr>
        <w:t xml:space="preserve"> en el</w:t>
      </w:r>
      <w:r w:rsidR="0054334D" w:rsidRPr="00152F2D">
        <w:rPr>
          <w:rFonts w:ascii="Times New Roman" w:hAnsi="Times New Roman" w:cs="Times New Roman"/>
          <w:lang w:val="es-ES"/>
        </w:rPr>
        <w:t xml:space="preserve"> de Medina</w:t>
      </w:r>
      <w:r w:rsidR="00126CFF">
        <w:rPr>
          <w:rFonts w:ascii="Times New Roman" w:hAnsi="Times New Roman" w:cs="Times New Roman"/>
          <w:lang w:val="es-ES"/>
        </w:rPr>
        <w:t xml:space="preserve"> </w:t>
      </w:r>
      <w:r w:rsidR="00126CFF">
        <w:rPr>
          <w:rFonts w:ascii="Times New Roman" w:hAnsi="Times New Roman" w:cs="Times New Roman"/>
          <w:i/>
          <w:lang w:val="es-ES"/>
        </w:rPr>
        <w:t>et al.</w:t>
      </w:r>
      <w:r w:rsidR="0054334D" w:rsidRPr="00152F2D">
        <w:rPr>
          <w:rFonts w:ascii="Times New Roman" w:hAnsi="Times New Roman" w:cs="Times New Roman"/>
          <w:lang w:val="es-ES"/>
        </w:rPr>
        <w:t xml:space="preserve"> (2010)</w:t>
      </w:r>
      <w:r>
        <w:rPr>
          <w:rFonts w:ascii="Times New Roman" w:hAnsi="Times New Roman" w:cs="Times New Roman"/>
          <w:lang w:val="es-ES"/>
        </w:rPr>
        <w:t>,</w:t>
      </w:r>
      <w:r w:rsidR="0054334D" w:rsidRPr="00152F2D">
        <w:rPr>
          <w:rFonts w:ascii="Times New Roman" w:hAnsi="Times New Roman" w:cs="Times New Roman"/>
          <w:lang w:val="es-ES"/>
        </w:rPr>
        <w:t xml:space="preserve"> en cuanto a las competencias genéricas más desarrolladas</w:t>
      </w:r>
      <w:r>
        <w:rPr>
          <w:rFonts w:ascii="Times New Roman" w:hAnsi="Times New Roman" w:cs="Times New Roman"/>
          <w:lang w:val="es-ES"/>
        </w:rPr>
        <w:t>, a saber,</w:t>
      </w:r>
      <w:r w:rsidR="0054334D" w:rsidRPr="00152F2D">
        <w:rPr>
          <w:rFonts w:ascii="Times New Roman" w:hAnsi="Times New Roman" w:cs="Times New Roman"/>
          <w:lang w:val="es-ES"/>
        </w:rPr>
        <w:t xml:space="preserve"> la capacidad de aplicar los conocimientos en la práctica, así como el empleo de las TIC. También se identificó que en ambos estudios la competencia sobre la capacidad de </w:t>
      </w:r>
      <w:r w:rsidR="0054334D" w:rsidRPr="00152F2D">
        <w:rPr>
          <w:rFonts w:ascii="Times New Roman" w:hAnsi="Times New Roman" w:cs="Times New Roman"/>
          <w:lang w:val="es-ES"/>
        </w:rPr>
        <w:lastRenderedPageBreak/>
        <w:t xml:space="preserve">trabajar fue la que obtuvo la menor evaluación por parte de los encuestados. Asimismo, este estudio coincide con el hallazgo </w:t>
      </w:r>
      <w:r>
        <w:rPr>
          <w:rFonts w:ascii="Times New Roman" w:hAnsi="Times New Roman" w:cs="Times New Roman"/>
          <w:lang w:val="es-ES"/>
        </w:rPr>
        <w:t>de</w:t>
      </w:r>
      <w:r w:rsidR="0054334D" w:rsidRPr="00152F2D">
        <w:rPr>
          <w:rFonts w:ascii="Times New Roman" w:hAnsi="Times New Roman" w:cs="Times New Roman"/>
          <w:lang w:val="es-ES"/>
        </w:rPr>
        <w:t xml:space="preserve"> Farías y </w:t>
      </w:r>
      <w:proofErr w:type="spellStart"/>
      <w:r w:rsidR="0054334D" w:rsidRPr="00152F2D">
        <w:rPr>
          <w:rFonts w:ascii="Times New Roman" w:hAnsi="Times New Roman" w:cs="Times New Roman"/>
          <w:lang w:val="es-ES"/>
        </w:rPr>
        <w:t>Firinguetti</w:t>
      </w:r>
      <w:proofErr w:type="spellEnd"/>
      <w:r w:rsidR="0054334D" w:rsidRPr="00152F2D">
        <w:rPr>
          <w:rFonts w:ascii="Times New Roman" w:hAnsi="Times New Roman" w:cs="Times New Roman"/>
          <w:lang w:val="es-ES"/>
        </w:rPr>
        <w:t xml:space="preserve"> (2012) </w:t>
      </w:r>
      <w:r>
        <w:rPr>
          <w:rFonts w:ascii="Times New Roman" w:hAnsi="Times New Roman" w:cs="Times New Roman"/>
          <w:lang w:val="es-ES"/>
        </w:rPr>
        <w:t>respecto</w:t>
      </w:r>
      <w:r w:rsidR="0054334D" w:rsidRPr="00152F2D">
        <w:rPr>
          <w:rFonts w:ascii="Times New Roman" w:hAnsi="Times New Roman" w:cs="Times New Roman"/>
          <w:lang w:val="es-ES"/>
        </w:rPr>
        <w:t xml:space="preserve"> a las competencias genéricas con menor nivel de desarrollo</w:t>
      </w:r>
      <w:r>
        <w:rPr>
          <w:rFonts w:ascii="Times New Roman" w:hAnsi="Times New Roman" w:cs="Times New Roman"/>
          <w:lang w:val="es-ES"/>
        </w:rPr>
        <w:t>:</w:t>
      </w:r>
      <w:r w:rsidR="0054334D" w:rsidRPr="00152F2D">
        <w:rPr>
          <w:rFonts w:ascii="Times New Roman" w:hAnsi="Times New Roman" w:cs="Times New Roman"/>
          <w:lang w:val="es-ES"/>
        </w:rPr>
        <w:t xml:space="preserve"> la capacidad de comunicación en un segundo idioma y la habilidad para trabajar en contextos internacionales. </w:t>
      </w:r>
    </w:p>
    <w:p w14:paraId="7B3223D8" w14:textId="2FF1A4E9" w:rsidR="00F427D8" w:rsidRDefault="00914907" w:rsidP="00782BC3">
      <w:pPr>
        <w:spacing w:after="0" w:line="360" w:lineRule="auto"/>
        <w:ind w:firstLine="708"/>
        <w:jc w:val="both"/>
        <w:rPr>
          <w:rFonts w:ascii="Times New Roman" w:hAnsi="Times New Roman" w:cs="Times New Roman"/>
        </w:rPr>
      </w:pPr>
      <w:r>
        <w:rPr>
          <w:rFonts w:ascii="Times New Roman" w:hAnsi="Times New Roman" w:cs="Times New Roman"/>
          <w:lang w:val="es-ES"/>
        </w:rPr>
        <w:t>Aunado a lo anterior</w:t>
      </w:r>
      <w:r w:rsidR="0054334D" w:rsidRPr="00152F2D">
        <w:rPr>
          <w:rFonts w:ascii="Times New Roman" w:hAnsi="Times New Roman" w:cs="Times New Roman"/>
          <w:lang w:val="es-ES"/>
        </w:rPr>
        <w:t xml:space="preserve">, se obtuvo un resultado similar con </w:t>
      </w:r>
      <w:r>
        <w:rPr>
          <w:rFonts w:ascii="Times New Roman" w:hAnsi="Times New Roman" w:cs="Times New Roman"/>
          <w:lang w:val="es-ES"/>
        </w:rPr>
        <w:t>el mismo trabajo de</w:t>
      </w:r>
      <w:r w:rsidRPr="00152F2D">
        <w:rPr>
          <w:rFonts w:ascii="Times New Roman" w:hAnsi="Times New Roman" w:cs="Times New Roman"/>
          <w:lang w:val="es-ES"/>
        </w:rPr>
        <w:t xml:space="preserve"> Farías y </w:t>
      </w:r>
      <w:proofErr w:type="spellStart"/>
      <w:r w:rsidRPr="00152F2D">
        <w:rPr>
          <w:rFonts w:ascii="Times New Roman" w:hAnsi="Times New Roman" w:cs="Times New Roman"/>
          <w:lang w:val="es-ES"/>
        </w:rPr>
        <w:t>Firinguetti</w:t>
      </w:r>
      <w:proofErr w:type="spellEnd"/>
      <w:r w:rsidRPr="00152F2D">
        <w:rPr>
          <w:rFonts w:ascii="Times New Roman" w:hAnsi="Times New Roman" w:cs="Times New Roman"/>
          <w:lang w:val="es-ES"/>
        </w:rPr>
        <w:t xml:space="preserve"> (2012) </w:t>
      </w:r>
      <w:r w:rsidR="0054334D" w:rsidRPr="00152F2D">
        <w:rPr>
          <w:rFonts w:ascii="Times New Roman" w:hAnsi="Times New Roman" w:cs="Times New Roman"/>
          <w:lang w:val="es-ES"/>
        </w:rPr>
        <w:t>en lo que se refiere a la competencia sistémica mayor desarrollada</w:t>
      </w:r>
      <w:r>
        <w:rPr>
          <w:rFonts w:ascii="Times New Roman" w:hAnsi="Times New Roman" w:cs="Times New Roman"/>
          <w:lang w:val="es-ES"/>
        </w:rPr>
        <w:t>, a saber,</w:t>
      </w:r>
      <w:r w:rsidR="0054334D" w:rsidRPr="00152F2D">
        <w:rPr>
          <w:rFonts w:ascii="Times New Roman" w:hAnsi="Times New Roman" w:cs="Times New Roman"/>
          <w:lang w:val="es-ES"/>
        </w:rPr>
        <w:t xml:space="preserve"> la capacidad para formular y gestionar proyectos. De la misma forma, se identificó otro resultado similar en lo que respecta a la satisfacción por cursar los estudios en modalidad virtual con el </w:t>
      </w:r>
      <w:r w:rsidR="0054334D" w:rsidRPr="00152F2D">
        <w:rPr>
          <w:rFonts w:ascii="Times New Roman" w:eastAsia="Times New Roman" w:hAnsi="Times New Roman" w:cs="Times New Roman"/>
          <w:lang w:eastAsia="es-MX"/>
        </w:rPr>
        <w:t xml:space="preserve">de </w:t>
      </w:r>
      <w:r w:rsidR="0054334D" w:rsidRPr="00152F2D">
        <w:rPr>
          <w:rFonts w:ascii="Times New Roman" w:hAnsi="Times New Roman" w:cs="Times New Roman"/>
        </w:rPr>
        <w:t>Cabero</w:t>
      </w:r>
      <w:r w:rsidR="00126CFF">
        <w:rPr>
          <w:rFonts w:ascii="Times New Roman" w:hAnsi="Times New Roman" w:cs="Times New Roman"/>
        </w:rPr>
        <w:t xml:space="preserve"> </w:t>
      </w:r>
      <w:r w:rsidR="00126CFF" w:rsidRPr="00782BC3">
        <w:rPr>
          <w:rFonts w:ascii="Times New Roman" w:hAnsi="Times New Roman" w:cs="Times New Roman"/>
          <w:i/>
        </w:rPr>
        <w:t>et al.</w:t>
      </w:r>
      <w:r w:rsidR="0054334D" w:rsidRPr="00152F2D">
        <w:rPr>
          <w:rFonts w:ascii="Times New Roman" w:hAnsi="Times New Roman" w:cs="Times New Roman"/>
        </w:rPr>
        <w:t xml:space="preserve"> (2010)</w:t>
      </w:r>
      <w:r>
        <w:rPr>
          <w:rFonts w:ascii="Times New Roman" w:hAnsi="Times New Roman" w:cs="Times New Roman"/>
        </w:rPr>
        <w:t xml:space="preserve">: </w:t>
      </w:r>
      <w:r w:rsidR="0054334D" w:rsidRPr="00152F2D">
        <w:rPr>
          <w:rFonts w:ascii="Times New Roman" w:hAnsi="Times New Roman" w:cs="Times New Roman"/>
        </w:rPr>
        <w:t xml:space="preserve">la posibilidad de alternar sus actividades laborales y personales con su trayecto formativo de licenciatura. </w:t>
      </w:r>
    </w:p>
    <w:p w14:paraId="4D961286" w14:textId="22AA470C" w:rsidR="0054334D" w:rsidRPr="00152F2D" w:rsidRDefault="0054334D" w:rsidP="00782BC3">
      <w:pPr>
        <w:spacing w:after="0" w:line="360" w:lineRule="auto"/>
        <w:ind w:firstLine="708"/>
        <w:jc w:val="both"/>
        <w:rPr>
          <w:rFonts w:ascii="Times New Roman" w:hAnsi="Times New Roman" w:cs="Times New Roman"/>
          <w:lang w:val="es-ES"/>
        </w:rPr>
      </w:pPr>
      <w:r w:rsidRPr="00152F2D">
        <w:rPr>
          <w:rFonts w:ascii="Times New Roman" w:hAnsi="Times New Roman" w:cs="Times New Roman"/>
          <w:lang w:val="es-ES"/>
        </w:rPr>
        <w:t>Por otro lado, esta investigación difiere del</w:t>
      </w:r>
      <w:r w:rsidR="00914907">
        <w:rPr>
          <w:rFonts w:ascii="Times New Roman" w:hAnsi="Times New Roman" w:cs="Times New Roman"/>
          <w:lang w:val="es-ES"/>
        </w:rPr>
        <w:t xml:space="preserve"> trabajo</w:t>
      </w:r>
      <w:r w:rsidRPr="00152F2D">
        <w:rPr>
          <w:rFonts w:ascii="Times New Roman" w:hAnsi="Times New Roman" w:cs="Times New Roman"/>
          <w:lang w:val="es-ES"/>
        </w:rPr>
        <w:t xml:space="preserve"> efectuado por </w:t>
      </w:r>
      <w:proofErr w:type="spellStart"/>
      <w:r w:rsidRPr="00152F2D">
        <w:rPr>
          <w:rFonts w:ascii="Times New Roman" w:hAnsi="Times New Roman" w:cs="Times New Roman"/>
          <w:lang w:val="es-ES"/>
        </w:rPr>
        <w:t>Brenzini</w:t>
      </w:r>
      <w:proofErr w:type="spellEnd"/>
      <w:r w:rsidRPr="00152F2D">
        <w:rPr>
          <w:rFonts w:ascii="Times New Roman" w:hAnsi="Times New Roman" w:cs="Times New Roman"/>
          <w:lang w:val="es-ES"/>
        </w:rPr>
        <w:t xml:space="preserve"> y Martínez (2012) en cuanto al manejo de las TIC</w:t>
      </w:r>
      <w:r w:rsidR="00914907">
        <w:rPr>
          <w:rFonts w:ascii="Times New Roman" w:hAnsi="Times New Roman" w:cs="Times New Roman"/>
          <w:lang w:val="es-ES"/>
        </w:rPr>
        <w:t>,</w:t>
      </w:r>
      <w:r w:rsidRPr="00152F2D">
        <w:rPr>
          <w:rFonts w:ascii="Times New Roman" w:hAnsi="Times New Roman" w:cs="Times New Roman"/>
          <w:lang w:val="es-ES"/>
        </w:rPr>
        <w:t xml:space="preserve"> que fue una de las competencias con mayor nivel de desarrollo que se determinó para el presente estudio. En cambio, se coincide con la competencia acerca del conocimiento de una segunda lengua con un nivel de desarrollo insuficiente.  </w:t>
      </w:r>
    </w:p>
    <w:p w14:paraId="11517EAA" w14:textId="64504ED1" w:rsidR="0054334D" w:rsidRPr="00152F2D" w:rsidRDefault="0054334D" w:rsidP="00782BC3">
      <w:pPr>
        <w:spacing w:after="0" w:line="360" w:lineRule="auto"/>
        <w:ind w:firstLine="708"/>
        <w:jc w:val="both"/>
        <w:rPr>
          <w:rFonts w:ascii="Times New Roman" w:hAnsi="Times New Roman" w:cs="Times New Roman"/>
        </w:rPr>
      </w:pPr>
      <w:r w:rsidRPr="00152F2D">
        <w:rPr>
          <w:rFonts w:ascii="Times New Roman" w:hAnsi="Times New Roman" w:cs="Times New Roman"/>
        </w:rPr>
        <w:t>Por tanto, esta invest</w:t>
      </w:r>
      <w:r w:rsidR="00B71334">
        <w:rPr>
          <w:rFonts w:ascii="Times New Roman" w:hAnsi="Times New Roman" w:cs="Times New Roman"/>
        </w:rPr>
        <w:t xml:space="preserve">igación confirma lo hallado por </w:t>
      </w:r>
      <w:r w:rsidRPr="00152F2D">
        <w:rPr>
          <w:rFonts w:ascii="Times New Roman" w:hAnsi="Times New Roman" w:cs="Times New Roman"/>
        </w:rPr>
        <w:t>Vila, Dávila y Ginés (2010), quienes determinaron el papel estratégico de la educación superior a partir de evaluar las competencias genéricas</w:t>
      </w:r>
      <w:r w:rsidR="00914907">
        <w:rPr>
          <w:rFonts w:ascii="Times New Roman" w:hAnsi="Times New Roman" w:cs="Times New Roman"/>
        </w:rPr>
        <w:t>, pues</w:t>
      </w:r>
      <w:r w:rsidRPr="00152F2D">
        <w:rPr>
          <w:rFonts w:ascii="Times New Roman" w:hAnsi="Times New Roman" w:cs="Times New Roman"/>
        </w:rPr>
        <w:t xml:space="preserve"> son consideradas como elementos fundamentales para el éxito de las personas en su desempeño profesional.</w:t>
      </w:r>
    </w:p>
    <w:p w14:paraId="7E750D61" w14:textId="26F2705F" w:rsidR="0054334D" w:rsidRPr="00152F2D" w:rsidRDefault="00F427D8" w:rsidP="00782BC3">
      <w:pPr>
        <w:spacing w:after="0" w:line="360" w:lineRule="auto"/>
        <w:ind w:firstLine="708"/>
        <w:jc w:val="both"/>
        <w:rPr>
          <w:rFonts w:ascii="Times New Roman" w:hAnsi="Times New Roman" w:cs="Times New Roman"/>
        </w:rPr>
      </w:pPr>
      <w:r>
        <w:rPr>
          <w:rFonts w:ascii="Times New Roman" w:hAnsi="Times New Roman" w:cs="Times New Roman"/>
        </w:rPr>
        <w:t>A su vez</w:t>
      </w:r>
      <w:r w:rsidR="0054334D" w:rsidRPr="00152F2D">
        <w:rPr>
          <w:rFonts w:ascii="Times New Roman" w:hAnsi="Times New Roman" w:cs="Times New Roman"/>
        </w:rPr>
        <w:t>, la relevancia del estudio radicó en la valoración de los niveles de logro del estudiantado en los componentes instrumental, interpersonal y sistémico a partir de la autoevaluación como estrategia que permita desarrol</w:t>
      </w:r>
      <w:r>
        <w:rPr>
          <w:rFonts w:ascii="Times New Roman" w:hAnsi="Times New Roman" w:cs="Times New Roman"/>
        </w:rPr>
        <w:t>lar la capacidad de autocrítica</w:t>
      </w:r>
      <w:r w:rsidR="0054334D" w:rsidRPr="00152F2D">
        <w:rPr>
          <w:rFonts w:ascii="Times New Roman" w:eastAsia="Times New Roman" w:hAnsi="Times New Roman" w:cs="Times New Roman"/>
          <w:lang w:eastAsia="es-MX"/>
        </w:rPr>
        <w:t>,</w:t>
      </w:r>
      <w:r>
        <w:rPr>
          <w:rFonts w:ascii="Times New Roman" w:eastAsia="Times New Roman" w:hAnsi="Times New Roman" w:cs="Times New Roman"/>
          <w:lang w:eastAsia="es-MX"/>
        </w:rPr>
        <w:t xml:space="preserve"> por lo que</w:t>
      </w:r>
      <w:r w:rsidR="0054334D" w:rsidRPr="00152F2D">
        <w:rPr>
          <w:rFonts w:ascii="Times New Roman" w:eastAsia="Times New Roman" w:hAnsi="Times New Roman" w:cs="Times New Roman"/>
          <w:lang w:eastAsia="es-MX"/>
        </w:rPr>
        <w:t xml:space="preserve"> la educación virtual en el IPN tiene que fortalecerse como un espacio de aprendizaje que permita lograr un desarrollo consolidado de las competencias genéricas </w:t>
      </w:r>
      <w:r w:rsidR="006A5347">
        <w:rPr>
          <w:rFonts w:ascii="Times New Roman" w:eastAsia="Times New Roman" w:hAnsi="Times New Roman" w:cs="Times New Roman"/>
          <w:lang w:eastAsia="es-MX"/>
        </w:rPr>
        <w:t>al emplear</w:t>
      </w:r>
      <w:r w:rsidR="006A5347" w:rsidRPr="00152F2D">
        <w:rPr>
          <w:rFonts w:ascii="Times New Roman" w:eastAsia="Times New Roman" w:hAnsi="Times New Roman" w:cs="Times New Roman"/>
          <w:lang w:eastAsia="es-MX"/>
        </w:rPr>
        <w:t xml:space="preserve"> </w:t>
      </w:r>
      <w:r w:rsidR="0054334D" w:rsidRPr="00152F2D">
        <w:rPr>
          <w:rFonts w:ascii="Times New Roman" w:eastAsia="Times New Roman" w:hAnsi="Times New Roman" w:cs="Times New Roman"/>
          <w:lang w:eastAsia="es-MX"/>
        </w:rPr>
        <w:t xml:space="preserve">las diversas herramientas basadas en las TIC </w:t>
      </w:r>
      <w:r w:rsidR="006A5347">
        <w:rPr>
          <w:rFonts w:ascii="Times New Roman" w:eastAsia="Times New Roman" w:hAnsi="Times New Roman" w:cs="Times New Roman"/>
          <w:lang w:eastAsia="es-MX"/>
        </w:rPr>
        <w:t>(I</w:t>
      </w:r>
      <w:r w:rsidR="0054334D" w:rsidRPr="00152F2D">
        <w:rPr>
          <w:rFonts w:ascii="Times New Roman" w:eastAsia="Times New Roman" w:hAnsi="Times New Roman" w:cs="Times New Roman"/>
          <w:lang w:eastAsia="es-MX"/>
        </w:rPr>
        <w:t>nternet, la Web 2.0 y las redes sociales</w:t>
      </w:r>
      <w:r w:rsidR="00877FF0">
        <w:rPr>
          <w:rFonts w:ascii="Times New Roman" w:eastAsia="Times New Roman" w:hAnsi="Times New Roman" w:cs="Times New Roman"/>
          <w:lang w:eastAsia="es-MX"/>
        </w:rPr>
        <w:t>). Sin duda</w:t>
      </w:r>
      <w:r w:rsidR="0054334D" w:rsidRPr="00152F2D">
        <w:rPr>
          <w:rFonts w:ascii="Times New Roman" w:hAnsi="Times New Roman" w:cs="Times New Roman"/>
        </w:rPr>
        <w:t xml:space="preserve"> los resultados obtenidos aportan una visión particular sobre las competencias genéricas en esta modalidad de</w:t>
      </w:r>
      <w:r w:rsidR="0054334D" w:rsidRPr="00152F2D">
        <w:rPr>
          <w:rFonts w:ascii="Times New Roman" w:hAnsi="Times New Roman" w:cs="Times New Roman"/>
          <w:color w:val="000000"/>
          <w:shd w:val="clear" w:color="auto" w:fill="FFFFFF"/>
        </w:rPr>
        <w:t xml:space="preserve"> las licenciaturas en negocios en el IPN,</w:t>
      </w:r>
      <w:r w:rsidR="0054334D" w:rsidRPr="00152F2D">
        <w:rPr>
          <w:rFonts w:ascii="Times New Roman" w:hAnsi="Times New Roman" w:cs="Times New Roman"/>
        </w:rPr>
        <w:t xml:space="preserve"> </w:t>
      </w:r>
      <w:r w:rsidR="006A5347">
        <w:rPr>
          <w:rFonts w:ascii="Times New Roman" w:hAnsi="Times New Roman" w:cs="Times New Roman"/>
        </w:rPr>
        <w:t>y permiten</w:t>
      </w:r>
      <w:r w:rsidR="006A5347" w:rsidRPr="00152F2D">
        <w:rPr>
          <w:rFonts w:ascii="Times New Roman" w:hAnsi="Times New Roman" w:cs="Times New Roman"/>
        </w:rPr>
        <w:t xml:space="preserve"> </w:t>
      </w:r>
      <w:r w:rsidR="0054334D" w:rsidRPr="00152F2D">
        <w:rPr>
          <w:rFonts w:ascii="Times New Roman" w:hAnsi="Times New Roman" w:cs="Times New Roman"/>
        </w:rPr>
        <w:t>identificar sus niveles de logro</w:t>
      </w:r>
      <w:r w:rsidR="006A5347">
        <w:rPr>
          <w:rFonts w:ascii="Times New Roman" w:hAnsi="Times New Roman" w:cs="Times New Roman"/>
        </w:rPr>
        <w:t>.</w:t>
      </w:r>
      <w:r w:rsidR="006A5347" w:rsidRPr="00152F2D">
        <w:rPr>
          <w:rFonts w:ascii="Times New Roman" w:hAnsi="Times New Roman" w:cs="Times New Roman"/>
        </w:rPr>
        <w:t xml:space="preserve"> </w:t>
      </w:r>
      <w:r w:rsidR="00877FF0">
        <w:rPr>
          <w:rFonts w:ascii="Times New Roman" w:hAnsi="Times New Roman" w:cs="Times New Roman"/>
        </w:rPr>
        <w:t>En consecuencia,</w:t>
      </w:r>
      <w:r w:rsidR="0054334D" w:rsidRPr="00152F2D">
        <w:rPr>
          <w:rFonts w:ascii="Times New Roman" w:hAnsi="Times New Roman" w:cs="Times New Roman"/>
        </w:rPr>
        <w:t xml:space="preserve"> se sugiere que se realicen otras investigaciones que permitan corroborar, ampliar o refutar los hallazgos obtenidos para otros programas de educación superior de tipo virtual que se ofrecen en México. </w:t>
      </w:r>
    </w:p>
    <w:p w14:paraId="7154273D" w14:textId="77777777" w:rsidR="00C807A9" w:rsidRDefault="00C807A9" w:rsidP="00E462DD">
      <w:pPr>
        <w:spacing w:after="0" w:line="360" w:lineRule="auto"/>
        <w:jc w:val="both"/>
        <w:rPr>
          <w:rFonts w:ascii="Times New Roman" w:hAnsi="Times New Roman" w:cs="Times New Roman"/>
          <w:b/>
        </w:rPr>
      </w:pPr>
    </w:p>
    <w:p w14:paraId="6B8F4955" w14:textId="1BDC667A" w:rsidR="00D853BC" w:rsidRPr="00782BC3" w:rsidRDefault="005602F1" w:rsidP="00782BC3">
      <w:pPr>
        <w:spacing w:after="0" w:line="360" w:lineRule="auto"/>
        <w:rPr>
          <w:rFonts w:ascii="Calibri" w:eastAsia="Times New Roman" w:hAnsi="Calibri" w:cs="Calibri"/>
          <w:b/>
          <w:color w:val="000000"/>
          <w:sz w:val="28"/>
          <w:szCs w:val="28"/>
          <w:lang w:eastAsia="es-MX"/>
        </w:rPr>
      </w:pPr>
      <w:r w:rsidRPr="00782BC3">
        <w:rPr>
          <w:rFonts w:ascii="Calibri" w:eastAsia="Times New Roman" w:hAnsi="Calibri" w:cs="Calibri"/>
          <w:b/>
          <w:color w:val="000000"/>
          <w:sz w:val="28"/>
          <w:szCs w:val="28"/>
          <w:lang w:eastAsia="es-MX"/>
        </w:rPr>
        <w:lastRenderedPageBreak/>
        <w:t>Conclusiones</w:t>
      </w:r>
    </w:p>
    <w:p w14:paraId="72FD2EE6" w14:textId="15C1871A" w:rsidR="0054334D" w:rsidRPr="00152F2D" w:rsidRDefault="00D853BC" w:rsidP="00782BC3">
      <w:pPr>
        <w:spacing w:after="0" w:line="360" w:lineRule="auto"/>
        <w:ind w:firstLine="708"/>
        <w:jc w:val="both"/>
        <w:rPr>
          <w:rFonts w:ascii="Times New Roman" w:hAnsi="Times New Roman" w:cs="Times New Roman"/>
        </w:rPr>
      </w:pPr>
      <w:r w:rsidRPr="00152F2D">
        <w:rPr>
          <w:rFonts w:ascii="Times New Roman" w:hAnsi="Times New Roman" w:cs="Times New Roman"/>
        </w:rPr>
        <w:t xml:space="preserve">El objetivo principal del estudio fue </w:t>
      </w:r>
      <w:r w:rsidRPr="00152F2D">
        <w:rPr>
          <w:rFonts w:ascii="Times New Roman" w:hAnsi="Times New Roman" w:cs="Times New Roman"/>
          <w:color w:val="000000"/>
          <w:shd w:val="clear" w:color="auto" w:fill="FFFFFF"/>
        </w:rPr>
        <w:t>evaluar los niveles de desarrollo de las competencias</w:t>
      </w:r>
      <w:r w:rsidR="00C4503B" w:rsidRPr="00152F2D">
        <w:rPr>
          <w:rFonts w:ascii="Times New Roman" w:hAnsi="Times New Roman" w:cs="Times New Roman"/>
          <w:color w:val="000000"/>
          <w:shd w:val="clear" w:color="auto" w:fill="FFFFFF"/>
        </w:rPr>
        <w:t xml:space="preserve"> genéricas desde la percepción del</w:t>
      </w:r>
      <w:r w:rsidR="00B05E64" w:rsidRPr="00152F2D">
        <w:rPr>
          <w:rFonts w:ascii="Times New Roman" w:hAnsi="Times New Roman" w:cs="Times New Roman"/>
          <w:color w:val="000000"/>
          <w:shd w:val="clear" w:color="auto" w:fill="FFFFFF"/>
        </w:rPr>
        <w:t xml:space="preserve"> estudiantado</w:t>
      </w:r>
      <w:r w:rsidRPr="00152F2D">
        <w:rPr>
          <w:rFonts w:ascii="Times New Roman" w:hAnsi="Times New Roman" w:cs="Times New Roman"/>
          <w:color w:val="000000"/>
          <w:shd w:val="clear" w:color="auto" w:fill="FFFFFF"/>
        </w:rPr>
        <w:t xml:space="preserve"> de la</w:t>
      </w:r>
      <w:r w:rsidR="00C4503B" w:rsidRPr="00152F2D">
        <w:rPr>
          <w:rFonts w:ascii="Times New Roman" w:hAnsi="Times New Roman" w:cs="Times New Roman"/>
          <w:color w:val="000000"/>
          <w:shd w:val="clear" w:color="auto" w:fill="FFFFFF"/>
        </w:rPr>
        <w:t>s</w:t>
      </w:r>
      <w:r w:rsidRPr="00152F2D">
        <w:rPr>
          <w:rFonts w:ascii="Times New Roman" w:hAnsi="Times New Roman" w:cs="Times New Roman"/>
          <w:color w:val="000000"/>
          <w:shd w:val="clear" w:color="auto" w:fill="FFFFFF"/>
        </w:rPr>
        <w:t xml:space="preserve"> licenciatura</w:t>
      </w:r>
      <w:r w:rsidR="00C4503B" w:rsidRPr="00152F2D">
        <w:rPr>
          <w:rFonts w:ascii="Times New Roman" w:hAnsi="Times New Roman" w:cs="Times New Roman"/>
          <w:color w:val="000000"/>
          <w:shd w:val="clear" w:color="auto" w:fill="FFFFFF"/>
        </w:rPr>
        <w:t>s</w:t>
      </w:r>
      <w:r w:rsidRPr="00152F2D">
        <w:rPr>
          <w:rFonts w:ascii="Times New Roman" w:hAnsi="Times New Roman" w:cs="Times New Roman"/>
          <w:color w:val="000000"/>
          <w:shd w:val="clear" w:color="auto" w:fill="FFFFFF"/>
        </w:rPr>
        <w:t xml:space="preserve"> en </w:t>
      </w:r>
      <w:r w:rsidR="007E52F5">
        <w:rPr>
          <w:rFonts w:ascii="Times New Roman" w:hAnsi="Times New Roman" w:cs="Times New Roman"/>
          <w:color w:val="000000"/>
          <w:shd w:val="clear" w:color="auto" w:fill="FFFFFF"/>
        </w:rPr>
        <w:t>comercio y administración</w:t>
      </w:r>
      <w:r w:rsidR="00B05E64" w:rsidRPr="00152F2D">
        <w:rPr>
          <w:rFonts w:ascii="Times New Roman" w:hAnsi="Times New Roman" w:cs="Times New Roman"/>
          <w:color w:val="000000"/>
          <w:shd w:val="clear" w:color="auto" w:fill="FFFFFF"/>
        </w:rPr>
        <w:t xml:space="preserve"> del IPN</w:t>
      </w:r>
      <w:r w:rsidR="00877FF0">
        <w:rPr>
          <w:rFonts w:ascii="Times New Roman" w:hAnsi="Times New Roman" w:cs="Times New Roman"/>
          <w:color w:val="000000"/>
          <w:shd w:val="clear" w:color="auto" w:fill="FFFFFF"/>
        </w:rPr>
        <w:t>.</w:t>
      </w:r>
      <w:r w:rsidR="00877FF0" w:rsidRPr="00152F2D">
        <w:rPr>
          <w:rFonts w:ascii="Times New Roman" w:hAnsi="Times New Roman" w:cs="Times New Roman"/>
          <w:color w:val="000000"/>
          <w:shd w:val="clear" w:color="auto" w:fill="FFFFFF"/>
        </w:rPr>
        <w:t xml:space="preserve"> </w:t>
      </w:r>
      <w:r w:rsidR="000E0CC8">
        <w:rPr>
          <w:rFonts w:ascii="Times New Roman" w:hAnsi="Times New Roman" w:cs="Times New Roman"/>
        </w:rPr>
        <w:t>Como fruto de ello, se obtuvo</w:t>
      </w:r>
      <w:r w:rsidR="000E0CC8" w:rsidRPr="00152F2D">
        <w:rPr>
          <w:rFonts w:ascii="Times New Roman" w:hAnsi="Times New Roman" w:cs="Times New Roman"/>
        </w:rPr>
        <w:t xml:space="preserve"> </w:t>
      </w:r>
      <w:r w:rsidRPr="00152F2D">
        <w:rPr>
          <w:rFonts w:ascii="Times New Roman" w:hAnsi="Times New Roman" w:cs="Times New Roman"/>
        </w:rPr>
        <w:t>información val</w:t>
      </w:r>
      <w:r w:rsidR="00B05E64" w:rsidRPr="00152F2D">
        <w:rPr>
          <w:rFonts w:ascii="Times New Roman" w:hAnsi="Times New Roman" w:cs="Times New Roman"/>
        </w:rPr>
        <w:t>iosa acerca del estado que guardan</w:t>
      </w:r>
      <w:r w:rsidRPr="00152F2D">
        <w:rPr>
          <w:rFonts w:ascii="Times New Roman" w:hAnsi="Times New Roman" w:cs="Times New Roman"/>
        </w:rPr>
        <w:t xml:space="preserve"> las de tipo instrumental, interpersonal y sistémicas durante</w:t>
      </w:r>
      <w:r w:rsidR="00B05E64" w:rsidRPr="00152F2D">
        <w:rPr>
          <w:rFonts w:ascii="Times New Roman" w:hAnsi="Times New Roman" w:cs="Times New Roman"/>
        </w:rPr>
        <w:t xml:space="preserve"> su trayecto formativo, lo que</w:t>
      </w:r>
      <w:r w:rsidRPr="00152F2D">
        <w:rPr>
          <w:rFonts w:ascii="Times New Roman" w:hAnsi="Times New Roman" w:cs="Times New Roman"/>
        </w:rPr>
        <w:t xml:space="preserve"> permitió diagnosticar</w:t>
      </w:r>
      <w:r w:rsidR="000E0CC8">
        <w:rPr>
          <w:rFonts w:ascii="Times New Roman" w:hAnsi="Times New Roman" w:cs="Times New Roman"/>
        </w:rPr>
        <w:t>, por extensión,</w:t>
      </w:r>
      <w:r w:rsidRPr="00152F2D">
        <w:rPr>
          <w:rFonts w:ascii="Times New Roman" w:hAnsi="Times New Roman" w:cs="Times New Roman"/>
        </w:rPr>
        <w:t xml:space="preserve"> aquellas que es necesario fortalece</w:t>
      </w:r>
      <w:r w:rsidR="005C6362" w:rsidRPr="00152F2D">
        <w:rPr>
          <w:rFonts w:ascii="Times New Roman" w:hAnsi="Times New Roman" w:cs="Times New Roman"/>
        </w:rPr>
        <w:t xml:space="preserve">rlas como áreas de oportunidad. </w:t>
      </w:r>
    </w:p>
    <w:p w14:paraId="75FD127B" w14:textId="546B76F7" w:rsidR="0054334D" w:rsidRDefault="000E0CC8" w:rsidP="00782BC3">
      <w:pPr>
        <w:spacing w:after="0" w:line="360" w:lineRule="auto"/>
        <w:ind w:firstLine="708"/>
        <w:jc w:val="both"/>
        <w:rPr>
          <w:rFonts w:ascii="Times New Roman" w:hAnsi="Times New Roman" w:cs="Times New Roman"/>
        </w:rPr>
      </w:pPr>
      <w:r>
        <w:rPr>
          <w:rFonts w:ascii="Times New Roman" w:hAnsi="Times New Roman" w:cs="Times New Roman"/>
          <w:lang w:val="es-ES"/>
        </w:rPr>
        <w:t>Los</w:t>
      </w:r>
      <w:r w:rsidR="00762100" w:rsidRPr="00152F2D">
        <w:rPr>
          <w:rFonts w:ascii="Times New Roman" w:hAnsi="Times New Roman" w:cs="Times New Roman"/>
        </w:rPr>
        <w:t xml:space="preserve"> r</w:t>
      </w:r>
      <w:r w:rsidR="00564FF9">
        <w:rPr>
          <w:rFonts w:ascii="Times New Roman" w:hAnsi="Times New Roman" w:cs="Times New Roman"/>
        </w:rPr>
        <w:t xml:space="preserve">esultados obtenidos son </w:t>
      </w:r>
      <w:r w:rsidR="00D853BC" w:rsidRPr="00152F2D">
        <w:rPr>
          <w:rFonts w:ascii="Times New Roman" w:hAnsi="Times New Roman" w:cs="Times New Roman"/>
        </w:rPr>
        <w:t>trascendental</w:t>
      </w:r>
      <w:r w:rsidR="00564FF9">
        <w:rPr>
          <w:rFonts w:ascii="Times New Roman" w:hAnsi="Times New Roman" w:cs="Times New Roman"/>
        </w:rPr>
        <w:t>es</w:t>
      </w:r>
      <w:r w:rsidR="00D853BC" w:rsidRPr="00152F2D">
        <w:rPr>
          <w:rFonts w:ascii="Times New Roman" w:hAnsi="Times New Roman" w:cs="Times New Roman"/>
        </w:rPr>
        <w:t xml:space="preserve"> para la educación superior virtual impartida por el IPN a partir d</w:t>
      </w:r>
      <w:r w:rsidR="00FB1864" w:rsidRPr="00152F2D">
        <w:rPr>
          <w:rFonts w:ascii="Times New Roman" w:hAnsi="Times New Roman" w:cs="Times New Roman"/>
        </w:rPr>
        <w:t>e la percepción del alumnado</w:t>
      </w:r>
      <w:r w:rsidR="00D853BC" w:rsidRPr="00152F2D">
        <w:rPr>
          <w:rFonts w:ascii="Times New Roman" w:hAnsi="Times New Roman" w:cs="Times New Roman"/>
        </w:rPr>
        <w:t xml:space="preserve"> para así estar en posibilidad de instrumentar e implementar acciones formativas orientad</w:t>
      </w:r>
      <w:r w:rsidR="00FB1864" w:rsidRPr="00152F2D">
        <w:rPr>
          <w:rFonts w:ascii="Times New Roman" w:hAnsi="Times New Roman" w:cs="Times New Roman"/>
        </w:rPr>
        <w:t>as a la consolidación de las competencias genéricas</w:t>
      </w:r>
      <w:r w:rsidR="00D853BC" w:rsidRPr="00152F2D">
        <w:rPr>
          <w:rFonts w:ascii="Times New Roman" w:hAnsi="Times New Roman" w:cs="Times New Roman"/>
        </w:rPr>
        <w:t xml:space="preserve">. </w:t>
      </w:r>
      <w:r w:rsidR="000D51FD" w:rsidRPr="00152F2D">
        <w:rPr>
          <w:rFonts w:ascii="Times New Roman" w:hAnsi="Times New Roman" w:cs="Times New Roman"/>
        </w:rPr>
        <w:t xml:space="preserve">Asimismo, </w:t>
      </w:r>
      <w:r w:rsidR="00D9542C" w:rsidRPr="00152F2D">
        <w:rPr>
          <w:rFonts w:ascii="Times New Roman" w:hAnsi="Times New Roman" w:cs="Times New Roman"/>
        </w:rPr>
        <w:t xml:space="preserve">los datos recabados </w:t>
      </w:r>
      <w:r w:rsidR="000D51FD" w:rsidRPr="00152F2D">
        <w:rPr>
          <w:rFonts w:ascii="Times New Roman" w:hAnsi="Times New Roman" w:cs="Times New Roman"/>
        </w:rPr>
        <w:t>son útiles porque proporcionan información valiosa sobre la generación de buenas prácticas en</w:t>
      </w:r>
      <w:r w:rsidR="00120AB8" w:rsidRPr="00152F2D">
        <w:rPr>
          <w:rFonts w:ascii="Times New Roman" w:hAnsi="Times New Roman" w:cs="Times New Roman"/>
        </w:rPr>
        <w:t xml:space="preserve"> la modalidad en línea</w:t>
      </w:r>
      <w:r>
        <w:rPr>
          <w:rFonts w:ascii="Times New Roman" w:hAnsi="Times New Roman" w:cs="Times New Roman"/>
        </w:rPr>
        <w:t>,</w:t>
      </w:r>
      <w:r w:rsidR="000D51FD" w:rsidRPr="00152F2D">
        <w:rPr>
          <w:rFonts w:ascii="Times New Roman" w:hAnsi="Times New Roman" w:cs="Times New Roman"/>
        </w:rPr>
        <w:t xml:space="preserve"> </w:t>
      </w:r>
      <w:r>
        <w:rPr>
          <w:rFonts w:ascii="Times New Roman" w:hAnsi="Times New Roman" w:cs="Times New Roman"/>
        </w:rPr>
        <w:t>ya que,</w:t>
      </w:r>
      <w:r w:rsidRPr="00152F2D">
        <w:rPr>
          <w:rFonts w:ascii="Times New Roman" w:hAnsi="Times New Roman" w:cs="Times New Roman"/>
        </w:rPr>
        <w:t xml:space="preserve"> </w:t>
      </w:r>
      <w:r w:rsidR="000D51FD" w:rsidRPr="00152F2D">
        <w:rPr>
          <w:rFonts w:ascii="Times New Roman" w:hAnsi="Times New Roman" w:cs="Times New Roman"/>
        </w:rPr>
        <w:t>como lo mencionan Cabero y Romero (2010), dichas prácticas favorecen significativamente</w:t>
      </w:r>
      <w:r w:rsidR="003A3EC8">
        <w:rPr>
          <w:rFonts w:ascii="Times New Roman" w:hAnsi="Times New Roman" w:cs="Times New Roman"/>
        </w:rPr>
        <w:t xml:space="preserve"> la pertinencia social de la institución de educación superior</w:t>
      </w:r>
      <w:r w:rsidR="00B10A00">
        <w:rPr>
          <w:rFonts w:ascii="Times New Roman" w:hAnsi="Times New Roman" w:cs="Times New Roman"/>
        </w:rPr>
        <w:t xml:space="preserve"> y promueven</w:t>
      </w:r>
      <w:r w:rsidR="00B10A00" w:rsidRPr="00152F2D">
        <w:rPr>
          <w:rFonts w:ascii="Times New Roman" w:hAnsi="Times New Roman" w:cs="Times New Roman"/>
        </w:rPr>
        <w:t xml:space="preserve"> </w:t>
      </w:r>
      <w:r w:rsidR="000D51FD" w:rsidRPr="00152F2D">
        <w:rPr>
          <w:rFonts w:ascii="Times New Roman" w:hAnsi="Times New Roman" w:cs="Times New Roman"/>
        </w:rPr>
        <w:t xml:space="preserve">un papel activo en la construcción de una sociedad sostenible política, cultural, medioambiental y económicamente a partir del logro de las competencias en el estudiantado. </w:t>
      </w:r>
      <w:r w:rsidR="00DB507E" w:rsidRPr="00152F2D">
        <w:rPr>
          <w:rFonts w:ascii="Times New Roman" w:hAnsi="Times New Roman" w:cs="Times New Roman"/>
        </w:rPr>
        <w:t xml:space="preserve"> </w:t>
      </w:r>
    </w:p>
    <w:p w14:paraId="71586926" w14:textId="77777777" w:rsidR="00C807A9" w:rsidRDefault="00C807A9" w:rsidP="00E462DD">
      <w:pPr>
        <w:spacing w:after="0" w:line="360" w:lineRule="auto"/>
        <w:rPr>
          <w:rFonts w:ascii="Times New Roman" w:hAnsi="Times New Roman" w:cs="Times New Roman"/>
          <w:b/>
          <w:lang w:val="es-MX"/>
        </w:rPr>
      </w:pPr>
    </w:p>
    <w:p w14:paraId="08BAEC4D" w14:textId="447255F5" w:rsidR="00744CEB" w:rsidRPr="00782BC3" w:rsidRDefault="00744CEB" w:rsidP="00E462DD">
      <w:pPr>
        <w:spacing w:after="0" w:line="360" w:lineRule="auto"/>
        <w:rPr>
          <w:rFonts w:ascii="Times New Roman" w:hAnsi="Times New Roman" w:cs="Times New Roman"/>
          <w:b/>
        </w:rPr>
      </w:pPr>
      <w:r w:rsidRPr="00782BC3">
        <w:rPr>
          <w:rFonts w:ascii="Times New Roman" w:hAnsi="Times New Roman" w:cs="Times New Roman"/>
          <w:b/>
        </w:rPr>
        <w:t>Agradecimientos</w:t>
      </w:r>
    </w:p>
    <w:p w14:paraId="060803F1" w14:textId="51FCBE88" w:rsidR="00744CEB" w:rsidRDefault="00C67AAE" w:rsidP="00782BC3">
      <w:pPr>
        <w:spacing w:after="0" w:line="360" w:lineRule="auto"/>
        <w:ind w:firstLine="708"/>
        <w:jc w:val="both"/>
        <w:rPr>
          <w:rFonts w:ascii="Times New Roman" w:hAnsi="Times New Roman" w:cs="Times New Roman"/>
        </w:rPr>
      </w:pPr>
      <w:r w:rsidRPr="00C67AAE">
        <w:rPr>
          <w:rFonts w:ascii="Times New Roman" w:hAnsi="Times New Roman" w:cs="Times New Roman"/>
        </w:rPr>
        <w:t xml:space="preserve">Los autores agradecen al </w:t>
      </w:r>
      <w:r w:rsidR="00B10A00">
        <w:rPr>
          <w:rFonts w:ascii="Times New Roman" w:hAnsi="Times New Roman" w:cs="Times New Roman"/>
        </w:rPr>
        <w:t>I</w:t>
      </w:r>
      <w:r w:rsidR="00A06653">
        <w:rPr>
          <w:rFonts w:ascii="Times New Roman" w:hAnsi="Times New Roman" w:cs="Times New Roman"/>
        </w:rPr>
        <w:t>PN</w:t>
      </w:r>
      <w:r w:rsidRPr="00C67AAE">
        <w:rPr>
          <w:rFonts w:ascii="Times New Roman" w:hAnsi="Times New Roman" w:cs="Times New Roman"/>
        </w:rPr>
        <w:t xml:space="preserve"> las facilidades otorgadas para la realización de este estudio a partir de la autorización de los proyectos de investigación SIP20181014</w:t>
      </w:r>
      <w:r w:rsidR="00B10A00">
        <w:rPr>
          <w:rFonts w:ascii="Times New Roman" w:hAnsi="Times New Roman" w:cs="Times New Roman"/>
        </w:rPr>
        <w:t>,</w:t>
      </w:r>
      <w:r w:rsidRPr="00C67AAE">
        <w:rPr>
          <w:rFonts w:ascii="Times New Roman" w:hAnsi="Times New Roman" w:cs="Times New Roman"/>
        </w:rPr>
        <w:t xml:space="preserve"> titulado </w:t>
      </w:r>
      <w:r w:rsidR="00B10A00">
        <w:rPr>
          <w:rFonts w:ascii="Times New Roman" w:hAnsi="Times New Roman" w:cs="Times New Roman"/>
        </w:rPr>
        <w:t>“</w:t>
      </w:r>
      <w:r w:rsidRPr="00C67AAE">
        <w:rPr>
          <w:rFonts w:ascii="Times New Roman" w:hAnsi="Times New Roman" w:cs="Times New Roman"/>
        </w:rPr>
        <w:t>Valoración del capital intelectual en los posgrados en ciencias sociales y administrativas</w:t>
      </w:r>
      <w:r w:rsidR="00B10A00">
        <w:rPr>
          <w:rFonts w:ascii="Times New Roman" w:hAnsi="Times New Roman" w:cs="Times New Roman"/>
        </w:rPr>
        <w:t>”,</w:t>
      </w:r>
      <w:r w:rsidR="00B10A00" w:rsidRPr="00C67AAE">
        <w:rPr>
          <w:rFonts w:ascii="Times New Roman" w:hAnsi="Times New Roman" w:cs="Times New Roman"/>
        </w:rPr>
        <w:t xml:space="preserve"> </w:t>
      </w:r>
      <w:r w:rsidRPr="00C67AAE">
        <w:rPr>
          <w:rFonts w:ascii="Times New Roman" w:hAnsi="Times New Roman" w:cs="Times New Roman"/>
        </w:rPr>
        <w:t>y SIP20170079</w:t>
      </w:r>
      <w:r w:rsidR="00B10A00">
        <w:rPr>
          <w:rFonts w:ascii="Times New Roman" w:hAnsi="Times New Roman" w:cs="Times New Roman"/>
        </w:rPr>
        <w:t>,</w:t>
      </w:r>
      <w:r w:rsidRPr="00C67AAE">
        <w:rPr>
          <w:rFonts w:ascii="Times New Roman" w:hAnsi="Times New Roman" w:cs="Times New Roman"/>
        </w:rPr>
        <w:t xml:space="preserve"> titulado “El proceso de gestión de la educación superior y su incidencia en la gobernabilidad”. </w:t>
      </w:r>
    </w:p>
    <w:p w14:paraId="7C8BF057" w14:textId="3EC2F5C5" w:rsidR="00C67AAE" w:rsidRDefault="00C67AAE" w:rsidP="00E462DD">
      <w:pPr>
        <w:spacing w:after="0" w:line="360" w:lineRule="auto"/>
        <w:jc w:val="both"/>
        <w:rPr>
          <w:rFonts w:ascii="Times New Roman" w:hAnsi="Times New Roman" w:cs="Times New Roman"/>
        </w:rPr>
      </w:pPr>
    </w:p>
    <w:p w14:paraId="585B68F2" w14:textId="45D5F8B6" w:rsidR="008A20AE" w:rsidRDefault="008A20AE" w:rsidP="00E462DD">
      <w:pPr>
        <w:spacing w:after="0" w:line="360" w:lineRule="auto"/>
        <w:jc w:val="both"/>
        <w:rPr>
          <w:rFonts w:ascii="Times New Roman" w:hAnsi="Times New Roman" w:cs="Times New Roman"/>
        </w:rPr>
      </w:pPr>
    </w:p>
    <w:p w14:paraId="3CB32E11" w14:textId="40FB14BF" w:rsidR="008A20AE" w:rsidRDefault="008A20AE" w:rsidP="00E462DD">
      <w:pPr>
        <w:spacing w:after="0" w:line="360" w:lineRule="auto"/>
        <w:jc w:val="both"/>
        <w:rPr>
          <w:rFonts w:ascii="Times New Roman" w:hAnsi="Times New Roman" w:cs="Times New Roman"/>
        </w:rPr>
      </w:pPr>
    </w:p>
    <w:p w14:paraId="7B57C3AB" w14:textId="70FA609E" w:rsidR="008A20AE" w:rsidRDefault="008A20AE" w:rsidP="00E462DD">
      <w:pPr>
        <w:spacing w:after="0" w:line="360" w:lineRule="auto"/>
        <w:jc w:val="both"/>
        <w:rPr>
          <w:rFonts w:ascii="Times New Roman" w:hAnsi="Times New Roman" w:cs="Times New Roman"/>
        </w:rPr>
      </w:pPr>
    </w:p>
    <w:p w14:paraId="50598402" w14:textId="152A2F40" w:rsidR="008A20AE" w:rsidRDefault="008A20AE" w:rsidP="00E462DD">
      <w:pPr>
        <w:spacing w:after="0" w:line="360" w:lineRule="auto"/>
        <w:jc w:val="both"/>
        <w:rPr>
          <w:rFonts w:ascii="Times New Roman" w:hAnsi="Times New Roman" w:cs="Times New Roman"/>
        </w:rPr>
      </w:pPr>
    </w:p>
    <w:p w14:paraId="0E635AA8" w14:textId="14999F8C" w:rsidR="008A20AE" w:rsidRDefault="008A20AE" w:rsidP="00E462DD">
      <w:pPr>
        <w:spacing w:after="0" w:line="360" w:lineRule="auto"/>
        <w:jc w:val="both"/>
        <w:rPr>
          <w:rFonts w:ascii="Times New Roman" w:hAnsi="Times New Roman" w:cs="Times New Roman"/>
        </w:rPr>
      </w:pPr>
    </w:p>
    <w:p w14:paraId="648A8065" w14:textId="306C87EC" w:rsidR="008A20AE" w:rsidRDefault="008A20AE" w:rsidP="00E462DD">
      <w:pPr>
        <w:spacing w:after="0" w:line="360" w:lineRule="auto"/>
        <w:jc w:val="both"/>
        <w:rPr>
          <w:rFonts w:ascii="Times New Roman" w:hAnsi="Times New Roman" w:cs="Times New Roman"/>
        </w:rPr>
      </w:pPr>
    </w:p>
    <w:p w14:paraId="4EA72B6C" w14:textId="77777777" w:rsidR="008A20AE" w:rsidRPr="00152F2D" w:rsidRDefault="008A20AE" w:rsidP="00E462DD">
      <w:pPr>
        <w:spacing w:after="0" w:line="360" w:lineRule="auto"/>
        <w:jc w:val="both"/>
        <w:rPr>
          <w:rFonts w:ascii="Times New Roman" w:hAnsi="Times New Roman" w:cs="Times New Roman"/>
        </w:rPr>
      </w:pPr>
    </w:p>
    <w:p w14:paraId="1F9037DD" w14:textId="77777777" w:rsidR="00111DA8" w:rsidRPr="00782BC3" w:rsidRDefault="005602F1" w:rsidP="00E462DD">
      <w:pPr>
        <w:spacing w:after="0" w:line="360" w:lineRule="auto"/>
        <w:rPr>
          <w:rFonts w:ascii="Calibri" w:eastAsia="Times New Roman" w:hAnsi="Calibri" w:cs="Calibri"/>
          <w:b/>
          <w:color w:val="000000"/>
          <w:sz w:val="28"/>
          <w:szCs w:val="28"/>
          <w:lang w:eastAsia="es-MX"/>
        </w:rPr>
      </w:pPr>
      <w:r w:rsidRPr="00782BC3">
        <w:rPr>
          <w:rFonts w:ascii="Calibri" w:eastAsia="Times New Roman" w:hAnsi="Calibri" w:cs="Calibri"/>
          <w:b/>
          <w:color w:val="000000"/>
          <w:sz w:val="28"/>
          <w:szCs w:val="28"/>
          <w:lang w:eastAsia="es-MX"/>
        </w:rPr>
        <w:lastRenderedPageBreak/>
        <w:t>Referencias</w:t>
      </w:r>
    </w:p>
    <w:p w14:paraId="120CE21E" w14:textId="1FDB3FDA" w:rsidR="00935034" w:rsidRPr="00152F2D" w:rsidRDefault="00935034" w:rsidP="00782BC3">
      <w:pPr>
        <w:spacing w:after="0" w:line="360" w:lineRule="auto"/>
        <w:ind w:left="709" w:hanging="709"/>
        <w:jc w:val="both"/>
        <w:rPr>
          <w:rFonts w:ascii="Times New Roman" w:hAnsi="Times New Roman" w:cs="Times New Roman"/>
        </w:rPr>
      </w:pPr>
      <w:r w:rsidRPr="00152F2D">
        <w:rPr>
          <w:rFonts w:ascii="Times New Roman" w:hAnsi="Times New Roman" w:cs="Times New Roman"/>
          <w:lang w:val="en-US"/>
        </w:rPr>
        <w:t>Akare</w:t>
      </w:r>
      <w:r w:rsidR="00D34451">
        <w:rPr>
          <w:rFonts w:ascii="Times New Roman" w:hAnsi="Times New Roman" w:cs="Times New Roman"/>
          <w:lang w:val="en-US"/>
        </w:rPr>
        <w:t>em, H. and</w:t>
      </w:r>
      <w:r w:rsidRPr="00152F2D">
        <w:rPr>
          <w:rFonts w:ascii="Times New Roman" w:hAnsi="Times New Roman" w:cs="Times New Roman"/>
          <w:lang w:val="en-US"/>
        </w:rPr>
        <w:t xml:space="preserve"> Hossain, S. (2012). Perception of education quality in private universities of Bangladesh: A study from students’ perspective. </w:t>
      </w:r>
      <w:r w:rsidRPr="00152F2D">
        <w:rPr>
          <w:rFonts w:ascii="Times New Roman" w:hAnsi="Times New Roman" w:cs="Times New Roman"/>
          <w:i/>
          <w:lang w:val="es-MX"/>
        </w:rPr>
        <w:t xml:space="preserve">Journal </w:t>
      </w:r>
      <w:proofErr w:type="spellStart"/>
      <w:r w:rsidRPr="00152F2D">
        <w:rPr>
          <w:rFonts w:ascii="Times New Roman" w:hAnsi="Times New Roman" w:cs="Times New Roman"/>
          <w:i/>
          <w:lang w:val="es-MX"/>
        </w:rPr>
        <w:t>of</w:t>
      </w:r>
      <w:proofErr w:type="spellEnd"/>
      <w:r w:rsidRPr="00152F2D">
        <w:rPr>
          <w:rFonts w:ascii="Times New Roman" w:hAnsi="Times New Roman" w:cs="Times New Roman"/>
          <w:i/>
          <w:lang w:val="es-MX"/>
        </w:rPr>
        <w:t xml:space="preserve"> Marketing </w:t>
      </w:r>
      <w:proofErr w:type="spellStart"/>
      <w:r w:rsidRPr="00152F2D">
        <w:rPr>
          <w:rFonts w:ascii="Times New Roman" w:hAnsi="Times New Roman" w:cs="Times New Roman"/>
          <w:i/>
          <w:lang w:val="es-MX"/>
        </w:rPr>
        <w:t>for</w:t>
      </w:r>
      <w:proofErr w:type="spellEnd"/>
      <w:r w:rsidRPr="00152F2D">
        <w:rPr>
          <w:rFonts w:ascii="Times New Roman" w:hAnsi="Times New Roman" w:cs="Times New Roman"/>
          <w:i/>
          <w:lang w:val="es-MX"/>
        </w:rPr>
        <w:t xml:space="preserve"> </w:t>
      </w:r>
      <w:proofErr w:type="spellStart"/>
      <w:r w:rsidRPr="00152F2D">
        <w:rPr>
          <w:rFonts w:ascii="Times New Roman" w:hAnsi="Times New Roman" w:cs="Times New Roman"/>
          <w:i/>
          <w:lang w:val="es-MX"/>
        </w:rPr>
        <w:t>Higher</w:t>
      </w:r>
      <w:proofErr w:type="spellEnd"/>
      <w:r w:rsidRPr="00152F2D">
        <w:rPr>
          <w:rFonts w:ascii="Times New Roman" w:hAnsi="Times New Roman" w:cs="Times New Roman"/>
          <w:i/>
          <w:lang w:val="es-MX"/>
        </w:rPr>
        <w:t xml:space="preserve"> </w:t>
      </w:r>
      <w:proofErr w:type="spellStart"/>
      <w:r w:rsidRPr="00152F2D">
        <w:rPr>
          <w:rFonts w:ascii="Times New Roman" w:hAnsi="Times New Roman" w:cs="Times New Roman"/>
          <w:i/>
          <w:lang w:val="es-MX"/>
        </w:rPr>
        <w:t>Education</w:t>
      </w:r>
      <w:proofErr w:type="spellEnd"/>
      <w:r w:rsidRPr="00152F2D">
        <w:rPr>
          <w:rFonts w:ascii="Times New Roman" w:hAnsi="Times New Roman" w:cs="Times New Roman"/>
          <w:lang w:val="es-MX"/>
        </w:rPr>
        <w:t xml:space="preserve">, </w:t>
      </w:r>
      <w:r w:rsidRPr="00FF26C3">
        <w:rPr>
          <w:rFonts w:ascii="Times New Roman" w:hAnsi="Times New Roman" w:cs="Times New Roman"/>
          <w:i/>
          <w:lang w:val="es-MX"/>
        </w:rPr>
        <w:t>22</w:t>
      </w:r>
      <w:r w:rsidRPr="00782BC3">
        <w:rPr>
          <w:rFonts w:ascii="Times New Roman" w:hAnsi="Times New Roman" w:cs="Times New Roman"/>
          <w:lang w:val="es-MX"/>
        </w:rPr>
        <w:t>(1)</w:t>
      </w:r>
      <w:r w:rsidRPr="00CC0530">
        <w:rPr>
          <w:rFonts w:ascii="Times New Roman" w:hAnsi="Times New Roman" w:cs="Times New Roman"/>
          <w:lang w:val="es-MX"/>
        </w:rPr>
        <w:t>,</w:t>
      </w:r>
      <w:r w:rsidRPr="00152F2D">
        <w:rPr>
          <w:rFonts w:ascii="Times New Roman" w:hAnsi="Times New Roman" w:cs="Times New Roman"/>
          <w:lang w:val="es-MX"/>
        </w:rPr>
        <w:t xml:space="preserve"> 11-33. </w:t>
      </w:r>
    </w:p>
    <w:p w14:paraId="134B5944" w14:textId="0AC0608E" w:rsidR="00935034" w:rsidRPr="001E5421" w:rsidRDefault="00935034" w:rsidP="00782BC3">
      <w:pPr>
        <w:spacing w:after="0" w:line="360" w:lineRule="auto"/>
        <w:ind w:left="709" w:hanging="709"/>
        <w:jc w:val="both"/>
        <w:rPr>
          <w:rStyle w:val="Hipervnculo"/>
          <w:rFonts w:ascii="Times New Roman" w:hAnsi="Times New Roman" w:cs="Times New Roman"/>
          <w:color w:val="auto"/>
          <w:u w:val="none"/>
        </w:rPr>
      </w:pPr>
      <w:r w:rsidRPr="00152F2D">
        <w:rPr>
          <w:rFonts w:ascii="Times New Roman" w:hAnsi="Times New Roman" w:cs="Times New Roman"/>
        </w:rPr>
        <w:t xml:space="preserve">Banco Mundial (2003). </w:t>
      </w:r>
      <w:r w:rsidRPr="00BF004C">
        <w:rPr>
          <w:rFonts w:ascii="Times New Roman" w:hAnsi="Times New Roman" w:cs="Times New Roman"/>
          <w:i/>
        </w:rPr>
        <w:t>Construir sociedades de conocimiento: Nuevos desafíos para la educación terciaria.</w:t>
      </w:r>
      <w:r w:rsidRPr="00152F2D">
        <w:rPr>
          <w:rFonts w:ascii="Times New Roman" w:hAnsi="Times New Roman" w:cs="Times New Roman"/>
        </w:rPr>
        <w:t xml:space="preserve"> Washington</w:t>
      </w:r>
      <w:r w:rsidR="00B10A00">
        <w:rPr>
          <w:rFonts w:ascii="Times New Roman" w:hAnsi="Times New Roman" w:cs="Times New Roman"/>
        </w:rPr>
        <w:t>, Estados Unidos</w:t>
      </w:r>
      <w:r w:rsidRPr="00152F2D">
        <w:rPr>
          <w:rFonts w:ascii="Times New Roman" w:hAnsi="Times New Roman" w:cs="Times New Roman"/>
        </w:rPr>
        <w:t xml:space="preserve">: Banco Mundial. </w:t>
      </w:r>
      <w:r w:rsidR="00C50B5D" w:rsidRPr="00152F2D">
        <w:rPr>
          <w:rFonts w:ascii="Times New Roman" w:hAnsi="Times New Roman" w:cs="Times New Roman"/>
          <w:lang w:val="es-MX"/>
        </w:rPr>
        <w:t xml:space="preserve">Recuperado de </w:t>
      </w:r>
      <w:r w:rsidRPr="00152F2D">
        <w:rPr>
          <w:rFonts w:ascii="Times New Roman" w:hAnsi="Times New Roman" w:cs="Times New Roman"/>
          <w:lang w:val="es-MX"/>
        </w:rPr>
        <w:t xml:space="preserve"> </w:t>
      </w:r>
      <w:hyperlink r:id="rId8" w:history="1">
        <w:r w:rsidRPr="001E5421">
          <w:rPr>
            <w:rStyle w:val="Hipervnculo"/>
            <w:rFonts w:ascii="Times New Roman" w:hAnsi="Times New Roman" w:cs="Times New Roman"/>
            <w:color w:val="auto"/>
            <w:u w:val="none"/>
            <w:lang w:val="es-MX"/>
          </w:rPr>
          <w:t>http://siteresources.worldbank.org/TERTIARYEDUCATION/Resources/Documents/Constructing-Knowledge-Societies/CKS-spanish.pdf</w:t>
        </w:r>
      </w:hyperlink>
      <w:r w:rsidR="00B10A00">
        <w:rPr>
          <w:rStyle w:val="Hipervnculo"/>
          <w:rFonts w:ascii="Times New Roman" w:hAnsi="Times New Roman" w:cs="Times New Roman"/>
          <w:color w:val="auto"/>
          <w:u w:val="none"/>
          <w:lang w:val="es-MX"/>
        </w:rPr>
        <w:t>.</w:t>
      </w:r>
    </w:p>
    <w:p w14:paraId="4CAC3A4D" w14:textId="0535B30F" w:rsidR="00935034" w:rsidRPr="00152F2D" w:rsidRDefault="008F6C3D" w:rsidP="00782BC3">
      <w:pPr>
        <w:spacing w:after="0" w:line="360" w:lineRule="auto"/>
        <w:ind w:left="709" w:hanging="709"/>
        <w:jc w:val="both"/>
        <w:rPr>
          <w:rFonts w:ascii="Times New Roman" w:hAnsi="Times New Roman" w:cs="Times New Roman"/>
          <w:lang w:val="en-US"/>
        </w:rPr>
      </w:pPr>
      <w:r w:rsidRPr="00152F2D">
        <w:rPr>
          <w:rFonts w:ascii="Times New Roman" w:hAnsi="Times New Roman" w:cs="Times New Roman"/>
          <w:lang w:val="es-MX"/>
        </w:rPr>
        <w:t>Baños, J. y</w:t>
      </w:r>
      <w:r w:rsidR="00935034" w:rsidRPr="00152F2D">
        <w:rPr>
          <w:rFonts w:ascii="Times New Roman" w:hAnsi="Times New Roman" w:cs="Times New Roman"/>
          <w:lang w:val="es-MX"/>
        </w:rPr>
        <w:t xml:space="preserve"> Pérez, J. (2005). </w:t>
      </w:r>
      <w:r w:rsidR="00935034" w:rsidRPr="00152F2D">
        <w:rPr>
          <w:rFonts w:ascii="Times New Roman" w:hAnsi="Times New Roman" w:cs="Times New Roman"/>
        </w:rPr>
        <w:t xml:space="preserve">Cómo fomentar las competencias transversales en los estudios de ciencias de la salud: Una propuesta de actividades. </w:t>
      </w:r>
      <w:r w:rsidR="00C50B5D" w:rsidRPr="00152F2D">
        <w:rPr>
          <w:rFonts w:ascii="Times New Roman" w:hAnsi="Times New Roman" w:cs="Times New Roman"/>
          <w:i/>
          <w:lang w:val="en-US"/>
        </w:rPr>
        <w:t xml:space="preserve">Educación </w:t>
      </w:r>
      <w:proofErr w:type="spellStart"/>
      <w:r w:rsidR="00C50B5D" w:rsidRPr="00152F2D">
        <w:rPr>
          <w:rFonts w:ascii="Times New Roman" w:hAnsi="Times New Roman" w:cs="Times New Roman"/>
          <w:i/>
          <w:lang w:val="en-US"/>
        </w:rPr>
        <w:t>Médica</w:t>
      </w:r>
      <w:proofErr w:type="spellEnd"/>
      <w:r w:rsidR="00935034" w:rsidRPr="00152F2D">
        <w:rPr>
          <w:rFonts w:ascii="Times New Roman" w:hAnsi="Times New Roman" w:cs="Times New Roman"/>
          <w:lang w:val="en-US"/>
        </w:rPr>
        <w:t xml:space="preserve">, </w:t>
      </w:r>
      <w:r w:rsidR="00CC0530">
        <w:rPr>
          <w:rFonts w:ascii="Times New Roman" w:hAnsi="Times New Roman" w:cs="Times New Roman"/>
          <w:lang w:val="en-US"/>
        </w:rPr>
        <w:t>(</w:t>
      </w:r>
      <w:r w:rsidR="00935034" w:rsidRPr="00782BC3">
        <w:rPr>
          <w:rFonts w:ascii="Times New Roman" w:hAnsi="Times New Roman" w:cs="Times New Roman"/>
          <w:lang w:val="en-US"/>
        </w:rPr>
        <w:t>8</w:t>
      </w:r>
      <w:r w:rsidR="00CC0530">
        <w:rPr>
          <w:rFonts w:ascii="Times New Roman" w:hAnsi="Times New Roman" w:cs="Times New Roman"/>
          <w:lang w:val="en-US"/>
        </w:rPr>
        <w:t>)</w:t>
      </w:r>
      <w:r w:rsidR="00935034" w:rsidRPr="00CC0530">
        <w:rPr>
          <w:rFonts w:ascii="Times New Roman" w:hAnsi="Times New Roman" w:cs="Times New Roman"/>
          <w:lang w:val="en-US"/>
        </w:rPr>
        <w:t>,</w:t>
      </w:r>
      <w:r w:rsidR="00935034" w:rsidRPr="00152F2D">
        <w:rPr>
          <w:rFonts w:ascii="Times New Roman" w:hAnsi="Times New Roman" w:cs="Times New Roman"/>
          <w:lang w:val="en-US"/>
        </w:rPr>
        <w:t xml:space="preserve"> 216-225.  </w:t>
      </w:r>
    </w:p>
    <w:p w14:paraId="34B69C5A" w14:textId="19204AF1" w:rsidR="00A857F5" w:rsidRPr="00152F2D" w:rsidRDefault="00D34451" w:rsidP="00782BC3">
      <w:pPr>
        <w:tabs>
          <w:tab w:val="left" w:pos="2640"/>
        </w:tabs>
        <w:spacing w:after="0" w:line="360" w:lineRule="auto"/>
        <w:ind w:left="709" w:hanging="709"/>
        <w:jc w:val="both"/>
        <w:rPr>
          <w:rFonts w:ascii="Times New Roman" w:hAnsi="Times New Roman" w:cs="Times New Roman"/>
          <w:lang w:val="en-US"/>
        </w:rPr>
      </w:pPr>
      <w:r>
        <w:rPr>
          <w:rFonts w:ascii="Times New Roman" w:hAnsi="Times New Roman" w:cs="Times New Roman"/>
          <w:lang w:val="en-US"/>
        </w:rPr>
        <w:t>Bourne, J. and</w:t>
      </w:r>
      <w:r w:rsidR="00935034" w:rsidRPr="00152F2D">
        <w:rPr>
          <w:rFonts w:ascii="Times New Roman" w:hAnsi="Times New Roman" w:cs="Times New Roman"/>
          <w:lang w:val="en-US"/>
        </w:rPr>
        <w:t xml:space="preserve"> Moore, J. (2003). </w:t>
      </w:r>
      <w:r w:rsidR="00935034" w:rsidRPr="00152F2D">
        <w:rPr>
          <w:rFonts w:ascii="Times New Roman" w:hAnsi="Times New Roman" w:cs="Times New Roman"/>
          <w:i/>
          <w:lang w:val="en-US"/>
        </w:rPr>
        <w:t>Elements of Quality Online Education</w:t>
      </w:r>
      <w:r w:rsidR="00935034" w:rsidRPr="00152F2D">
        <w:rPr>
          <w:rFonts w:ascii="Times New Roman" w:hAnsi="Times New Roman" w:cs="Times New Roman"/>
          <w:lang w:val="en-US"/>
        </w:rPr>
        <w:t xml:space="preserve">. United States: Babson College. </w:t>
      </w:r>
    </w:p>
    <w:p w14:paraId="5C98FC8A" w14:textId="06E7C649" w:rsidR="00935034" w:rsidRPr="001E5421" w:rsidRDefault="008F6C3D" w:rsidP="00782BC3">
      <w:pPr>
        <w:spacing w:after="0" w:line="360" w:lineRule="auto"/>
        <w:ind w:left="709" w:hanging="709"/>
        <w:jc w:val="both"/>
        <w:rPr>
          <w:rFonts w:ascii="Times New Roman" w:hAnsi="Times New Roman" w:cs="Times New Roman"/>
          <w:lang w:val="es-MX"/>
        </w:rPr>
      </w:pPr>
      <w:proofErr w:type="spellStart"/>
      <w:r w:rsidRPr="00152F2D">
        <w:rPr>
          <w:rFonts w:ascii="Times New Roman" w:hAnsi="Times New Roman" w:cs="Times New Roman"/>
          <w:lang w:val="en-US"/>
        </w:rPr>
        <w:t>Brenzini</w:t>
      </w:r>
      <w:proofErr w:type="spellEnd"/>
      <w:r w:rsidRPr="00152F2D">
        <w:rPr>
          <w:rFonts w:ascii="Times New Roman" w:hAnsi="Times New Roman" w:cs="Times New Roman"/>
          <w:lang w:val="en-US"/>
        </w:rPr>
        <w:t>, D. y</w:t>
      </w:r>
      <w:r w:rsidR="00935034" w:rsidRPr="00152F2D">
        <w:rPr>
          <w:rFonts w:ascii="Times New Roman" w:hAnsi="Times New Roman" w:cs="Times New Roman"/>
          <w:lang w:val="en-US"/>
        </w:rPr>
        <w:t xml:space="preserve"> Martínez, M. (2012). </w:t>
      </w:r>
      <w:r w:rsidR="00935034" w:rsidRPr="00152F2D">
        <w:rPr>
          <w:rFonts w:ascii="Times New Roman" w:hAnsi="Times New Roman" w:cs="Times New Roman"/>
          <w:lang w:val="es-ES"/>
        </w:rPr>
        <w:t xml:space="preserve">Perfil del ingeniero civil: una visión desde sus competencias genéricas y específicas. </w:t>
      </w:r>
      <w:r w:rsidR="00C50B5D" w:rsidRPr="00152F2D">
        <w:rPr>
          <w:rFonts w:ascii="Times New Roman" w:hAnsi="Times New Roman" w:cs="Times New Roman"/>
          <w:i/>
          <w:lang w:val="es-ES"/>
        </w:rPr>
        <w:t>Orbis</w:t>
      </w:r>
      <w:r w:rsidR="00FF26C3">
        <w:rPr>
          <w:rFonts w:ascii="Times New Roman" w:hAnsi="Times New Roman" w:cs="Times New Roman"/>
          <w:lang w:val="es-MX"/>
        </w:rPr>
        <w:t xml:space="preserve">, </w:t>
      </w:r>
      <w:r w:rsidR="00FF26C3" w:rsidRPr="00FF26C3">
        <w:rPr>
          <w:rFonts w:ascii="Times New Roman" w:hAnsi="Times New Roman" w:cs="Times New Roman"/>
          <w:i/>
          <w:lang w:val="es-MX"/>
        </w:rPr>
        <w:t>8</w:t>
      </w:r>
      <w:r w:rsidR="00C50B5D" w:rsidRPr="00782BC3">
        <w:rPr>
          <w:rFonts w:ascii="Times New Roman" w:hAnsi="Times New Roman" w:cs="Times New Roman"/>
          <w:lang w:val="es-MX"/>
        </w:rPr>
        <w:t>(22)</w:t>
      </w:r>
      <w:r w:rsidR="009024F2" w:rsidRPr="00CC0530">
        <w:rPr>
          <w:rFonts w:ascii="Times New Roman" w:hAnsi="Times New Roman" w:cs="Times New Roman"/>
          <w:lang w:val="es-MX"/>
        </w:rPr>
        <w:t>,</w:t>
      </w:r>
      <w:r w:rsidR="009024F2">
        <w:rPr>
          <w:rFonts w:ascii="Times New Roman" w:hAnsi="Times New Roman" w:cs="Times New Roman"/>
          <w:lang w:val="es-MX"/>
        </w:rPr>
        <w:t xml:space="preserve"> 28-</w:t>
      </w:r>
      <w:r w:rsidR="00C50B5D" w:rsidRPr="00152F2D">
        <w:rPr>
          <w:rFonts w:ascii="Times New Roman" w:hAnsi="Times New Roman" w:cs="Times New Roman"/>
          <w:lang w:val="es-MX"/>
        </w:rPr>
        <w:t>48. Recuperado de</w:t>
      </w:r>
      <w:r w:rsidR="00935034" w:rsidRPr="00152F2D">
        <w:rPr>
          <w:rFonts w:ascii="Times New Roman" w:hAnsi="Times New Roman" w:cs="Times New Roman"/>
          <w:lang w:val="es-MX"/>
        </w:rPr>
        <w:t xml:space="preserve"> </w:t>
      </w:r>
      <w:hyperlink r:id="rId9" w:history="1">
        <w:r w:rsidR="00935034" w:rsidRPr="001E5421">
          <w:rPr>
            <w:rStyle w:val="Hipervnculo"/>
            <w:rFonts w:ascii="Times New Roman" w:hAnsi="Times New Roman" w:cs="Times New Roman"/>
            <w:color w:val="auto"/>
            <w:u w:val="none"/>
            <w:lang w:val="es-MX"/>
          </w:rPr>
          <w:t>http://www.redalyc.org/articulo.oa?id=70923776002</w:t>
        </w:r>
      </w:hyperlink>
      <w:r w:rsidR="00B10A00">
        <w:rPr>
          <w:rFonts w:ascii="Times New Roman" w:hAnsi="Times New Roman" w:cs="Times New Roman"/>
          <w:lang w:val="es-MX"/>
        </w:rPr>
        <w:t>.</w:t>
      </w:r>
    </w:p>
    <w:p w14:paraId="1C0C9831" w14:textId="04AEA3FB" w:rsidR="00935034" w:rsidRPr="00152F2D" w:rsidRDefault="00935034" w:rsidP="00782BC3">
      <w:pPr>
        <w:spacing w:after="0" w:line="360" w:lineRule="auto"/>
        <w:ind w:left="709" w:hanging="709"/>
        <w:jc w:val="both"/>
        <w:rPr>
          <w:rFonts w:ascii="Times New Roman" w:hAnsi="Times New Roman" w:cs="Times New Roman"/>
        </w:rPr>
      </w:pPr>
      <w:r w:rsidRPr="00152F2D">
        <w:rPr>
          <w:rFonts w:ascii="Times New Roman" w:hAnsi="Times New Roman" w:cs="Times New Roman"/>
        </w:rPr>
        <w:t xml:space="preserve">Burga, A. (2006). La </w:t>
      </w:r>
      <w:proofErr w:type="spellStart"/>
      <w:r w:rsidRPr="00152F2D">
        <w:rPr>
          <w:rFonts w:ascii="Times New Roman" w:hAnsi="Times New Roman" w:cs="Times New Roman"/>
        </w:rPr>
        <w:t>unidimensionalidad</w:t>
      </w:r>
      <w:proofErr w:type="spellEnd"/>
      <w:r w:rsidRPr="00152F2D">
        <w:rPr>
          <w:rFonts w:ascii="Times New Roman" w:hAnsi="Times New Roman" w:cs="Times New Roman"/>
        </w:rPr>
        <w:t xml:space="preserve"> de un instrumento de medición: perspectiva factorial. </w:t>
      </w:r>
      <w:proofErr w:type="spellStart"/>
      <w:r w:rsidRPr="00152F2D">
        <w:rPr>
          <w:rFonts w:ascii="Times New Roman" w:hAnsi="Times New Roman" w:cs="Times New Roman"/>
          <w:i/>
        </w:rPr>
        <w:t>Journal</w:t>
      </w:r>
      <w:proofErr w:type="spellEnd"/>
      <w:r w:rsidRPr="00152F2D">
        <w:rPr>
          <w:rFonts w:ascii="Times New Roman" w:hAnsi="Times New Roman" w:cs="Times New Roman"/>
          <w:i/>
        </w:rPr>
        <w:t xml:space="preserve"> </w:t>
      </w:r>
      <w:proofErr w:type="spellStart"/>
      <w:r w:rsidRPr="00152F2D">
        <w:rPr>
          <w:rFonts w:ascii="Times New Roman" w:hAnsi="Times New Roman" w:cs="Times New Roman"/>
          <w:i/>
        </w:rPr>
        <w:t>of</w:t>
      </w:r>
      <w:proofErr w:type="spellEnd"/>
      <w:r w:rsidRPr="00152F2D">
        <w:rPr>
          <w:rFonts w:ascii="Times New Roman" w:hAnsi="Times New Roman" w:cs="Times New Roman"/>
          <w:i/>
        </w:rPr>
        <w:t xml:space="preserve"> </w:t>
      </w:r>
      <w:proofErr w:type="spellStart"/>
      <w:r w:rsidRPr="00152F2D">
        <w:rPr>
          <w:rFonts w:ascii="Times New Roman" w:hAnsi="Times New Roman" w:cs="Times New Roman"/>
          <w:i/>
        </w:rPr>
        <w:t>Psychology</w:t>
      </w:r>
      <w:proofErr w:type="spellEnd"/>
      <w:r w:rsidRPr="00152F2D">
        <w:rPr>
          <w:rFonts w:ascii="Times New Roman" w:hAnsi="Times New Roman" w:cs="Times New Roman"/>
        </w:rPr>
        <w:t xml:space="preserve">, </w:t>
      </w:r>
      <w:r w:rsidRPr="00FF26C3">
        <w:rPr>
          <w:rFonts w:ascii="Times New Roman" w:hAnsi="Times New Roman" w:cs="Times New Roman"/>
          <w:i/>
        </w:rPr>
        <w:t>24</w:t>
      </w:r>
      <w:r w:rsidRPr="00782BC3">
        <w:rPr>
          <w:rFonts w:ascii="Times New Roman" w:hAnsi="Times New Roman" w:cs="Times New Roman"/>
        </w:rPr>
        <w:t>(1),</w:t>
      </w:r>
      <w:r w:rsidRPr="00152F2D">
        <w:rPr>
          <w:rFonts w:ascii="Times New Roman" w:hAnsi="Times New Roman" w:cs="Times New Roman"/>
        </w:rPr>
        <w:t xml:space="preserve"> 53-80. </w:t>
      </w:r>
    </w:p>
    <w:p w14:paraId="2A374022" w14:textId="2EF2B6D9" w:rsidR="00935034" w:rsidRPr="00152F2D" w:rsidRDefault="008F6C3D" w:rsidP="00782BC3">
      <w:pPr>
        <w:spacing w:after="0" w:line="360" w:lineRule="auto"/>
        <w:ind w:left="709" w:hanging="709"/>
        <w:jc w:val="both"/>
        <w:rPr>
          <w:rFonts w:ascii="Times New Roman" w:hAnsi="Times New Roman" w:cs="Times New Roman"/>
          <w:lang w:val="es-MX"/>
        </w:rPr>
      </w:pPr>
      <w:r w:rsidRPr="00152F2D">
        <w:rPr>
          <w:rFonts w:ascii="Times New Roman" w:hAnsi="Times New Roman" w:cs="Times New Roman"/>
        </w:rPr>
        <w:t>Cabero, J., Llorente, M. y</w:t>
      </w:r>
      <w:r w:rsidR="00935034" w:rsidRPr="00152F2D">
        <w:rPr>
          <w:rFonts w:ascii="Times New Roman" w:hAnsi="Times New Roman" w:cs="Times New Roman"/>
        </w:rPr>
        <w:t xml:space="preserve"> Puentes, Á. (2010). La satisfacción de los estudiantes en red en la formación semipresencial. </w:t>
      </w:r>
      <w:r w:rsidR="00C50B5D" w:rsidRPr="00152F2D">
        <w:rPr>
          <w:rFonts w:ascii="Times New Roman" w:hAnsi="Times New Roman" w:cs="Times New Roman"/>
          <w:i/>
        </w:rPr>
        <w:t>Comunicación</w:t>
      </w:r>
      <w:r w:rsidR="00935034" w:rsidRPr="00152F2D">
        <w:rPr>
          <w:rFonts w:ascii="Times New Roman" w:hAnsi="Times New Roman" w:cs="Times New Roman"/>
          <w:lang w:val="es-MX"/>
        </w:rPr>
        <w:t xml:space="preserve">, </w:t>
      </w:r>
      <w:r w:rsidR="00B10A00">
        <w:rPr>
          <w:rFonts w:ascii="Times New Roman" w:hAnsi="Times New Roman" w:cs="Times New Roman"/>
          <w:i/>
          <w:lang w:val="es-MX"/>
        </w:rPr>
        <w:t>18</w:t>
      </w:r>
      <w:r w:rsidR="00935034" w:rsidRPr="00782BC3">
        <w:rPr>
          <w:rFonts w:ascii="Times New Roman" w:hAnsi="Times New Roman" w:cs="Times New Roman"/>
          <w:lang w:val="es-MX"/>
        </w:rPr>
        <w:t>(35)</w:t>
      </w:r>
      <w:r w:rsidR="009024F2" w:rsidRPr="00CC0530">
        <w:rPr>
          <w:rFonts w:ascii="Times New Roman" w:hAnsi="Times New Roman" w:cs="Times New Roman"/>
          <w:lang w:val="es-MX"/>
        </w:rPr>
        <w:t>,</w:t>
      </w:r>
      <w:r w:rsidR="009024F2">
        <w:rPr>
          <w:rFonts w:ascii="Times New Roman" w:hAnsi="Times New Roman" w:cs="Times New Roman"/>
          <w:lang w:val="es-MX"/>
        </w:rPr>
        <w:t xml:space="preserve"> 149-</w:t>
      </w:r>
      <w:r w:rsidR="00935034" w:rsidRPr="00152F2D">
        <w:rPr>
          <w:rFonts w:ascii="Times New Roman" w:hAnsi="Times New Roman" w:cs="Times New Roman"/>
          <w:lang w:val="es-MX"/>
        </w:rPr>
        <w:t xml:space="preserve">157. </w:t>
      </w:r>
    </w:p>
    <w:p w14:paraId="24A411E6" w14:textId="7261B92E" w:rsidR="00935034" w:rsidRPr="00152F2D" w:rsidRDefault="00935034" w:rsidP="00782BC3">
      <w:pPr>
        <w:spacing w:after="0" w:line="360" w:lineRule="auto"/>
        <w:ind w:left="709" w:hanging="709"/>
        <w:jc w:val="both"/>
        <w:rPr>
          <w:rFonts w:ascii="Times New Roman" w:hAnsi="Times New Roman" w:cs="Times New Roman"/>
          <w:lang w:val="es-ES"/>
        </w:rPr>
      </w:pPr>
      <w:r w:rsidRPr="00152F2D">
        <w:rPr>
          <w:rFonts w:ascii="Times New Roman" w:hAnsi="Times New Roman" w:cs="Times New Roman"/>
        </w:rPr>
        <w:t xml:space="preserve">Camperos, M. (2007). La evaluación por competencias, mitos, peligros y desafíos. </w:t>
      </w:r>
      <w:r w:rsidRPr="00152F2D">
        <w:rPr>
          <w:rFonts w:ascii="Times New Roman" w:hAnsi="Times New Roman" w:cs="Times New Roman"/>
          <w:i/>
        </w:rPr>
        <w:t>Educere</w:t>
      </w:r>
      <w:r w:rsidRPr="00152F2D">
        <w:rPr>
          <w:rFonts w:ascii="Times New Roman" w:hAnsi="Times New Roman" w:cs="Times New Roman"/>
        </w:rPr>
        <w:t>,</w:t>
      </w:r>
      <w:r w:rsidRPr="00CC0530">
        <w:rPr>
          <w:rFonts w:ascii="Times New Roman" w:hAnsi="Times New Roman" w:cs="Times New Roman"/>
        </w:rPr>
        <w:t xml:space="preserve"> </w:t>
      </w:r>
      <w:r w:rsidR="00CC0530">
        <w:rPr>
          <w:rFonts w:ascii="Times New Roman" w:hAnsi="Times New Roman" w:cs="Times New Roman"/>
        </w:rPr>
        <w:t>(</w:t>
      </w:r>
      <w:r w:rsidRPr="00782BC3">
        <w:rPr>
          <w:rFonts w:ascii="Times New Roman" w:hAnsi="Times New Roman" w:cs="Times New Roman"/>
        </w:rPr>
        <w:t>43</w:t>
      </w:r>
      <w:r w:rsidR="00CC0530">
        <w:rPr>
          <w:rFonts w:ascii="Times New Roman" w:hAnsi="Times New Roman" w:cs="Times New Roman"/>
        </w:rPr>
        <w:t>)</w:t>
      </w:r>
      <w:r w:rsidRPr="00152F2D">
        <w:rPr>
          <w:rFonts w:ascii="Times New Roman" w:hAnsi="Times New Roman" w:cs="Times New Roman"/>
        </w:rPr>
        <w:t>, 805- 814.</w:t>
      </w:r>
    </w:p>
    <w:p w14:paraId="454F6B36" w14:textId="77777777" w:rsidR="00DB507E" w:rsidRPr="00152F2D" w:rsidRDefault="00935034" w:rsidP="00782BC3">
      <w:pPr>
        <w:spacing w:after="0" w:line="360" w:lineRule="auto"/>
        <w:ind w:left="709" w:hanging="709"/>
        <w:jc w:val="both"/>
        <w:rPr>
          <w:rFonts w:ascii="Times New Roman" w:hAnsi="Times New Roman" w:cs="Times New Roman"/>
          <w:lang w:val="es-MX"/>
        </w:rPr>
      </w:pPr>
      <w:r w:rsidRPr="00152F2D">
        <w:rPr>
          <w:rFonts w:ascii="Times New Roman" w:hAnsi="Times New Roman" w:cs="Times New Roman"/>
        </w:rPr>
        <w:t xml:space="preserve">Campos, J. (2009). Indicadores de calidad en educación virtual. </w:t>
      </w:r>
      <w:r w:rsidR="00C50B5D" w:rsidRPr="00152F2D">
        <w:rPr>
          <w:rFonts w:ascii="Times New Roman" w:hAnsi="Times New Roman" w:cs="Times New Roman"/>
          <w:i/>
          <w:lang w:val="es-MX"/>
        </w:rPr>
        <w:t xml:space="preserve"> Revista de Innovación Educativa</w:t>
      </w:r>
      <w:r w:rsidRPr="00152F2D">
        <w:rPr>
          <w:rFonts w:ascii="Times New Roman" w:hAnsi="Times New Roman" w:cs="Times New Roman"/>
          <w:i/>
          <w:lang w:val="es-MX"/>
        </w:rPr>
        <w:t>,</w:t>
      </w:r>
      <w:r w:rsidRPr="00152F2D">
        <w:rPr>
          <w:rFonts w:ascii="Times New Roman" w:hAnsi="Times New Roman" w:cs="Times New Roman"/>
          <w:lang w:val="es-MX"/>
        </w:rPr>
        <w:t xml:space="preserve"> </w:t>
      </w:r>
      <w:r w:rsidR="00FF26C3" w:rsidRPr="00FF26C3">
        <w:rPr>
          <w:rFonts w:ascii="Times New Roman" w:hAnsi="Times New Roman" w:cs="Times New Roman"/>
          <w:i/>
          <w:lang w:val="es-MX"/>
        </w:rPr>
        <w:t>6</w:t>
      </w:r>
      <w:r w:rsidRPr="00782BC3">
        <w:rPr>
          <w:rFonts w:ascii="Times New Roman" w:hAnsi="Times New Roman" w:cs="Times New Roman"/>
          <w:lang w:val="es-MX"/>
        </w:rPr>
        <w:t>(12)</w:t>
      </w:r>
      <w:r w:rsidRPr="00152F2D">
        <w:rPr>
          <w:rFonts w:ascii="Times New Roman" w:hAnsi="Times New Roman" w:cs="Times New Roman"/>
          <w:lang w:val="es-MX"/>
        </w:rPr>
        <w:t>, 27-36.</w:t>
      </w:r>
    </w:p>
    <w:p w14:paraId="7180772A" w14:textId="305D7E3F" w:rsidR="00935034" w:rsidRPr="00152F2D" w:rsidRDefault="00935034" w:rsidP="00782BC3">
      <w:pPr>
        <w:spacing w:after="0" w:line="360" w:lineRule="auto"/>
        <w:ind w:left="709" w:hanging="709"/>
        <w:jc w:val="both"/>
        <w:rPr>
          <w:rFonts w:ascii="Times New Roman" w:hAnsi="Times New Roman" w:cs="Times New Roman"/>
          <w:lang w:val="es-ES"/>
        </w:rPr>
      </w:pPr>
      <w:r w:rsidRPr="00152F2D">
        <w:rPr>
          <w:rFonts w:ascii="Times New Roman" w:hAnsi="Times New Roman" w:cs="Times New Roman"/>
        </w:rPr>
        <w:t xml:space="preserve">Cea, M. (1999). </w:t>
      </w:r>
      <w:r w:rsidRPr="00152F2D">
        <w:rPr>
          <w:rFonts w:ascii="Times New Roman" w:hAnsi="Times New Roman" w:cs="Times New Roman"/>
          <w:i/>
        </w:rPr>
        <w:t>Metodología cuantitativa: estrategias y técnicas de investigación social</w:t>
      </w:r>
      <w:r w:rsidRPr="00152F2D">
        <w:rPr>
          <w:rFonts w:ascii="Times New Roman" w:hAnsi="Times New Roman" w:cs="Times New Roman"/>
        </w:rPr>
        <w:t>. Madrid</w:t>
      </w:r>
      <w:r w:rsidR="00B10A00">
        <w:rPr>
          <w:rFonts w:ascii="Times New Roman" w:hAnsi="Times New Roman" w:cs="Times New Roman"/>
        </w:rPr>
        <w:t>, España</w:t>
      </w:r>
      <w:r w:rsidRPr="00152F2D">
        <w:rPr>
          <w:rFonts w:ascii="Times New Roman" w:hAnsi="Times New Roman" w:cs="Times New Roman"/>
        </w:rPr>
        <w:t>: Síntesis Educación.</w:t>
      </w:r>
    </w:p>
    <w:p w14:paraId="085DC3B2" w14:textId="40611BA0" w:rsidR="00935034" w:rsidRPr="00152F2D" w:rsidRDefault="008F6C3D" w:rsidP="00782BC3">
      <w:pPr>
        <w:spacing w:after="0" w:line="360" w:lineRule="auto"/>
        <w:ind w:left="709" w:hanging="709"/>
        <w:jc w:val="both"/>
        <w:rPr>
          <w:rFonts w:ascii="Times New Roman" w:hAnsi="Times New Roman" w:cs="Times New Roman"/>
        </w:rPr>
      </w:pPr>
      <w:r w:rsidRPr="00152F2D">
        <w:rPr>
          <w:rFonts w:ascii="Times New Roman" w:hAnsi="Times New Roman" w:cs="Times New Roman"/>
        </w:rPr>
        <w:t>Coronado, M. y</w:t>
      </w:r>
      <w:r w:rsidR="00935034" w:rsidRPr="00152F2D">
        <w:rPr>
          <w:rFonts w:ascii="Times New Roman" w:hAnsi="Times New Roman" w:cs="Times New Roman"/>
        </w:rPr>
        <w:t xml:space="preserve"> Estévez, E. (2016). Pertinencia social de una universidad pública en México. </w:t>
      </w:r>
      <w:r w:rsidR="00334F8B" w:rsidRPr="00152F2D">
        <w:rPr>
          <w:rFonts w:ascii="Times New Roman" w:hAnsi="Times New Roman" w:cs="Times New Roman"/>
          <w:i/>
        </w:rPr>
        <w:t>Revista Iberoamericana de Educación Superior</w:t>
      </w:r>
      <w:r w:rsidR="00FF26C3">
        <w:rPr>
          <w:rFonts w:ascii="Times New Roman" w:hAnsi="Times New Roman" w:cs="Times New Roman"/>
        </w:rPr>
        <w:t xml:space="preserve">, </w:t>
      </w:r>
      <w:r w:rsidR="00B10A00">
        <w:rPr>
          <w:rFonts w:ascii="Times New Roman" w:hAnsi="Times New Roman" w:cs="Times New Roman"/>
          <w:i/>
        </w:rPr>
        <w:t>7</w:t>
      </w:r>
      <w:r w:rsidR="00935034" w:rsidRPr="00782BC3">
        <w:rPr>
          <w:rFonts w:ascii="Times New Roman" w:hAnsi="Times New Roman" w:cs="Times New Roman"/>
        </w:rPr>
        <w:t>(20)</w:t>
      </w:r>
      <w:r w:rsidR="00935034" w:rsidRPr="00FF26C3">
        <w:rPr>
          <w:rFonts w:ascii="Times New Roman" w:hAnsi="Times New Roman" w:cs="Times New Roman"/>
          <w:i/>
        </w:rPr>
        <w:t>,</w:t>
      </w:r>
      <w:r w:rsidR="00935034" w:rsidRPr="00152F2D">
        <w:rPr>
          <w:rFonts w:ascii="Times New Roman" w:hAnsi="Times New Roman" w:cs="Times New Roman"/>
        </w:rPr>
        <w:t xml:space="preserve"> 172-189. </w:t>
      </w:r>
    </w:p>
    <w:p w14:paraId="10293C77" w14:textId="686D9F37" w:rsidR="00FF26C3" w:rsidRDefault="00935034" w:rsidP="00782BC3">
      <w:pPr>
        <w:spacing w:after="0" w:line="360" w:lineRule="auto"/>
        <w:ind w:left="709" w:hanging="709"/>
        <w:jc w:val="both"/>
      </w:pPr>
      <w:r w:rsidRPr="00152F2D">
        <w:rPr>
          <w:rFonts w:ascii="Times New Roman" w:hAnsi="Times New Roman" w:cs="Times New Roman"/>
        </w:rPr>
        <w:t xml:space="preserve">Correa, J. (2004). ¿Calidad educativa online?: análisis de la calidad de la educación universitaria basada en Internet. </w:t>
      </w:r>
      <w:r w:rsidR="00334F8B" w:rsidRPr="00152F2D">
        <w:rPr>
          <w:rFonts w:ascii="Times New Roman" w:hAnsi="Times New Roman" w:cs="Times New Roman"/>
          <w:i/>
        </w:rPr>
        <w:t>Pixel-Bit</w:t>
      </w:r>
      <w:r w:rsidR="00FF26C3">
        <w:rPr>
          <w:rFonts w:ascii="Times New Roman" w:hAnsi="Times New Roman" w:cs="Times New Roman"/>
        </w:rPr>
        <w:t xml:space="preserve">, </w:t>
      </w:r>
      <w:r w:rsidR="00CC0530">
        <w:rPr>
          <w:rFonts w:ascii="Times New Roman" w:hAnsi="Times New Roman" w:cs="Times New Roman"/>
        </w:rPr>
        <w:t>(</w:t>
      </w:r>
      <w:r w:rsidR="00FF26C3" w:rsidRPr="00782BC3">
        <w:rPr>
          <w:rFonts w:ascii="Times New Roman" w:hAnsi="Times New Roman" w:cs="Times New Roman"/>
        </w:rPr>
        <w:t>24</w:t>
      </w:r>
      <w:r w:rsidR="00CC0530">
        <w:rPr>
          <w:rFonts w:ascii="Times New Roman" w:hAnsi="Times New Roman" w:cs="Times New Roman"/>
        </w:rPr>
        <w:t>)</w:t>
      </w:r>
      <w:r w:rsidR="00334F8B" w:rsidRPr="00CC0530">
        <w:rPr>
          <w:rFonts w:ascii="Times New Roman" w:hAnsi="Times New Roman" w:cs="Times New Roman"/>
        </w:rPr>
        <w:t>,</w:t>
      </w:r>
      <w:r w:rsidR="00334F8B" w:rsidRPr="00152F2D">
        <w:rPr>
          <w:rFonts w:ascii="Times New Roman" w:hAnsi="Times New Roman" w:cs="Times New Roman"/>
        </w:rPr>
        <w:t xml:space="preserve"> 11-42. Recuperado de</w:t>
      </w:r>
      <w:r w:rsidRPr="00152F2D">
        <w:rPr>
          <w:rFonts w:ascii="Times New Roman" w:hAnsi="Times New Roman" w:cs="Times New Roman"/>
        </w:rPr>
        <w:t xml:space="preserve"> </w:t>
      </w:r>
      <w:r w:rsidR="00FF26C3" w:rsidRPr="00FF26C3">
        <w:rPr>
          <w:rFonts w:ascii="Times New Roman" w:hAnsi="Times New Roman" w:cs="Times New Roman"/>
        </w:rPr>
        <w:t>http://www.redalyc.org/articulo.oa?id=36802402</w:t>
      </w:r>
      <w:r w:rsidR="00B10A00">
        <w:rPr>
          <w:rFonts w:ascii="Times New Roman" w:hAnsi="Times New Roman" w:cs="Times New Roman"/>
        </w:rPr>
        <w:t>.</w:t>
      </w:r>
    </w:p>
    <w:p w14:paraId="19014892" w14:textId="5081F5DE" w:rsidR="00935034" w:rsidRPr="001E5421" w:rsidRDefault="00935034" w:rsidP="00782BC3">
      <w:pPr>
        <w:spacing w:after="0" w:line="360" w:lineRule="auto"/>
        <w:ind w:left="709" w:hanging="709"/>
        <w:jc w:val="both"/>
        <w:rPr>
          <w:rFonts w:ascii="Times New Roman" w:hAnsi="Times New Roman" w:cs="Times New Roman"/>
          <w:lang w:val="es-MX"/>
        </w:rPr>
      </w:pPr>
      <w:r w:rsidRPr="00D34451">
        <w:rPr>
          <w:rFonts w:ascii="Times New Roman" w:hAnsi="Times New Roman" w:cs="Times New Roman"/>
          <w:lang w:val="en-US"/>
        </w:rPr>
        <w:lastRenderedPageBreak/>
        <w:t>Denis</w:t>
      </w:r>
      <w:r w:rsidR="00D34451" w:rsidRPr="00D34451">
        <w:rPr>
          <w:rFonts w:ascii="Times New Roman" w:hAnsi="Times New Roman" w:cs="Times New Roman"/>
          <w:lang w:val="en-US"/>
        </w:rPr>
        <w:t xml:space="preserve">, B., </w:t>
      </w:r>
      <w:proofErr w:type="spellStart"/>
      <w:r w:rsidR="00D34451" w:rsidRPr="00D34451">
        <w:rPr>
          <w:rFonts w:ascii="Times New Roman" w:hAnsi="Times New Roman" w:cs="Times New Roman"/>
          <w:lang w:val="en-US"/>
        </w:rPr>
        <w:t>Watland</w:t>
      </w:r>
      <w:proofErr w:type="spellEnd"/>
      <w:r w:rsidR="00D34451" w:rsidRPr="00D34451">
        <w:rPr>
          <w:rFonts w:ascii="Times New Roman" w:hAnsi="Times New Roman" w:cs="Times New Roman"/>
          <w:lang w:val="en-US"/>
        </w:rPr>
        <w:t xml:space="preserve">, P., </w:t>
      </w:r>
      <w:proofErr w:type="spellStart"/>
      <w:r w:rsidR="00D34451" w:rsidRPr="00D34451">
        <w:rPr>
          <w:rFonts w:ascii="Times New Roman" w:hAnsi="Times New Roman" w:cs="Times New Roman"/>
          <w:lang w:val="en-US"/>
        </w:rPr>
        <w:t>Pirotte</w:t>
      </w:r>
      <w:proofErr w:type="spellEnd"/>
      <w:r w:rsidR="00D34451" w:rsidRPr="00D34451">
        <w:rPr>
          <w:rFonts w:ascii="Times New Roman" w:hAnsi="Times New Roman" w:cs="Times New Roman"/>
          <w:lang w:val="en-US"/>
        </w:rPr>
        <w:t>, S. a</w:t>
      </w:r>
      <w:r w:rsidR="00D34451">
        <w:rPr>
          <w:rFonts w:ascii="Times New Roman" w:hAnsi="Times New Roman" w:cs="Times New Roman"/>
          <w:lang w:val="en-US"/>
        </w:rPr>
        <w:t>nd</w:t>
      </w:r>
      <w:r w:rsidRPr="00D34451">
        <w:rPr>
          <w:rFonts w:ascii="Times New Roman" w:hAnsi="Times New Roman" w:cs="Times New Roman"/>
          <w:lang w:val="en-US"/>
        </w:rPr>
        <w:t xml:space="preserve"> </w:t>
      </w:r>
      <w:proofErr w:type="spellStart"/>
      <w:r w:rsidRPr="00D34451">
        <w:rPr>
          <w:rFonts w:ascii="Times New Roman" w:hAnsi="Times New Roman" w:cs="Times New Roman"/>
          <w:lang w:val="en-US"/>
        </w:rPr>
        <w:t>Verday</w:t>
      </w:r>
      <w:proofErr w:type="spellEnd"/>
      <w:r w:rsidRPr="00D34451">
        <w:rPr>
          <w:rFonts w:ascii="Times New Roman" w:hAnsi="Times New Roman" w:cs="Times New Roman"/>
          <w:lang w:val="en-US"/>
        </w:rPr>
        <w:t xml:space="preserve">, N. (2004). </w:t>
      </w:r>
      <w:r w:rsidRPr="00782BC3">
        <w:rPr>
          <w:rFonts w:ascii="Times New Roman" w:hAnsi="Times New Roman" w:cs="Times New Roman"/>
          <w:lang w:val="en-US"/>
        </w:rPr>
        <w:t>Roles and Competencies of the e-Tutor</w:t>
      </w:r>
      <w:r w:rsidRPr="00152F2D">
        <w:rPr>
          <w:rFonts w:ascii="Times New Roman" w:hAnsi="Times New Roman" w:cs="Times New Roman"/>
          <w:i/>
          <w:lang w:val="en-US"/>
        </w:rPr>
        <w:t>.</w:t>
      </w:r>
      <w:r w:rsidR="00334F8B" w:rsidRPr="00152F2D">
        <w:rPr>
          <w:rFonts w:ascii="Times New Roman" w:hAnsi="Times New Roman" w:cs="Times New Roman"/>
          <w:lang w:val="en-US"/>
        </w:rPr>
        <w:t xml:space="preserve"> </w:t>
      </w:r>
      <w:r w:rsidR="003B6647">
        <w:rPr>
          <w:rFonts w:ascii="Times New Roman" w:hAnsi="Times New Roman" w:cs="Times New Roman"/>
          <w:lang w:val="en-US"/>
        </w:rPr>
        <w:t xml:space="preserve">Paper presented at </w:t>
      </w:r>
      <w:r w:rsidR="003B6647" w:rsidRPr="003B6647">
        <w:rPr>
          <w:rFonts w:ascii="Times New Roman" w:hAnsi="Times New Roman" w:cs="Times New Roman"/>
          <w:lang w:val="en-US"/>
        </w:rPr>
        <w:t>Networked Learning Conference 2004</w:t>
      </w:r>
      <w:r w:rsidR="003B6647">
        <w:rPr>
          <w:rFonts w:ascii="Times New Roman" w:hAnsi="Times New Roman" w:cs="Times New Roman"/>
          <w:lang w:val="en-US"/>
        </w:rPr>
        <w:t>.</w:t>
      </w:r>
      <w:r w:rsidR="003B6647" w:rsidRPr="003B6647" w:rsidDel="00AA0B70">
        <w:rPr>
          <w:rFonts w:ascii="Times New Roman" w:hAnsi="Times New Roman" w:cs="Times New Roman"/>
          <w:lang w:val="en-US"/>
        </w:rPr>
        <w:t xml:space="preserve"> </w:t>
      </w:r>
      <w:r w:rsidR="00E00A7C" w:rsidRPr="00E00A7C">
        <w:rPr>
          <w:rFonts w:ascii="Times New Roman" w:hAnsi="Times New Roman" w:cs="Times New Roman"/>
          <w:lang w:val="en-US"/>
        </w:rPr>
        <w:t>Lancaster University, U</w:t>
      </w:r>
      <w:r w:rsidR="00DA732C">
        <w:rPr>
          <w:rFonts w:ascii="Times New Roman" w:hAnsi="Times New Roman" w:cs="Times New Roman"/>
          <w:lang w:val="en-US"/>
        </w:rPr>
        <w:t xml:space="preserve">nited </w:t>
      </w:r>
      <w:r w:rsidR="00E00A7C" w:rsidRPr="00E00A7C">
        <w:rPr>
          <w:rFonts w:ascii="Times New Roman" w:hAnsi="Times New Roman" w:cs="Times New Roman"/>
          <w:lang w:val="en-US"/>
        </w:rPr>
        <w:t>K</w:t>
      </w:r>
      <w:r w:rsidR="00DA732C">
        <w:rPr>
          <w:rFonts w:ascii="Times New Roman" w:hAnsi="Times New Roman" w:cs="Times New Roman"/>
          <w:lang w:val="en-US"/>
        </w:rPr>
        <w:t>ingdom</w:t>
      </w:r>
      <w:r w:rsidR="00293915">
        <w:rPr>
          <w:rFonts w:ascii="Times New Roman" w:hAnsi="Times New Roman" w:cs="Times New Roman"/>
          <w:lang w:val="en-US"/>
        </w:rPr>
        <w:t>.</w:t>
      </w:r>
      <w:r w:rsidR="00E00A7C" w:rsidRPr="00E00A7C" w:rsidDel="00AA0B70">
        <w:rPr>
          <w:rFonts w:ascii="Times New Roman" w:hAnsi="Times New Roman" w:cs="Times New Roman"/>
          <w:lang w:val="en-US"/>
        </w:rPr>
        <w:t xml:space="preserve"> </w:t>
      </w:r>
      <w:r w:rsidR="00AA0B70">
        <w:rPr>
          <w:rFonts w:ascii="Times New Roman" w:hAnsi="Times New Roman" w:cs="Times New Roman"/>
          <w:lang w:val="es-MX"/>
        </w:rPr>
        <w:t xml:space="preserve">Retrieved </w:t>
      </w:r>
      <w:proofErr w:type="spellStart"/>
      <w:r w:rsidR="00AA0B70">
        <w:rPr>
          <w:rFonts w:ascii="Times New Roman" w:hAnsi="Times New Roman" w:cs="Times New Roman"/>
          <w:lang w:val="es-MX"/>
        </w:rPr>
        <w:t>from</w:t>
      </w:r>
      <w:proofErr w:type="spellEnd"/>
      <w:r w:rsidRPr="00152F2D">
        <w:rPr>
          <w:rFonts w:ascii="Times New Roman" w:hAnsi="Times New Roman" w:cs="Times New Roman"/>
          <w:lang w:val="es-MX"/>
        </w:rPr>
        <w:t xml:space="preserve"> </w:t>
      </w:r>
      <w:hyperlink r:id="rId10" w:history="1">
        <w:r w:rsidRPr="001E5421">
          <w:rPr>
            <w:rStyle w:val="Hipervnculo"/>
            <w:rFonts w:ascii="Times New Roman" w:hAnsi="Times New Roman" w:cs="Times New Roman"/>
            <w:color w:val="auto"/>
            <w:u w:val="none"/>
            <w:lang w:val="es-MX"/>
          </w:rPr>
          <w:t>http://www.networkedlearningconference.org.uk/past/nlc2004/proceedings/symposia/sy mposium6/denis_et_al.htm</w:t>
        </w:r>
      </w:hyperlink>
      <w:r w:rsidR="00AA0B70">
        <w:rPr>
          <w:rStyle w:val="Hipervnculo"/>
          <w:rFonts w:ascii="Times New Roman" w:hAnsi="Times New Roman" w:cs="Times New Roman"/>
          <w:color w:val="auto"/>
          <w:u w:val="none"/>
          <w:lang w:val="es-MX"/>
        </w:rPr>
        <w:t>.</w:t>
      </w:r>
    </w:p>
    <w:p w14:paraId="6149CA60" w14:textId="24C22D47" w:rsidR="00935034" w:rsidRPr="001E5421" w:rsidRDefault="008F6C3D" w:rsidP="00782BC3">
      <w:pPr>
        <w:spacing w:after="0" w:line="360" w:lineRule="auto"/>
        <w:ind w:left="709" w:hanging="709"/>
        <w:jc w:val="both"/>
        <w:rPr>
          <w:rFonts w:ascii="Times New Roman" w:hAnsi="Times New Roman" w:cs="Times New Roman"/>
          <w:lang w:val="es-MX"/>
        </w:rPr>
      </w:pPr>
      <w:r w:rsidRPr="00152F2D">
        <w:rPr>
          <w:rFonts w:ascii="Times New Roman" w:hAnsi="Times New Roman" w:cs="Times New Roman"/>
          <w:lang w:val="es-ES"/>
        </w:rPr>
        <w:t>Durán, R. y</w:t>
      </w:r>
      <w:r w:rsidR="00935034" w:rsidRPr="00152F2D">
        <w:rPr>
          <w:rFonts w:ascii="Times New Roman" w:hAnsi="Times New Roman" w:cs="Times New Roman"/>
          <w:lang w:val="es-ES"/>
        </w:rPr>
        <w:t xml:space="preserve"> Estay, C. (2012). Estudio comparativo sobre competencias genéricas en modalidad presencial y virtual en un curso de pregrado de la universidad tecnológica de Panamá.</w:t>
      </w:r>
      <w:r w:rsidR="00935034" w:rsidRPr="00152F2D">
        <w:rPr>
          <w:rFonts w:ascii="Times New Roman" w:hAnsi="Times New Roman" w:cs="Times New Roman"/>
        </w:rPr>
        <w:t xml:space="preserve"> </w:t>
      </w:r>
      <w:r w:rsidR="00B01EDD" w:rsidRPr="00152F2D">
        <w:rPr>
          <w:rFonts w:ascii="Times New Roman" w:hAnsi="Times New Roman" w:cs="Times New Roman"/>
          <w:i/>
          <w:lang w:val="es-MX"/>
        </w:rPr>
        <w:t>Actualidades Investigativas en Educación</w:t>
      </w:r>
      <w:r w:rsidR="00FF26C3">
        <w:rPr>
          <w:rFonts w:ascii="Times New Roman" w:hAnsi="Times New Roman" w:cs="Times New Roman"/>
          <w:lang w:val="es-MX"/>
        </w:rPr>
        <w:t xml:space="preserve">, </w:t>
      </w:r>
      <w:r w:rsidR="00FF26C3" w:rsidRPr="00FF26C3">
        <w:rPr>
          <w:rFonts w:ascii="Times New Roman" w:hAnsi="Times New Roman" w:cs="Times New Roman"/>
          <w:i/>
          <w:lang w:val="es-MX"/>
        </w:rPr>
        <w:t>12</w:t>
      </w:r>
      <w:r w:rsidR="00334F8B" w:rsidRPr="00782BC3">
        <w:rPr>
          <w:rFonts w:ascii="Times New Roman" w:hAnsi="Times New Roman" w:cs="Times New Roman"/>
          <w:lang w:val="es-MX"/>
        </w:rPr>
        <w:t>(2)</w:t>
      </w:r>
      <w:r w:rsidR="009024F2">
        <w:rPr>
          <w:rFonts w:ascii="Times New Roman" w:hAnsi="Times New Roman" w:cs="Times New Roman"/>
          <w:lang w:val="es-MX"/>
        </w:rPr>
        <w:t>, 1-</w:t>
      </w:r>
      <w:r w:rsidR="00334F8B" w:rsidRPr="00152F2D">
        <w:rPr>
          <w:rFonts w:ascii="Times New Roman" w:hAnsi="Times New Roman" w:cs="Times New Roman"/>
          <w:lang w:val="es-MX"/>
        </w:rPr>
        <w:t>34. Recuperado de</w:t>
      </w:r>
      <w:r w:rsidR="00935034" w:rsidRPr="00152F2D">
        <w:rPr>
          <w:rFonts w:ascii="Times New Roman" w:hAnsi="Times New Roman" w:cs="Times New Roman"/>
          <w:lang w:val="es-MX"/>
        </w:rPr>
        <w:t xml:space="preserve"> </w:t>
      </w:r>
      <w:hyperlink r:id="rId11" w:history="1">
        <w:r w:rsidR="00935034" w:rsidRPr="001E5421">
          <w:rPr>
            <w:rStyle w:val="Hipervnculo"/>
            <w:rFonts w:ascii="Times New Roman" w:hAnsi="Times New Roman" w:cs="Times New Roman"/>
            <w:color w:val="auto"/>
            <w:u w:val="none"/>
            <w:lang w:val="es-MX"/>
          </w:rPr>
          <w:t>http://www.redalyc.org/articulo.oa?id=44723437010</w:t>
        </w:r>
      </w:hyperlink>
      <w:r w:rsidR="00C179F9">
        <w:rPr>
          <w:rFonts w:ascii="Times New Roman" w:hAnsi="Times New Roman" w:cs="Times New Roman"/>
          <w:lang w:val="es-MX"/>
        </w:rPr>
        <w:t>.</w:t>
      </w:r>
    </w:p>
    <w:p w14:paraId="66E5ADB3" w14:textId="355DAAE7" w:rsidR="005A7A00" w:rsidRPr="001E5421" w:rsidRDefault="00D34451" w:rsidP="00782BC3">
      <w:pPr>
        <w:spacing w:after="0" w:line="360" w:lineRule="auto"/>
        <w:ind w:left="709" w:hanging="709"/>
        <w:jc w:val="both"/>
        <w:rPr>
          <w:rFonts w:ascii="Times New Roman" w:hAnsi="Times New Roman" w:cs="Times New Roman"/>
          <w:lang w:val="es-MX"/>
        </w:rPr>
      </w:pPr>
      <w:r>
        <w:rPr>
          <w:rFonts w:ascii="Times New Roman" w:hAnsi="Times New Roman" w:cs="Times New Roman"/>
          <w:lang w:val="en-US"/>
        </w:rPr>
        <w:t>Ehrlich, I., Li, D. and</w:t>
      </w:r>
      <w:r w:rsidR="007A42B2" w:rsidRPr="00152F2D">
        <w:rPr>
          <w:rFonts w:ascii="Times New Roman" w:hAnsi="Times New Roman" w:cs="Times New Roman"/>
          <w:lang w:val="en-US"/>
        </w:rPr>
        <w:t xml:space="preserve"> Liu, Z. (2017). The Role of Entrepreneurial Human Capital as a Driver of Endogenous Economic Growth. </w:t>
      </w:r>
      <w:r w:rsidR="007A42B2" w:rsidRPr="00BF004C">
        <w:rPr>
          <w:rFonts w:ascii="Times New Roman" w:hAnsi="Times New Roman" w:cs="Times New Roman"/>
          <w:i/>
          <w:lang w:val="es-ES"/>
        </w:rPr>
        <w:t xml:space="preserve">Journal </w:t>
      </w:r>
      <w:proofErr w:type="spellStart"/>
      <w:r w:rsidR="007A42B2" w:rsidRPr="00BF004C">
        <w:rPr>
          <w:rFonts w:ascii="Times New Roman" w:hAnsi="Times New Roman" w:cs="Times New Roman"/>
          <w:i/>
          <w:lang w:val="es-ES"/>
        </w:rPr>
        <w:t>of</w:t>
      </w:r>
      <w:proofErr w:type="spellEnd"/>
      <w:r w:rsidR="007A42B2" w:rsidRPr="00BF004C">
        <w:rPr>
          <w:rFonts w:ascii="Times New Roman" w:hAnsi="Times New Roman" w:cs="Times New Roman"/>
          <w:i/>
          <w:lang w:val="es-ES"/>
        </w:rPr>
        <w:t xml:space="preserve"> Human Capital</w:t>
      </w:r>
      <w:r w:rsidR="00FF26C3">
        <w:rPr>
          <w:rFonts w:ascii="Times New Roman" w:hAnsi="Times New Roman" w:cs="Times New Roman"/>
          <w:lang w:val="es-ES"/>
        </w:rPr>
        <w:t xml:space="preserve">, </w:t>
      </w:r>
      <w:r w:rsidR="00FF26C3" w:rsidRPr="00FF26C3">
        <w:rPr>
          <w:rFonts w:ascii="Times New Roman" w:hAnsi="Times New Roman" w:cs="Times New Roman"/>
          <w:i/>
          <w:lang w:val="es-ES"/>
        </w:rPr>
        <w:t>11</w:t>
      </w:r>
      <w:r w:rsidR="007A42B2" w:rsidRPr="00782BC3">
        <w:rPr>
          <w:rFonts w:ascii="Times New Roman" w:hAnsi="Times New Roman" w:cs="Times New Roman"/>
          <w:lang w:val="es-ES"/>
        </w:rPr>
        <w:t>(3)</w:t>
      </w:r>
      <w:r w:rsidR="009024F2" w:rsidRPr="00CC0530">
        <w:rPr>
          <w:rFonts w:ascii="Times New Roman" w:hAnsi="Times New Roman" w:cs="Times New Roman"/>
          <w:lang w:val="es-ES"/>
        </w:rPr>
        <w:t>,</w:t>
      </w:r>
      <w:r w:rsidR="009024F2">
        <w:rPr>
          <w:rFonts w:ascii="Times New Roman" w:hAnsi="Times New Roman" w:cs="Times New Roman"/>
          <w:lang w:val="es-ES"/>
        </w:rPr>
        <w:t xml:space="preserve"> 310-</w:t>
      </w:r>
      <w:r w:rsidR="007A42B2" w:rsidRPr="00152F2D">
        <w:rPr>
          <w:rFonts w:ascii="Times New Roman" w:hAnsi="Times New Roman" w:cs="Times New Roman"/>
          <w:lang w:val="es-ES"/>
        </w:rPr>
        <w:t xml:space="preserve">351. </w:t>
      </w:r>
      <w:proofErr w:type="spellStart"/>
      <w:r w:rsidR="00C179F9">
        <w:rPr>
          <w:rFonts w:ascii="Times New Roman" w:hAnsi="Times New Roman" w:cs="Times New Roman"/>
          <w:lang w:val="es-ES"/>
        </w:rPr>
        <w:t>Retrieved</w:t>
      </w:r>
      <w:proofErr w:type="spellEnd"/>
      <w:r w:rsidR="00C179F9">
        <w:rPr>
          <w:rFonts w:ascii="Times New Roman" w:hAnsi="Times New Roman" w:cs="Times New Roman"/>
          <w:lang w:val="es-ES"/>
        </w:rPr>
        <w:t xml:space="preserve"> </w:t>
      </w:r>
      <w:proofErr w:type="spellStart"/>
      <w:r w:rsidR="00C179F9">
        <w:rPr>
          <w:rFonts w:ascii="Times New Roman" w:hAnsi="Times New Roman" w:cs="Times New Roman"/>
          <w:lang w:val="es-ES"/>
        </w:rPr>
        <w:t>from</w:t>
      </w:r>
      <w:proofErr w:type="spellEnd"/>
      <w:r w:rsidR="007A42B2" w:rsidRPr="00152F2D">
        <w:rPr>
          <w:rFonts w:ascii="Times New Roman" w:hAnsi="Times New Roman" w:cs="Times New Roman"/>
          <w:lang w:val="es-ES"/>
        </w:rPr>
        <w:t xml:space="preserve"> </w:t>
      </w:r>
      <w:hyperlink r:id="rId12" w:history="1">
        <w:r w:rsidR="007A42B2" w:rsidRPr="001E5421">
          <w:rPr>
            <w:rStyle w:val="Hipervnculo"/>
            <w:rFonts w:ascii="Times New Roman" w:hAnsi="Times New Roman" w:cs="Times New Roman"/>
            <w:color w:val="auto"/>
            <w:u w:val="none"/>
            <w:lang w:val="es-ES"/>
          </w:rPr>
          <w:t>http://www.journals.uchicago.edu/doi/abs/10.1086/693718</w:t>
        </w:r>
      </w:hyperlink>
      <w:r w:rsidR="00C179F9">
        <w:rPr>
          <w:rFonts w:ascii="Times New Roman" w:hAnsi="Times New Roman" w:cs="Times New Roman"/>
          <w:lang w:val="es-ES"/>
        </w:rPr>
        <w:t>.</w:t>
      </w:r>
    </w:p>
    <w:p w14:paraId="14458A4A" w14:textId="67361AA4" w:rsidR="00935034" w:rsidRPr="001E5421" w:rsidRDefault="008F6C3D" w:rsidP="00782BC3">
      <w:pPr>
        <w:spacing w:after="0" w:line="360" w:lineRule="auto"/>
        <w:ind w:left="709" w:hanging="709"/>
        <w:jc w:val="both"/>
        <w:rPr>
          <w:rFonts w:ascii="Times New Roman" w:hAnsi="Times New Roman" w:cs="Times New Roman"/>
          <w:lang w:val="es-MX"/>
        </w:rPr>
      </w:pPr>
      <w:r w:rsidRPr="00152F2D">
        <w:rPr>
          <w:rFonts w:ascii="Times New Roman" w:hAnsi="Times New Roman" w:cs="Times New Roman"/>
          <w:lang w:val="es-ES"/>
        </w:rPr>
        <w:t>Farías, F. y</w:t>
      </w:r>
      <w:r w:rsidR="00935034" w:rsidRPr="00152F2D">
        <w:rPr>
          <w:rFonts w:ascii="Times New Roman" w:hAnsi="Times New Roman" w:cs="Times New Roman"/>
          <w:lang w:val="es-ES"/>
        </w:rPr>
        <w:t xml:space="preserve"> </w:t>
      </w:r>
      <w:proofErr w:type="spellStart"/>
      <w:r w:rsidR="00935034" w:rsidRPr="00152F2D">
        <w:rPr>
          <w:rFonts w:ascii="Times New Roman" w:hAnsi="Times New Roman" w:cs="Times New Roman"/>
          <w:lang w:val="es-ES"/>
        </w:rPr>
        <w:t>Firinguetti</w:t>
      </w:r>
      <w:proofErr w:type="spellEnd"/>
      <w:r w:rsidR="00935034" w:rsidRPr="00152F2D">
        <w:rPr>
          <w:rFonts w:ascii="Times New Roman" w:hAnsi="Times New Roman" w:cs="Times New Roman"/>
          <w:lang w:val="es-ES"/>
        </w:rPr>
        <w:t>, L. (2012). Valoración de las competencias genéricas de los trabajadores sociales en el Gran Concepción, Chile</w:t>
      </w:r>
      <w:r w:rsidR="00935034" w:rsidRPr="00152F2D">
        <w:rPr>
          <w:rFonts w:ascii="Times New Roman" w:hAnsi="Times New Roman" w:cs="Times New Roman"/>
          <w:i/>
          <w:lang w:val="es-ES"/>
        </w:rPr>
        <w:t>.</w:t>
      </w:r>
      <w:r w:rsidR="00935034" w:rsidRPr="00152F2D">
        <w:rPr>
          <w:rFonts w:ascii="Times New Roman" w:hAnsi="Times New Roman" w:cs="Times New Roman"/>
          <w:i/>
          <w:lang w:val="es-MX"/>
        </w:rPr>
        <w:t xml:space="preserve"> Katálysis</w:t>
      </w:r>
      <w:r w:rsidR="00935034" w:rsidRPr="00152F2D">
        <w:rPr>
          <w:rFonts w:ascii="Times New Roman" w:hAnsi="Times New Roman" w:cs="Times New Roman"/>
          <w:lang w:val="es-MX"/>
        </w:rPr>
        <w:t>,</w:t>
      </w:r>
      <w:r w:rsidR="00FF26C3">
        <w:rPr>
          <w:rFonts w:ascii="Times New Roman" w:hAnsi="Times New Roman" w:cs="Times New Roman"/>
          <w:lang w:val="es-MX"/>
        </w:rPr>
        <w:t xml:space="preserve"> </w:t>
      </w:r>
      <w:r w:rsidR="00FF26C3" w:rsidRPr="00FF26C3">
        <w:rPr>
          <w:rFonts w:ascii="Times New Roman" w:hAnsi="Times New Roman" w:cs="Times New Roman"/>
          <w:i/>
          <w:lang w:val="es-MX"/>
        </w:rPr>
        <w:t>15</w:t>
      </w:r>
      <w:r w:rsidR="00334F8B" w:rsidRPr="00782BC3">
        <w:rPr>
          <w:rFonts w:ascii="Times New Roman" w:hAnsi="Times New Roman" w:cs="Times New Roman"/>
          <w:lang w:val="es-MX"/>
        </w:rPr>
        <w:t>(2)</w:t>
      </w:r>
      <w:r w:rsidR="00334F8B" w:rsidRPr="00152F2D">
        <w:rPr>
          <w:rFonts w:ascii="Times New Roman" w:hAnsi="Times New Roman" w:cs="Times New Roman"/>
          <w:lang w:val="es-MX"/>
        </w:rPr>
        <w:t>, 182</w:t>
      </w:r>
      <w:r w:rsidR="00C179F9">
        <w:rPr>
          <w:rFonts w:ascii="Times New Roman" w:hAnsi="Times New Roman" w:cs="Times New Roman"/>
          <w:lang w:val="es-MX"/>
        </w:rPr>
        <w:t>-</w:t>
      </w:r>
      <w:r w:rsidR="00334F8B" w:rsidRPr="00152F2D">
        <w:rPr>
          <w:rFonts w:ascii="Times New Roman" w:hAnsi="Times New Roman" w:cs="Times New Roman"/>
          <w:lang w:val="es-MX"/>
        </w:rPr>
        <w:t>192. Recuperado de</w:t>
      </w:r>
      <w:r w:rsidR="00935034" w:rsidRPr="00152F2D">
        <w:rPr>
          <w:rFonts w:ascii="Times New Roman" w:hAnsi="Times New Roman" w:cs="Times New Roman"/>
          <w:lang w:val="es-MX"/>
        </w:rPr>
        <w:t xml:space="preserve"> </w:t>
      </w:r>
      <w:hyperlink r:id="rId13" w:history="1">
        <w:r w:rsidR="00935034" w:rsidRPr="001E5421">
          <w:rPr>
            <w:rStyle w:val="Hipervnculo"/>
            <w:rFonts w:ascii="Times New Roman" w:hAnsi="Times New Roman" w:cs="Times New Roman"/>
            <w:color w:val="auto"/>
            <w:u w:val="none"/>
            <w:lang w:val="es-MX"/>
          </w:rPr>
          <w:t>http://www.redalyc.org/articulo.oa?id=179624760004</w:t>
        </w:r>
      </w:hyperlink>
      <w:r w:rsidR="00C179F9">
        <w:rPr>
          <w:rFonts w:ascii="Times New Roman" w:hAnsi="Times New Roman" w:cs="Times New Roman"/>
          <w:lang w:val="es-MX"/>
        </w:rPr>
        <w:t>.</w:t>
      </w:r>
    </w:p>
    <w:p w14:paraId="351BF5BB" w14:textId="6B38C7DF" w:rsidR="00935034" w:rsidRPr="00152F2D" w:rsidRDefault="00D34451" w:rsidP="00782BC3">
      <w:pPr>
        <w:spacing w:after="0" w:line="360" w:lineRule="auto"/>
        <w:ind w:left="709" w:hanging="709"/>
        <w:jc w:val="both"/>
        <w:rPr>
          <w:rFonts w:ascii="Times New Roman" w:hAnsi="Times New Roman" w:cs="Times New Roman"/>
          <w:color w:val="222222"/>
          <w:shd w:val="clear" w:color="auto" w:fill="FFFFFF"/>
          <w:lang w:val="en-US"/>
        </w:rPr>
      </w:pPr>
      <w:r>
        <w:rPr>
          <w:rFonts w:ascii="Times New Roman" w:hAnsi="Times New Roman" w:cs="Times New Roman"/>
          <w:lang w:val="en-US"/>
        </w:rPr>
        <w:t xml:space="preserve">Grossmana, P., </w:t>
      </w:r>
      <w:proofErr w:type="spellStart"/>
      <w:r>
        <w:rPr>
          <w:rFonts w:ascii="Times New Roman" w:hAnsi="Times New Roman" w:cs="Times New Roman"/>
          <w:lang w:val="en-US"/>
        </w:rPr>
        <w:t>Hammerness</w:t>
      </w:r>
      <w:proofErr w:type="spellEnd"/>
      <w:r>
        <w:rPr>
          <w:rFonts w:ascii="Times New Roman" w:hAnsi="Times New Roman" w:cs="Times New Roman"/>
          <w:lang w:val="en-US"/>
        </w:rPr>
        <w:t>, K. and</w:t>
      </w:r>
      <w:r w:rsidR="00935034" w:rsidRPr="00152F2D">
        <w:rPr>
          <w:rFonts w:ascii="Times New Roman" w:hAnsi="Times New Roman" w:cs="Times New Roman"/>
          <w:lang w:val="en-US"/>
        </w:rPr>
        <w:t xml:space="preserve"> McDonald, M. (2009). Redefining teaching re-imagining teacher education. </w:t>
      </w:r>
      <w:r w:rsidR="00935034" w:rsidRPr="00152F2D">
        <w:rPr>
          <w:rFonts w:ascii="Times New Roman" w:hAnsi="Times New Roman" w:cs="Times New Roman"/>
          <w:i/>
          <w:lang w:val="en-US"/>
        </w:rPr>
        <w:t>Teachers and Teaching: theory and practice</w:t>
      </w:r>
      <w:r w:rsidR="00935034" w:rsidRPr="00152F2D">
        <w:rPr>
          <w:rFonts w:ascii="Times New Roman" w:hAnsi="Times New Roman" w:cs="Times New Roman"/>
          <w:lang w:val="en-US"/>
        </w:rPr>
        <w:t xml:space="preserve">, </w:t>
      </w:r>
      <w:r w:rsidR="00935034" w:rsidRPr="00FF26C3">
        <w:rPr>
          <w:rFonts w:ascii="Times New Roman" w:hAnsi="Times New Roman" w:cs="Times New Roman"/>
          <w:i/>
          <w:lang w:val="en-US"/>
        </w:rPr>
        <w:t>15</w:t>
      </w:r>
      <w:r w:rsidR="00935034" w:rsidRPr="00782BC3">
        <w:rPr>
          <w:rFonts w:ascii="Times New Roman" w:hAnsi="Times New Roman" w:cs="Times New Roman"/>
          <w:lang w:val="en-US"/>
        </w:rPr>
        <w:t>(2)</w:t>
      </w:r>
      <w:r w:rsidR="00935034" w:rsidRPr="00152F2D">
        <w:rPr>
          <w:rFonts w:ascii="Times New Roman" w:hAnsi="Times New Roman" w:cs="Times New Roman"/>
          <w:lang w:val="en-US"/>
        </w:rPr>
        <w:t xml:space="preserve">, 273-289. </w:t>
      </w:r>
    </w:p>
    <w:p w14:paraId="27C48DB6" w14:textId="76B3E442" w:rsidR="007154BA" w:rsidRPr="00152F2D" w:rsidRDefault="00FE2040" w:rsidP="00782BC3">
      <w:pPr>
        <w:pStyle w:val="Textonotapie"/>
        <w:spacing w:line="360" w:lineRule="auto"/>
        <w:ind w:left="709" w:hanging="709"/>
        <w:jc w:val="both"/>
        <w:rPr>
          <w:rFonts w:eastAsiaTheme="minorEastAsia"/>
          <w:sz w:val="24"/>
          <w:szCs w:val="24"/>
          <w:lang w:val="es-MX" w:eastAsia="ja-JP"/>
        </w:rPr>
      </w:pPr>
      <w:r w:rsidRPr="00152F2D">
        <w:rPr>
          <w:sz w:val="24"/>
          <w:szCs w:val="24"/>
          <w:lang w:val="en-US"/>
        </w:rPr>
        <w:t xml:space="preserve">Hernández, R., Fernández, C. y Baptista, P. (2010). </w:t>
      </w:r>
      <w:r w:rsidRPr="00152F2D">
        <w:rPr>
          <w:i/>
          <w:iCs/>
          <w:sz w:val="24"/>
          <w:szCs w:val="24"/>
          <w:lang w:val="es-MX"/>
        </w:rPr>
        <w:t>Metodología de la investigación.</w:t>
      </w:r>
      <w:r w:rsidRPr="00152F2D">
        <w:rPr>
          <w:sz w:val="24"/>
          <w:szCs w:val="24"/>
          <w:lang w:val="es-MX"/>
        </w:rPr>
        <w:t xml:space="preserve"> México: McGraw</w:t>
      </w:r>
      <w:r w:rsidR="00C179F9">
        <w:rPr>
          <w:sz w:val="24"/>
          <w:szCs w:val="24"/>
          <w:lang w:val="es-MX"/>
        </w:rPr>
        <w:t>-</w:t>
      </w:r>
      <w:r w:rsidRPr="00152F2D">
        <w:rPr>
          <w:sz w:val="24"/>
          <w:szCs w:val="24"/>
          <w:lang w:val="es-MX"/>
        </w:rPr>
        <w:t>Hill.</w:t>
      </w:r>
    </w:p>
    <w:p w14:paraId="3A7D5702" w14:textId="77777777" w:rsidR="008F6C3D" w:rsidRPr="00152F2D" w:rsidRDefault="008F6C3D" w:rsidP="00782BC3">
      <w:pPr>
        <w:spacing w:after="0" w:line="360" w:lineRule="auto"/>
        <w:ind w:left="709" w:hanging="709"/>
        <w:jc w:val="both"/>
        <w:rPr>
          <w:rFonts w:ascii="Times New Roman" w:hAnsi="Times New Roman" w:cs="Times New Roman"/>
          <w:lang w:val="en-US"/>
        </w:rPr>
      </w:pPr>
      <w:r w:rsidRPr="00152F2D">
        <w:rPr>
          <w:rFonts w:ascii="Times New Roman" w:hAnsi="Times New Roman" w:cs="Times New Roman"/>
          <w:lang w:val="en-US"/>
        </w:rPr>
        <w:t>Kearney, S. (2013). Improving Engagement: The use of ‘Authentic self-and peer-</w:t>
      </w:r>
      <w:proofErr w:type="spellStart"/>
      <w:r w:rsidRPr="00152F2D">
        <w:rPr>
          <w:rFonts w:ascii="Times New Roman" w:hAnsi="Times New Roman" w:cs="Times New Roman"/>
          <w:lang w:val="en-US"/>
        </w:rPr>
        <w:t>asssessment</w:t>
      </w:r>
      <w:proofErr w:type="spellEnd"/>
      <w:r w:rsidRPr="00152F2D">
        <w:rPr>
          <w:rFonts w:ascii="Times New Roman" w:hAnsi="Times New Roman" w:cs="Times New Roman"/>
          <w:lang w:val="en-US"/>
        </w:rPr>
        <w:t xml:space="preserve"> for learning’ to enhance the student learning experience. </w:t>
      </w:r>
      <w:r w:rsidRPr="00152F2D">
        <w:rPr>
          <w:rFonts w:ascii="Times New Roman" w:hAnsi="Times New Roman" w:cs="Times New Roman"/>
          <w:i/>
          <w:lang w:val="en-US"/>
        </w:rPr>
        <w:t>Assessment &amp; Evaluation in Higher Education,</w:t>
      </w:r>
      <w:r w:rsidR="00FF26C3">
        <w:rPr>
          <w:rFonts w:ascii="Times New Roman" w:hAnsi="Times New Roman" w:cs="Times New Roman"/>
          <w:lang w:val="en-US"/>
        </w:rPr>
        <w:t xml:space="preserve"> </w:t>
      </w:r>
      <w:r w:rsidR="00FF26C3" w:rsidRPr="00FF26C3">
        <w:rPr>
          <w:rFonts w:ascii="Times New Roman" w:hAnsi="Times New Roman" w:cs="Times New Roman"/>
          <w:i/>
          <w:lang w:val="en-US"/>
        </w:rPr>
        <w:t>38</w:t>
      </w:r>
      <w:r w:rsidRPr="00782BC3">
        <w:rPr>
          <w:rFonts w:ascii="Times New Roman" w:hAnsi="Times New Roman" w:cs="Times New Roman"/>
          <w:lang w:val="en-US"/>
        </w:rPr>
        <w:t>(7),</w:t>
      </w:r>
      <w:r w:rsidR="009024F2">
        <w:rPr>
          <w:rFonts w:ascii="Times New Roman" w:hAnsi="Times New Roman" w:cs="Times New Roman"/>
          <w:lang w:val="en-US"/>
        </w:rPr>
        <w:t xml:space="preserve"> 875-</w:t>
      </w:r>
      <w:r w:rsidRPr="00152F2D">
        <w:rPr>
          <w:rFonts w:ascii="Times New Roman" w:hAnsi="Times New Roman" w:cs="Times New Roman"/>
          <w:lang w:val="en-US"/>
        </w:rPr>
        <w:t>891.</w:t>
      </w:r>
    </w:p>
    <w:p w14:paraId="757FC409" w14:textId="765B93A1" w:rsidR="000442D7" w:rsidRPr="001E5421" w:rsidRDefault="00D34451" w:rsidP="00782BC3">
      <w:pPr>
        <w:spacing w:after="0" w:line="360" w:lineRule="auto"/>
        <w:ind w:left="709" w:hanging="709"/>
        <w:jc w:val="both"/>
        <w:rPr>
          <w:rFonts w:ascii="Times New Roman" w:hAnsi="Times New Roman" w:cs="Times New Roman"/>
          <w:lang w:val="es-MX"/>
        </w:rPr>
      </w:pPr>
      <w:proofErr w:type="spellStart"/>
      <w:r>
        <w:rPr>
          <w:rFonts w:ascii="Times New Roman" w:hAnsi="Times New Roman" w:cs="Times New Roman"/>
          <w:lang w:val="en-US"/>
        </w:rPr>
        <w:t>Kollányi</w:t>
      </w:r>
      <w:proofErr w:type="spellEnd"/>
      <w:r>
        <w:rPr>
          <w:rFonts w:ascii="Times New Roman" w:hAnsi="Times New Roman" w:cs="Times New Roman"/>
          <w:lang w:val="en-US"/>
        </w:rPr>
        <w:t xml:space="preserve">, B., </w:t>
      </w:r>
      <w:proofErr w:type="spellStart"/>
      <w:r>
        <w:rPr>
          <w:rFonts w:ascii="Times New Roman" w:hAnsi="Times New Roman" w:cs="Times New Roman"/>
          <w:lang w:val="en-US"/>
        </w:rPr>
        <w:t>Molnár</w:t>
      </w:r>
      <w:proofErr w:type="spellEnd"/>
      <w:r>
        <w:rPr>
          <w:rFonts w:ascii="Times New Roman" w:hAnsi="Times New Roman" w:cs="Times New Roman"/>
          <w:lang w:val="en-US"/>
        </w:rPr>
        <w:t>, S. and</w:t>
      </w:r>
      <w:r w:rsidR="00935034" w:rsidRPr="00152F2D">
        <w:rPr>
          <w:rFonts w:ascii="Times New Roman" w:hAnsi="Times New Roman" w:cs="Times New Roman"/>
          <w:lang w:val="en-US"/>
        </w:rPr>
        <w:t xml:space="preserve"> </w:t>
      </w:r>
      <w:proofErr w:type="spellStart"/>
      <w:r w:rsidR="00935034" w:rsidRPr="00152F2D">
        <w:rPr>
          <w:rFonts w:ascii="Times New Roman" w:hAnsi="Times New Roman" w:cs="Times New Roman"/>
          <w:lang w:val="en-US"/>
        </w:rPr>
        <w:t>Székely</w:t>
      </w:r>
      <w:proofErr w:type="spellEnd"/>
      <w:r w:rsidR="00935034" w:rsidRPr="00152F2D">
        <w:rPr>
          <w:rFonts w:ascii="Times New Roman" w:hAnsi="Times New Roman" w:cs="Times New Roman"/>
          <w:lang w:val="en-US"/>
        </w:rPr>
        <w:t xml:space="preserve">, L. (2007). </w:t>
      </w:r>
      <w:r w:rsidR="00935034" w:rsidRPr="00152F2D">
        <w:rPr>
          <w:rFonts w:ascii="Times New Roman" w:hAnsi="Times New Roman" w:cs="Times New Roman"/>
          <w:i/>
          <w:lang w:val="en-US"/>
        </w:rPr>
        <w:t>Social networks and the network society</w:t>
      </w:r>
      <w:r w:rsidR="00935034" w:rsidRPr="00152F2D">
        <w:rPr>
          <w:rFonts w:ascii="Times New Roman" w:hAnsi="Times New Roman" w:cs="Times New Roman"/>
          <w:lang w:val="en-US"/>
        </w:rPr>
        <w:t xml:space="preserve">. </w:t>
      </w:r>
      <w:r w:rsidR="00C179F9">
        <w:rPr>
          <w:rFonts w:ascii="Times New Roman" w:hAnsi="Times New Roman" w:cs="Times New Roman"/>
          <w:lang w:val="en-US"/>
        </w:rPr>
        <w:t>Retrieved from</w:t>
      </w:r>
      <w:r w:rsidR="00935034" w:rsidRPr="00D34451">
        <w:rPr>
          <w:rFonts w:ascii="Times New Roman" w:hAnsi="Times New Roman" w:cs="Times New Roman"/>
          <w:lang w:val="en-US"/>
        </w:rPr>
        <w:t xml:space="preserve"> </w:t>
      </w:r>
      <w:hyperlink r:id="rId14" w:history="1">
        <w:r w:rsidR="00935034" w:rsidRPr="001E5421">
          <w:rPr>
            <w:rStyle w:val="Hipervnculo"/>
            <w:rFonts w:ascii="Times New Roman" w:hAnsi="Times New Roman" w:cs="Times New Roman"/>
            <w:color w:val="auto"/>
            <w:u w:val="none"/>
            <w:lang w:val="es-MX"/>
          </w:rPr>
          <w:t>www.ittk.hu/netis/doc/ISCB_eng/04_ MKSZ_final.pdf</w:t>
        </w:r>
      </w:hyperlink>
      <w:r w:rsidR="00C179F9">
        <w:rPr>
          <w:rFonts w:ascii="Times New Roman" w:hAnsi="Times New Roman" w:cs="Times New Roman"/>
          <w:lang w:val="es-MX"/>
        </w:rPr>
        <w:t>.</w:t>
      </w:r>
    </w:p>
    <w:p w14:paraId="41908515" w14:textId="2275EE47" w:rsidR="00935034" w:rsidRPr="00152F2D" w:rsidRDefault="00935034" w:rsidP="00782BC3">
      <w:pPr>
        <w:spacing w:after="0" w:line="360" w:lineRule="auto"/>
        <w:ind w:left="709" w:hanging="709"/>
        <w:jc w:val="both"/>
        <w:rPr>
          <w:rFonts w:ascii="Times New Roman" w:hAnsi="Times New Roman" w:cs="Times New Roman"/>
          <w:lang w:val="en-US"/>
        </w:rPr>
      </w:pPr>
      <w:r w:rsidRPr="00152F2D">
        <w:rPr>
          <w:rFonts w:ascii="Times New Roman" w:hAnsi="Times New Roman" w:cs="Times New Roman"/>
        </w:rPr>
        <w:t xml:space="preserve">Le </w:t>
      </w:r>
      <w:proofErr w:type="spellStart"/>
      <w:r w:rsidRPr="00152F2D">
        <w:rPr>
          <w:rFonts w:ascii="Times New Roman" w:hAnsi="Times New Roman" w:cs="Times New Roman"/>
        </w:rPr>
        <w:t>Boterf</w:t>
      </w:r>
      <w:proofErr w:type="spellEnd"/>
      <w:r w:rsidRPr="00152F2D">
        <w:rPr>
          <w:rFonts w:ascii="Times New Roman" w:hAnsi="Times New Roman" w:cs="Times New Roman"/>
        </w:rPr>
        <w:t xml:space="preserve">, G. (2010). </w:t>
      </w:r>
      <w:proofErr w:type="spellStart"/>
      <w:r w:rsidRPr="00152F2D">
        <w:rPr>
          <w:rFonts w:ascii="Times New Roman" w:hAnsi="Times New Roman" w:cs="Times New Roman"/>
          <w:i/>
        </w:rPr>
        <w:t>Repenser</w:t>
      </w:r>
      <w:proofErr w:type="spellEnd"/>
      <w:r w:rsidRPr="00152F2D">
        <w:rPr>
          <w:rFonts w:ascii="Times New Roman" w:hAnsi="Times New Roman" w:cs="Times New Roman"/>
          <w:i/>
        </w:rPr>
        <w:t xml:space="preserve"> la </w:t>
      </w:r>
      <w:proofErr w:type="spellStart"/>
      <w:r w:rsidRPr="00152F2D">
        <w:rPr>
          <w:rFonts w:ascii="Times New Roman" w:hAnsi="Times New Roman" w:cs="Times New Roman"/>
          <w:i/>
        </w:rPr>
        <w:t>compétence</w:t>
      </w:r>
      <w:proofErr w:type="spellEnd"/>
      <w:r w:rsidRPr="00152F2D">
        <w:rPr>
          <w:rFonts w:ascii="Times New Roman" w:hAnsi="Times New Roman" w:cs="Times New Roman"/>
        </w:rPr>
        <w:t xml:space="preserve">. </w:t>
      </w:r>
      <w:r w:rsidRPr="00152F2D">
        <w:rPr>
          <w:rFonts w:ascii="Times New Roman" w:hAnsi="Times New Roman" w:cs="Times New Roman"/>
          <w:lang w:val="en-US"/>
        </w:rPr>
        <w:t>Paris</w:t>
      </w:r>
      <w:r w:rsidR="00277347">
        <w:rPr>
          <w:rFonts w:ascii="Times New Roman" w:hAnsi="Times New Roman" w:cs="Times New Roman"/>
          <w:lang w:val="en-US"/>
        </w:rPr>
        <w:t>, France</w:t>
      </w:r>
      <w:r w:rsidRPr="00152F2D">
        <w:rPr>
          <w:rFonts w:ascii="Times New Roman" w:hAnsi="Times New Roman" w:cs="Times New Roman"/>
          <w:lang w:val="en-US"/>
        </w:rPr>
        <w:t xml:space="preserve">: Editions </w:t>
      </w:r>
      <w:proofErr w:type="spellStart"/>
      <w:r w:rsidRPr="00152F2D">
        <w:rPr>
          <w:rFonts w:ascii="Times New Roman" w:hAnsi="Times New Roman" w:cs="Times New Roman"/>
          <w:lang w:val="en-US"/>
        </w:rPr>
        <w:t>d’Organisation</w:t>
      </w:r>
      <w:proofErr w:type="spellEnd"/>
      <w:r w:rsidRPr="00152F2D">
        <w:rPr>
          <w:rFonts w:ascii="Times New Roman" w:hAnsi="Times New Roman" w:cs="Times New Roman"/>
          <w:lang w:val="en-US"/>
        </w:rPr>
        <w:t>.</w:t>
      </w:r>
    </w:p>
    <w:p w14:paraId="604E3B30" w14:textId="77777777" w:rsidR="007A42B2" w:rsidRPr="00D34451" w:rsidRDefault="007A42B2" w:rsidP="00782BC3">
      <w:pPr>
        <w:spacing w:after="0" w:line="360" w:lineRule="auto"/>
        <w:ind w:left="709" w:hanging="709"/>
        <w:jc w:val="both"/>
        <w:rPr>
          <w:rFonts w:ascii="Times New Roman" w:hAnsi="Times New Roman" w:cs="Times New Roman"/>
          <w:lang w:val="en-US"/>
        </w:rPr>
      </w:pPr>
      <w:r w:rsidRPr="00152F2D">
        <w:rPr>
          <w:rFonts w:ascii="Times New Roman" w:hAnsi="Times New Roman" w:cs="Times New Roman"/>
          <w:lang w:val="en-US"/>
        </w:rPr>
        <w:t xml:space="preserve">León, G. (2004). </w:t>
      </w:r>
      <w:r w:rsidRPr="00152F2D">
        <w:rPr>
          <w:rFonts w:ascii="Times New Roman" w:hAnsi="Times New Roman" w:cs="Times New Roman"/>
        </w:rPr>
        <w:t xml:space="preserve">La educación en el contexto de la globalización. </w:t>
      </w:r>
      <w:proofErr w:type="spellStart"/>
      <w:r w:rsidRPr="00D34451">
        <w:rPr>
          <w:rFonts w:ascii="Times New Roman" w:hAnsi="Times New Roman" w:cs="Times New Roman"/>
          <w:i/>
          <w:lang w:val="en-US"/>
        </w:rPr>
        <w:t>Revista</w:t>
      </w:r>
      <w:proofErr w:type="spellEnd"/>
      <w:r w:rsidRPr="00D34451">
        <w:rPr>
          <w:rFonts w:ascii="Times New Roman" w:hAnsi="Times New Roman" w:cs="Times New Roman"/>
          <w:i/>
          <w:lang w:val="en-US"/>
        </w:rPr>
        <w:t xml:space="preserve"> Historia de la </w:t>
      </w:r>
      <w:proofErr w:type="spellStart"/>
      <w:r w:rsidRPr="00D34451">
        <w:rPr>
          <w:rFonts w:ascii="Times New Roman" w:hAnsi="Times New Roman" w:cs="Times New Roman"/>
          <w:i/>
          <w:lang w:val="en-US"/>
        </w:rPr>
        <w:t>Educación</w:t>
      </w:r>
      <w:proofErr w:type="spellEnd"/>
      <w:r w:rsidRPr="00D34451">
        <w:rPr>
          <w:rFonts w:ascii="Times New Roman" w:hAnsi="Times New Roman" w:cs="Times New Roman"/>
          <w:i/>
          <w:lang w:val="en-US"/>
        </w:rPr>
        <w:t xml:space="preserve"> </w:t>
      </w:r>
      <w:proofErr w:type="spellStart"/>
      <w:r w:rsidRPr="00D34451">
        <w:rPr>
          <w:rFonts w:ascii="Times New Roman" w:hAnsi="Times New Roman" w:cs="Times New Roman"/>
          <w:i/>
          <w:lang w:val="en-US"/>
        </w:rPr>
        <w:t>Latinoamericana</w:t>
      </w:r>
      <w:proofErr w:type="spellEnd"/>
      <w:r w:rsidR="00FF26C3" w:rsidRPr="00D34451">
        <w:rPr>
          <w:rFonts w:ascii="Times New Roman" w:hAnsi="Times New Roman" w:cs="Times New Roman"/>
          <w:lang w:val="en-US"/>
        </w:rPr>
        <w:t xml:space="preserve">, </w:t>
      </w:r>
      <w:r w:rsidR="00FF26C3" w:rsidRPr="00D34451">
        <w:rPr>
          <w:rFonts w:ascii="Times New Roman" w:hAnsi="Times New Roman" w:cs="Times New Roman"/>
          <w:i/>
          <w:lang w:val="en-US"/>
        </w:rPr>
        <w:t>6</w:t>
      </w:r>
      <w:r w:rsidRPr="00782BC3">
        <w:rPr>
          <w:rFonts w:ascii="Times New Roman" w:hAnsi="Times New Roman" w:cs="Times New Roman"/>
          <w:lang w:val="en-US"/>
        </w:rPr>
        <w:t>(6)</w:t>
      </w:r>
      <w:r w:rsidR="009024F2" w:rsidRPr="00CC0530">
        <w:rPr>
          <w:rFonts w:ascii="Times New Roman" w:hAnsi="Times New Roman" w:cs="Times New Roman"/>
          <w:lang w:val="en-US"/>
        </w:rPr>
        <w:t>,</w:t>
      </w:r>
      <w:r w:rsidR="009024F2" w:rsidRPr="00D34451">
        <w:rPr>
          <w:rFonts w:ascii="Times New Roman" w:hAnsi="Times New Roman" w:cs="Times New Roman"/>
          <w:lang w:val="en-US"/>
        </w:rPr>
        <w:t xml:space="preserve"> 343-</w:t>
      </w:r>
      <w:r w:rsidRPr="00D34451">
        <w:rPr>
          <w:rFonts w:ascii="Times New Roman" w:hAnsi="Times New Roman" w:cs="Times New Roman"/>
          <w:lang w:val="en-US"/>
        </w:rPr>
        <w:t xml:space="preserve">354. </w:t>
      </w:r>
    </w:p>
    <w:p w14:paraId="344181FF" w14:textId="2DC3863A" w:rsidR="007A42B2" w:rsidRPr="00152F2D" w:rsidRDefault="007A42B2" w:rsidP="00782BC3">
      <w:pPr>
        <w:spacing w:after="0" w:line="360" w:lineRule="auto"/>
        <w:ind w:left="709" w:hanging="709"/>
        <w:jc w:val="both"/>
        <w:rPr>
          <w:rFonts w:ascii="Times New Roman" w:hAnsi="Times New Roman" w:cs="Times New Roman"/>
          <w:lang w:val="en-US"/>
        </w:rPr>
      </w:pPr>
      <w:r w:rsidRPr="00D34451">
        <w:rPr>
          <w:rFonts w:ascii="Times New Roman" w:hAnsi="Times New Roman" w:cs="Times New Roman"/>
          <w:lang w:val="en-US"/>
        </w:rPr>
        <w:t>Lindblom</w:t>
      </w:r>
      <w:r w:rsidR="00D34451" w:rsidRPr="00D34451">
        <w:rPr>
          <w:rFonts w:ascii="Times New Roman" w:hAnsi="Times New Roman" w:cs="Times New Roman"/>
          <w:lang w:val="en-US"/>
        </w:rPr>
        <w:t xml:space="preserve">, S., </w:t>
      </w:r>
      <w:proofErr w:type="spellStart"/>
      <w:r w:rsidR="00D34451" w:rsidRPr="00D34451">
        <w:rPr>
          <w:rFonts w:ascii="Times New Roman" w:hAnsi="Times New Roman" w:cs="Times New Roman"/>
          <w:lang w:val="en-US"/>
        </w:rPr>
        <w:t>Pihlajamäki</w:t>
      </w:r>
      <w:proofErr w:type="spellEnd"/>
      <w:r w:rsidR="00D34451" w:rsidRPr="00D34451">
        <w:rPr>
          <w:rFonts w:ascii="Times New Roman" w:hAnsi="Times New Roman" w:cs="Times New Roman"/>
          <w:lang w:val="en-US"/>
        </w:rPr>
        <w:t>, H. a</w:t>
      </w:r>
      <w:r w:rsidR="00D34451">
        <w:rPr>
          <w:rFonts w:ascii="Times New Roman" w:hAnsi="Times New Roman" w:cs="Times New Roman"/>
          <w:lang w:val="en-US"/>
        </w:rPr>
        <w:t>nd</w:t>
      </w:r>
      <w:r w:rsidRPr="00D34451">
        <w:rPr>
          <w:rFonts w:ascii="Times New Roman" w:hAnsi="Times New Roman" w:cs="Times New Roman"/>
          <w:lang w:val="en-US"/>
        </w:rPr>
        <w:t xml:space="preserve"> </w:t>
      </w:r>
      <w:proofErr w:type="spellStart"/>
      <w:r w:rsidRPr="00D34451">
        <w:rPr>
          <w:rFonts w:ascii="Times New Roman" w:hAnsi="Times New Roman" w:cs="Times New Roman"/>
          <w:lang w:val="en-US"/>
        </w:rPr>
        <w:t>Kotkas</w:t>
      </w:r>
      <w:proofErr w:type="spellEnd"/>
      <w:r w:rsidRPr="00D34451">
        <w:rPr>
          <w:rFonts w:ascii="Times New Roman" w:hAnsi="Times New Roman" w:cs="Times New Roman"/>
          <w:lang w:val="en-US"/>
        </w:rPr>
        <w:t xml:space="preserve">, T. (2006). </w:t>
      </w:r>
      <w:r w:rsidRPr="00152F2D">
        <w:rPr>
          <w:rFonts w:ascii="Times New Roman" w:hAnsi="Times New Roman" w:cs="Times New Roman"/>
          <w:lang w:val="en-US"/>
        </w:rPr>
        <w:t xml:space="preserve">Self-, Peer- and Teacher-Assessment of Student Essays. </w:t>
      </w:r>
      <w:r w:rsidRPr="00152F2D">
        <w:rPr>
          <w:rFonts w:ascii="Times New Roman" w:hAnsi="Times New Roman" w:cs="Times New Roman"/>
          <w:i/>
          <w:lang w:val="en-US"/>
        </w:rPr>
        <w:t>Active Learnin</w:t>
      </w:r>
      <w:r w:rsidR="00C9224B">
        <w:rPr>
          <w:rFonts w:ascii="Times New Roman" w:hAnsi="Times New Roman" w:cs="Times New Roman"/>
          <w:i/>
          <w:lang w:val="en-US"/>
        </w:rPr>
        <w:t>g</w:t>
      </w:r>
      <w:r w:rsidRPr="00152F2D">
        <w:rPr>
          <w:rFonts w:ascii="Times New Roman" w:hAnsi="Times New Roman" w:cs="Times New Roman"/>
          <w:i/>
          <w:lang w:val="en-US"/>
        </w:rPr>
        <w:t xml:space="preserve"> in Higher Education: The Journal of the Institute for Learning and Teaching</w:t>
      </w:r>
      <w:r w:rsidR="00FF26C3">
        <w:rPr>
          <w:rFonts w:ascii="Times New Roman" w:hAnsi="Times New Roman" w:cs="Times New Roman"/>
          <w:lang w:val="en-US"/>
        </w:rPr>
        <w:t xml:space="preserve">, </w:t>
      </w:r>
      <w:r w:rsidR="00FF26C3" w:rsidRPr="00FF26C3">
        <w:rPr>
          <w:rFonts w:ascii="Times New Roman" w:hAnsi="Times New Roman" w:cs="Times New Roman"/>
          <w:i/>
          <w:lang w:val="en-US"/>
        </w:rPr>
        <w:t>7</w:t>
      </w:r>
      <w:r w:rsidRPr="00782BC3">
        <w:rPr>
          <w:rFonts w:ascii="Times New Roman" w:hAnsi="Times New Roman" w:cs="Times New Roman"/>
          <w:lang w:val="en-US"/>
        </w:rPr>
        <w:t>(1)</w:t>
      </w:r>
      <w:r w:rsidR="009024F2">
        <w:rPr>
          <w:rFonts w:ascii="Times New Roman" w:hAnsi="Times New Roman" w:cs="Times New Roman"/>
          <w:lang w:val="en-US"/>
        </w:rPr>
        <w:t>, 51-</w:t>
      </w:r>
      <w:r w:rsidRPr="00152F2D">
        <w:rPr>
          <w:rFonts w:ascii="Times New Roman" w:hAnsi="Times New Roman" w:cs="Times New Roman"/>
          <w:lang w:val="en-US"/>
        </w:rPr>
        <w:t xml:space="preserve">62. </w:t>
      </w:r>
    </w:p>
    <w:p w14:paraId="5024DA25" w14:textId="41012175" w:rsidR="00935034" w:rsidRPr="00152F2D" w:rsidRDefault="00935034" w:rsidP="00782BC3">
      <w:pPr>
        <w:spacing w:after="0" w:line="360" w:lineRule="auto"/>
        <w:ind w:left="709" w:hanging="709"/>
        <w:jc w:val="both"/>
        <w:rPr>
          <w:rFonts w:ascii="Times New Roman" w:hAnsi="Times New Roman" w:cs="Times New Roman"/>
          <w:lang w:val="en-US"/>
        </w:rPr>
      </w:pPr>
      <w:r w:rsidRPr="00152F2D">
        <w:rPr>
          <w:rFonts w:ascii="Times New Roman" w:hAnsi="Times New Roman" w:cs="Times New Roman"/>
          <w:lang w:val="en-US"/>
        </w:rPr>
        <w:lastRenderedPageBreak/>
        <w:t xml:space="preserve">Littlewood, K. (2011). High fidelity simulation as a research tool. </w:t>
      </w:r>
      <w:r w:rsidRPr="00152F2D">
        <w:rPr>
          <w:rFonts w:ascii="Times New Roman" w:hAnsi="Times New Roman" w:cs="Times New Roman"/>
          <w:i/>
          <w:lang w:val="en-US"/>
        </w:rPr>
        <w:t xml:space="preserve">Best practice &amp; Research Clinical </w:t>
      </w:r>
      <w:proofErr w:type="spellStart"/>
      <w:r w:rsidRPr="00152F2D">
        <w:rPr>
          <w:rFonts w:ascii="Times New Roman" w:hAnsi="Times New Roman" w:cs="Times New Roman"/>
          <w:i/>
          <w:lang w:val="en-US"/>
        </w:rPr>
        <w:t>Anaesthesiology</w:t>
      </w:r>
      <w:proofErr w:type="spellEnd"/>
      <w:r w:rsidRPr="00152F2D">
        <w:rPr>
          <w:rFonts w:ascii="Times New Roman" w:hAnsi="Times New Roman" w:cs="Times New Roman"/>
          <w:lang w:val="en-US"/>
        </w:rPr>
        <w:t xml:space="preserve">, </w:t>
      </w:r>
      <w:r w:rsidR="00CC0530">
        <w:rPr>
          <w:rFonts w:ascii="Times New Roman" w:hAnsi="Times New Roman" w:cs="Times New Roman"/>
          <w:lang w:val="en-US"/>
        </w:rPr>
        <w:t>(</w:t>
      </w:r>
      <w:r w:rsidRPr="00782BC3">
        <w:rPr>
          <w:rFonts w:ascii="Times New Roman" w:hAnsi="Times New Roman" w:cs="Times New Roman"/>
          <w:lang w:val="en-US"/>
        </w:rPr>
        <w:t>25</w:t>
      </w:r>
      <w:r w:rsidR="00CC0530">
        <w:rPr>
          <w:rFonts w:ascii="Times New Roman" w:hAnsi="Times New Roman" w:cs="Times New Roman"/>
          <w:lang w:val="en-US"/>
        </w:rPr>
        <w:t>)</w:t>
      </w:r>
      <w:r w:rsidRPr="00152F2D">
        <w:rPr>
          <w:rFonts w:ascii="Times New Roman" w:hAnsi="Times New Roman" w:cs="Times New Roman"/>
          <w:lang w:val="en-US"/>
        </w:rPr>
        <w:t>, 473-487.</w:t>
      </w:r>
      <w:r w:rsidR="00EA6B0E" w:rsidRPr="00152F2D">
        <w:rPr>
          <w:rFonts w:ascii="Times New Roman" w:hAnsi="Times New Roman" w:cs="Times New Roman"/>
          <w:lang w:val="en-US"/>
        </w:rPr>
        <w:t xml:space="preserve"> </w:t>
      </w:r>
    </w:p>
    <w:p w14:paraId="73355BDE" w14:textId="7F32317F" w:rsidR="00EA6B0E" w:rsidRPr="00152F2D" w:rsidRDefault="00935034" w:rsidP="00782BC3">
      <w:pPr>
        <w:spacing w:after="0" w:line="360" w:lineRule="auto"/>
        <w:ind w:left="709" w:hanging="709"/>
        <w:jc w:val="both"/>
        <w:rPr>
          <w:rFonts w:ascii="Times New Roman" w:hAnsi="Times New Roman" w:cs="Times New Roman"/>
          <w:lang w:val="en-US"/>
        </w:rPr>
      </w:pPr>
      <w:proofErr w:type="spellStart"/>
      <w:r w:rsidRPr="00152F2D">
        <w:rPr>
          <w:rFonts w:ascii="Times New Roman" w:hAnsi="Times New Roman" w:cs="Times New Roman"/>
          <w:lang w:val="en-US"/>
        </w:rPr>
        <w:t>McGaghie</w:t>
      </w:r>
      <w:proofErr w:type="spellEnd"/>
      <w:r w:rsidRPr="00152F2D">
        <w:rPr>
          <w:rFonts w:ascii="Times New Roman" w:hAnsi="Times New Roman" w:cs="Times New Roman"/>
          <w:lang w:val="en-US"/>
        </w:rPr>
        <w:t>, W</w:t>
      </w:r>
      <w:r w:rsidR="008F6C3D" w:rsidRPr="00152F2D">
        <w:rPr>
          <w:rFonts w:ascii="Times New Roman" w:hAnsi="Times New Roman" w:cs="Times New Roman"/>
          <w:lang w:val="en-US"/>
        </w:rPr>
        <w:t>.</w:t>
      </w:r>
      <w:r w:rsidRPr="00152F2D">
        <w:rPr>
          <w:rFonts w:ascii="Times New Roman" w:hAnsi="Times New Roman" w:cs="Times New Roman"/>
          <w:lang w:val="en-US"/>
        </w:rPr>
        <w:t>, Iss</w:t>
      </w:r>
      <w:r w:rsidR="00D34451">
        <w:rPr>
          <w:rFonts w:ascii="Times New Roman" w:hAnsi="Times New Roman" w:cs="Times New Roman"/>
          <w:lang w:val="en-US"/>
        </w:rPr>
        <w:t xml:space="preserve">enberg, S., </w:t>
      </w:r>
      <w:proofErr w:type="spellStart"/>
      <w:r w:rsidR="00D34451">
        <w:rPr>
          <w:rFonts w:ascii="Times New Roman" w:hAnsi="Times New Roman" w:cs="Times New Roman"/>
          <w:lang w:val="en-US"/>
        </w:rPr>
        <w:t>Petrusa</w:t>
      </w:r>
      <w:proofErr w:type="spellEnd"/>
      <w:r w:rsidR="00D34451">
        <w:rPr>
          <w:rFonts w:ascii="Times New Roman" w:hAnsi="Times New Roman" w:cs="Times New Roman"/>
          <w:lang w:val="en-US"/>
        </w:rPr>
        <w:t>, E. and</w:t>
      </w:r>
      <w:r w:rsidRPr="00152F2D">
        <w:rPr>
          <w:rFonts w:ascii="Times New Roman" w:hAnsi="Times New Roman" w:cs="Times New Roman"/>
          <w:lang w:val="en-US"/>
        </w:rPr>
        <w:t xml:space="preserve"> </w:t>
      </w:r>
      <w:proofErr w:type="spellStart"/>
      <w:r w:rsidRPr="00152F2D">
        <w:rPr>
          <w:rFonts w:ascii="Times New Roman" w:hAnsi="Times New Roman" w:cs="Times New Roman"/>
          <w:lang w:val="en-US"/>
        </w:rPr>
        <w:t>Scalese</w:t>
      </w:r>
      <w:proofErr w:type="spellEnd"/>
      <w:r w:rsidRPr="00152F2D">
        <w:rPr>
          <w:rFonts w:ascii="Times New Roman" w:hAnsi="Times New Roman" w:cs="Times New Roman"/>
          <w:lang w:val="en-US"/>
        </w:rPr>
        <w:t>, R. J. (2010). A critical review of simulation-b</w:t>
      </w:r>
      <w:r w:rsidR="00F64D60">
        <w:rPr>
          <w:rFonts w:ascii="Times New Roman" w:hAnsi="Times New Roman" w:cs="Times New Roman"/>
          <w:lang w:val="en-US"/>
        </w:rPr>
        <w:t>a</w:t>
      </w:r>
      <w:r w:rsidRPr="00152F2D">
        <w:rPr>
          <w:rFonts w:ascii="Times New Roman" w:hAnsi="Times New Roman" w:cs="Times New Roman"/>
          <w:lang w:val="en-US"/>
        </w:rPr>
        <w:t xml:space="preserve">sed medical education research: 2003- 2009. </w:t>
      </w:r>
      <w:proofErr w:type="spellStart"/>
      <w:r w:rsidR="00334F8B" w:rsidRPr="00152F2D">
        <w:rPr>
          <w:rFonts w:ascii="Times New Roman" w:hAnsi="Times New Roman" w:cs="Times New Roman"/>
          <w:i/>
          <w:lang w:val="en-US"/>
        </w:rPr>
        <w:t>Educación</w:t>
      </w:r>
      <w:proofErr w:type="spellEnd"/>
      <w:r w:rsidR="00334F8B" w:rsidRPr="00152F2D">
        <w:rPr>
          <w:rFonts w:ascii="Times New Roman" w:hAnsi="Times New Roman" w:cs="Times New Roman"/>
          <w:i/>
          <w:lang w:val="en-US"/>
        </w:rPr>
        <w:t xml:space="preserve"> </w:t>
      </w:r>
      <w:proofErr w:type="spellStart"/>
      <w:r w:rsidR="00334F8B" w:rsidRPr="00152F2D">
        <w:rPr>
          <w:rFonts w:ascii="Times New Roman" w:hAnsi="Times New Roman" w:cs="Times New Roman"/>
          <w:i/>
          <w:lang w:val="en-US"/>
        </w:rPr>
        <w:t>Médica</w:t>
      </w:r>
      <w:proofErr w:type="spellEnd"/>
      <w:r w:rsidR="00334F8B" w:rsidRPr="00152F2D">
        <w:rPr>
          <w:rFonts w:ascii="Times New Roman" w:hAnsi="Times New Roman" w:cs="Times New Roman"/>
          <w:i/>
          <w:lang w:val="en-US"/>
        </w:rPr>
        <w:t>,</w:t>
      </w:r>
      <w:r w:rsidRPr="00152F2D">
        <w:rPr>
          <w:rFonts w:ascii="Times New Roman" w:hAnsi="Times New Roman" w:cs="Times New Roman"/>
          <w:lang w:val="en-US"/>
        </w:rPr>
        <w:t xml:space="preserve"> </w:t>
      </w:r>
      <w:r w:rsidR="00CC0530">
        <w:rPr>
          <w:rFonts w:ascii="Times New Roman" w:hAnsi="Times New Roman" w:cs="Times New Roman"/>
          <w:lang w:val="en-US"/>
        </w:rPr>
        <w:t>(</w:t>
      </w:r>
      <w:r w:rsidRPr="00782BC3">
        <w:rPr>
          <w:rFonts w:ascii="Times New Roman" w:hAnsi="Times New Roman" w:cs="Times New Roman"/>
          <w:lang w:val="en-US"/>
        </w:rPr>
        <w:t>44</w:t>
      </w:r>
      <w:r w:rsidR="00CC0530">
        <w:rPr>
          <w:rFonts w:ascii="Times New Roman" w:hAnsi="Times New Roman" w:cs="Times New Roman"/>
          <w:lang w:val="en-US"/>
        </w:rPr>
        <w:t>)</w:t>
      </w:r>
      <w:r w:rsidRPr="00152F2D">
        <w:rPr>
          <w:rFonts w:ascii="Times New Roman" w:hAnsi="Times New Roman" w:cs="Times New Roman"/>
          <w:lang w:val="en-US"/>
        </w:rPr>
        <w:t xml:space="preserve">, 50-63. </w:t>
      </w:r>
    </w:p>
    <w:p w14:paraId="61125AAB" w14:textId="43A1D2DE" w:rsidR="008F6C3D" w:rsidRPr="001E5421" w:rsidRDefault="00935034" w:rsidP="00782BC3">
      <w:pPr>
        <w:spacing w:after="0" w:line="360" w:lineRule="auto"/>
        <w:ind w:left="709" w:hanging="709"/>
        <w:jc w:val="both"/>
        <w:rPr>
          <w:rFonts w:ascii="Times New Roman" w:hAnsi="Times New Roman" w:cs="Times New Roman"/>
          <w:lang w:val="es-MX"/>
        </w:rPr>
      </w:pPr>
      <w:r w:rsidRPr="00152F2D">
        <w:rPr>
          <w:rFonts w:ascii="Times New Roman" w:hAnsi="Times New Roman" w:cs="Times New Roman"/>
          <w:lang w:val="es-ES"/>
        </w:rPr>
        <w:t>Medina,</w:t>
      </w:r>
      <w:r w:rsidR="008F6C3D" w:rsidRPr="00152F2D">
        <w:rPr>
          <w:rFonts w:ascii="Times New Roman" w:hAnsi="Times New Roman" w:cs="Times New Roman"/>
          <w:lang w:val="es-ES"/>
        </w:rPr>
        <w:t xml:space="preserve"> A., Amado, M. y</w:t>
      </w:r>
      <w:r w:rsidRPr="00152F2D">
        <w:rPr>
          <w:rFonts w:ascii="Times New Roman" w:hAnsi="Times New Roman" w:cs="Times New Roman"/>
          <w:lang w:val="es-ES"/>
        </w:rPr>
        <w:t xml:space="preserve"> Brito, R. (2010). Competencias genéricas en la educación superior tecnológica mexicana: desde las percepciones de docentes y estudiantes.</w:t>
      </w:r>
      <w:r w:rsidRPr="00152F2D">
        <w:rPr>
          <w:rFonts w:ascii="Times New Roman" w:hAnsi="Times New Roman" w:cs="Times New Roman"/>
        </w:rPr>
        <w:t xml:space="preserve"> </w:t>
      </w:r>
      <w:r w:rsidR="00334F8B" w:rsidRPr="00152F2D">
        <w:rPr>
          <w:rFonts w:ascii="Times New Roman" w:hAnsi="Times New Roman" w:cs="Times New Roman"/>
          <w:i/>
          <w:lang w:val="es-MX"/>
        </w:rPr>
        <w:t>Actualidades Investigativas en Educación</w:t>
      </w:r>
      <w:r w:rsidR="00FF26C3">
        <w:rPr>
          <w:rFonts w:ascii="Times New Roman" w:hAnsi="Times New Roman" w:cs="Times New Roman"/>
          <w:lang w:val="es-MX"/>
        </w:rPr>
        <w:t xml:space="preserve">, </w:t>
      </w:r>
      <w:r w:rsidR="00FF26C3" w:rsidRPr="00FF26C3">
        <w:rPr>
          <w:rFonts w:ascii="Times New Roman" w:hAnsi="Times New Roman" w:cs="Times New Roman"/>
          <w:i/>
          <w:lang w:val="es-MX"/>
        </w:rPr>
        <w:t>10</w:t>
      </w:r>
      <w:r w:rsidR="00334F8B" w:rsidRPr="00FF26C3">
        <w:rPr>
          <w:rFonts w:ascii="Times New Roman" w:hAnsi="Times New Roman" w:cs="Times New Roman"/>
          <w:i/>
          <w:lang w:val="es-MX"/>
        </w:rPr>
        <w:t>(3)</w:t>
      </w:r>
      <w:r w:rsidR="009024F2">
        <w:rPr>
          <w:rFonts w:ascii="Times New Roman" w:hAnsi="Times New Roman" w:cs="Times New Roman"/>
          <w:lang w:val="es-MX"/>
        </w:rPr>
        <w:t>, 1-</w:t>
      </w:r>
      <w:r w:rsidR="00334F8B" w:rsidRPr="00152F2D">
        <w:rPr>
          <w:rFonts w:ascii="Times New Roman" w:hAnsi="Times New Roman" w:cs="Times New Roman"/>
          <w:lang w:val="es-MX"/>
        </w:rPr>
        <w:t>28. Recuperado de</w:t>
      </w:r>
      <w:r w:rsidRPr="00152F2D">
        <w:rPr>
          <w:rFonts w:ascii="Times New Roman" w:hAnsi="Times New Roman" w:cs="Times New Roman"/>
          <w:lang w:val="es-MX"/>
        </w:rPr>
        <w:t xml:space="preserve"> </w:t>
      </w:r>
      <w:hyperlink r:id="rId15" w:history="1">
        <w:r w:rsidRPr="001E5421">
          <w:rPr>
            <w:rStyle w:val="Hipervnculo"/>
            <w:rFonts w:ascii="Times New Roman" w:hAnsi="Times New Roman" w:cs="Times New Roman"/>
            <w:color w:val="auto"/>
            <w:u w:val="none"/>
            <w:lang w:val="es-MX"/>
          </w:rPr>
          <w:t>http://www.redalyc.org/articulo.oa?id=44717980008</w:t>
        </w:r>
      </w:hyperlink>
      <w:r w:rsidR="00CC0530">
        <w:rPr>
          <w:rFonts w:ascii="Times New Roman" w:hAnsi="Times New Roman" w:cs="Times New Roman"/>
          <w:lang w:val="es-MX"/>
        </w:rPr>
        <w:t>.</w:t>
      </w:r>
    </w:p>
    <w:p w14:paraId="182D3840" w14:textId="322360B2" w:rsidR="00935034" w:rsidRPr="00152F2D" w:rsidRDefault="008F6C3D" w:rsidP="00782BC3">
      <w:pPr>
        <w:spacing w:after="0" w:line="360" w:lineRule="auto"/>
        <w:ind w:left="709" w:hanging="709"/>
        <w:jc w:val="both"/>
        <w:rPr>
          <w:rFonts w:ascii="Times New Roman" w:hAnsi="Times New Roman" w:cs="Times New Roman"/>
          <w:lang w:val="es-MX"/>
        </w:rPr>
      </w:pPr>
      <w:r w:rsidRPr="00152F2D">
        <w:rPr>
          <w:rFonts w:ascii="Times New Roman" w:hAnsi="Times New Roman" w:cs="Times New Roman"/>
        </w:rPr>
        <w:t>Nieves, Z., Otero, I. y</w:t>
      </w:r>
      <w:r w:rsidR="00935034" w:rsidRPr="00152F2D">
        <w:rPr>
          <w:rFonts w:ascii="Times New Roman" w:hAnsi="Times New Roman" w:cs="Times New Roman"/>
        </w:rPr>
        <w:t xml:space="preserve"> </w:t>
      </w:r>
      <w:proofErr w:type="spellStart"/>
      <w:r w:rsidR="00935034" w:rsidRPr="00152F2D">
        <w:rPr>
          <w:rFonts w:ascii="Times New Roman" w:hAnsi="Times New Roman" w:cs="Times New Roman"/>
        </w:rPr>
        <w:t>Molerio</w:t>
      </w:r>
      <w:proofErr w:type="spellEnd"/>
      <w:r w:rsidR="00935034" w:rsidRPr="00152F2D">
        <w:rPr>
          <w:rFonts w:ascii="Times New Roman" w:hAnsi="Times New Roman" w:cs="Times New Roman"/>
        </w:rPr>
        <w:t>, O. (2007). La formación profesional en la universid</w:t>
      </w:r>
      <w:r w:rsidR="00D340A5" w:rsidRPr="00152F2D">
        <w:rPr>
          <w:rFonts w:ascii="Times New Roman" w:hAnsi="Times New Roman" w:cs="Times New Roman"/>
        </w:rPr>
        <w:t xml:space="preserve">ad de hoy: de la educación a la </w:t>
      </w:r>
      <w:r w:rsidR="00935034" w:rsidRPr="00152F2D">
        <w:rPr>
          <w:rFonts w:ascii="Times New Roman" w:hAnsi="Times New Roman" w:cs="Times New Roman"/>
        </w:rPr>
        <w:t xml:space="preserve">autoeducación. </w:t>
      </w:r>
      <w:r w:rsidR="00334F8B" w:rsidRPr="00152F2D">
        <w:rPr>
          <w:rFonts w:ascii="Times New Roman" w:hAnsi="Times New Roman" w:cs="Times New Roman"/>
          <w:i/>
        </w:rPr>
        <w:t>Pedagogía Universitaria</w:t>
      </w:r>
      <w:r w:rsidR="00FF26C3">
        <w:rPr>
          <w:rFonts w:ascii="Times New Roman" w:hAnsi="Times New Roman" w:cs="Times New Roman"/>
        </w:rPr>
        <w:t xml:space="preserve">, </w:t>
      </w:r>
      <w:r w:rsidR="00FF26C3" w:rsidRPr="00FF26C3">
        <w:rPr>
          <w:rFonts w:ascii="Times New Roman" w:hAnsi="Times New Roman" w:cs="Times New Roman"/>
          <w:i/>
        </w:rPr>
        <w:t>12</w:t>
      </w:r>
      <w:r w:rsidR="00935034" w:rsidRPr="00782BC3">
        <w:rPr>
          <w:rFonts w:ascii="Times New Roman" w:hAnsi="Times New Roman" w:cs="Times New Roman"/>
        </w:rPr>
        <w:t>(2)</w:t>
      </w:r>
      <w:r w:rsidR="00935034" w:rsidRPr="00CC0530">
        <w:rPr>
          <w:rFonts w:ascii="Times New Roman" w:hAnsi="Times New Roman" w:cs="Times New Roman"/>
        </w:rPr>
        <w:t>,</w:t>
      </w:r>
      <w:r w:rsidR="00935034" w:rsidRPr="00152F2D">
        <w:rPr>
          <w:rFonts w:ascii="Times New Roman" w:hAnsi="Times New Roman" w:cs="Times New Roman"/>
        </w:rPr>
        <w:t xml:space="preserve"> 1-9. </w:t>
      </w:r>
      <w:r w:rsidR="00334F8B" w:rsidRPr="00152F2D">
        <w:rPr>
          <w:rFonts w:ascii="Times New Roman" w:hAnsi="Times New Roman" w:cs="Times New Roman"/>
          <w:lang w:val="es-MX"/>
        </w:rPr>
        <w:t>Recuperado de</w:t>
      </w:r>
      <w:r w:rsidR="00935034" w:rsidRPr="00152F2D">
        <w:rPr>
          <w:rFonts w:ascii="Times New Roman" w:hAnsi="Times New Roman" w:cs="Times New Roman"/>
          <w:lang w:val="es-MX"/>
        </w:rPr>
        <w:t xml:space="preserve"> http://web.ebscohost.com/ehost/detail?vid=4&amp;hid=12&amp;sid=239ba2f6-2b3e-4c29-89de309ce60a1c32%40sessionmgr11&amp;bdata=Jmxhbmc9ZXMmc2l0ZT1laG9zdC1saXZl#db =zbh&amp;AN=25383034</w:t>
      </w:r>
      <w:r w:rsidR="00CC0530">
        <w:rPr>
          <w:rFonts w:ascii="Times New Roman" w:hAnsi="Times New Roman" w:cs="Times New Roman"/>
          <w:lang w:val="es-MX"/>
        </w:rPr>
        <w:t>.</w:t>
      </w:r>
    </w:p>
    <w:p w14:paraId="19D3B8D5" w14:textId="12416289" w:rsidR="009908BF" w:rsidRPr="001E5421" w:rsidRDefault="009908BF" w:rsidP="00782BC3">
      <w:pPr>
        <w:spacing w:after="0" w:line="360" w:lineRule="auto"/>
        <w:ind w:left="709" w:hanging="709"/>
        <w:jc w:val="both"/>
        <w:rPr>
          <w:rFonts w:ascii="Times New Roman" w:hAnsi="Times New Roman" w:cs="Times New Roman"/>
        </w:rPr>
      </w:pPr>
      <w:r w:rsidRPr="00152F2D">
        <w:rPr>
          <w:rFonts w:ascii="Times New Roman" w:hAnsi="Times New Roman" w:cs="Times New Roman"/>
        </w:rPr>
        <w:t>Organización para la Cooperación y el Desarrol</w:t>
      </w:r>
      <w:r w:rsidR="00DD7176">
        <w:rPr>
          <w:rFonts w:ascii="Times New Roman" w:hAnsi="Times New Roman" w:cs="Times New Roman"/>
        </w:rPr>
        <w:t>lo Económico [</w:t>
      </w:r>
      <w:r w:rsidRPr="00152F2D">
        <w:rPr>
          <w:rFonts w:ascii="Times New Roman" w:hAnsi="Times New Roman" w:cs="Times New Roman"/>
        </w:rPr>
        <w:t>OECD</w:t>
      </w:r>
      <w:r w:rsidR="00DD7176">
        <w:rPr>
          <w:rFonts w:ascii="Times New Roman" w:hAnsi="Times New Roman" w:cs="Times New Roman"/>
        </w:rPr>
        <w:t>].</w:t>
      </w:r>
      <w:r w:rsidRPr="00152F2D">
        <w:rPr>
          <w:rFonts w:ascii="Times New Roman" w:hAnsi="Times New Roman" w:cs="Times New Roman"/>
        </w:rPr>
        <w:t xml:space="preserve"> </w:t>
      </w:r>
      <w:r w:rsidR="00DD7176">
        <w:rPr>
          <w:rFonts w:ascii="Times New Roman" w:hAnsi="Times New Roman" w:cs="Times New Roman"/>
        </w:rPr>
        <w:t>(</w:t>
      </w:r>
      <w:r w:rsidRPr="00152F2D">
        <w:rPr>
          <w:rFonts w:ascii="Times New Roman" w:hAnsi="Times New Roman" w:cs="Times New Roman"/>
        </w:rPr>
        <w:t xml:space="preserve">2012). </w:t>
      </w:r>
      <w:r w:rsidRPr="00152F2D">
        <w:rPr>
          <w:rFonts w:ascii="Times New Roman" w:hAnsi="Times New Roman" w:cs="Times New Roman"/>
          <w:i/>
          <w:lang w:val="en-US"/>
        </w:rPr>
        <w:t>Better Skills, Better Jobs, Better Lives: A Strategic Approach to Skills Policies</w:t>
      </w:r>
      <w:r w:rsidRPr="00152F2D">
        <w:rPr>
          <w:rFonts w:ascii="Times New Roman" w:hAnsi="Times New Roman" w:cs="Times New Roman"/>
          <w:lang w:val="en-US"/>
        </w:rPr>
        <w:t xml:space="preserve">. </w:t>
      </w:r>
      <w:r w:rsidRPr="00152F2D">
        <w:rPr>
          <w:rFonts w:ascii="Times New Roman" w:hAnsi="Times New Roman" w:cs="Times New Roman"/>
        </w:rPr>
        <w:t>París</w:t>
      </w:r>
      <w:r w:rsidR="00CC0530">
        <w:rPr>
          <w:rFonts w:ascii="Times New Roman" w:hAnsi="Times New Roman" w:cs="Times New Roman"/>
        </w:rPr>
        <w:t>, Francia</w:t>
      </w:r>
      <w:r w:rsidRPr="00152F2D">
        <w:rPr>
          <w:rFonts w:ascii="Times New Roman" w:hAnsi="Times New Roman" w:cs="Times New Roman"/>
        </w:rPr>
        <w:t xml:space="preserve">: OECD. Recuperado de </w:t>
      </w:r>
      <w:hyperlink r:id="rId16" w:history="1">
        <w:r w:rsidRPr="001E5421">
          <w:rPr>
            <w:rStyle w:val="Hipervnculo"/>
            <w:rFonts w:ascii="Times New Roman" w:hAnsi="Times New Roman" w:cs="Times New Roman"/>
            <w:color w:val="auto"/>
            <w:u w:val="none"/>
          </w:rPr>
          <w:t>http://dx.doi.org/10.1787/9789264177338-en</w:t>
        </w:r>
      </w:hyperlink>
      <w:r w:rsidR="00CC0530">
        <w:rPr>
          <w:rFonts w:ascii="Times New Roman" w:hAnsi="Times New Roman" w:cs="Times New Roman"/>
        </w:rPr>
        <w:t>.</w:t>
      </w:r>
    </w:p>
    <w:p w14:paraId="6A668517" w14:textId="1DC6FA71" w:rsidR="00935034" w:rsidRPr="00152F2D" w:rsidRDefault="00935034" w:rsidP="00782BC3">
      <w:pPr>
        <w:spacing w:after="0" w:line="360" w:lineRule="auto"/>
        <w:ind w:left="709" w:hanging="709"/>
        <w:jc w:val="both"/>
        <w:rPr>
          <w:rFonts w:ascii="Times New Roman" w:hAnsi="Times New Roman" w:cs="Times New Roman"/>
          <w:lang w:val="es-MX"/>
        </w:rPr>
      </w:pPr>
      <w:r w:rsidRPr="00152F2D">
        <w:rPr>
          <w:rFonts w:ascii="Times New Roman" w:hAnsi="Times New Roman" w:cs="Times New Roman"/>
        </w:rPr>
        <w:t>Organización para la Coopera</w:t>
      </w:r>
      <w:r w:rsidR="00DD7176">
        <w:rPr>
          <w:rFonts w:ascii="Times New Roman" w:hAnsi="Times New Roman" w:cs="Times New Roman"/>
        </w:rPr>
        <w:t>ción y el Desarrollo Económico [</w:t>
      </w:r>
      <w:r w:rsidRPr="00152F2D">
        <w:rPr>
          <w:rFonts w:ascii="Times New Roman" w:hAnsi="Times New Roman" w:cs="Times New Roman"/>
        </w:rPr>
        <w:t>OECD</w:t>
      </w:r>
      <w:r w:rsidR="00DD7176">
        <w:rPr>
          <w:rFonts w:ascii="Times New Roman" w:hAnsi="Times New Roman" w:cs="Times New Roman"/>
        </w:rPr>
        <w:t>]. (</w:t>
      </w:r>
      <w:r w:rsidRPr="00152F2D">
        <w:rPr>
          <w:rFonts w:ascii="Times New Roman" w:hAnsi="Times New Roman" w:cs="Times New Roman"/>
        </w:rPr>
        <w:t xml:space="preserve">2000). </w:t>
      </w:r>
      <w:proofErr w:type="spellStart"/>
      <w:r w:rsidRPr="00152F2D">
        <w:rPr>
          <w:rFonts w:ascii="Times New Roman" w:hAnsi="Times New Roman" w:cs="Times New Roman"/>
          <w:i/>
          <w:lang w:val="es-MX"/>
        </w:rPr>
        <w:t>Science</w:t>
      </w:r>
      <w:proofErr w:type="spellEnd"/>
      <w:r w:rsidRPr="00152F2D">
        <w:rPr>
          <w:rFonts w:ascii="Times New Roman" w:hAnsi="Times New Roman" w:cs="Times New Roman"/>
          <w:i/>
          <w:lang w:val="es-MX"/>
        </w:rPr>
        <w:t xml:space="preserve">, </w:t>
      </w:r>
      <w:proofErr w:type="spellStart"/>
      <w:r w:rsidRPr="00152F2D">
        <w:rPr>
          <w:rFonts w:ascii="Times New Roman" w:hAnsi="Times New Roman" w:cs="Times New Roman"/>
          <w:i/>
          <w:lang w:val="es-MX"/>
        </w:rPr>
        <w:t>technology</w:t>
      </w:r>
      <w:proofErr w:type="spellEnd"/>
      <w:r w:rsidRPr="00152F2D">
        <w:rPr>
          <w:rFonts w:ascii="Times New Roman" w:hAnsi="Times New Roman" w:cs="Times New Roman"/>
          <w:i/>
          <w:lang w:val="es-MX"/>
        </w:rPr>
        <w:t xml:space="preserve"> and </w:t>
      </w:r>
      <w:proofErr w:type="spellStart"/>
      <w:r w:rsidRPr="00152F2D">
        <w:rPr>
          <w:rFonts w:ascii="Times New Roman" w:hAnsi="Times New Roman" w:cs="Times New Roman"/>
          <w:i/>
          <w:lang w:val="es-MX"/>
        </w:rPr>
        <w:t>industry</w:t>
      </w:r>
      <w:proofErr w:type="spellEnd"/>
      <w:r w:rsidRPr="00152F2D">
        <w:rPr>
          <w:rFonts w:ascii="Times New Roman" w:hAnsi="Times New Roman" w:cs="Times New Roman"/>
          <w:i/>
          <w:lang w:val="es-MX"/>
        </w:rPr>
        <w:t xml:space="preserve"> Outlook 2000</w:t>
      </w:r>
      <w:r w:rsidRPr="00152F2D">
        <w:rPr>
          <w:rFonts w:ascii="Times New Roman" w:hAnsi="Times New Roman" w:cs="Times New Roman"/>
          <w:lang w:val="es-MX"/>
        </w:rPr>
        <w:t>. París</w:t>
      </w:r>
      <w:r w:rsidR="00CC0530">
        <w:rPr>
          <w:rFonts w:ascii="Times New Roman" w:hAnsi="Times New Roman" w:cs="Times New Roman"/>
          <w:lang w:val="es-MX"/>
        </w:rPr>
        <w:t>, Francia</w:t>
      </w:r>
      <w:r w:rsidRPr="00152F2D">
        <w:rPr>
          <w:rFonts w:ascii="Times New Roman" w:hAnsi="Times New Roman" w:cs="Times New Roman"/>
          <w:lang w:val="es-MX"/>
        </w:rPr>
        <w:t>: OECD.</w:t>
      </w:r>
    </w:p>
    <w:p w14:paraId="7A0CA8A8" w14:textId="1E8658F5" w:rsidR="00935034" w:rsidRPr="00152F2D" w:rsidRDefault="00935034" w:rsidP="00782BC3">
      <w:pPr>
        <w:spacing w:after="0" w:line="360" w:lineRule="auto"/>
        <w:ind w:left="709" w:hanging="709"/>
        <w:jc w:val="both"/>
        <w:rPr>
          <w:rFonts w:ascii="Times New Roman" w:hAnsi="Times New Roman" w:cs="Times New Roman"/>
          <w:lang w:val="es-CO"/>
        </w:rPr>
      </w:pPr>
      <w:r w:rsidRPr="00152F2D">
        <w:rPr>
          <w:rFonts w:ascii="Times New Roman" w:hAnsi="Times New Roman" w:cs="Times New Roman"/>
        </w:rPr>
        <w:t>Organización de las Naciones Unidas para la Educ</w:t>
      </w:r>
      <w:r w:rsidR="00DD7176">
        <w:rPr>
          <w:rFonts w:ascii="Times New Roman" w:hAnsi="Times New Roman" w:cs="Times New Roman"/>
        </w:rPr>
        <w:t>ación, la Ciencia y la Cultura [</w:t>
      </w:r>
      <w:r w:rsidR="00CC0530" w:rsidRPr="00152F2D">
        <w:rPr>
          <w:rFonts w:ascii="Times New Roman" w:hAnsi="Times New Roman" w:cs="Times New Roman"/>
          <w:lang w:val="es-CO"/>
        </w:rPr>
        <w:t>U</w:t>
      </w:r>
      <w:r w:rsidR="00CC0530">
        <w:rPr>
          <w:rFonts w:ascii="Times New Roman" w:hAnsi="Times New Roman" w:cs="Times New Roman"/>
          <w:lang w:val="es-CO"/>
        </w:rPr>
        <w:t>nesco</w:t>
      </w:r>
      <w:r w:rsidR="00DD7176">
        <w:rPr>
          <w:rFonts w:ascii="Times New Roman" w:hAnsi="Times New Roman" w:cs="Times New Roman"/>
          <w:lang w:val="es-CO"/>
        </w:rPr>
        <w:t>]</w:t>
      </w:r>
      <w:r w:rsidR="00CC0530">
        <w:rPr>
          <w:rFonts w:ascii="Times New Roman" w:hAnsi="Times New Roman" w:cs="Times New Roman"/>
          <w:lang w:val="es-CO"/>
        </w:rPr>
        <w:t>.</w:t>
      </w:r>
      <w:r w:rsidR="00DD7176">
        <w:rPr>
          <w:rFonts w:ascii="Times New Roman" w:hAnsi="Times New Roman" w:cs="Times New Roman"/>
          <w:lang w:val="es-CO"/>
        </w:rPr>
        <w:t xml:space="preserve"> (</w:t>
      </w:r>
      <w:r w:rsidRPr="00152F2D">
        <w:rPr>
          <w:rFonts w:ascii="Times New Roman" w:hAnsi="Times New Roman" w:cs="Times New Roman"/>
          <w:lang w:val="es-CO"/>
        </w:rPr>
        <w:t xml:space="preserve">2009). </w:t>
      </w:r>
      <w:r w:rsidRPr="00152F2D">
        <w:rPr>
          <w:rFonts w:ascii="Times New Roman" w:hAnsi="Times New Roman" w:cs="Times New Roman"/>
          <w:i/>
          <w:lang w:val="es-CO"/>
        </w:rPr>
        <w:t xml:space="preserve">Conferencia Mundial sobre la Educación Superior, 2009. La nueva dinámica de la educación superior y la investigación para el cambio social y el desarrollo. </w:t>
      </w:r>
      <w:r w:rsidRPr="00152F2D">
        <w:rPr>
          <w:rFonts w:ascii="Times New Roman" w:hAnsi="Times New Roman" w:cs="Times New Roman"/>
          <w:lang w:val="es-CO"/>
        </w:rPr>
        <w:t>París</w:t>
      </w:r>
      <w:r w:rsidR="00CC0530">
        <w:rPr>
          <w:rFonts w:ascii="Times New Roman" w:hAnsi="Times New Roman" w:cs="Times New Roman"/>
          <w:lang w:val="es-CO"/>
        </w:rPr>
        <w:t>, Francia</w:t>
      </w:r>
      <w:r w:rsidRPr="00152F2D">
        <w:rPr>
          <w:rFonts w:ascii="Times New Roman" w:hAnsi="Times New Roman" w:cs="Times New Roman"/>
          <w:lang w:val="es-CO"/>
        </w:rPr>
        <w:t xml:space="preserve">: </w:t>
      </w:r>
      <w:r w:rsidR="00CC0530">
        <w:rPr>
          <w:rFonts w:ascii="Times New Roman" w:hAnsi="Times New Roman" w:cs="Times New Roman"/>
          <w:lang w:val="es-CO"/>
        </w:rPr>
        <w:t>Unesco</w:t>
      </w:r>
      <w:r w:rsidRPr="00152F2D">
        <w:rPr>
          <w:rFonts w:ascii="Times New Roman" w:hAnsi="Times New Roman" w:cs="Times New Roman"/>
          <w:lang w:val="es-CO"/>
        </w:rPr>
        <w:t>.</w:t>
      </w:r>
    </w:p>
    <w:p w14:paraId="52AF250C" w14:textId="77777777" w:rsidR="008F6C3D" w:rsidRPr="001E5421" w:rsidRDefault="008F6C3D" w:rsidP="00782BC3">
      <w:pPr>
        <w:spacing w:after="0" w:line="360" w:lineRule="auto"/>
        <w:ind w:left="709" w:hanging="709"/>
        <w:jc w:val="both"/>
        <w:rPr>
          <w:rFonts w:ascii="Times New Roman" w:hAnsi="Times New Roman" w:cs="Times New Roman"/>
        </w:rPr>
      </w:pPr>
      <w:r w:rsidRPr="00152F2D">
        <w:rPr>
          <w:rFonts w:ascii="Times New Roman" w:hAnsi="Times New Roman" w:cs="Times New Roman"/>
        </w:rPr>
        <w:t>Organiza</w:t>
      </w:r>
      <w:r w:rsidR="00DD7176">
        <w:rPr>
          <w:rFonts w:ascii="Times New Roman" w:hAnsi="Times New Roman" w:cs="Times New Roman"/>
        </w:rPr>
        <w:t>ción Internacional del Trabajo [</w:t>
      </w:r>
      <w:r w:rsidRPr="00152F2D">
        <w:rPr>
          <w:rFonts w:ascii="Times New Roman" w:hAnsi="Times New Roman" w:cs="Times New Roman"/>
        </w:rPr>
        <w:t>OIT</w:t>
      </w:r>
      <w:r w:rsidR="00DD7176">
        <w:rPr>
          <w:rFonts w:ascii="Times New Roman" w:hAnsi="Times New Roman" w:cs="Times New Roman"/>
        </w:rPr>
        <w:t>]. (</w:t>
      </w:r>
      <w:r w:rsidRPr="00152F2D">
        <w:rPr>
          <w:rFonts w:ascii="Times New Roman" w:hAnsi="Times New Roman" w:cs="Times New Roman"/>
        </w:rPr>
        <w:t xml:space="preserve">2008). </w:t>
      </w:r>
      <w:r w:rsidRPr="00152F2D">
        <w:rPr>
          <w:rFonts w:ascii="Times New Roman" w:hAnsi="Times New Roman" w:cs="Times New Roman"/>
          <w:i/>
        </w:rPr>
        <w:t>Informe sobre el trabajo en el mundo 2008</w:t>
      </w:r>
      <w:r w:rsidRPr="00152F2D">
        <w:rPr>
          <w:rFonts w:ascii="Times New Roman" w:hAnsi="Times New Roman" w:cs="Times New Roman"/>
        </w:rPr>
        <w:t xml:space="preserve">. Ginebra: OIT. Recuperado de </w:t>
      </w:r>
      <w:hyperlink r:id="rId17" w:history="1">
        <w:r w:rsidRPr="001E5421">
          <w:rPr>
            <w:rStyle w:val="Hipervnculo"/>
            <w:rFonts w:ascii="Times New Roman" w:hAnsi="Times New Roman" w:cs="Times New Roman"/>
            <w:color w:val="auto"/>
            <w:u w:val="none"/>
          </w:rPr>
          <w:t>http://www.ilo.org/public/spanish/bureau/inst/download/world08_s.pdf</w:t>
        </w:r>
      </w:hyperlink>
      <w:r w:rsidRPr="001E5421">
        <w:rPr>
          <w:rFonts w:ascii="Times New Roman" w:hAnsi="Times New Roman" w:cs="Times New Roman"/>
        </w:rPr>
        <w:t xml:space="preserve"> </w:t>
      </w:r>
    </w:p>
    <w:p w14:paraId="74102C78" w14:textId="214A4E76" w:rsidR="00935034" w:rsidRPr="00152F2D" w:rsidRDefault="008F6C3D" w:rsidP="00782BC3">
      <w:pPr>
        <w:spacing w:after="0" w:line="360" w:lineRule="auto"/>
        <w:ind w:left="709" w:hanging="709"/>
        <w:jc w:val="both"/>
        <w:rPr>
          <w:rFonts w:ascii="Times New Roman" w:hAnsi="Times New Roman" w:cs="Times New Roman"/>
        </w:rPr>
      </w:pPr>
      <w:r w:rsidRPr="00152F2D">
        <w:rPr>
          <w:rFonts w:ascii="Times New Roman" w:hAnsi="Times New Roman" w:cs="Times New Roman"/>
        </w:rPr>
        <w:t>Ros, M. y</w:t>
      </w:r>
      <w:r w:rsidR="00935034" w:rsidRPr="00152F2D">
        <w:rPr>
          <w:rFonts w:ascii="Times New Roman" w:hAnsi="Times New Roman" w:cs="Times New Roman"/>
        </w:rPr>
        <w:t xml:space="preserve"> Conesa, C. (2013). Adquisición de competencias a través de la simulación y juego de rol en el área contable. </w:t>
      </w:r>
      <w:r w:rsidR="00334F8B" w:rsidRPr="00152F2D">
        <w:rPr>
          <w:rFonts w:ascii="Times New Roman" w:hAnsi="Times New Roman" w:cs="Times New Roman"/>
          <w:i/>
        </w:rPr>
        <w:t>Estudios sobre el Mensaje Periodístico</w:t>
      </w:r>
      <w:r w:rsidR="00935034" w:rsidRPr="00152F2D">
        <w:rPr>
          <w:rFonts w:ascii="Times New Roman" w:hAnsi="Times New Roman" w:cs="Times New Roman"/>
        </w:rPr>
        <w:t xml:space="preserve">, </w:t>
      </w:r>
      <w:r w:rsidR="00CC0530">
        <w:rPr>
          <w:rFonts w:ascii="Times New Roman" w:hAnsi="Times New Roman" w:cs="Times New Roman"/>
        </w:rPr>
        <w:t>(</w:t>
      </w:r>
      <w:r w:rsidR="00935034" w:rsidRPr="00782BC3">
        <w:rPr>
          <w:rFonts w:ascii="Times New Roman" w:hAnsi="Times New Roman" w:cs="Times New Roman"/>
        </w:rPr>
        <w:t>19</w:t>
      </w:r>
      <w:r w:rsidR="00CC0530">
        <w:rPr>
          <w:rFonts w:ascii="Times New Roman" w:hAnsi="Times New Roman" w:cs="Times New Roman"/>
        </w:rPr>
        <w:t>)</w:t>
      </w:r>
      <w:r w:rsidR="00935034" w:rsidRPr="00152F2D">
        <w:rPr>
          <w:rFonts w:ascii="Times New Roman" w:hAnsi="Times New Roman" w:cs="Times New Roman"/>
        </w:rPr>
        <w:t>, 419-428.</w:t>
      </w:r>
    </w:p>
    <w:p w14:paraId="2B86E3DE" w14:textId="2D054A60" w:rsidR="00935034" w:rsidRPr="001E5421" w:rsidRDefault="00935034" w:rsidP="00782BC3">
      <w:pPr>
        <w:spacing w:after="0" w:line="360" w:lineRule="auto"/>
        <w:ind w:left="709" w:hanging="709"/>
        <w:jc w:val="both"/>
        <w:rPr>
          <w:rFonts w:ascii="Times New Roman" w:hAnsi="Times New Roman" w:cs="Times New Roman"/>
        </w:rPr>
      </w:pPr>
      <w:r w:rsidRPr="00152F2D">
        <w:rPr>
          <w:rFonts w:ascii="Times New Roman" w:hAnsi="Times New Roman" w:cs="Times New Roman"/>
        </w:rPr>
        <w:t xml:space="preserve">Rubio, M. (2003). Enfoques y modelos de evaluación del e- </w:t>
      </w:r>
      <w:proofErr w:type="spellStart"/>
      <w:r w:rsidRPr="00152F2D">
        <w:rPr>
          <w:rFonts w:ascii="Times New Roman" w:hAnsi="Times New Roman" w:cs="Times New Roman"/>
        </w:rPr>
        <w:t>learning</w:t>
      </w:r>
      <w:proofErr w:type="spellEnd"/>
      <w:r w:rsidRPr="00152F2D">
        <w:rPr>
          <w:rFonts w:ascii="Times New Roman" w:hAnsi="Times New Roman" w:cs="Times New Roman"/>
        </w:rPr>
        <w:t xml:space="preserve">. </w:t>
      </w:r>
      <w:r w:rsidR="00334F8B" w:rsidRPr="00152F2D">
        <w:rPr>
          <w:rFonts w:ascii="Times New Roman" w:hAnsi="Times New Roman" w:cs="Times New Roman"/>
          <w:i/>
        </w:rPr>
        <w:t>Revista Electrónica de Investigación y Evaluación Educativa</w:t>
      </w:r>
      <w:r w:rsidRPr="00152F2D">
        <w:rPr>
          <w:rFonts w:ascii="Times New Roman" w:hAnsi="Times New Roman" w:cs="Times New Roman"/>
        </w:rPr>
        <w:t xml:space="preserve">, </w:t>
      </w:r>
      <w:r w:rsidRPr="00FF26C3">
        <w:rPr>
          <w:rFonts w:ascii="Times New Roman" w:hAnsi="Times New Roman" w:cs="Times New Roman"/>
          <w:i/>
        </w:rPr>
        <w:t>9</w:t>
      </w:r>
      <w:r w:rsidR="00334F8B" w:rsidRPr="00782BC3">
        <w:rPr>
          <w:rFonts w:ascii="Times New Roman" w:hAnsi="Times New Roman" w:cs="Times New Roman"/>
        </w:rPr>
        <w:t>(2)</w:t>
      </w:r>
      <w:r w:rsidR="00334F8B" w:rsidRPr="00FF26C3">
        <w:rPr>
          <w:rFonts w:ascii="Times New Roman" w:hAnsi="Times New Roman" w:cs="Times New Roman"/>
          <w:i/>
        </w:rPr>
        <w:t>.</w:t>
      </w:r>
      <w:r w:rsidR="00334F8B" w:rsidRPr="00152F2D">
        <w:rPr>
          <w:rFonts w:ascii="Times New Roman" w:hAnsi="Times New Roman" w:cs="Times New Roman"/>
        </w:rPr>
        <w:t xml:space="preserve"> Recuperado de</w:t>
      </w:r>
      <w:r w:rsidRPr="00152F2D">
        <w:rPr>
          <w:rFonts w:ascii="Times New Roman" w:hAnsi="Times New Roman" w:cs="Times New Roman"/>
        </w:rPr>
        <w:t xml:space="preserve"> </w:t>
      </w:r>
      <w:hyperlink r:id="rId18" w:history="1">
        <w:r w:rsidRPr="001E5421">
          <w:rPr>
            <w:rStyle w:val="Hipervnculo"/>
            <w:rFonts w:ascii="Times New Roman" w:hAnsi="Times New Roman" w:cs="Times New Roman"/>
            <w:color w:val="auto"/>
            <w:u w:val="none"/>
          </w:rPr>
          <w:t>http://www.uv.es/RELIEVE/v9n2/RE</w:t>
        </w:r>
        <w:bookmarkStart w:id="0" w:name="_GoBack"/>
        <w:bookmarkEnd w:id="0"/>
        <w:r w:rsidRPr="001E5421">
          <w:rPr>
            <w:rStyle w:val="Hipervnculo"/>
            <w:rFonts w:ascii="Times New Roman" w:hAnsi="Times New Roman" w:cs="Times New Roman"/>
            <w:color w:val="auto"/>
            <w:u w:val="none"/>
          </w:rPr>
          <w:t>LIEVERv9n2_1.htm</w:t>
        </w:r>
      </w:hyperlink>
      <w:r w:rsidR="00CC0530">
        <w:rPr>
          <w:rStyle w:val="Hipervnculo"/>
          <w:rFonts w:ascii="Times New Roman" w:hAnsi="Times New Roman" w:cs="Times New Roman"/>
          <w:color w:val="auto"/>
          <w:u w:val="none"/>
        </w:rPr>
        <w:t>.</w:t>
      </w:r>
    </w:p>
    <w:p w14:paraId="70E08141" w14:textId="77777777" w:rsidR="00935034" w:rsidRPr="00152F2D" w:rsidRDefault="002B5A9D" w:rsidP="00782BC3">
      <w:pPr>
        <w:pStyle w:val="REDIEcuerpotexto"/>
        <w:spacing w:after="0"/>
        <w:ind w:left="709" w:hanging="709"/>
        <w:jc w:val="both"/>
        <w:rPr>
          <w:rFonts w:ascii="Times New Roman" w:hAnsi="Times New Roman" w:cs="Times New Roman"/>
        </w:rPr>
      </w:pPr>
      <w:r w:rsidRPr="00152F2D">
        <w:rPr>
          <w:rFonts w:ascii="Times New Roman" w:hAnsi="Times New Roman" w:cs="Times New Roman"/>
        </w:rPr>
        <w:lastRenderedPageBreak/>
        <w:t>Ruíz, C. (1998</w:t>
      </w:r>
      <w:r w:rsidR="00935034" w:rsidRPr="00152F2D">
        <w:rPr>
          <w:rFonts w:ascii="Times New Roman" w:hAnsi="Times New Roman" w:cs="Times New Roman"/>
        </w:rPr>
        <w:t xml:space="preserve">). Evaluación estudiantil sobre la percepción de la calidad de un postgrado administrado bajo la modalidad E-learning. </w:t>
      </w:r>
      <w:r w:rsidR="00935034" w:rsidRPr="00152F2D">
        <w:rPr>
          <w:rFonts w:ascii="Times New Roman" w:hAnsi="Times New Roman" w:cs="Times New Roman"/>
          <w:i/>
        </w:rPr>
        <w:t>Compendium</w:t>
      </w:r>
      <w:r w:rsidR="00FF26C3">
        <w:rPr>
          <w:rFonts w:ascii="Times New Roman" w:hAnsi="Times New Roman" w:cs="Times New Roman"/>
        </w:rPr>
        <w:t xml:space="preserve">, </w:t>
      </w:r>
      <w:r w:rsidR="00FF26C3" w:rsidRPr="00FF26C3">
        <w:rPr>
          <w:rFonts w:ascii="Times New Roman" w:hAnsi="Times New Roman" w:cs="Times New Roman"/>
          <w:i/>
        </w:rPr>
        <w:t>17</w:t>
      </w:r>
      <w:r w:rsidR="00935034" w:rsidRPr="00782BC3">
        <w:rPr>
          <w:rFonts w:ascii="Times New Roman" w:hAnsi="Times New Roman" w:cs="Times New Roman"/>
        </w:rPr>
        <w:t>(33)</w:t>
      </w:r>
      <w:r w:rsidR="009024F2" w:rsidRPr="00CC0530">
        <w:rPr>
          <w:rFonts w:ascii="Times New Roman" w:hAnsi="Times New Roman" w:cs="Times New Roman"/>
        </w:rPr>
        <w:t>,</w:t>
      </w:r>
      <w:r w:rsidR="009024F2">
        <w:rPr>
          <w:rFonts w:ascii="Times New Roman" w:hAnsi="Times New Roman" w:cs="Times New Roman"/>
        </w:rPr>
        <w:t xml:space="preserve"> 23-</w:t>
      </w:r>
      <w:r w:rsidR="00935034" w:rsidRPr="00152F2D">
        <w:rPr>
          <w:rFonts w:ascii="Times New Roman" w:hAnsi="Times New Roman" w:cs="Times New Roman"/>
        </w:rPr>
        <w:t xml:space="preserve">42. </w:t>
      </w:r>
    </w:p>
    <w:p w14:paraId="6FCB90FF" w14:textId="77777777" w:rsidR="00935034" w:rsidRPr="00152F2D" w:rsidRDefault="00935034" w:rsidP="00782BC3">
      <w:pPr>
        <w:spacing w:after="0" w:line="360" w:lineRule="auto"/>
        <w:ind w:left="709" w:hanging="709"/>
        <w:jc w:val="both"/>
        <w:rPr>
          <w:rFonts w:ascii="Times New Roman" w:hAnsi="Times New Roman" w:cs="Times New Roman"/>
          <w:lang w:val="en-US"/>
        </w:rPr>
      </w:pPr>
      <w:r w:rsidRPr="00152F2D">
        <w:rPr>
          <w:rFonts w:ascii="Times New Roman" w:hAnsi="Times New Roman" w:cs="Times New Roman"/>
          <w:lang w:val="es-MX"/>
        </w:rPr>
        <w:t>Silvio, J. (2006). Hacia una educación virtual de calidad, pero con equidad y pertinencia.</w:t>
      </w:r>
      <w:r w:rsidR="00334F8B" w:rsidRPr="00152F2D">
        <w:rPr>
          <w:rFonts w:ascii="Times New Roman" w:hAnsi="Times New Roman" w:cs="Times New Roman"/>
          <w:lang w:val="es-MX"/>
        </w:rPr>
        <w:t xml:space="preserve"> </w:t>
      </w:r>
      <w:r w:rsidR="00334F8B" w:rsidRPr="00152F2D">
        <w:rPr>
          <w:rFonts w:ascii="Times New Roman" w:hAnsi="Times New Roman" w:cs="Times New Roman"/>
          <w:i/>
          <w:lang w:val="en-US"/>
        </w:rPr>
        <w:t xml:space="preserve">Revista </w:t>
      </w:r>
      <w:proofErr w:type="spellStart"/>
      <w:r w:rsidR="00334F8B" w:rsidRPr="00152F2D">
        <w:rPr>
          <w:rFonts w:ascii="Times New Roman" w:hAnsi="Times New Roman" w:cs="Times New Roman"/>
          <w:i/>
          <w:lang w:val="en-US"/>
        </w:rPr>
        <w:t>Universitaria</w:t>
      </w:r>
      <w:proofErr w:type="spellEnd"/>
      <w:r w:rsidR="00334F8B" w:rsidRPr="00152F2D">
        <w:rPr>
          <w:rFonts w:ascii="Times New Roman" w:hAnsi="Times New Roman" w:cs="Times New Roman"/>
          <w:i/>
          <w:lang w:val="en-US"/>
        </w:rPr>
        <w:t xml:space="preserve"> y Sociedad del </w:t>
      </w:r>
      <w:proofErr w:type="spellStart"/>
      <w:r w:rsidR="00334F8B" w:rsidRPr="00152F2D">
        <w:rPr>
          <w:rFonts w:ascii="Times New Roman" w:hAnsi="Times New Roman" w:cs="Times New Roman"/>
          <w:i/>
          <w:lang w:val="en-US"/>
        </w:rPr>
        <w:t>Conocimiento</w:t>
      </w:r>
      <w:proofErr w:type="spellEnd"/>
      <w:r w:rsidR="00FF26C3">
        <w:rPr>
          <w:rFonts w:ascii="Times New Roman" w:hAnsi="Times New Roman" w:cs="Times New Roman"/>
          <w:lang w:val="en-US"/>
        </w:rPr>
        <w:t xml:space="preserve">, </w:t>
      </w:r>
      <w:r w:rsidR="00FF26C3" w:rsidRPr="00FF26C3">
        <w:rPr>
          <w:rFonts w:ascii="Times New Roman" w:hAnsi="Times New Roman" w:cs="Times New Roman"/>
          <w:i/>
          <w:lang w:val="en-US"/>
        </w:rPr>
        <w:t>3</w:t>
      </w:r>
      <w:r w:rsidRPr="00782BC3">
        <w:rPr>
          <w:rFonts w:ascii="Times New Roman" w:hAnsi="Times New Roman" w:cs="Times New Roman"/>
          <w:lang w:val="en-US"/>
        </w:rPr>
        <w:t>(1),</w:t>
      </w:r>
      <w:r w:rsidR="009024F2">
        <w:rPr>
          <w:rFonts w:ascii="Times New Roman" w:hAnsi="Times New Roman" w:cs="Times New Roman"/>
          <w:lang w:val="en-US"/>
        </w:rPr>
        <w:t xml:space="preserve"> 1-</w:t>
      </w:r>
      <w:r w:rsidRPr="00152F2D">
        <w:rPr>
          <w:rFonts w:ascii="Times New Roman" w:hAnsi="Times New Roman" w:cs="Times New Roman"/>
          <w:lang w:val="en-US"/>
        </w:rPr>
        <w:t xml:space="preserve">14. </w:t>
      </w:r>
    </w:p>
    <w:p w14:paraId="16E4385F" w14:textId="293812A9" w:rsidR="00742294" w:rsidRPr="00152F2D" w:rsidRDefault="00935034" w:rsidP="00782BC3">
      <w:pPr>
        <w:shd w:val="clear" w:color="auto" w:fill="FFFFFF"/>
        <w:spacing w:after="0" w:line="360" w:lineRule="auto"/>
        <w:ind w:left="709" w:hanging="709"/>
        <w:jc w:val="both"/>
        <w:textAlignment w:val="baseline"/>
        <w:rPr>
          <w:rFonts w:ascii="Times New Roman" w:eastAsia="Times New Roman" w:hAnsi="Times New Roman" w:cs="Times New Roman"/>
          <w:lang w:val="es-MX" w:eastAsia="es-MX"/>
        </w:rPr>
      </w:pPr>
      <w:r w:rsidRPr="00152F2D">
        <w:rPr>
          <w:rFonts w:ascii="Times New Roman" w:eastAsia="Times New Roman" w:hAnsi="Times New Roman" w:cs="Times New Roman"/>
          <w:lang w:val="en-US" w:eastAsia="es-MX"/>
        </w:rPr>
        <w:t xml:space="preserve">Stevens, S. (2001). </w:t>
      </w:r>
      <w:r w:rsidRPr="00152F2D">
        <w:rPr>
          <w:rFonts w:ascii="Times New Roman" w:eastAsia="Times New Roman" w:hAnsi="Times New Roman" w:cs="Times New Roman"/>
          <w:bCs/>
          <w:i/>
          <w:lang w:val="en-US" w:eastAsia="es-MX"/>
        </w:rPr>
        <w:t>Mathematics, measurement and psychophysics</w:t>
      </w:r>
      <w:r w:rsidRPr="00152F2D">
        <w:rPr>
          <w:rFonts w:ascii="Times New Roman" w:eastAsia="Times New Roman" w:hAnsi="Times New Roman" w:cs="Times New Roman"/>
          <w:i/>
          <w:lang w:val="en-US" w:eastAsia="es-MX"/>
        </w:rPr>
        <w:t>. Handbook of experimental psychology</w:t>
      </w:r>
      <w:r w:rsidRPr="00152F2D">
        <w:rPr>
          <w:rFonts w:ascii="Times New Roman" w:eastAsia="Times New Roman" w:hAnsi="Times New Roman" w:cs="Times New Roman"/>
          <w:lang w:val="en-US" w:eastAsia="es-MX"/>
        </w:rPr>
        <w:t xml:space="preserve">. </w:t>
      </w:r>
      <w:r w:rsidRPr="00152F2D">
        <w:rPr>
          <w:rFonts w:ascii="Times New Roman" w:eastAsia="Times New Roman" w:hAnsi="Times New Roman" w:cs="Times New Roman"/>
          <w:lang w:val="es-MX" w:eastAsia="es-MX"/>
        </w:rPr>
        <w:t>New York</w:t>
      </w:r>
      <w:r w:rsidR="00CC0530">
        <w:rPr>
          <w:rFonts w:ascii="Times New Roman" w:eastAsia="Times New Roman" w:hAnsi="Times New Roman" w:cs="Times New Roman"/>
          <w:lang w:val="es-MX" w:eastAsia="es-MX"/>
        </w:rPr>
        <w:t xml:space="preserve">, </w:t>
      </w:r>
      <w:proofErr w:type="spellStart"/>
      <w:r w:rsidR="00CC0530">
        <w:rPr>
          <w:rFonts w:ascii="Times New Roman" w:eastAsia="Times New Roman" w:hAnsi="Times New Roman" w:cs="Times New Roman"/>
          <w:lang w:val="es-MX" w:eastAsia="es-MX"/>
        </w:rPr>
        <w:t>United</w:t>
      </w:r>
      <w:proofErr w:type="spellEnd"/>
      <w:r w:rsidR="00CC0530">
        <w:rPr>
          <w:rFonts w:ascii="Times New Roman" w:eastAsia="Times New Roman" w:hAnsi="Times New Roman" w:cs="Times New Roman"/>
          <w:lang w:val="es-MX" w:eastAsia="es-MX"/>
        </w:rPr>
        <w:t xml:space="preserve"> </w:t>
      </w:r>
      <w:proofErr w:type="spellStart"/>
      <w:r w:rsidR="00CC0530">
        <w:rPr>
          <w:rFonts w:ascii="Times New Roman" w:eastAsia="Times New Roman" w:hAnsi="Times New Roman" w:cs="Times New Roman"/>
          <w:lang w:val="es-MX" w:eastAsia="es-MX"/>
        </w:rPr>
        <w:t>States</w:t>
      </w:r>
      <w:proofErr w:type="spellEnd"/>
      <w:r w:rsidRPr="00152F2D">
        <w:rPr>
          <w:rFonts w:ascii="Times New Roman" w:eastAsia="Times New Roman" w:hAnsi="Times New Roman" w:cs="Times New Roman"/>
          <w:lang w:val="es-MX" w:eastAsia="es-MX"/>
        </w:rPr>
        <w:t xml:space="preserve">: Wiley. </w:t>
      </w:r>
    </w:p>
    <w:p w14:paraId="4C535F11" w14:textId="4EAB5C16" w:rsidR="00935034" w:rsidRPr="00152F2D" w:rsidRDefault="00935034" w:rsidP="00782BC3">
      <w:pPr>
        <w:spacing w:after="0" w:line="360" w:lineRule="auto"/>
        <w:ind w:left="709" w:hanging="709"/>
        <w:jc w:val="both"/>
        <w:rPr>
          <w:rFonts w:ascii="Times New Roman" w:hAnsi="Times New Roman" w:cs="Times New Roman"/>
        </w:rPr>
      </w:pPr>
      <w:r w:rsidRPr="00152F2D">
        <w:rPr>
          <w:rFonts w:ascii="Times New Roman" w:hAnsi="Times New Roman" w:cs="Times New Roman"/>
        </w:rPr>
        <w:t xml:space="preserve">Tuning, P. (2007). </w:t>
      </w:r>
      <w:r w:rsidRPr="00152F2D">
        <w:rPr>
          <w:rFonts w:ascii="Times New Roman" w:hAnsi="Times New Roman" w:cs="Times New Roman"/>
          <w:i/>
        </w:rPr>
        <w:t xml:space="preserve">Reflexiones y perspectivas de la educación superior en América Latina (Informe final Proyecto </w:t>
      </w:r>
      <w:proofErr w:type="spellStart"/>
      <w:r w:rsidRPr="00152F2D">
        <w:rPr>
          <w:rFonts w:ascii="Times New Roman" w:hAnsi="Times New Roman" w:cs="Times New Roman"/>
          <w:i/>
        </w:rPr>
        <w:t>Tuning</w:t>
      </w:r>
      <w:proofErr w:type="spellEnd"/>
      <w:r w:rsidRPr="00152F2D">
        <w:rPr>
          <w:rFonts w:ascii="Times New Roman" w:hAnsi="Times New Roman" w:cs="Times New Roman"/>
          <w:i/>
        </w:rPr>
        <w:t>-América Latina 2004- 2007).</w:t>
      </w:r>
      <w:r w:rsidRPr="00152F2D">
        <w:rPr>
          <w:rFonts w:ascii="Times New Roman" w:hAnsi="Times New Roman" w:cs="Times New Roman"/>
        </w:rPr>
        <w:t xml:space="preserve"> Bilbao</w:t>
      </w:r>
      <w:r w:rsidR="00CC0530">
        <w:rPr>
          <w:rFonts w:ascii="Times New Roman" w:hAnsi="Times New Roman" w:cs="Times New Roman"/>
        </w:rPr>
        <w:t>, España</w:t>
      </w:r>
      <w:r w:rsidRPr="00152F2D">
        <w:rPr>
          <w:rFonts w:ascii="Times New Roman" w:hAnsi="Times New Roman" w:cs="Times New Roman"/>
        </w:rPr>
        <w:t>: Universidad de Deusto.</w:t>
      </w:r>
    </w:p>
    <w:p w14:paraId="3572DEC0" w14:textId="400C8BD4" w:rsidR="008F6C3D" w:rsidRPr="00152F2D" w:rsidRDefault="008F6C3D" w:rsidP="00782BC3">
      <w:pPr>
        <w:spacing w:after="0" w:line="360" w:lineRule="auto"/>
        <w:ind w:left="709" w:hanging="709"/>
        <w:jc w:val="both"/>
        <w:rPr>
          <w:rFonts w:ascii="Times New Roman" w:hAnsi="Times New Roman" w:cs="Times New Roman"/>
        </w:rPr>
      </w:pPr>
      <w:r w:rsidRPr="00152F2D">
        <w:rPr>
          <w:rFonts w:ascii="Times New Roman" w:hAnsi="Times New Roman" w:cs="Times New Roman"/>
        </w:rPr>
        <w:t xml:space="preserve">Vázquez, M. (2009). Globalización y educación superior en México. </w:t>
      </w:r>
      <w:r w:rsidRPr="00152F2D">
        <w:rPr>
          <w:rFonts w:ascii="Times New Roman" w:hAnsi="Times New Roman" w:cs="Times New Roman"/>
          <w:i/>
        </w:rPr>
        <w:t>Reencuentro</w:t>
      </w:r>
      <w:r w:rsidRPr="00152F2D">
        <w:rPr>
          <w:rFonts w:ascii="Times New Roman" w:hAnsi="Times New Roman" w:cs="Times New Roman"/>
        </w:rPr>
        <w:t xml:space="preserve">, </w:t>
      </w:r>
      <w:r w:rsidR="00CC0530">
        <w:rPr>
          <w:rFonts w:ascii="Times New Roman" w:hAnsi="Times New Roman" w:cs="Times New Roman"/>
        </w:rPr>
        <w:t>(</w:t>
      </w:r>
      <w:r w:rsidRPr="00782BC3">
        <w:rPr>
          <w:rFonts w:ascii="Times New Roman" w:hAnsi="Times New Roman" w:cs="Times New Roman"/>
        </w:rPr>
        <w:t>54</w:t>
      </w:r>
      <w:r w:rsidR="00CC0530">
        <w:rPr>
          <w:rFonts w:ascii="Times New Roman" w:hAnsi="Times New Roman" w:cs="Times New Roman"/>
        </w:rPr>
        <w:t>)</w:t>
      </w:r>
      <w:r w:rsidR="009024F2">
        <w:rPr>
          <w:rFonts w:ascii="Times New Roman" w:hAnsi="Times New Roman" w:cs="Times New Roman"/>
        </w:rPr>
        <w:t>, 83-</w:t>
      </w:r>
      <w:r w:rsidRPr="00152F2D">
        <w:rPr>
          <w:rFonts w:ascii="Times New Roman" w:hAnsi="Times New Roman" w:cs="Times New Roman"/>
        </w:rPr>
        <w:t>90.</w:t>
      </w:r>
    </w:p>
    <w:p w14:paraId="12D841D8" w14:textId="1EF88E9D" w:rsidR="00935034" w:rsidRPr="009024F2" w:rsidRDefault="008F6C3D" w:rsidP="00782BC3">
      <w:pPr>
        <w:spacing w:after="0" w:line="360" w:lineRule="auto"/>
        <w:ind w:left="709" w:hanging="709"/>
        <w:contextualSpacing/>
        <w:jc w:val="both"/>
        <w:rPr>
          <w:rFonts w:ascii="Times New Roman" w:hAnsi="Times New Roman" w:cs="Times New Roman"/>
        </w:rPr>
      </w:pPr>
      <w:r w:rsidRPr="00152F2D">
        <w:rPr>
          <w:rFonts w:ascii="Times New Roman" w:hAnsi="Times New Roman" w:cs="Times New Roman"/>
          <w:lang w:val="es-MX"/>
        </w:rPr>
        <w:t>Vila, L., Dávila, D. y</w:t>
      </w:r>
      <w:r w:rsidR="00935034" w:rsidRPr="00152F2D">
        <w:rPr>
          <w:rFonts w:ascii="Times New Roman" w:hAnsi="Times New Roman" w:cs="Times New Roman"/>
          <w:lang w:val="es-MX"/>
        </w:rPr>
        <w:t xml:space="preserve"> Ginés, J. (2010). </w:t>
      </w:r>
      <w:r w:rsidR="00935034" w:rsidRPr="00152F2D">
        <w:rPr>
          <w:rFonts w:ascii="Times New Roman" w:hAnsi="Times New Roman" w:cs="Times New Roman"/>
        </w:rPr>
        <w:t xml:space="preserve">Competencias para la innovación en las universidades de América Latina: un análisis empírico. </w:t>
      </w:r>
      <w:r w:rsidR="00334F8B" w:rsidRPr="00152F2D">
        <w:rPr>
          <w:rFonts w:ascii="Times New Roman" w:hAnsi="Times New Roman" w:cs="Times New Roman"/>
          <w:i/>
        </w:rPr>
        <w:t>Revista Iberoamericana de Educación Superior</w:t>
      </w:r>
      <w:r w:rsidR="00FF26C3">
        <w:rPr>
          <w:rFonts w:ascii="Times New Roman" w:hAnsi="Times New Roman" w:cs="Times New Roman"/>
        </w:rPr>
        <w:t xml:space="preserve">, </w:t>
      </w:r>
      <w:r w:rsidR="00FF26C3" w:rsidRPr="00FF26C3">
        <w:rPr>
          <w:rFonts w:ascii="Times New Roman" w:hAnsi="Times New Roman" w:cs="Times New Roman"/>
          <w:i/>
        </w:rPr>
        <w:t>1</w:t>
      </w:r>
      <w:r w:rsidR="00935034" w:rsidRPr="00782BC3">
        <w:rPr>
          <w:rFonts w:ascii="Times New Roman" w:hAnsi="Times New Roman" w:cs="Times New Roman"/>
        </w:rPr>
        <w:t>(1),</w:t>
      </w:r>
      <w:r w:rsidR="009024F2">
        <w:rPr>
          <w:rFonts w:ascii="Times New Roman" w:hAnsi="Times New Roman" w:cs="Times New Roman"/>
        </w:rPr>
        <w:t xml:space="preserve"> 5-</w:t>
      </w:r>
      <w:r w:rsidR="00935034" w:rsidRPr="00152F2D">
        <w:rPr>
          <w:rFonts w:ascii="Times New Roman" w:hAnsi="Times New Roman" w:cs="Times New Roman"/>
        </w:rPr>
        <w:t xml:space="preserve">23. </w:t>
      </w:r>
      <w:r w:rsidR="00334F8B" w:rsidRPr="00152F2D">
        <w:rPr>
          <w:rFonts w:ascii="Times New Roman" w:hAnsi="Times New Roman" w:cs="Times New Roman"/>
          <w:lang w:val="es-MX"/>
        </w:rPr>
        <w:t>Recuperado de</w:t>
      </w:r>
      <w:r w:rsidR="00935034" w:rsidRPr="00152F2D">
        <w:rPr>
          <w:rFonts w:ascii="Times New Roman" w:hAnsi="Times New Roman" w:cs="Times New Roman"/>
          <w:lang w:val="es-MX"/>
        </w:rPr>
        <w:t xml:space="preserve"> </w:t>
      </w:r>
      <w:hyperlink r:id="rId19" w:history="1">
        <w:r w:rsidR="00935034" w:rsidRPr="001E5421">
          <w:rPr>
            <w:rStyle w:val="Hipervnculo"/>
            <w:rFonts w:ascii="Times New Roman" w:hAnsi="Times New Roman" w:cs="Times New Roman"/>
            <w:color w:val="auto"/>
            <w:u w:val="none"/>
            <w:lang w:val="es-MX"/>
          </w:rPr>
          <w:t>https://ries.universia.net/article/view/30/competencias-innovacion-universidades-america-latina-analisis-empirico</w:t>
        </w:r>
      </w:hyperlink>
      <w:r w:rsidR="00CC0530">
        <w:rPr>
          <w:rStyle w:val="Hipervnculo"/>
          <w:rFonts w:ascii="Times New Roman" w:hAnsi="Times New Roman" w:cs="Times New Roman"/>
          <w:color w:val="auto"/>
          <w:u w:val="none"/>
          <w:lang w:val="es-MX"/>
        </w:rPr>
        <w:t>.</w:t>
      </w:r>
    </w:p>
    <w:p w14:paraId="0D62C9FF" w14:textId="515AC1A7" w:rsidR="00237E24" w:rsidRDefault="00237E24" w:rsidP="00E462DD">
      <w:pPr>
        <w:spacing w:after="0" w:line="360" w:lineRule="auto"/>
        <w:jc w:val="both"/>
        <w:rPr>
          <w:rFonts w:ascii="Times New Roman" w:hAnsi="Times New Roman" w:cs="Times New Roman"/>
        </w:rPr>
      </w:pPr>
    </w:p>
    <w:p w14:paraId="21C40B25" w14:textId="78EC5E5C" w:rsidR="00227C75" w:rsidRDefault="00227C75" w:rsidP="00E462DD">
      <w:pPr>
        <w:spacing w:after="0" w:line="360" w:lineRule="auto"/>
        <w:jc w:val="both"/>
        <w:rPr>
          <w:rFonts w:ascii="Times New Roman" w:hAnsi="Times New Roman" w:cs="Times New Roman"/>
        </w:rPr>
      </w:pPr>
    </w:p>
    <w:p w14:paraId="1EECDA0C" w14:textId="7F75C41D" w:rsidR="00227C75" w:rsidRDefault="00227C75" w:rsidP="00E462DD">
      <w:pPr>
        <w:spacing w:after="0" w:line="360" w:lineRule="auto"/>
        <w:jc w:val="both"/>
        <w:rPr>
          <w:rFonts w:ascii="Times New Roman" w:hAnsi="Times New Roman" w:cs="Times New Roman"/>
        </w:rPr>
      </w:pPr>
    </w:p>
    <w:p w14:paraId="63F190DB" w14:textId="454F195E" w:rsidR="00227C75" w:rsidRDefault="00227C75" w:rsidP="00E462DD">
      <w:pPr>
        <w:spacing w:after="0" w:line="360" w:lineRule="auto"/>
        <w:jc w:val="both"/>
        <w:rPr>
          <w:rFonts w:ascii="Times New Roman" w:hAnsi="Times New Roman" w:cs="Times New Roman"/>
        </w:rPr>
      </w:pPr>
    </w:p>
    <w:p w14:paraId="068D1600" w14:textId="6D91B239" w:rsidR="00227C75" w:rsidRDefault="00227C75" w:rsidP="00E462DD">
      <w:pPr>
        <w:spacing w:after="0" w:line="360" w:lineRule="auto"/>
        <w:jc w:val="both"/>
        <w:rPr>
          <w:rFonts w:ascii="Times New Roman" w:hAnsi="Times New Roman" w:cs="Times New Roman"/>
        </w:rPr>
      </w:pPr>
    </w:p>
    <w:p w14:paraId="096F25B4" w14:textId="08061A93" w:rsidR="00227C75" w:rsidRDefault="00227C75" w:rsidP="00E462DD">
      <w:pPr>
        <w:spacing w:after="0" w:line="360" w:lineRule="auto"/>
        <w:jc w:val="both"/>
        <w:rPr>
          <w:rFonts w:ascii="Times New Roman" w:hAnsi="Times New Roman" w:cs="Times New Roman"/>
        </w:rPr>
      </w:pPr>
    </w:p>
    <w:p w14:paraId="6D362502" w14:textId="5136B2FD" w:rsidR="00227C75" w:rsidRDefault="00227C75" w:rsidP="00E462DD">
      <w:pPr>
        <w:spacing w:after="0" w:line="360" w:lineRule="auto"/>
        <w:jc w:val="both"/>
        <w:rPr>
          <w:rFonts w:ascii="Times New Roman" w:hAnsi="Times New Roman" w:cs="Times New Roman"/>
        </w:rPr>
      </w:pPr>
    </w:p>
    <w:p w14:paraId="3A7D7817" w14:textId="7A74DE92" w:rsidR="00227C75" w:rsidRDefault="00227C75" w:rsidP="00E462DD">
      <w:pPr>
        <w:spacing w:after="0" w:line="360" w:lineRule="auto"/>
        <w:jc w:val="both"/>
        <w:rPr>
          <w:rFonts w:ascii="Times New Roman" w:hAnsi="Times New Roman" w:cs="Times New Roman"/>
        </w:rPr>
      </w:pPr>
    </w:p>
    <w:p w14:paraId="708B8D88" w14:textId="34C19C68" w:rsidR="00227C75" w:rsidRDefault="00227C75" w:rsidP="00E462DD">
      <w:pPr>
        <w:spacing w:after="0" w:line="360" w:lineRule="auto"/>
        <w:jc w:val="both"/>
        <w:rPr>
          <w:rFonts w:ascii="Times New Roman" w:hAnsi="Times New Roman" w:cs="Times New Roman"/>
        </w:rPr>
      </w:pPr>
    </w:p>
    <w:p w14:paraId="029A2152" w14:textId="6DFCEA9A" w:rsidR="00227C75" w:rsidRDefault="00227C75" w:rsidP="00E462DD">
      <w:pPr>
        <w:spacing w:after="0" w:line="360" w:lineRule="auto"/>
        <w:jc w:val="both"/>
        <w:rPr>
          <w:rFonts w:ascii="Times New Roman" w:hAnsi="Times New Roman" w:cs="Times New Roman"/>
        </w:rPr>
      </w:pPr>
    </w:p>
    <w:p w14:paraId="1AC10F69" w14:textId="7B78E41E" w:rsidR="00227C75" w:rsidRDefault="00227C75" w:rsidP="00E462DD">
      <w:pPr>
        <w:spacing w:after="0" w:line="360" w:lineRule="auto"/>
        <w:jc w:val="both"/>
        <w:rPr>
          <w:rFonts w:ascii="Times New Roman" w:hAnsi="Times New Roman" w:cs="Times New Roman"/>
        </w:rPr>
      </w:pPr>
    </w:p>
    <w:p w14:paraId="67D43CD8" w14:textId="542F24AD" w:rsidR="00227C75" w:rsidRDefault="00227C75" w:rsidP="00E462DD">
      <w:pPr>
        <w:spacing w:after="0" w:line="360" w:lineRule="auto"/>
        <w:jc w:val="both"/>
        <w:rPr>
          <w:rFonts w:ascii="Times New Roman" w:hAnsi="Times New Roman" w:cs="Times New Roman"/>
        </w:rPr>
      </w:pPr>
    </w:p>
    <w:p w14:paraId="2F9EE481" w14:textId="7DB0F2AA" w:rsidR="00227C75" w:rsidRDefault="00227C75" w:rsidP="00E462DD">
      <w:pPr>
        <w:spacing w:after="0" w:line="360" w:lineRule="auto"/>
        <w:jc w:val="both"/>
        <w:rPr>
          <w:rFonts w:ascii="Times New Roman" w:hAnsi="Times New Roman" w:cs="Times New Roman"/>
        </w:rPr>
      </w:pPr>
    </w:p>
    <w:p w14:paraId="085A60BE" w14:textId="0E3E0B9A" w:rsidR="00227C75" w:rsidRDefault="00227C75" w:rsidP="00E462DD">
      <w:pPr>
        <w:spacing w:after="0" w:line="360" w:lineRule="auto"/>
        <w:jc w:val="both"/>
        <w:rPr>
          <w:rFonts w:ascii="Times New Roman" w:hAnsi="Times New Roman" w:cs="Times New Roman"/>
        </w:rPr>
      </w:pPr>
    </w:p>
    <w:p w14:paraId="7D4FDDB8" w14:textId="7BF9E6AF" w:rsidR="00227C75" w:rsidRDefault="00227C75" w:rsidP="00E462DD">
      <w:pPr>
        <w:spacing w:after="0" w:line="360" w:lineRule="auto"/>
        <w:jc w:val="both"/>
        <w:rPr>
          <w:rFonts w:ascii="Times New Roman" w:hAnsi="Times New Roman" w:cs="Times New Roman"/>
        </w:rPr>
      </w:pPr>
    </w:p>
    <w:p w14:paraId="3D13B7BE" w14:textId="387CCAB7" w:rsidR="00227C75" w:rsidRDefault="00227C75" w:rsidP="00E462DD">
      <w:pPr>
        <w:spacing w:after="0" w:line="360" w:lineRule="auto"/>
        <w:jc w:val="both"/>
        <w:rPr>
          <w:rFonts w:ascii="Times New Roman" w:hAnsi="Times New Roman" w:cs="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27C75" w:rsidRPr="0048642A" w14:paraId="682AAC36" w14:textId="77777777" w:rsidTr="00E37EA8">
        <w:tc>
          <w:tcPr>
            <w:tcW w:w="3045" w:type="dxa"/>
            <w:shd w:val="clear" w:color="auto" w:fill="auto"/>
            <w:tcMar>
              <w:top w:w="100" w:type="dxa"/>
              <w:left w:w="100" w:type="dxa"/>
              <w:bottom w:w="100" w:type="dxa"/>
              <w:right w:w="100" w:type="dxa"/>
            </w:tcMar>
          </w:tcPr>
          <w:p w14:paraId="7DB773E3" w14:textId="77777777" w:rsidR="00227C75" w:rsidRPr="0048642A" w:rsidRDefault="00227C75" w:rsidP="00E37EA8">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01E5CE5E" w14:textId="1A113B49" w:rsidR="00227C75" w:rsidRPr="0048642A" w:rsidRDefault="00227C75" w:rsidP="00E37EA8">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 (es)</w:t>
            </w:r>
          </w:p>
        </w:tc>
      </w:tr>
      <w:tr w:rsidR="00227C75" w:rsidRPr="0048642A" w14:paraId="6A1E7416" w14:textId="77777777" w:rsidTr="00E37EA8">
        <w:tc>
          <w:tcPr>
            <w:tcW w:w="3045" w:type="dxa"/>
            <w:shd w:val="clear" w:color="auto" w:fill="auto"/>
            <w:tcMar>
              <w:top w:w="100" w:type="dxa"/>
              <w:left w:w="100" w:type="dxa"/>
              <w:bottom w:w="100" w:type="dxa"/>
              <w:right w:w="100" w:type="dxa"/>
            </w:tcMar>
          </w:tcPr>
          <w:p w14:paraId="481D7913" w14:textId="77777777" w:rsidR="00227C75" w:rsidRPr="0048642A" w:rsidRDefault="00227C75" w:rsidP="00E37EA8">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2DBA9622" w14:textId="77777777" w:rsidR="00227C75" w:rsidRPr="00227C75" w:rsidRDefault="00227C75" w:rsidP="00E37EA8">
            <w:pPr>
              <w:widowControl w:val="0"/>
              <w:rPr>
                <w:b/>
                <w:sz w:val="18"/>
                <w:szCs w:val="18"/>
                <w:lang w:val="es-MX"/>
              </w:rPr>
            </w:pPr>
            <w:r w:rsidRPr="00227C75">
              <w:rPr>
                <w:b/>
                <w:sz w:val="18"/>
                <w:szCs w:val="18"/>
                <w:lang w:val="es-MX"/>
              </w:rPr>
              <w:t xml:space="preserve">Edgar Oliver (igual) y María Trinidad (igual) </w:t>
            </w:r>
          </w:p>
        </w:tc>
      </w:tr>
      <w:tr w:rsidR="00227C75" w:rsidRPr="0048642A" w14:paraId="204EFF1A" w14:textId="77777777" w:rsidTr="00E37EA8">
        <w:tc>
          <w:tcPr>
            <w:tcW w:w="3045" w:type="dxa"/>
            <w:shd w:val="clear" w:color="auto" w:fill="auto"/>
            <w:tcMar>
              <w:top w:w="100" w:type="dxa"/>
              <w:left w:w="100" w:type="dxa"/>
              <w:bottom w:w="100" w:type="dxa"/>
              <w:right w:w="100" w:type="dxa"/>
            </w:tcMar>
          </w:tcPr>
          <w:p w14:paraId="2D5852C0" w14:textId="77777777" w:rsidR="00227C75" w:rsidRPr="0048642A" w:rsidRDefault="00227C75" w:rsidP="00E37EA8">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306B52AA" w14:textId="77777777" w:rsidR="00227C75" w:rsidRPr="00227C75" w:rsidRDefault="00227C75" w:rsidP="00E37EA8">
            <w:pPr>
              <w:widowControl w:val="0"/>
              <w:rPr>
                <w:b/>
                <w:sz w:val="18"/>
                <w:szCs w:val="18"/>
                <w:lang w:val="es-MX"/>
              </w:rPr>
            </w:pPr>
            <w:r w:rsidRPr="00227C75">
              <w:rPr>
                <w:b/>
                <w:sz w:val="18"/>
                <w:szCs w:val="18"/>
                <w:lang w:val="es-MX"/>
              </w:rPr>
              <w:t>Edgar Oliver (igual) y María Trinidad (igual)</w:t>
            </w:r>
          </w:p>
        </w:tc>
      </w:tr>
      <w:tr w:rsidR="00227C75" w:rsidRPr="0048642A" w14:paraId="199FD511" w14:textId="77777777" w:rsidTr="00E37EA8">
        <w:tc>
          <w:tcPr>
            <w:tcW w:w="3045" w:type="dxa"/>
            <w:shd w:val="clear" w:color="auto" w:fill="auto"/>
            <w:tcMar>
              <w:top w:w="100" w:type="dxa"/>
              <w:left w:w="100" w:type="dxa"/>
              <w:bottom w:w="100" w:type="dxa"/>
              <w:right w:w="100" w:type="dxa"/>
            </w:tcMar>
          </w:tcPr>
          <w:p w14:paraId="119D5CE5" w14:textId="77777777" w:rsidR="00227C75" w:rsidRPr="0048642A" w:rsidRDefault="00227C75" w:rsidP="00E37EA8">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5D016580" w14:textId="77777777" w:rsidR="00227C75" w:rsidRPr="00227C75" w:rsidRDefault="00227C75" w:rsidP="00E37EA8">
            <w:pPr>
              <w:widowControl w:val="0"/>
              <w:rPr>
                <w:b/>
                <w:sz w:val="18"/>
                <w:szCs w:val="18"/>
                <w:lang w:val="es-MX"/>
              </w:rPr>
            </w:pPr>
            <w:r w:rsidRPr="00227C75">
              <w:rPr>
                <w:b/>
                <w:sz w:val="18"/>
                <w:szCs w:val="18"/>
                <w:lang w:val="es-MX"/>
              </w:rPr>
              <w:t xml:space="preserve">Edgar Oliver </w:t>
            </w:r>
          </w:p>
        </w:tc>
      </w:tr>
      <w:tr w:rsidR="00227C75" w:rsidRPr="0048642A" w14:paraId="3A18BD53" w14:textId="77777777" w:rsidTr="00E37EA8">
        <w:tc>
          <w:tcPr>
            <w:tcW w:w="3045" w:type="dxa"/>
            <w:shd w:val="clear" w:color="auto" w:fill="auto"/>
            <w:tcMar>
              <w:top w:w="100" w:type="dxa"/>
              <w:left w:w="100" w:type="dxa"/>
              <w:bottom w:w="100" w:type="dxa"/>
              <w:right w:w="100" w:type="dxa"/>
            </w:tcMar>
          </w:tcPr>
          <w:p w14:paraId="23BDA06E" w14:textId="77777777" w:rsidR="00227C75" w:rsidRPr="0048642A" w:rsidRDefault="00227C75" w:rsidP="00E37EA8">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3CC058BA" w14:textId="77777777" w:rsidR="00227C75" w:rsidRPr="00227C75" w:rsidRDefault="00227C75" w:rsidP="00E37EA8">
            <w:pPr>
              <w:widowControl w:val="0"/>
              <w:rPr>
                <w:b/>
                <w:sz w:val="18"/>
                <w:szCs w:val="18"/>
                <w:lang w:val="es-MX"/>
              </w:rPr>
            </w:pPr>
            <w:r w:rsidRPr="00227C75">
              <w:rPr>
                <w:b/>
                <w:sz w:val="18"/>
                <w:szCs w:val="18"/>
                <w:lang w:val="es-MX"/>
              </w:rPr>
              <w:t xml:space="preserve">María Trinidad </w:t>
            </w:r>
          </w:p>
        </w:tc>
      </w:tr>
      <w:tr w:rsidR="00227C75" w:rsidRPr="0048642A" w14:paraId="75338AE3" w14:textId="77777777" w:rsidTr="00E37EA8">
        <w:tc>
          <w:tcPr>
            <w:tcW w:w="3045" w:type="dxa"/>
            <w:shd w:val="clear" w:color="auto" w:fill="auto"/>
            <w:tcMar>
              <w:top w:w="100" w:type="dxa"/>
              <w:left w:w="100" w:type="dxa"/>
              <w:bottom w:w="100" w:type="dxa"/>
              <w:right w:w="100" w:type="dxa"/>
            </w:tcMar>
          </w:tcPr>
          <w:p w14:paraId="6223E640" w14:textId="77777777" w:rsidR="00227C75" w:rsidRPr="0048642A" w:rsidRDefault="00227C75" w:rsidP="00E37EA8">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164521EF" w14:textId="77777777" w:rsidR="00227C75" w:rsidRPr="00227C75" w:rsidRDefault="00227C75" w:rsidP="00E37EA8">
            <w:pPr>
              <w:widowControl w:val="0"/>
              <w:rPr>
                <w:b/>
                <w:sz w:val="18"/>
                <w:szCs w:val="18"/>
                <w:lang w:val="es-MX"/>
              </w:rPr>
            </w:pPr>
            <w:r w:rsidRPr="00227C75">
              <w:rPr>
                <w:b/>
                <w:sz w:val="18"/>
                <w:szCs w:val="18"/>
                <w:lang w:val="es-MX"/>
              </w:rPr>
              <w:t>Edgar Oliver (igual) y María Trinidad (igual)</w:t>
            </w:r>
          </w:p>
        </w:tc>
      </w:tr>
      <w:tr w:rsidR="00227C75" w:rsidRPr="0048642A" w14:paraId="31D7C3CD" w14:textId="77777777" w:rsidTr="00E37EA8">
        <w:tc>
          <w:tcPr>
            <w:tcW w:w="3045" w:type="dxa"/>
            <w:shd w:val="clear" w:color="auto" w:fill="auto"/>
            <w:tcMar>
              <w:top w:w="100" w:type="dxa"/>
              <w:left w:w="100" w:type="dxa"/>
              <w:bottom w:w="100" w:type="dxa"/>
              <w:right w:w="100" w:type="dxa"/>
            </w:tcMar>
          </w:tcPr>
          <w:p w14:paraId="55642817" w14:textId="77777777" w:rsidR="00227C75" w:rsidRPr="0048642A" w:rsidRDefault="00227C75" w:rsidP="00E37EA8">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7E62DD7B" w14:textId="77777777" w:rsidR="00227C75" w:rsidRPr="00227C75" w:rsidRDefault="00227C75" w:rsidP="00E37EA8">
            <w:pPr>
              <w:widowControl w:val="0"/>
              <w:rPr>
                <w:b/>
                <w:sz w:val="18"/>
                <w:szCs w:val="18"/>
                <w:lang w:val="es-MX"/>
              </w:rPr>
            </w:pPr>
            <w:r w:rsidRPr="00227C75">
              <w:rPr>
                <w:b/>
                <w:sz w:val="18"/>
                <w:szCs w:val="18"/>
                <w:lang w:val="es-MX"/>
              </w:rPr>
              <w:t>Edgar Oliver (igual) y María Trinidad (igual)</w:t>
            </w:r>
          </w:p>
        </w:tc>
      </w:tr>
      <w:tr w:rsidR="00227C75" w:rsidRPr="0048642A" w14:paraId="7418CF0D" w14:textId="77777777" w:rsidTr="00E37EA8">
        <w:tc>
          <w:tcPr>
            <w:tcW w:w="3045" w:type="dxa"/>
            <w:shd w:val="clear" w:color="auto" w:fill="auto"/>
            <w:tcMar>
              <w:top w:w="100" w:type="dxa"/>
              <w:left w:w="100" w:type="dxa"/>
              <w:bottom w:w="100" w:type="dxa"/>
              <w:right w:w="100" w:type="dxa"/>
            </w:tcMar>
          </w:tcPr>
          <w:p w14:paraId="3D7F5CB9" w14:textId="77777777" w:rsidR="00227C75" w:rsidRPr="0048642A" w:rsidRDefault="00227C75" w:rsidP="00E37EA8">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5A150976" w14:textId="77777777" w:rsidR="00227C75" w:rsidRPr="00227C75" w:rsidRDefault="00227C75" w:rsidP="00E37EA8">
            <w:pPr>
              <w:widowControl w:val="0"/>
              <w:rPr>
                <w:b/>
                <w:sz w:val="18"/>
                <w:szCs w:val="18"/>
                <w:lang w:val="es-MX"/>
              </w:rPr>
            </w:pPr>
            <w:r w:rsidRPr="00227C75">
              <w:rPr>
                <w:b/>
                <w:sz w:val="18"/>
                <w:szCs w:val="18"/>
                <w:lang w:val="es-MX"/>
              </w:rPr>
              <w:t>Edgar Oliver (igual) y María Trinidad (igual)</w:t>
            </w:r>
          </w:p>
        </w:tc>
      </w:tr>
      <w:tr w:rsidR="00227C75" w:rsidRPr="0048642A" w14:paraId="3EEB4BDC" w14:textId="77777777" w:rsidTr="00E37EA8">
        <w:tc>
          <w:tcPr>
            <w:tcW w:w="3045" w:type="dxa"/>
            <w:shd w:val="clear" w:color="auto" w:fill="auto"/>
            <w:tcMar>
              <w:top w:w="100" w:type="dxa"/>
              <w:left w:w="100" w:type="dxa"/>
              <w:bottom w:w="100" w:type="dxa"/>
              <w:right w:w="100" w:type="dxa"/>
            </w:tcMar>
          </w:tcPr>
          <w:p w14:paraId="76CC2818" w14:textId="77777777" w:rsidR="00227C75" w:rsidRPr="0048642A" w:rsidRDefault="00227C75" w:rsidP="00E37EA8">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112B2306" w14:textId="77777777" w:rsidR="00227C75" w:rsidRPr="00227C75" w:rsidRDefault="00227C75" w:rsidP="00E37EA8">
            <w:pPr>
              <w:widowControl w:val="0"/>
              <w:rPr>
                <w:b/>
                <w:sz w:val="18"/>
                <w:szCs w:val="18"/>
                <w:lang w:val="es-MX"/>
              </w:rPr>
            </w:pPr>
            <w:r w:rsidRPr="00227C75">
              <w:rPr>
                <w:b/>
                <w:sz w:val="18"/>
                <w:szCs w:val="18"/>
                <w:lang w:val="es-MX"/>
              </w:rPr>
              <w:t>Edgar Oliver</w:t>
            </w:r>
          </w:p>
        </w:tc>
      </w:tr>
      <w:tr w:rsidR="00227C75" w:rsidRPr="0048642A" w14:paraId="6F2D01E7" w14:textId="77777777" w:rsidTr="00E37EA8">
        <w:tc>
          <w:tcPr>
            <w:tcW w:w="3045" w:type="dxa"/>
            <w:shd w:val="clear" w:color="auto" w:fill="auto"/>
            <w:tcMar>
              <w:top w:w="100" w:type="dxa"/>
              <w:left w:w="100" w:type="dxa"/>
              <w:bottom w:w="100" w:type="dxa"/>
              <w:right w:w="100" w:type="dxa"/>
            </w:tcMar>
          </w:tcPr>
          <w:p w14:paraId="63CA16FA" w14:textId="77777777" w:rsidR="00227C75" w:rsidRPr="0048642A" w:rsidRDefault="00227C75" w:rsidP="00E37EA8">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5AE06FC7" w14:textId="77777777" w:rsidR="00227C75" w:rsidRPr="00227C75" w:rsidRDefault="00227C75" w:rsidP="00E37EA8">
            <w:pPr>
              <w:widowControl w:val="0"/>
              <w:rPr>
                <w:b/>
                <w:sz w:val="18"/>
                <w:szCs w:val="18"/>
                <w:lang w:val="es-MX"/>
              </w:rPr>
            </w:pPr>
            <w:r w:rsidRPr="00227C75">
              <w:rPr>
                <w:b/>
                <w:sz w:val="18"/>
                <w:szCs w:val="18"/>
                <w:lang w:val="es-MX"/>
              </w:rPr>
              <w:t>Edgar Oliver (igual) y María Trinidad (igual)</w:t>
            </w:r>
          </w:p>
        </w:tc>
      </w:tr>
      <w:tr w:rsidR="00227C75" w:rsidRPr="0048642A" w14:paraId="04713EA4" w14:textId="77777777" w:rsidTr="00E37EA8">
        <w:tc>
          <w:tcPr>
            <w:tcW w:w="3045" w:type="dxa"/>
            <w:shd w:val="clear" w:color="auto" w:fill="auto"/>
            <w:tcMar>
              <w:top w:w="100" w:type="dxa"/>
              <w:left w:w="100" w:type="dxa"/>
              <w:bottom w:w="100" w:type="dxa"/>
              <w:right w:w="100" w:type="dxa"/>
            </w:tcMar>
          </w:tcPr>
          <w:p w14:paraId="2CAEE83D" w14:textId="77777777" w:rsidR="00227C75" w:rsidRPr="0048642A" w:rsidRDefault="00227C75" w:rsidP="00E37EA8">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4D104699" w14:textId="77777777" w:rsidR="00227C75" w:rsidRPr="00227C75" w:rsidRDefault="00227C75" w:rsidP="00E37EA8">
            <w:pPr>
              <w:widowControl w:val="0"/>
              <w:rPr>
                <w:b/>
                <w:sz w:val="18"/>
                <w:szCs w:val="18"/>
                <w:lang w:val="es-MX"/>
              </w:rPr>
            </w:pPr>
            <w:r w:rsidRPr="00227C75">
              <w:rPr>
                <w:b/>
                <w:sz w:val="18"/>
                <w:szCs w:val="18"/>
                <w:lang w:val="es-MX"/>
              </w:rPr>
              <w:t>Edgar Oliver (igual) y María Trinidad (igual)</w:t>
            </w:r>
          </w:p>
        </w:tc>
      </w:tr>
      <w:tr w:rsidR="00227C75" w:rsidRPr="0048642A" w14:paraId="0BCE2FA7" w14:textId="77777777" w:rsidTr="00E37EA8">
        <w:tc>
          <w:tcPr>
            <w:tcW w:w="3045" w:type="dxa"/>
            <w:shd w:val="clear" w:color="auto" w:fill="auto"/>
            <w:tcMar>
              <w:top w:w="100" w:type="dxa"/>
              <w:left w:w="100" w:type="dxa"/>
              <w:bottom w:w="100" w:type="dxa"/>
              <w:right w:w="100" w:type="dxa"/>
            </w:tcMar>
          </w:tcPr>
          <w:p w14:paraId="077CD201" w14:textId="77777777" w:rsidR="00227C75" w:rsidRPr="0048642A" w:rsidRDefault="00227C75" w:rsidP="00E37EA8">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5A911B39" w14:textId="77777777" w:rsidR="00227C75" w:rsidRPr="00227C75" w:rsidRDefault="00227C75" w:rsidP="00E37EA8">
            <w:pPr>
              <w:widowControl w:val="0"/>
              <w:rPr>
                <w:b/>
                <w:sz w:val="18"/>
                <w:szCs w:val="18"/>
                <w:lang w:val="es-MX"/>
              </w:rPr>
            </w:pPr>
            <w:r w:rsidRPr="00227C75">
              <w:rPr>
                <w:b/>
                <w:sz w:val="18"/>
                <w:szCs w:val="18"/>
                <w:lang w:val="es-MX"/>
              </w:rPr>
              <w:t>Edgar Oliver</w:t>
            </w:r>
          </w:p>
        </w:tc>
      </w:tr>
      <w:tr w:rsidR="00227C75" w:rsidRPr="0048642A" w14:paraId="0A5D52CC" w14:textId="77777777" w:rsidTr="00E37EA8">
        <w:tc>
          <w:tcPr>
            <w:tcW w:w="3045" w:type="dxa"/>
            <w:shd w:val="clear" w:color="auto" w:fill="auto"/>
            <w:tcMar>
              <w:top w:w="100" w:type="dxa"/>
              <w:left w:w="100" w:type="dxa"/>
              <w:bottom w:w="100" w:type="dxa"/>
              <w:right w:w="100" w:type="dxa"/>
            </w:tcMar>
          </w:tcPr>
          <w:p w14:paraId="0006DA43" w14:textId="77777777" w:rsidR="00227C75" w:rsidRPr="0048642A" w:rsidRDefault="00227C75" w:rsidP="00E37EA8">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21EFDF7C" w14:textId="77777777" w:rsidR="00227C75" w:rsidRPr="00227C75" w:rsidRDefault="00227C75" w:rsidP="00E37EA8">
            <w:pPr>
              <w:widowControl w:val="0"/>
              <w:rPr>
                <w:b/>
                <w:sz w:val="18"/>
                <w:szCs w:val="18"/>
                <w:lang w:val="es-MX"/>
              </w:rPr>
            </w:pPr>
            <w:r w:rsidRPr="00227C75">
              <w:rPr>
                <w:b/>
                <w:sz w:val="18"/>
                <w:szCs w:val="18"/>
                <w:lang w:val="es-MX"/>
              </w:rPr>
              <w:t>María Trinidad</w:t>
            </w:r>
          </w:p>
        </w:tc>
      </w:tr>
      <w:tr w:rsidR="00227C75" w:rsidRPr="0048642A" w14:paraId="1A6C10FD" w14:textId="77777777" w:rsidTr="00E37EA8">
        <w:tc>
          <w:tcPr>
            <w:tcW w:w="3045" w:type="dxa"/>
            <w:shd w:val="clear" w:color="auto" w:fill="auto"/>
            <w:tcMar>
              <w:top w:w="100" w:type="dxa"/>
              <w:left w:w="100" w:type="dxa"/>
              <w:bottom w:w="100" w:type="dxa"/>
              <w:right w:w="100" w:type="dxa"/>
            </w:tcMar>
          </w:tcPr>
          <w:p w14:paraId="393E0672" w14:textId="77777777" w:rsidR="00227C75" w:rsidRPr="0048642A" w:rsidRDefault="00227C75" w:rsidP="00E37EA8">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1B8A0EF2" w14:textId="77777777" w:rsidR="00227C75" w:rsidRPr="00227C75" w:rsidRDefault="00227C75" w:rsidP="00E37EA8">
            <w:pPr>
              <w:widowControl w:val="0"/>
              <w:rPr>
                <w:b/>
                <w:sz w:val="18"/>
                <w:szCs w:val="18"/>
                <w:lang w:val="es-MX"/>
              </w:rPr>
            </w:pPr>
            <w:r w:rsidRPr="00227C75">
              <w:rPr>
                <w:b/>
                <w:sz w:val="18"/>
                <w:szCs w:val="18"/>
                <w:lang w:val="es-MX"/>
              </w:rPr>
              <w:t>Edgar Oliver (igual) y María Trinidad (igual)</w:t>
            </w:r>
          </w:p>
        </w:tc>
      </w:tr>
      <w:tr w:rsidR="00227C75" w:rsidRPr="0048642A" w14:paraId="1C7AA84A" w14:textId="77777777" w:rsidTr="00E37EA8">
        <w:tc>
          <w:tcPr>
            <w:tcW w:w="3045" w:type="dxa"/>
            <w:shd w:val="clear" w:color="auto" w:fill="auto"/>
            <w:tcMar>
              <w:top w:w="100" w:type="dxa"/>
              <w:left w:w="100" w:type="dxa"/>
              <w:bottom w:w="100" w:type="dxa"/>
              <w:right w:w="100" w:type="dxa"/>
            </w:tcMar>
          </w:tcPr>
          <w:p w14:paraId="3ED480CB" w14:textId="77777777" w:rsidR="00227C75" w:rsidRPr="0048642A" w:rsidRDefault="00227C75" w:rsidP="00E37EA8">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795DBF23" w14:textId="77777777" w:rsidR="00227C75" w:rsidRPr="00227C75" w:rsidRDefault="00227C75" w:rsidP="00E37EA8">
            <w:pPr>
              <w:widowControl w:val="0"/>
              <w:rPr>
                <w:b/>
                <w:sz w:val="18"/>
                <w:szCs w:val="18"/>
                <w:lang w:val="es-MX"/>
              </w:rPr>
            </w:pPr>
            <w:r w:rsidRPr="00227C75">
              <w:rPr>
                <w:b/>
                <w:sz w:val="18"/>
                <w:szCs w:val="18"/>
                <w:lang w:val="es-MX"/>
              </w:rPr>
              <w:t>Edgar Oliver (igual) y María Trinidad (igual)</w:t>
            </w:r>
          </w:p>
        </w:tc>
      </w:tr>
    </w:tbl>
    <w:p w14:paraId="751D3CEE" w14:textId="77777777" w:rsidR="00227C75" w:rsidRPr="00152F2D" w:rsidRDefault="00227C75" w:rsidP="00E462DD">
      <w:pPr>
        <w:spacing w:after="0" w:line="360" w:lineRule="auto"/>
        <w:jc w:val="both"/>
        <w:rPr>
          <w:rFonts w:ascii="Times New Roman" w:hAnsi="Times New Roman" w:cs="Times New Roman"/>
        </w:rPr>
      </w:pPr>
    </w:p>
    <w:sectPr w:rsidR="00227C75" w:rsidRPr="00152F2D" w:rsidSect="00782BC3">
      <w:headerReference w:type="default" r:id="rId20"/>
      <w:footerReference w:type="default" r:id="rId2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56838" w14:textId="77777777" w:rsidR="007B7597" w:rsidRDefault="007B7597" w:rsidP="00E462DD">
      <w:pPr>
        <w:spacing w:after="0"/>
      </w:pPr>
      <w:r>
        <w:separator/>
      </w:r>
    </w:p>
  </w:endnote>
  <w:endnote w:type="continuationSeparator" w:id="0">
    <w:p w14:paraId="3C67F1DC" w14:textId="77777777" w:rsidR="007B7597" w:rsidRDefault="007B7597" w:rsidP="00E46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7428" w14:textId="17A95D87" w:rsidR="00782BC3" w:rsidRDefault="00782BC3" w:rsidP="00782BC3">
    <w:pPr>
      <w:pStyle w:val="Piedepgina"/>
      <w:jc w:val="center"/>
    </w:pPr>
    <w:r w:rsidRPr="00782BC3">
      <w:rPr>
        <w:rFonts w:ascii="Calibri" w:hAnsi="Calibri" w:cs="Calibri"/>
        <w:b/>
        <w:sz w:val="22"/>
      </w:rPr>
      <w:t>Vol. 9, Núm. 18                   Enero - Junio 2019                       DOI:</w:t>
    </w:r>
    <w:r w:rsidR="003E2C6C">
      <w:rPr>
        <w:rFonts w:ascii="Calibri" w:hAnsi="Calibri" w:cs="Calibri"/>
        <w:b/>
        <w:sz w:val="22"/>
      </w:rPr>
      <w:t xml:space="preserve"> </w:t>
    </w:r>
    <w:hyperlink r:id="rId1" w:history="1">
      <w:r w:rsidR="003E2C6C" w:rsidRPr="003E2C6C">
        <w:rPr>
          <w:rFonts w:ascii="Calibri" w:hAnsi="Calibri" w:cs="Calibri"/>
          <w:b/>
          <w:sz w:val="22"/>
        </w:rPr>
        <w:t>10.23913/</w:t>
      </w:r>
      <w:proofErr w:type="gramStart"/>
      <w:r w:rsidR="003E2C6C" w:rsidRPr="003E2C6C">
        <w:rPr>
          <w:rFonts w:ascii="Calibri" w:hAnsi="Calibri" w:cs="Calibri"/>
          <w:b/>
          <w:sz w:val="22"/>
        </w:rPr>
        <w:t>ride.v</w:t>
      </w:r>
      <w:proofErr w:type="gramEnd"/>
      <w:r w:rsidR="003E2C6C" w:rsidRPr="003E2C6C">
        <w:rPr>
          <w:rFonts w:ascii="Calibri" w:hAnsi="Calibri" w:cs="Calibri"/>
          <w:b/>
          <w:sz w:val="22"/>
        </w:rPr>
        <w:t>9i18.411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BAE2F" w14:textId="77777777" w:rsidR="007B7597" w:rsidRDefault="007B7597" w:rsidP="00E462DD">
      <w:pPr>
        <w:spacing w:after="0"/>
      </w:pPr>
      <w:r>
        <w:separator/>
      </w:r>
    </w:p>
  </w:footnote>
  <w:footnote w:type="continuationSeparator" w:id="0">
    <w:p w14:paraId="77F61DD8" w14:textId="77777777" w:rsidR="007B7597" w:rsidRDefault="007B7597" w:rsidP="00E462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D6D5" w14:textId="3F090516" w:rsidR="00782BC3" w:rsidRDefault="00782BC3" w:rsidP="00782BC3">
    <w:pPr>
      <w:pStyle w:val="Encabezado"/>
      <w:jc w:val="center"/>
    </w:pPr>
    <w:r w:rsidRPr="005A563C">
      <w:rPr>
        <w:noProof/>
        <w:lang w:val="es-MX" w:eastAsia="es-MX"/>
      </w:rPr>
      <w:drawing>
        <wp:inline distT="0" distB="0" distL="0" distR="0" wp14:anchorId="5814E286" wp14:editId="34431E19">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181A"/>
    <w:multiLevelType w:val="hybridMultilevel"/>
    <w:tmpl w:val="B73CF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2E71CF"/>
    <w:multiLevelType w:val="hybridMultilevel"/>
    <w:tmpl w:val="E3EA4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A8041B"/>
    <w:multiLevelType w:val="hybridMultilevel"/>
    <w:tmpl w:val="8B4AF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C5348B"/>
    <w:multiLevelType w:val="hybridMultilevel"/>
    <w:tmpl w:val="CF709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FD30A3"/>
    <w:multiLevelType w:val="hybridMultilevel"/>
    <w:tmpl w:val="3984F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C827EC"/>
    <w:multiLevelType w:val="hybridMultilevel"/>
    <w:tmpl w:val="69BC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BC"/>
    <w:rsid w:val="00000267"/>
    <w:rsid w:val="00002247"/>
    <w:rsid w:val="00010097"/>
    <w:rsid w:val="000269BA"/>
    <w:rsid w:val="00027A02"/>
    <w:rsid w:val="00031863"/>
    <w:rsid w:val="00040F74"/>
    <w:rsid w:val="000442D7"/>
    <w:rsid w:val="00070DB0"/>
    <w:rsid w:val="00072E72"/>
    <w:rsid w:val="0007506B"/>
    <w:rsid w:val="000772AB"/>
    <w:rsid w:val="000902FF"/>
    <w:rsid w:val="000B2C5A"/>
    <w:rsid w:val="000C1A1D"/>
    <w:rsid w:val="000C2FF5"/>
    <w:rsid w:val="000C30E0"/>
    <w:rsid w:val="000C4C28"/>
    <w:rsid w:val="000C4F3E"/>
    <w:rsid w:val="000D51FD"/>
    <w:rsid w:val="000D6419"/>
    <w:rsid w:val="000E0CC8"/>
    <w:rsid w:val="000F25CA"/>
    <w:rsid w:val="000F3C66"/>
    <w:rsid w:val="001027AF"/>
    <w:rsid w:val="0010704B"/>
    <w:rsid w:val="00111DA8"/>
    <w:rsid w:val="00114706"/>
    <w:rsid w:val="0012081C"/>
    <w:rsid w:val="00120AB8"/>
    <w:rsid w:val="0012258E"/>
    <w:rsid w:val="00124DAB"/>
    <w:rsid w:val="00126CFF"/>
    <w:rsid w:val="00127D7F"/>
    <w:rsid w:val="00137A28"/>
    <w:rsid w:val="00150E24"/>
    <w:rsid w:val="00152F2D"/>
    <w:rsid w:val="0016138A"/>
    <w:rsid w:val="0016504A"/>
    <w:rsid w:val="00167B73"/>
    <w:rsid w:val="0017303C"/>
    <w:rsid w:val="00184139"/>
    <w:rsid w:val="00186101"/>
    <w:rsid w:val="001907BC"/>
    <w:rsid w:val="0019369B"/>
    <w:rsid w:val="001976FB"/>
    <w:rsid w:val="001B5EBD"/>
    <w:rsid w:val="001C6B40"/>
    <w:rsid w:val="001D12DF"/>
    <w:rsid w:val="001D2360"/>
    <w:rsid w:val="001E5421"/>
    <w:rsid w:val="001E7BF7"/>
    <w:rsid w:val="001F075E"/>
    <w:rsid w:val="001F2160"/>
    <w:rsid w:val="001F542A"/>
    <w:rsid w:val="00203CAD"/>
    <w:rsid w:val="00224550"/>
    <w:rsid w:val="00227C75"/>
    <w:rsid w:val="00236C85"/>
    <w:rsid w:val="00237E24"/>
    <w:rsid w:val="002568A0"/>
    <w:rsid w:val="00263F3A"/>
    <w:rsid w:val="00267812"/>
    <w:rsid w:val="0027273D"/>
    <w:rsid w:val="00275E07"/>
    <w:rsid w:val="00277347"/>
    <w:rsid w:val="002839C1"/>
    <w:rsid w:val="00283E42"/>
    <w:rsid w:val="00284A6C"/>
    <w:rsid w:val="0028658A"/>
    <w:rsid w:val="00293225"/>
    <w:rsid w:val="00293915"/>
    <w:rsid w:val="00293AFD"/>
    <w:rsid w:val="002A1272"/>
    <w:rsid w:val="002B0451"/>
    <w:rsid w:val="002B5A9D"/>
    <w:rsid w:val="002D6005"/>
    <w:rsid w:val="002D6F20"/>
    <w:rsid w:val="002E2A53"/>
    <w:rsid w:val="002F38CC"/>
    <w:rsid w:val="0030203F"/>
    <w:rsid w:val="00302C3E"/>
    <w:rsid w:val="00303C6C"/>
    <w:rsid w:val="00303EC7"/>
    <w:rsid w:val="00306926"/>
    <w:rsid w:val="00310E29"/>
    <w:rsid w:val="00324C41"/>
    <w:rsid w:val="003346D0"/>
    <w:rsid w:val="00334F8B"/>
    <w:rsid w:val="00340D8A"/>
    <w:rsid w:val="00341BDC"/>
    <w:rsid w:val="00356FAA"/>
    <w:rsid w:val="00377BD2"/>
    <w:rsid w:val="00395563"/>
    <w:rsid w:val="003A3EC8"/>
    <w:rsid w:val="003B6647"/>
    <w:rsid w:val="003B6803"/>
    <w:rsid w:val="003D3859"/>
    <w:rsid w:val="003E232B"/>
    <w:rsid w:val="003E245B"/>
    <w:rsid w:val="003E2C6C"/>
    <w:rsid w:val="0041534F"/>
    <w:rsid w:val="00416A5D"/>
    <w:rsid w:val="0042747B"/>
    <w:rsid w:val="00436DB0"/>
    <w:rsid w:val="00441F53"/>
    <w:rsid w:val="00452267"/>
    <w:rsid w:val="004526B6"/>
    <w:rsid w:val="00453970"/>
    <w:rsid w:val="004556DF"/>
    <w:rsid w:val="004629CD"/>
    <w:rsid w:val="00462B97"/>
    <w:rsid w:val="004652C5"/>
    <w:rsid w:val="0046564D"/>
    <w:rsid w:val="00491EF1"/>
    <w:rsid w:val="004946A1"/>
    <w:rsid w:val="00495AC0"/>
    <w:rsid w:val="004A33C8"/>
    <w:rsid w:val="004A627A"/>
    <w:rsid w:val="004C2142"/>
    <w:rsid w:val="004D62DC"/>
    <w:rsid w:val="004F2CB4"/>
    <w:rsid w:val="00503041"/>
    <w:rsid w:val="0050446D"/>
    <w:rsid w:val="005200B9"/>
    <w:rsid w:val="005378F3"/>
    <w:rsid w:val="0054334D"/>
    <w:rsid w:val="00545A0F"/>
    <w:rsid w:val="005602F1"/>
    <w:rsid w:val="00564FF9"/>
    <w:rsid w:val="005708D7"/>
    <w:rsid w:val="00575E80"/>
    <w:rsid w:val="0058150D"/>
    <w:rsid w:val="00585083"/>
    <w:rsid w:val="005948E6"/>
    <w:rsid w:val="005A7A00"/>
    <w:rsid w:val="005B2D5A"/>
    <w:rsid w:val="005C0021"/>
    <w:rsid w:val="005C31AF"/>
    <w:rsid w:val="005C6362"/>
    <w:rsid w:val="005D26C1"/>
    <w:rsid w:val="005F284D"/>
    <w:rsid w:val="005F3F14"/>
    <w:rsid w:val="005F7603"/>
    <w:rsid w:val="0060142E"/>
    <w:rsid w:val="00631C5C"/>
    <w:rsid w:val="006358E6"/>
    <w:rsid w:val="00642BED"/>
    <w:rsid w:val="0065133B"/>
    <w:rsid w:val="006517A5"/>
    <w:rsid w:val="00656C85"/>
    <w:rsid w:val="006608AA"/>
    <w:rsid w:val="006614A5"/>
    <w:rsid w:val="006711B2"/>
    <w:rsid w:val="00685FF5"/>
    <w:rsid w:val="00687FBC"/>
    <w:rsid w:val="006931A7"/>
    <w:rsid w:val="00694F5D"/>
    <w:rsid w:val="006A5110"/>
    <w:rsid w:val="006A5347"/>
    <w:rsid w:val="006B6333"/>
    <w:rsid w:val="006C7A61"/>
    <w:rsid w:val="006D192F"/>
    <w:rsid w:val="006D3246"/>
    <w:rsid w:val="006E3370"/>
    <w:rsid w:val="006F5FD2"/>
    <w:rsid w:val="006F6780"/>
    <w:rsid w:val="00700273"/>
    <w:rsid w:val="00706383"/>
    <w:rsid w:val="007154BA"/>
    <w:rsid w:val="007211F3"/>
    <w:rsid w:val="00742294"/>
    <w:rsid w:val="00744CEB"/>
    <w:rsid w:val="00756444"/>
    <w:rsid w:val="00762100"/>
    <w:rsid w:val="00764B08"/>
    <w:rsid w:val="00777A08"/>
    <w:rsid w:val="00777E9C"/>
    <w:rsid w:val="00782BC3"/>
    <w:rsid w:val="00786F92"/>
    <w:rsid w:val="00797C85"/>
    <w:rsid w:val="007A2F92"/>
    <w:rsid w:val="007A42B2"/>
    <w:rsid w:val="007A4CF0"/>
    <w:rsid w:val="007B3E4F"/>
    <w:rsid w:val="007B7597"/>
    <w:rsid w:val="007C174A"/>
    <w:rsid w:val="007C673C"/>
    <w:rsid w:val="007D101B"/>
    <w:rsid w:val="007E26E7"/>
    <w:rsid w:val="007E52F5"/>
    <w:rsid w:val="00800BED"/>
    <w:rsid w:val="00806562"/>
    <w:rsid w:val="00810308"/>
    <w:rsid w:val="00815EA1"/>
    <w:rsid w:val="0083398E"/>
    <w:rsid w:val="00850022"/>
    <w:rsid w:val="00854132"/>
    <w:rsid w:val="00860881"/>
    <w:rsid w:val="00862D0B"/>
    <w:rsid w:val="00877FF0"/>
    <w:rsid w:val="008A20AE"/>
    <w:rsid w:val="008A4515"/>
    <w:rsid w:val="008B3578"/>
    <w:rsid w:val="008C1970"/>
    <w:rsid w:val="008C1DE7"/>
    <w:rsid w:val="008D184A"/>
    <w:rsid w:val="008D3D58"/>
    <w:rsid w:val="008F6B2B"/>
    <w:rsid w:val="008F6C3D"/>
    <w:rsid w:val="009024F2"/>
    <w:rsid w:val="00902BF2"/>
    <w:rsid w:val="009058F0"/>
    <w:rsid w:val="009117B5"/>
    <w:rsid w:val="00914907"/>
    <w:rsid w:val="00915241"/>
    <w:rsid w:val="009173E2"/>
    <w:rsid w:val="00927473"/>
    <w:rsid w:val="009300E0"/>
    <w:rsid w:val="0093369E"/>
    <w:rsid w:val="00935034"/>
    <w:rsid w:val="00936E04"/>
    <w:rsid w:val="009378D5"/>
    <w:rsid w:val="0094498A"/>
    <w:rsid w:val="009539C1"/>
    <w:rsid w:val="0096018E"/>
    <w:rsid w:val="00960656"/>
    <w:rsid w:val="009908BF"/>
    <w:rsid w:val="00991C0F"/>
    <w:rsid w:val="009948DF"/>
    <w:rsid w:val="0099655B"/>
    <w:rsid w:val="009B38FC"/>
    <w:rsid w:val="009C0F85"/>
    <w:rsid w:val="009C74A9"/>
    <w:rsid w:val="009D2371"/>
    <w:rsid w:val="009D460E"/>
    <w:rsid w:val="009E2D6C"/>
    <w:rsid w:val="009E66E6"/>
    <w:rsid w:val="00A06653"/>
    <w:rsid w:val="00A21E13"/>
    <w:rsid w:val="00A40356"/>
    <w:rsid w:val="00A46CA7"/>
    <w:rsid w:val="00A527C5"/>
    <w:rsid w:val="00A53315"/>
    <w:rsid w:val="00A5332A"/>
    <w:rsid w:val="00A60C83"/>
    <w:rsid w:val="00A61FF3"/>
    <w:rsid w:val="00A857F5"/>
    <w:rsid w:val="00A879FF"/>
    <w:rsid w:val="00A95037"/>
    <w:rsid w:val="00A96BDC"/>
    <w:rsid w:val="00A979AD"/>
    <w:rsid w:val="00AA0B70"/>
    <w:rsid w:val="00AA7EC1"/>
    <w:rsid w:val="00AB47B3"/>
    <w:rsid w:val="00AB6DDD"/>
    <w:rsid w:val="00AD6903"/>
    <w:rsid w:val="00AE0CE2"/>
    <w:rsid w:val="00AE17BD"/>
    <w:rsid w:val="00AE5449"/>
    <w:rsid w:val="00AE6A77"/>
    <w:rsid w:val="00AF0A0A"/>
    <w:rsid w:val="00AF1444"/>
    <w:rsid w:val="00B01EDD"/>
    <w:rsid w:val="00B0313B"/>
    <w:rsid w:val="00B0495B"/>
    <w:rsid w:val="00B05A0F"/>
    <w:rsid w:val="00B05E64"/>
    <w:rsid w:val="00B10A00"/>
    <w:rsid w:val="00B165F2"/>
    <w:rsid w:val="00B302CE"/>
    <w:rsid w:val="00B37C42"/>
    <w:rsid w:val="00B60A84"/>
    <w:rsid w:val="00B71334"/>
    <w:rsid w:val="00B8314A"/>
    <w:rsid w:val="00B85886"/>
    <w:rsid w:val="00B85B00"/>
    <w:rsid w:val="00B871F2"/>
    <w:rsid w:val="00B94399"/>
    <w:rsid w:val="00BA38A6"/>
    <w:rsid w:val="00BB1722"/>
    <w:rsid w:val="00BC06A3"/>
    <w:rsid w:val="00BD52C9"/>
    <w:rsid w:val="00BE45E7"/>
    <w:rsid w:val="00BF004C"/>
    <w:rsid w:val="00C03CFF"/>
    <w:rsid w:val="00C051AA"/>
    <w:rsid w:val="00C179F9"/>
    <w:rsid w:val="00C23311"/>
    <w:rsid w:val="00C4503B"/>
    <w:rsid w:val="00C50B5D"/>
    <w:rsid w:val="00C51BF8"/>
    <w:rsid w:val="00C55BE8"/>
    <w:rsid w:val="00C569C2"/>
    <w:rsid w:val="00C67AAE"/>
    <w:rsid w:val="00C77313"/>
    <w:rsid w:val="00C77347"/>
    <w:rsid w:val="00C802D0"/>
    <w:rsid w:val="00C807A9"/>
    <w:rsid w:val="00C82466"/>
    <w:rsid w:val="00C84726"/>
    <w:rsid w:val="00C85A65"/>
    <w:rsid w:val="00C8668F"/>
    <w:rsid w:val="00C9224B"/>
    <w:rsid w:val="00CB2807"/>
    <w:rsid w:val="00CC0530"/>
    <w:rsid w:val="00CF4874"/>
    <w:rsid w:val="00CF7F1C"/>
    <w:rsid w:val="00D042D7"/>
    <w:rsid w:val="00D2534C"/>
    <w:rsid w:val="00D3162D"/>
    <w:rsid w:val="00D340A5"/>
    <w:rsid w:val="00D34451"/>
    <w:rsid w:val="00D55973"/>
    <w:rsid w:val="00D62FAD"/>
    <w:rsid w:val="00D632A6"/>
    <w:rsid w:val="00D83684"/>
    <w:rsid w:val="00D853BC"/>
    <w:rsid w:val="00D87ABE"/>
    <w:rsid w:val="00D9542C"/>
    <w:rsid w:val="00DA732C"/>
    <w:rsid w:val="00DB1E74"/>
    <w:rsid w:val="00DB507E"/>
    <w:rsid w:val="00DD7176"/>
    <w:rsid w:val="00DE0F94"/>
    <w:rsid w:val="00DF1895"/>
    <w:rsid w:val="00E00A7C"/>
    <w:rsid w:val="00E045E7"/>
    <w:rsid w:val="00E4108F"/>
    <w:rsid w:val="00E462DD"/>
    <w:rsid w:val="00E61976"/>
    <w:rsid w:val="00E654EE"/>
    <w:rsid w:val="00E67406"/>
    <w:rsid w:val="00E74B37"/>
    <w:rsid w:val="00E9402C"/>
    <w:rsid w:val="00E9749A"/>
    <w:rsid w:val="00EA6B0E"/>
    <w:rsid w:val="00EB7550"/>
    <w:rsid w:val="00EB7A47"/>
    <w:rsid w:val="00EC39C1"/>
    <w:rsid w:val="00F30184"/>
    <w:rsid w:val="00F402DD"/>
    <w:rsid w:val="00F427D8"/>
    <w:rsid w:val="00F5064D"/>
    <w:rsid w:val="00F51D35"/>
    <w:rsid w:val="00F64D60"/>
    <w:rsid w:val="00F71A1E"/>
    <w:rsid w:val="00F8402D"/>
    <w:rsid w:val="00F84155"/>
    <w:rsid w:val="00F85121"/>
    <w:rsid w:val="00F865B5"/>
    <w:rsid w:val="00FA01E7"/>
    <w:rsid w:val="00FB09F0"/>
    <w:rsid w:val="00FB1864"/>
    <w:rsid w:val="00FB3503"/>
    <w:rsid w:val="00FB4766"/>
    <w:rsid w:val="00FB567A"/>
    <w:rsid w:val="00FD0B3A"/>
    <w:rsid w:val="00FE2040"/>
    <w:rsid w:val="00FE50D1"/>
    <w:rsid w:val="00FE79C7"/>
    <w:rsid w:val="00FF0944"/>
    <w:rsid w:val="00FF14E8"/>
    <w:rsid w:val="00FF26C3"/>
    <w:rsid w:val="00FF5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58AC"/>
  <w15:chartTrackingRefBased/>
  <w15:docId w15:val="{BAC0AA37-0CDC-4327-B55F-677E1E63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3BC"/>
    <w:pPr>
      <w:spacing w:after="200" w:line="240" w:lineRule="auto"/>
    </w:pPr>
    <w:rPr>
      <w:rFonts w:eastAsiaTheme="minorEastAsia"/>
      <w:sz w:val="24"/>
      <w:szCs w:val="24"/>
      <w:lang w:val="es-ES_tradnl" w:eastAsia="ja-JP"/>
    </w:rPr>
  </w:style>
  <w:style w:type="paragraph" w:styleId="Ttulo3">
    <w:name w:val="heading 3"/>
    <w:basedOn w:val="Normal"/>
    <w:next w:val="Normal"/>
    <w:link w:val="Ttulo3Car"/>
    <w:rsid w:val="00227C7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53BC"/>
    <w:pPr>
      <w:spacing w:line="276" w:lineRule="auto"/>
      <w:ind w:left="720"/>
      <w:contextualSpacing/>
    </w:pPr>
    <w:rPr>
      <w:rFonts w:ascii="Calibri" w:eastAsia="Calibri" w:hAnsi="Calibri" w:cs="Times New Roman"/>
      <w:sz w:val="22"/>
      <w:szCs w:val="22"/>
      <w:lang w:val="es-MX" w:eastAsia="en-US"/>
    </w:rPr>
  </w:style>
  <w:style w:type="paragraph" w:customStyle="1" w:styleId="REDIEcuerpotexto">
    <w:name w:val="REDIE_cuerpo texto"/>
    <w:basedOn w:val="Normal"/>
    <w:rsid w:val="00D853BC"/>
    <w:pPr>
      <w:widowControl w:val="0"/>
      <w:spacing w:after="240" w:line="360" w:lineRule="auto"/>
    </w:pPr>
    <w:rPr>
      <w:rFonts w:ascii="Arial" w:eastAsia="Times New Roman" w:hAnsi="Arial" w:cs="Arial"/>
      <w:lang w:val="es-ES" w:eastAsia="es-ES"/>
    </w:rPr>
  </w:style>
  <w:style w:type="character" w:customStyle="1" w:styleId="apple-converted-space">
    <w:name w:val="apple-converted-space"/>
    <w:basedOn w:val="Fuentedeprrafopredeter"/>
    <w:rsid w:val="00D853BC"/>
  </w:style>
  <w:style w:type="paragraph" w:customStyle="1" w:styleId="ecxmsolistparagraph">
    <w:name w:val="ecxmsolistparagraph"/>
    <w:basedOn w:val="Normal"/>
    <w:rsid w:val="00D853BC"/>
    <w:pPr>
      <w:spacing w:after="324"/>
    </w:pPr>
    <w:rPr>
      <w:rFonts w:ascii="Times New Roman" w:eastAsia="Times New Roman" w:hAnsi="Times New Roman" w:cs="Times New Roman"/>
      <w:lang w:val="es-MX" w:eastAsia="es-MX"/>
    </w:rPr>
  </w:style>
  <w:style w:type="table" w:styleId="Tablaconcuadrcula">
    <w:name w:val="Table Grid"/>
    <w:basedOn w:val="Tablanormal"/>
    <w:rsid w:val="00D8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A4CF0"/>
    <w:rPr>
      <w:color w:val="0563C1" w:themeColor="hyperlink"/>
      <w:u w:val="single"/>
    </w:rPr>
  </w:style>
  <w:style w:type="paragraph" w:customStyle="1" w:styleId="resumen">
    <w:name w:val="resumen"/>
    <w:basedOn w:val="Normal"/>
    <w:link w:val="resumenCar"/>
    <w:qFormat/>
    <w:rsid w:val="00BB1722"/>
    <w:pPr>
      <w:spacing w:before="240" w:after="240"/>
      <w:jc w:val="center"/>
    </w:pPr>
    <w:rPr>
      <w:rFonts w:ascii="Times New Roman" w:eastAsiaTheme="minorHAnsi" w:hAnsi="Times New Roman" w:cs="Times New Roman"/>
      <w:b/>
      <w:sz w:val="28"/>
      <w:szCs w:val="28"/>
      <w:lang w:val="es-MX" w:eastAsia="en-US"/>
    </w:rPr>
  </w:style>
  <w:style w:type="paragraph" w:customStyle="1" w:styleId="palabrasClave">
    <w:name w:val="palabrasClave"/>
    <w:basedOn w:val="Normal"/>
    <w:link w:val="palabrasClaveCar"/>
    <w:qFormat/>
    <w:rsid w:val="00BB1722"/>
    <w:pPr>
      <w:spacing w:before="240" w:after="360"/>
      <w:jc w:val="center"/>
    </w:pPr>
    <w:rPr>
      <w:rFonts w:ascii="Times New Roman" w:eastAsiaTheme="minorHAnsi" w:hAnsi="Times New Roman" w:cs="Times New Roman"/>
      <w:lang w:val="es-MX" w:eastAsia="en-US"/>
    </w:rPr>
  </w:style>
  <w:style w:type="character" w:customStyle="1" w:styleId="resumenCar">
    <w:name w:val="resumen Car"/>
    <w:basedOn w:val="Fuentedeprrafopredeter"/>
    <w:link w:val="resumen"/>
    <w:rsid w:val="00BB1722"/>
    <w:rPr>
      <w:rFonts w:ascii="Times New Roman" w:hAnsi="Times New Roman" w:cs="Times New Roman"/>
      <w:b/>
      <w:sz w:val="28"/>
      <w:szCs w:val="28"/>
    </w:rPr>
  </w:style>
  <w:style w:type="character" w:customStyle="1" w:styleId="palabrasClaveCar">
    <w:name w:val="palabrasClave Car"/>
    <w:basedOn w:val="Fuentedeprrafopredeter"/>
    <w:link w:val="palabrasClave"/>
    <w:rsid w:val="00BB1722"/>
    <w:rPr>
      <w:rFonts w:ascii="Times New Roman" w:hAnsi="Times New Roman" w:cs="Times New Roman"/>
      <w:sz w:val="24"/>
      <w:szCs w:val="24"/>
    </w:rPr>
  </w:style>
  <w:style w:type="paragraph" w:styleId="Textonotapie">
    <w:name w:val="footnote text"/>
    <w:basedOn w:val="Normal"/>
    <w:link w:val="TextonotapieCar"/>
    <w:uiPriority w:val="99"/>
    <w:rsid w:val="00FE2040"/>
    <w:pPr>
      <w:spacing w:after="0"/>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FE204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462DD"/>
    <w:rPr>
      <w:vertAlign w:val="superscript"/>
    </w:rPr>
  </w:style>
  <w:style w:type="paragraph" w:styleId="Textodeglobo">
    <w:name w:val="Balloon Text"/>
    <w:basedOn w:val="Normal"/>
    <w:link w:val="TextodegloboCar"/>
    <w:uiPriority w:val="99"/>
    <w:semiHidden/>
    <w:unhideWhenUsed/>
    <w:rsid w:val="00EB7A47"/>
    <w:pPr>
      <w:spacing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B7A47"/>
    <w:rPr>
      <w:rFonts w:ascii="Times New Roman" w:eastAsiaTheme="minorEastAsia" w:hAnsi="Times New Roman" w:cs="Times New Roman"/>
      <w:sz w:val="18"/>
      <w:szCs w:val="18"/>
      <w:lang w:val="es-ES_tradnl" w:eastAsia="ja-JP"/>
    </w:rPr>
  </w:style>
  <w:style w:type="character" w:styleId="Hipervnculovisitado">
    <w:name w:val="FollowedHyperlink"/>
    <w:basedOn w:val="Fuentedeprrafopredeter"/>
    <w:uiPriority w:val="99"/>
    <w:semiHidden/>
    <w:unhideWhenUsed/>
    <w:rsid w:val="00B10A00"/>
    <w:rPr>
      <w:color w:val="954F72" w:themeColor="followedHyperlink"/>
      <w:u w:val="single"/>
    </w:rPr>
  </w:style>
  <w:style w:type="paragraph" w:styleId="Encabezado">
    <w:name w:val="header"/>
    <w:basedOn w:val="Normal"/>
    <w:link w:val="EncabezadoCar"/>
    <w:uiPriority w:val="99"/>
    <w:unhideWhenUsed/>
    <w:rsid w:val="00782BC3"/>
    <w:pPr>
      <w:tabs>
        <w:tab w:val="center" w:pos="4419"/>
        <w:tab w:val="right" w:pos="8838"/>
      </w:tabs>
      <w:spacing w:after="0"/>
    </w:pPr>
  </w:style>
  <w:style w:type="character" w:customStyle="1" w:styleId="EncabezadoCar">
    <w:name w:val="Encabezado Car"/>
    <w:basedOn w:val="Fuentedeprrafopredeter"/>
    <w:link w:val="Encabezado"/>
    <w:uiPriority w:val="99"/>
    <w:rsid w:val="00782BC3"/>
    <w:rPr>
      <w:rFonts w:eastAsiaTheme="minorEastAsia"/>
      <w:sz w:val="24"/>
      <w:szCs w:val="24"/>
      <w:lang w:val="es-ES_tradnl" w:eastAsia="ja-JP"/>
    </w:rPr>
  </w:style>
  <w:style w:type="paragraph" w:styleId="Piedepgina">
    <w:name w:val="footer"/>
    <w:basedOn w:val="Normal"/>
    <w:link w:val="PiedepginaCar"/>
    <w:uiPriority w:val="99"/>
    <w:unhideWhenUsed/>
    <w:rsid w:val="00782BC3"/>
    <w:pPr>
      <w:tabs>
        <w:tab w:val="center" w:pos="4419"/>
        <w:tab w:val="right" w:pos="8838"/>
      </w:tabs>
      <w:spacing w:after="0"/>
    </w:pPr>
  </w:style>
  <w:style w:type="character" w:customStyle="1" w:styleId="PiedepginaCar">
    <w:name w:val="Pie de página Car"/>
    <w:basedOn w:val="Fuentedeprrafopredeter"/>
    <w:link w:val="Piedepgina"/>
    <w:uiPriority w:val="99"/>
    <w:rsid w:val="00782BC3"/>
    <w:rPr>
      <w:rFonts w:eastAsiaTheme="minorEastAsia"/>
      <w:sz w:val="24"/>
      <w:szCs w:val="24"/>
      <w:lang w:val="es-ES_tradnl" w:eastAsia="ja-JP"/>
    </w:rPr>
  </w:style>
  <w:style w:type="character" w:customStyle="1" w:styleId="Ttulo3Car">
    <w:name w:val="Título 3 Car"/>
    <w:basedOn w:val="Fuentedeprrafopredeter"/>
    <w:link w:val="Ttulo3"/>
    <w:rsid w:val="00227C7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resources.worldbank.org/TERTIARYEDUCATION/Resources/Documents/Constructing-Knowledge-Societies/CKS-spanish.pdf" TargetMode="External"/><Relationship Id="rId13" Type="http://schemas.openxmlformats.org/officeDocument/2006/relationships/hyperlink" Target="http://www.redalyc.org/articulo.oa?id=179624760004" TargetMode="External"/><Relationship Id="rId18" Type="http://schemas.openxmlformats.org/officeDocument/2006/relationships/hyperlink" Target="http://www.uv.es/RELIEVE/v9n2/RELIEVERv9n2_1.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ournals.uchicago.edu/doi/abs/10.1086/693718" TargetMode="External"/><Relationship Id="rId17" Type="http://schemas.openxmlformats.org/officeDocument/2006/relationships/hyperlink" Target="http://www.ilo.org/public/spanish/bureau/inst/download/world08_s.pdf" TargetMode="External"/><Relationship Id="rId2" Type="http://schemas.openxmlformats.org/officeDocument/2006/relationships/numbering" Target="numbering.xml"/><Relationship Id="rId16" Type="http://schemas.openxmlformats.org/officeDocument/2006/relationships/hyperlink" Target="http://dx.doi.org/10.1787/978926417733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44723437010" TargetMode="External"/><Relationship Id="rId5" Type="http://schemas.openxmlformats.org/officeDocument/2006/relationships/webSettings" Target="webSettings.xml"/><Relationship Id="rId15" Type="http://schemas.openxmlformats.org/officeDocument/2006/relationships/hyperlink" Target="http://www.redalyc.org/articulo.oa?id=44717980008" TargetMode="External"/><Relationship Id="rId23" Type="http://schemas.openxmlformats.org/officeDocument/2006/relationships/theme" Target="theme/theme1.xml"/><Relationship Id="rId10" Type="http://schemas.openxmlformats.org/officeDocument/2006/relationships/hyperlink" Target="http://www.networkedlearningconference.org.uk/past/nlc2004/proceedings/symposia/sy%20mposium6/denis_et_al.htm" TargetMode="External"/><Relationship Id="rId19" Type="http://schemas.openxmlformats.org/officeDocument/2006/relationships/hyperlink" Target="https://ries.universia.net/article/view/30/competencias-innovacion-universidades-america-latina-analisis-empirico" TargetMode="External"/><Relationship Id="rId4" Type="http://schemas.openxmlformats.org/officeDocument/2006/relationships/settings" Target="settings.xml"/><Relationship Id="rId9" Type="http://schemas.openxmlformats.org/officeDocument/2006/relationships/hyperlink" Target="http://www.redalyc.org/articulo.oa?id=70923776002" TargetMode="External"/><Relationship Id="rId14" Type="http://schemas.openxmlformats.org/officeDocument/2006/relationships/hyperlink" Target="http://www.ittk.hu/netis/doc/ISCB_eng/04_%20MKSZ_final.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42F5-FB35-433D-8DD8-BD32D417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6766</Words>
  <Characters>37219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Edgar Cardoso</dc:creator>
  <cp:keywords/>
  <dc:description/>
  <cp:lastModifiedBy>Naira Niktè Santillan</cp:lastModifiedBy>
  <cp:revision>8</cp:revision>
  <dcterms:created xsi:type="dcterms:W3CDTF">2018-12-17T22:24:00Z</dcterms:created>
  <dcterms:modified xsi:type="dcterms:W3CDTF">2018-12-17T23:55:00Z</dcterms:modified>
</cp:coreProperties>
</file>