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97618" w14:textId="60ED3AFA" w:rsidR="006B20BC" w:rsidRPr="00737371" w:rsidRDefault="00BE6564" w:rsidP="00737371">
      <w:pPr>
        <w:spacing w:after="0" w:line="276" w:lineRule="auto"/>
        <w:jc w:val="right"/>
        <w:rPr>
          <w:rFonts w:ascii="Calibri" w:eastAsia="Times New Roman" w:hAnsi="Calibri" w:cs="Calibri"/>
          <w:b/>
          <w:color w:val="000000" w:themeColor="text1"/>
          <w:sz w:val="36"/>
          <w:szCs w:val="36"/>
          <w:lang w:eastAsia="es-MX"/>
        </w:rPr>
      </w:pPr>
      <w:r w:rsidRPr="00737371">
        <w:rPr>
          <w:rFonts w:ascii="Calibri" w:eastAsia="Times New Roman" w:hAnsi="Calibri" w:cs="Calibri"/>
          <w:b/>
          <w:color w:val="000000" w:themeColor="text1"/>
          <w:sz w:val="36"/>
          <w:szCs w:val="36"/>
          <w:lang w:eastAsia="es-MX"/>
        </w:rPr>
        <w:t>Factores</w:t>
      </w:r>
      <w:r w:rsidR="00116982" w:rsidRPr="00737371">
        <w:rPr>
          <w:rFonts w:ascii="Calibri" w:eastAsia="Times New Roman" w:hAnsi="Calibri" w:cs="Calibri"/>
          <w:b/>
          <w:color w:val="000000" w:themeColor="text1"/>
          <w:sz w:val="36"/>
          <w:szCs w:val="36"/>
          <w:lang w:eastAsia="es-MX"/>
        </w:rPr>
        <w:t xml:space="preserve"> que pueden influenciar </w:t>
      </w:r>
      <w:r w:rsidR="00AE6876" w:rsidRPr="00737371">
        <w:rPr>
          <w:rFonts w:ascii="Calibri" w:eastAsia="Times New Roman" w:hAnsi="Calibri" w:cs="Calibri"/>
          <w:b/>
          <w:color w:val="000000" w:themeColor="text1"/>
          <w:sz w:val="36"/>
          <w:szCs w:val="36"/>
          <w:lang w:eastAsia="es-MX"/>
        </w:rPr>
        <w:t xml:space="preserve">la </w:t>
      </w:r>
      <w:r w:rsidR="007530FC" w:rsidRPr="00737371">
        <w:rPr>
          <w:rFonts w:ascii="Calibri" w:eastAsia="Times New Roman" w:hAnsi="Calibri" w:cs="Calibri"/>
          <w:b/>
          <w:color w:val="000000" w:themeColor="text1"/>
          <w:sz w:val="36"/>
          <w:szCs w:val="36"/>
          <w:lang w:eastAsia="es-MX"/>
        </w:rPr>
        <w:t>selecci</w:t>
      </w:r>
      <w:r w:rsidR="00AE6876" w:rsidRPr="00737371">
        <w:rPr>
          <w:rFonts w:ascii="Calibri" w:eastAsia="Times New Roman" w:hAnsi="Calibri" w:cs="Calibri"/>
          <w:b/>
          <w:color w:val="000000" w:themeColor="text1"/>
          <w:sz w:val="36"/>
          <w:szCs w:val="36"/>
          <w:lang w:eastAsia="es-MX"/>
        </w:rPr>
        <w:t>ó</w:t>
      </w:r>
      <w:r w:rsidR="007530FC" w:rsidRPr="00737371">
        <w:rPr>
          <w:rFonts w:ascii="Calibri" w:eastAsia="Times New Roman" w:hAnsi="Calibri" w:cs="Calibri"/>
          <w:b/>
          <w:color w:val="000000" w:themeColor="text1"/>
          <w:sz w:val="36"/>
          <w:szCs w:val="36"/>
          <w:lang w:eastAsia="es-MX"/>
        </w:rPr>
        <w:t xml:space="preserve">n </w:t>
      </w:r>
      <w:r w:rsidR="00AE6876" w:rsidRPr="00737371">
        <w:rPr>
          <w:rFonts w:ascii="Calibri" w:eastAsia="Times New Roman" w:hAnsi="Calibri" w:cs="Calibri"/>
          <w:b/>
          <w:color w:val="000000" w:themeColor="text1"/>
          <w:sz w:val="36"/>
          <w:szCs w:val="36"/>
          <w:lang w:eastAsia="es-MX"/>
        </w:rPr>
        <w:t xml:space="preserve">de </w:t>
      </w:r>
      <w:r w:rsidR="007530FC" w:rsidRPr="00737371">
        <w:rPr>
          <w:rFonts w:ascii="Calibri" w:eastAsia="Times New Roman" w:hAnsi="Calibri" w:cs="Calibri"/>
          <w:b/>
          <w:color w:val="000000" w:themeColor="text1"/>
          <w:sz w:val="36"/>
          <w:szCs w:val="36"/>
          <w:lang w:eastAsia="es-MX"/>
        </w:rPr>
        <w:t>una</w:t>
      </w:r>
      <w:r w:rsidR="00116982" w:rsidRPr="00737371">
        <w:rPr>
          <w:rFonts w:ascii="Calibri" w:eastAsia="Times New Roman" w:hAnsi="Calibri" w:cs="Calibri"/>
          <w:b/>
          <w:color w:val="000000" w:themeColor="text1"/>
          <w:sz w:val="36"/>
          <w:szCs w:val="36"/>
          <w:lang w:eastAsia="es-MX"/>
        </w:rPr>
        <w:t xml:space="preserve"> ingeniería como carrera</w:t>
      </w:r>
      <w:r w:rsidR="007530FC" w:rsidRPr="00737371">
        <w:rPr>
          <w:rFonts w:ascii="Calibri" w:eastAsia="Times New Roman" w:hAnsi="Calibri" w:cs="Calibri"/>
          <w:b/>
          <w:color w:val="000000" w:themeColor="text1"/>
          <w:sz w:val="36"/>
          <w:szCs w:val="36"/>
          <w:lang w:eastAsia="es-MX"/>
        </w:rPr>
        <w:t xml:space="preserve"> dependiendo de </w:t>
      </w:r>
      <w:r w:rsidR="00AE6876" w:rsidRPr="00737371">
        <w:rPr>
          <w:rFonts w:ascii="Calibri" w:eastAsia="Times New Roman" w:hAnsi="Calibri" w:cs="Calibri"/>
          <w:b/>
          <w:color w:val="000000" w:themeColor="text1"/>
          <w:sz w:val="36"/>
          <w:szCs w:val="36"/>
          <w:lang w:eastAsia="es-MX"/>
        </w:rPr>
        <w:t>las</w:t>
      </w:r>
      <w:r w:rsidR="007530FC" w:rsidRPr="00737371">
        <w:rPr>
          <w:rFonts w:ascii="Calibri" w:eastAsia="Times New Roman" w:hAnsi="Calibri" w:cs="Calibri"/>
          <w:b/>
          <w:color w:val="000000" w:themeColor="text1"/>
          <w:sz w:val="36"/>
          <w:szCs w:val="36"/>
          <w:lang w:eastAsia="es-MX"/>
        </w:rPr>
        <w:t xml:space="preserve"> habilidade</w:t>
      </w:r>
      <w:r w:rsidR="00281FDB" w:rsidRPr="00737371">
        <w:rPr>
          <w:rFonts w:ascii="Calibri" w:eastAsia="Times New Roman" w:hAnsi="Calibri" w:cs="Calibri"/>
          <w:b/>
          <w:color w:val="000000" w:themeColor="text1"/>
          <w:sz w:val="36"/>
          <w:szCs w:val="36"/>
          <w:lang w:eastAsia="es-MX"/>
        </w:rPr>
        <w:t>s</w:t>
      </w:r>
      <w:r w:rsidR="007530FC" w:rsidRPr="00737371">
        <w:rPr>
          <w:rFonts w:ascii="Calibri" w:eastAsia="Times New Roman" w:hAnsi="Calibri" w:cs="Calibri"/>
          <w:b/>
          <w:color w:val="000000" w:themeColor="text1"/>
          <w:sz w:val="36"/>
          <w:szCs w:val="36"/>
          <w:lang w:eastAsia="es-MX"/>
        </w:rPr>
        <w:t xml:space="preserve"> matemáticas</w:t>
      </w:r>
      <w:r w:rsidR="00AE6876" w:rsidRPr="00737371">
        <w:rPr>
          <w:rFonts w:ascii="Calibri" w:eastAsia="Times New Roman" w:hAnsi="Calibri" w:cs="Calibri"/>
          <w:b/>
          <w:color w:val="000000" w:themeColor="text1"/>
          <w:sz w:val="36"/>
          <w:szCs w:val="36"/>
          <w:lang w:eastAsia="es-MX"/>
        </w:rPr>
        <w:t xml:space="preserve"> de los estudiantes</w:t>
      </w:r>
    </w:p>
    <w:p w14:paraId="1B246624" w14:textId="7C036835" w:rsidR="00116982" w:rsidRPr="00E24F2C" w:rsidRDefault="00737371" w:rsidP="00737371">
      <w:pPr>
        <w:spacing w:after="0" w:line="276" w:lineRule="auto"/>
        <w:jc w:val="right"/>
        <w:rPr>
          <w:rFonts w:ascii="Calibri" w:eastAsia="Times New Roman" w:hAnsi="Calibri" w:cs="Calibri"/>
          <w:b/>
          <w:i/>
          <w:color w:val="000000" w:themeColor="text1"/>
          <w:sz w:val="28"/>
          <w:szCs w:val="28"/>
          <w:lang w:val="en-US" w:eastAsia="es-MX"/>
        </w:rPr>
      </w:pPr>
      <w:r w:rsidRPr="00674F69">
        <w:rPr>
          <w:rFonts w:ascii="Calibri" w:eastAsia="Times New Roman" w:hAnsi="Calibri" w:cs="Calibri"/>
          <w:b/>
          <w:i/>
          <w:color w:val="000000" w:themeColor="text1"/>
          <w:sz w:val="28"/>
          <w:szCs w:val="28"/>
          <w:lang w:val="en-US" w:eastAsia="es-MX"/>
        </w:rPr>
        <w:br/>
      </w:r>
      <w:r w:rsidR="009819F0" w:rsidRPr="00E24F2C">
        <w:rPr>
          <w:rFonts w:ascii="Calibri" w:eastAsia="Times New Roman" w:hAnsi="Calibri" w:cs="Calibri"/>
          <w:b/>
          <w:i/>
          <w:color w:val="000000" w:themeColor="text1"/>
          <w:sz w:val="28"/>
          <w:szCs w:val="28"/>
          <w:lang w:val="en-US" w:eastAsia="es-MX"/>
        </w:rPr>
        <w:t>Factors that influence students’ decisions to pursue engineering as a major for students with different mathematics abilities</w:t>
      </w:r>
    </w:p>
    <w:p w14:paraId="5B73E82C" w14:textId="29C1A561" w:rsidR="00737371" w:rsidRPr="00E24F2C" w:rsidRDefault="00737371" w:rsidP="00737371">
      <w:pPr>
        <w:spacing w:after="0" w:line="276" w:lineRule="auto"/>
        <w:jc w:val="right"/>
        <w:rPr>
          <w:rFonts w:ascii="Times New Roman" w:hAnsi="Times New Roman" w:cs="Times New Roman"/>
          <w:b/>
          <w:sz w:val="32"/>
          <w:szCs w:val="32"/>
        </w:rPr>
      </w:pPr>
      <w:r w:rsidRPr="00674F69">
        <w:rPr>
          <w:rFonts w:ascii="Times New Roman" w:hAnsi="Times New Roman" w:cs="Times New Roman"/>
          <w:b/>
          <w:i/>
          <w:sz w:val="28"/>
          <w:szCs w:val="28"/>
        </w:rPr>
        <w:br/>
      </w:r>
      <w:r w:rsidRPr="00737371">
        <w:rPr>
          <w:rFonts w:ascii="Calibri" w:eastAsia="Times New Roman" w:hAnsi="Calibri" w:cs="Calibri"/>
          <w:b/>
          <w:i/>
          <w:color w:val="000000" w:themeColor="text1"/>
          <w:sz w:val="28"/>
          <w:szCs w:val="28"/>
          <w:lang w:eastAsia="es-MX"/>
        </w:rPr>
        <w:t>Fatores que podem influenciar a seleção de uma engenharia como carreira, dependendo das habilidades matemáticas dos alunos</w:t>
      </w:r>
    </w:p>
    <w:p w14:paraId="0271E4C7" w14:textId="66625BB7" w:rsidR="00BC1925" w:rsidRPr="00E24F2C" w:rsidRDefault="00BC1925" w:rsidP="0006428E">
      <w:pPr>
        <w:spacing w:after="0" w:line="360" w:lineRule="auto"/>
        <w:jc w:val="center"/>
        <w:rPr>
          <w:rFonts w:ascii="Times New Roman" w:hAnsi="Times New Roman" w:cs="Times New Roman"/>
          <w:b/>
          <w:sz w:val="24"/>
          <w:szCs w:val="24"/>
        </w:rPr>
      </w:pPr>
    </w:p>
    <w:p w14:paraId="072422C5" w14:textId="66D9432F" w:rsidR="00D22CD4" w:rsidRPr="00E24F2C" w:rsidRDefault="00D22CD4" w:rsidP="00737371">
      <w:pPr>
        <w:spacing w:after="0" w:line="276" w:lineRule="auto"/>
        <w:jc w:val="right"/>
        <w:rPr>
          <w:rFonts w:ascii="Times New Roman" w:hAnsi="Times New Roman" w:cs="Times New Roman"/>
          <w:sz w:val="24"/>
          <w:szCs w:val="20"/>
        </w:rPr>
      </w:pPr>
      <w:r w:rsidRPr="00737371">
        <w:rPr>
          <w:rFonts w:ascii="Calibri" w:hAnsi="Calibri" w:cs="Calibri"/>
          <w:b/>
          <w:sz w:val="24"/>
          <w:szCs w:val="24"/>
          <w:u w:color="000000"/>
          <w:lang w:val="es-ES_tradnl" w:eastAsia="es-ES_tradnl"/>
        </w:rPr>
        <w:t>Gustavo Morán Soto</w:t>
      </w:r>
      <w:r w:rsidR="00737371">
        <w:rPr>
          <w:rFonts w:ascii="Times New Roman" w:hAnsi="Times New Roman" w:cs="Times New Roman"/>
          <w:sz w:val="24"/>
          <w:szCs w:val="20"/>
        </w:rPr>
        <w:br/>
      </w:r>
      <w:r w:rsidR="00737371" w:rsidRPr="00737371">
        <w:rPr>
          <w:rFonts w:ascii="Times New Roman" w:hAnsi="Times New Roman" w:cs="Times New Roman"/>
          <w:sz w:val="24"/>
        </w:rPr>
        <w:t>Instituto Tecnológico de Durango, México</w:t>
      </w:r>
      <w:r w:rsidR="00737371">
        <w:rPr>
          <w:rFonts w:ascii="Times New Roman" w:hAnsi="Times New Roman" w:cs="Times New Roman"/>
        </w:rPr>
        <w:br/>
      </w:r>
      <w:r w:rsidR="00737371" w:rsidRPr="00737371">
        <w:rPr>
          <w:rStyle w:val="Hipervnculo"/>
          <w:rFonts w:ascii="Calibri" w:hAnsi="Calibri" w:cs="Calibri"/>
          <w:color w:val="FF0000"/>
          <w:sz w:val="24"/>
          <w:u w:val="none" w:color="000000"/>
          <w:lang w:val="es-ES_tradnl" w:eastAsia="es-ES_tradnl"/>
        </w:rPr>
        <w:t>gmorans@clemson.edu</w:t>
      </w:r>
    </w:p>
    <w:p w14:paraId="7D75639A" w14:textId="69A32FF2" w:rsidR="00674F69" w:rsidRPr="00586E48" w:rsidRDefault="00674F69" w:rsidP="00737371">
      <w:pPr>
        <w:spacing w:after="0" w:line="276" w:lineRule="auto"/>
        <w:jc w:val="right"/>
        <w:rPr>
          <w:rFonts w:ascii="Times New Roman" w:hAnsi="Times New Roman" w:cs="Times New Roman"/>
          <w:sz w:val="24"/>
        </w:rPr>
      </w:pPr>
      <w:r w:rsidRPr="00586E48">
        <w:rPr>
          <w:rFonts w:ascii="Times New Roman" w:hAnsi="Times New Roman" w:cs="Times New Roman"/>
          <w:sz w:val="24"/>
        </w:rPr>
        <w:t>https://orcid.org/0000-0003-3864-7742</w:t>
      </w:r>
    </w:p>
    <w:p w14:paraId="567A6EE7" w14:textId="1818760C" w:rsidR="00D22CD4" w:rsidRPr="00E24F2C" w:rsidRDefault="00737371" w:rsidP="00737371">
      <w:pPr>
        <w:spacing w:after="0" w:line="276" w:lineRule="auto"/>
        <w:jc w:val="right"/>
        <w:rPr>
          <w:rFonts w:ascii="Times New Roman" w:hAnsi="Times New Roman" w:cs="Times New Roman"/>
          <w:sz w:val="24"/>
          <w:szCs w:val="20"/>
        </w:rPr>
      </w:pPr>
      <w:r w:rsidRPr="00E24F2C">
        <w:rPr>
          <w:rFonts w:ascii="Times New Roman" w:hAnsi="Times New Roman" w:cs="Times New Roman"/>
          <w:sz w:val="24"/>
          <w:szCs w:val="20"/>
        </w:rPr>
        <w:br/>
      </w:r>
      <w:r w:rsidR="00D22CD4" w:rsidRPr="00737371">
        <w:rPr>
          <w:rFonts w:ascii="Calibri" w:hAnsi="Calibri" w:cs="Calibri"/>
          <w:b/>
          <w:sz w:val="24"/>
          <w:szCs w:val="24"/>
          <w:u w:color="000000"/>
          <w:lang w:val="es-ES_tradnl" w:eastAsia="es-ES_tradnl"/>
        </w:rPr>
        <w:t>Lisa Benson</w:t>
      </w:r>
      <w:r w:rsidRPr="00737371">
        <w:rPr>
          <w:rFonts w:ascii="Calibri" w:hAnsi="Calibri" w:cs="Calibri"/>
          <w:b/>
          <w:sz w:val="24"/>
          <w:szCs w:val="24"/>
          <w:u w:color="000000"/>
          <w:lang w:val="es-ES_tradnl" w:eastAsia="es-ES_tradnl"/>
        </w:rPr>
        <w:br/>
      </w:r>
      <w:r w:rsidRPr="00737371">
        <w:rPr>
          <w:rFonts w:ascii="Times New Roman" w:hAnsi="Times New Roman" w:cs="Times New Roman"/>
          <w:sz w:val="24"/>
        </w:rPr>
        <w:t>Universidad de Clemson, Carolina del Sur, Estados Unidos</w:t>
      </w:r>
      <w:r>
        <w:rPr>
          <w:rFonts w:ascii="Times New Roman" w:hAnsi="Times New Roman" w:cs="Times New Roman"/>
        </w:rPr>
        <w:br/>
      </w:r>
      <w:r w:rsidRPr="00737371">
        <w:rPr>
          <w:rStyle w:val="Hipervnculo"/>
          <w:rFonts w:ascii="Calibri" w:hAnsi="Calibri" w:cs="Calibri"/>
          <w:color w:val="FF0000"/>
          <w:sz w:val="24"/>
          <w:u w:val="none" w:color="000000"/>
          <w:lang w:val="es-ES_tradnl" w:eastAsia="es-ES_tradnl"/>
        </w:rPr>
        <w:t>lbenson@clemson.edu</w:t>
      </w:r>
    </w:p>
    <w:p w14:paraId="421C11E8" w14:textId="540DB1E5" w:rsidR="00CD14AF" w:rsidRPr="00586E48" w:rsidRDefault="00674F69" w:rsidP="00586E48">
      <w:pPr>
        <w:spacing w:after="0" w:line="276" w:lineRule="auto"/>
        <w:jc w:val="right"/>
        <w:rPr>
          <w:rFonts w:ascii="Times New Roman" w:hAnsi="Times New Roman" w:cs="Times New Roman"/>
          <w:sz w:val="24"/>
        </w:rPr>
      </w:pPr>
      <w:r w:rsidRPr="00586E48">
        <w:rPr>
          <w:rFonts w:ascii="Times New Roman" w:hAnsi="Times New Roman" w:cs="Times New Roman"/>
          <w:sz w:val="24"/>
        </w:rPr>
        <w:t>https://orcid.org/0000-0001-5517-2289</w:t>
      </w:r>
    </w:p>
    <w:p w14:paraId="6FD0304C" w14:textId="77777777" w:rsidR="00586E48" w:rsidRDefault="00586E48" w:rsidP="0006428E">
      <w:pPr>
        <w:spacing w:after="0" w:line="360" w:lineRule="auto"/>
        <w:jc w:val="both"/>
        <w:rPr>
          <w:rFonts w:ascii="Calibri" w:eastAsia="Times New Roman" w:hAnsi="Calibri" w:cs="Calibri"/>
          <w:b/>
          <w:color w:val="000000" w:themeColor="text1"/>
          <w:sz w:val="28"/>
          <w:szCs w:val="28"/>
          <w:lang w:val="es-ES_tradnl" w:eastAsia="es-MX"/>
        </w:rPr>
      </w:pPr>
    </w:p>
    <w:p w14:paraId="7CCB6C3D" w14:textId="06150792" w:rsidR="001E39AA" w:rsidRPr="00674F69" w:rsidRDefault="00CC58BF" w:rsidP="0006428E">
      <w:pPr>
        <w:spacing w:after="0" w:line="360" w:lineRule="auto"/>
        <w:jc w:val="both"/>
        <w:rPr>
          <w:rFonts w:ascii="Calibri" w:hAnsi="Calibri" w:cs="Calibri"/>
          <w:b/>
          <w:sz w:val="32"/>
          <w:szCs w:val="24"/>
        </w:rPr>
      </w:pPr>
      <w:r w:rsidRPr="00674F69">
        <w:rPr>
          <w:rFonts w:ascii="Calibri" w:eastAsia="Times New Roman" w:hAnsi="Calibri" w:cs="Calibri"/>
          <w:b/>
          <w:color w:val="000000" w:themeColor="text1"/>
          <w:sz w:val="28"/>
          <w:szCs w:val="28"/>
          <w:lang w:val="es-ES_tradnl" w:eastAsia="es-MX"/>
        </w:rPr>
        <w:t>Resumen</w:t>
      </w:r>
      <w:r w:rsidRPr="00674F69">
        <w:rPr>
          <w:rFonts w:ascii="Calibri" w:hAnsi="Calibri" w:cs="Calibri"/>
          <w:b/>
          <w:sz w:val="32"/>
          <w:szCs w:val="24"/>
        </w:rPr>
        <w:t xml:space="preserve"> </w:t>
      </w:r>
    </w:p>
    <w:p w14:paraId="69B980A9" w14:textId="63BFE4D1" w:rsidR="00CC58BF" w:rsidRPr="00514B68" w:rsidRDefault="00CC58BF" w:rsidP="0006428E">
      <w:pPr>
        <w:spacing w:after="0" w:line="360" w:lineRule="auto"/>
        <w:jc w:val="both"/>
        <w:rPr>
          <w:rFonts w:ascii="Times New Roman" w:hAnsi="Times New Roman" w:cs="Times New Roman"/>
          <w:sz w:val="24"/>
          <w:szCs w:val="24"/>
        </w:rPr>
      </w:pPr>
      <w:r w:rsidRPr="00514B68">
        <w:rPr>
          <w:rFonts w:ascii="Times New Roman" w:eastAsia="Times New Roman" w:hAnsi="Times New Roman" w:cs="Times New Roman"/>
          <w:sz w:val="24"/>
          <w:szCs w:val="24"/>
          <w:lang w:eastAsia="es-MX"/>
        </w:rPr>
        <w:t xml:space="preserve">Este estudio </w:t>
      </w:r>
      <w:r w:rsidR="00C162F4" w:rsidRPr="00514B68">
        <w:rPr>
          <w:rFonts w:ascii="Times New Roman" w:eastAsia="Times New Roman" w:hAnsi="Times New Roman" w:cs="Times New Roman"/>
          <w:sz w:val="24"/>
          <w:szCs w:val="24"/>
          <w:lang w:eastAsia="es-MX"/>
        </w:rPr>
        <w:t>multi</w:t>
      </w:r>
      <w:r w:rsidR="00AE6876" w:rsidRPr="00514B68">
        <w:rPr>
          <w:rFonts w:ascii="Times New Roman" w:eastAsia="Times New Roman" w:hAnsi="Times New Roman" w:cs="Times New Roman"/>
          <w:sz w:val="24"/>
          <w:szCs w:val="24"/>
          <w:lang w:eastAsia="es-MX"/>
        </w:rPr>
        <w:t>métodos</w:t>
      </w:r>
      <w:r w:rsidRPr="00514B68">
        <w:rPr>
          <w:rFonts w:ascii="Times New Roman" w:eastAsia="Times New Roman" w:hAnsi="Times New Roman" w:cs="Times New Roman"/>
          <w:sz w:val="24"/>
          <w:szCs w:val="24"/>
          <w:lang w:eastAsia="es-MX"/>
        </w:rPr>
        <w:t xml:space="preserve"> busca lograr un mejor entendimiento de las razones que pueden motivar a un estudiante a seleccionar una carrera en ingeniería, poniendo énfasis en las diferencias que puedan existir entre alumnos con di</w:t>
      </w:r>
      <w:r w:rsidR="005E2E42" w:rsidRPr="00514B68">
        <w:rPr>
          <w:rFonts w:ascii="Times New Roman" w:eastAsia="Times New Roman" w:hAnsi="Times New Roman" w:cs="Times New Roman"/>
          <w:sz w:val="24"/>
          <w:szCs w:val="24"/>
          <w:lang w:eastAsia="es-MX"/>
        </w:rPr>
        <w:t>stintos</w:t>
      </w:r>
      <w:r w:rsidRPr="00514B68">
        <w:rPr>
          <w:rFonts w:ascii="Times New Roman" w:eastAsia="Times New Roman" w:hAnsi="Times New Roman" w:cs="Times New Roman"/>
          <w:sz w:val="24"/>
          <w:szCs w:val="24"/>
          <w:lang w:eastAsia="es-MX"/>
        </w:rPr>
        <w:t xml:space="preserve"> niveles de habilidades matemáticas. Se recolectó información sobre las experiencias académicas y personales de 560 </w:t>
      </w:r>
      <w:r w:rsidR="0093415D">
        <w:rPr>
          <w:rFonts w:ascii="Times New Roman" w:eastAsia="Times New Roman" w:hAnsi="Times New Roman" w:cs="Times New Roman"/>
          <w:sz w:val="24"/>
          <w:szCs w:val="24"/>
          <w:lang w:eastAsia="es-MX"/>
        </w:rPr>
        <w:t>alumnos</w:t>
      </w:r>
      <w:r w:rsidR="0093415D" w:rsidRPr="00514B68">
        <w:rPr>
          <w:rFonts w:ascii="Times New Roman" w:eastAsia="Times New Roman" w:hAnsi="Times New Roman" w:cs="Times New Roman"/>
          <w:sz w:val="24"/>
          <w:szCs w:val="24"/>
          <w:lang w:eastAsia="es-MX"/>
        </w:rPr>
        <w:t xml:space="preserve"> </w:t>
      </w:r>
      <w:r w:rsidR="0093415D">
        <w:rPr>
          <w:rFonts w:ascii="Times New Roman" w:eastAsia="Times New Roman" w:hAnsi="Times New Roman" w:cs="Times New Roman"/>
          <w:sz w:val="24"/>
          <w:szCs w:val="24"/>
          <w:lang w:eastAsia="es-MX"/>
        </w:rPr>
        <w:t>de</w:t>
      </w:r>
      <w:r w:rsidR="0093415D" w:rsidRPr="00514B68">
        <w:rPr>
          <w:rFonts w:ascii="Times New Roman" w:eastAsia="Times New Roman" w:hAnsi="Times New Roman" w:cs="Times New Roman"/>
          <w:sz w:val="24"/>
          <w:szCs w:val="24"/>
          <w:lang w:eastAsia="es-MX"/>
        </w:rPr>
        <w:t xml:space="preserve"> </w:t>
      </w:r>
      <w:r w:rsidRPr="00514B68">
        <w:rPr>
          <w:rFonts w:ascii="Times New Roman" w:eastAsia="Times New Roman" w:hAnsi="Times New Roman" w:cs="Times New Roman"/>
          <w:sz w:val="24"/>
          <w:szCs w:val="24"/>
          <w:lang w:eastAsia="es-MX"/>
        </w:rPr>
        <w:t xml:space="preserve">una universidad </w:t>
      </w:r>
      <w:r w:rsidR="0007063C" w:rsidRPr="00514B68">
        <w:rPr>
          <w:rFonts w:ascii="Times New Roman" w:eastAsia="Times New Roman" w:hAnsi="Times New Roman" w:cs="Times New Roman"/>
          <w:sz w:val="24"/>
          <w:szCs w:val="24"/>
          <w:lang w:eastAsia="es-MX"/>
        </w:rPr>
        <w:t xml:space="preserve">pública </w:t>
      </w:r>
      <w:r w:rsidRPr="00514B68">
        <w:rPr>
          <w:rFonts w:ascii="Times New Roman" w:eastAsia="Times New Roman" w:hAnsi="Times New Roman" w:cs="Times New Roman"/>
          <w:sz w:val="24"/>
          <w:szCs w:val="24"/>
          <w:lang w:eastAsia="es-MX"/>
        </w:rPr>
        <w:t xml:space="preserve">de Estados Unidos mediante una encuesta. Esta información fue analizada </w:t>
      </w:r>
      <w:r w:rsidR="004F6708">
        <w:rPr>
          <w:rFonts w:ascii="Times New Roman" w:eastAsia="Times New Roman" w:hAnsi="Times New Roman" w:cs="Times New Roman"/>
          <w:sz w:val="24"/>
          <w:szCs w:val="24"/>
          <w:lang w:eastAsia="es-MX"/>
        </w:rPr>
        <w:t>por medio de</w:t>
      </w:r>
      <w:r w:rsidR="004F6708" w:rsidRPr="00514B68">
        <w:rPr>
          <w:rFonts w:ascii="Times New Roman" w:eastAsia="Times New Roman" w:hAnsi="Times New Roman" w:cs="Times New Roman"/>
          <w:sz w:val="24"/>
          <w:szCs w:val="24"/>
          <w:lang w:eastAsia="es-MX"/>
        </w:rPr>
        <w:t xml:space="preserve"> </w:t>
      </w:r>
      <w:r w:rsidRPr="00514B68">
        <w:rPr>
          <w:rFonts w:ascii="Times New Roman" w:eastAsia="Times New Roman" w:hAnsi="Times New Roman" w:cs="Times New Roman"/>
          <w:sz w:val="24"/>
          <w:szCs w:val="24"/>
          <w:lang w:eastAsia="es-MX"/>
        </w:rPr>
        <w:t>pruebas estadísticas inferenciales</w:t>
      </w:r>
      <w:r w:rsidR="00AE6876" w:rsidRPr="00514B68">
        <w:rPr>
          <w:rFonts w:ascii="Times New Roman" w:eastAsia="Times New Roman" w:hAnsi="Times New Roman" w:cs="Times New Roman"/>
          <w:sz w:val="24"/>
          <w:szCs w:val="24"/>
          <w:lang w:eastAsia="es-MX"/>
        </w:rPr>
        <w:t>,</w:t>
      </w:r>
      <w:r w:rsidRPr="00514B68">
        <w:rPr>
          <w:rFonts w:ascii="Times New Roman" w:eastAsia="Times New Roman" w:hAnsi="Times New Roman" w:cs="Times New Roman"/>
          <w:sz w:val="24"/>
          <w:szCs w:val="24"/>
          <w:lang w:eastAsia="es-MX"/>
        </w:rPr>
        <w:t xml:space="preserve"> separando la muestra en grupos con habilidades matemáticas altas y bajas</w:t>
      </w:r>
      <w:r w:rsidR="005D600D" w:rsidRPr="00514B68">
        <w:rPr>
          <w:rFonts w:ascii="Times New Roman" w:eastAsia="Times New Roman" w:hAnsi="Times New Roman" w:cs="Times New Roman"/>
          <w:sz w:val="24"/>
          <w:szCs w:val="24"/>
          <w:lang w:eastAsia="es-MX"/>
        </w:rPr>
        <w:t xml:space="preserve"> para comparar resultados y encontrar posibles diferencias</w:t>
      </w:r>
      <w:r w:rsidR="00361B4E" w:rsidRPr="00514B68">
        <w:rPr>
          <w:rFonts w:ascii="Times New Roman" w:eastAsia="Times New Roman" w:hAnsi="Times New Roman" w:cs="Times New Roman"/>
          <w:sz w:val="24"/>
          <w:szCs w:val="24"/>
          <w:lang w:eastAsia="es-MX"/>
        </w:rPr>
        <w:t xml:space="preserve"> entre estudiantes que seleccionaron</w:t>
      </w:r>
      <w:r w:rsidR="00672B0B">
        <w:rPr>
          <w:rFonts w:ascii="Times New Roman" w:eastAsia="Times New Roman" w:hAnsi="Times New Roman" w:cs="Times New Roman"/>
          <w:sz w:val="24"/>
          <w:szCs w:val="24"/>
          <w:lang w:eastAsia="es-MX"/>
        </w:rPr>
        <w:t xml:space="preserve"> una</w:t>
      </w:r>
      <w:r w:rsidR="00361B4E" w:rsidRPr="00514B68">
        <w:rPr>
          <w:rFonts w:ascii="Times New Roman" w:eastAsia="Times New Roman" w:hAnsi="Times New Roman" w:cs="Times New Roman"/>
          <w:sz w:val="24"/>
          <w:szCs w:val="24"/>
          <w:lang w:eastAsia="es-MX"/>
        </w:rPr>
        <w:t xml:space="preserve"> ingeniería como su carrera</w:t>
      </w:r>
      <w:r w:rsidRPr="00514B68">
        <w:rPr>
          <w:rFonts w:ascii="Times New Roman" w:eastAsia="Times New Roman" w:hAnsi="Times New Roman" w:cs="Times New Roman"/>
          <w:sz w:val="24"/>
          <w:szCs w:val="24"/>
          <w:lang w:eastAsia="es-MX"/>
        </w:rPr>
        <w:t xml:space="preserve">. </w:t>
      </w:r>
      <w:r w:rsidR="00D327C8" w:rsidRPr="00514B68">
        <w:rPr>
          <w:rFonts w:ascii="Times New Roman" w:eastAsia="Times New Roman" w:hAnsi="Times New Roman" w:cs="Times New Roman"/>
          <w:sz w:val="24"/>
          <w:szCs w:val="24"/>
          <w:lang w:eastAsia="es-MX"/>
        </w:rPr>
        <w:t xml:space="preserve">Ser del </w:t>
      </w:r>
      <w:r w:rsidR="00B06812" w:rsidRPr="00514B68">
        <w:rPr>
          <w:rFonts w:ascii="Times New Roman" w:eastAsia="Times New Roman" w:hAnsi="Times New Roman" w:cs="Times New Roman"/>
          <w:sz w:val="24"/>
          <w:szCs w:val="24"/>
          <w:lang w:eastAsia="es-MX"/>
        </w:rPr>
        <w:t>género</w:t>
      </w:r>
      <w:r w:rsidRPr="00514B68">
        <w:rPr>
          <w:rFonts w:ascii="Times New Roman" w:eastAsia="Times New Roman" w:hAnsi="Times New Roman" w:cs="Times New Roman"/>
          <w:sz w:val="24"/>
          <w:szCs w:val="24"/>
          <w:lang w:eastAsia="es-MX"/>
        </w:rPr>
        <w:t xml:space="preserve"> </w:t>
      </w:r>
      <w:r w:rsidR="00D327C8" w:rsidRPr="00514B68">
        <w:rPr>
          <w:rFonts w:ascii="Times New Roman" w:eastAsia="Times New Roman" w:hAnsi="Times New Roman" w:cs="Times New Roman"/>
          <w:sz w:val="24"/>
          <w:szCs w:val="24"/>
          <w:lang w:eastAsia="es-MX"/>
        </w:rPr>
        <w:t>masculino</w:t>
      </w:r>
      <w:r w:rsidRPr="00514B68">
        <w:rPr>
          <w:rFonts w:ascii="Times New Roman" w:eastAsia="Times New Roman" w:hAnsi="Times New Roman" w:cs="Times New Roman"/>
          <w:sz w:val="24"/>
          <w:szCs w:val="24"/>
          <w:lang w:eastAsia="es-MX"/>
        </w:rPr>
        <w:t xml:space="preserve"> mostró </w:t>
      </w:r>
      <w:r w:rsidR="00C162F4" w:rsidRPr="00514B68">
        <w:rPr>
          <w:rFonts w:ascii="Times New Roman" w:eastAsia="Times New Roman" w:hAnsi="Times New Roman" w:cs="Times New Roman"/>
          <w:sz w:val="24"/>
          <w:szCs w:val="24"/>
          <w:lang w:eastAsia="es-MX"/>
        </w:rPr>
        <w:t>tener</w:t>
      </w:r>
      <w:r w:rsidRPr="00514B68">
        <w:rPr>
          <w:rFonts w:ascii="Times New Roman" w:eastAsia="Times New Roman" w:hAnsi="Times New Roman" w:cs="Times New Roman"/>
          <w:sz w:val="24"/>
          <w:szCs w:val="24"/>
          <w:lang w:eastAsia="es-MX"/>
        </w:rPr>
        <w:t xml:space="preserve"> la</w:t>
      </w:r>
      <w:r w:rsidRPr="00514B68">
        <w:rPr>
          <w:rFonts w:ascii="Times New Roman" w:hAnsi="Times New Roman" w:cs="Times New Roman"/>
          <w:sz w:val="24"/>
          <w:szCs w:val="24"/>
        </w:rPr>
        <w:t xml:space="preserve"> influencia más significativa en la </w:t>
      </w:r>
      <w:r w:rsidR="00672B0B">
        <w:rPr>
          <w:rFonts w:ascii="Times New Roman" w:hAnsi="Times New Roman" w:cs="Times New Roman"/>
          <w:sz w:val="24"/>
          <w:szCs w:val="24"/>
        </w:rPr>
        <w:t>elección</w:t>
      </w:r>
      <w:r w:rsidR="00672B0B" w:rsidRPr="00514B68">
        <w:rPr>
          <w:rFonts w:ascii="Times New Roman" w:hAnsi="Times New Roman" w:cs="Times New Roman"/>
          <w:sz w:val="24"/>
          <w:szCs w:val="24"/>
        </w:rPr>
        <w:t xml:space="preserve"> </w:t>
      </w:r>
      <w:r w:rsidRPr="00514B68">
        <w:rPr>
          <w:rFonts w:ascii="Times New Roman" w:hAnsi="Times New Roman" w:cs="Times New Roman"/>
          <w:sz w:val="24"/>
          <w:szCs w:val="24"/>
        </w:rPr>
        <w:t>de</w:t>
      </w:r>
      <w:r w:rsidR="00672B0B">
        <w:rPr>
          <w:rFonts w:ascii="Times New Roman" w:hAnsi="Times New Roman" w:cs="Times New Roman"/>
          <w:sz w:val="24"/>
          <w:szCs w:val="24"/>
        </w:rPr>
        <w:t xml:space="preserve"> ser ingeniero</w:t>
      </w:r>
      <w:r w:rsidRPr="00514B68">
        <w:rPr>
          <w:rFonts w:ascii="Times New Roman" w:hAnsi="Times New Roman" w:cs="Times New Roman"/>
          <w:sz w:val="24"/>
          <w:szCs w:val="24"/>
        </w:rPr>
        <w:t xml:space="preserve">, seguido por </w:t>
      </w:r>
      <w:r w:rsidR="00D327C8" w:rsidRPr="00514B68">
        <w:rPr>
          <w:rFonts w:ascii="Times New Roman" w:hAnsi="Times New Roman" w:cs="Times New Roman"/>
          <w:sz w:val="24"/>
          <w:szCs w:val="24"/>
        </w:rPr>
        <w:t>tener una mejo</w:t>
      </w:r>
      <w:r w:rsidR="005E2E42" w:rsidRPr="00514B68">
        <w:rPr>
          <w:rFonts w:ascii="Times New Roman" w:hAnsi="Times New Roman" w:cs="Times New Roman"/>
          <w:sz w:val="24"/>
          <w:szCs w:val="24"/>
        </w:rPr>
        <w:t>r</w:t>
      </w:r>
      <w:r w:rsidR="00D327C8" w:rsidRPr="00514B68">
        <w:rPr>
          <w:rFonts w:ascii="Times New Roman" w:hAnsi="Times New Roman" w:cs="Times New Roman"/>
          <w:sz w:val="24"/>
          <w:szCs w:val="24"/>
        </w:rPr>
        <w:t xml:space="preserve"> </w:t>
      </w:r>
      <w:r w:rsidRPr="00514B68">
        <w:rPr>
          <w:rFonts w:ascii="Times New Roman" w:hAnsi="Times New Roman" w:cs="Times New Roman"/>
          <w:sz w:val="24"/>
          <w:szCs w:val="24"/>
        </w:rPr>
        <w:t>preparación matemática</w:t>
      </w:r>
      <w:r w:rsidR="007A079D" w:rsidRPr="00514B68">
        <w:rPr>
          <w:rFonts w:ascii="Times New Roman" w:hAnsi="Times New Roman" w:cs="Times New Roman"/>
          <w:sz w:val="24"/>
          <w:szCs w:val="24"/>
        </w:rPr>
        <w:t>; y</w:t>
      </w:r>
      <w:r w:rsidRPr="00514B68">
        <w:rPr>
          <w:rFonts w:ascii="Times New Roman" w:hAnsi="Times New Roman" w:cs="Times New Roman"/>
          <w:sz w:val="24"/>
          <w:szCs w:val="24"/>
        </w:rPr>
        <w:t xml:space="preserve"> estos resultados </w:t>
      </w:r>
      <w:r w:rsidR="00AE6876" w:rsidRPr="00514B68">
        <w:rPr>
          <w:rFonts w:ascii="Times New Roman" w:hAnsi="Times New Roman" w:cs="Times New Roman"/>
          <w:sz w:val="24"/>
          <w:szCs w:val="24"/>
        </w:rPr>
        <w:lastRenderedPageBreak/>
        <w:t>fueron</w:t>
      </w:r>
      <w:r w:rsidRPr="00514B68">
        <w:rPr>
          <w:rFonts w:ascii="Times New Roman" w:hAnsi="Times New Roman" w:cs="Times New Roman"/>
          <w:sz w:val="24"/>
          <w:szCs w:val="24"/>
        </w:rPr>
        <w:t xml:space="preserve"> más evidentes en el grupo de habilidades matemáticas bajas. Por otro lado, los participantes con habilidades matemáticas altas demostraron tener un interés genuino en las carreras de ingeniería y sus aplicaciones, mientras que los participantes con habilidades matemáticas bajas buscaban más el dinero y la posición social que les podía ofrecer un título de ingeniería.</w:t>
      </w:r>
    </w:p>
    <w:p w14:paraId="1BB5E6B8" w14:textId="6047E1F4" w:rsidR="007652DC" w:rsidRPr="007652DC" w:rsidRDefault="007652DC" w:rsidP="0006428E">
      <w:pPr>
        <w:spacing w:after="0" w:line="360" w:lineRule="auto"/>
        <w:jc w:val="both"/>
        <w:rPr>
          <w:rFonts w:ascii="Times New Roman" w:hAnsi="Times New Roman" w:cs="Times New Roman"/>
          <w:sz w:val="24"/>
          <w:szCs w:val="24"/>
        </w:rPr>
      </w:pPr>
      <w:r w:rsidRPr="00737371">
        <w:rPr>
          <w:rFonts w:ascii="Calibri" w:eastAsia="Times New Roman" w:hAnsi="Calibri" w:cs="Calibri"/>
          <w:b/>
          <w:color w:val="000000" w:themeColor="text1"/>
          <w:sz w:val="28"/>
          <w:szCs w:val="28"/>
          <w:lang w:val="es-ES_tradnl" w:eastAsia="es-MX"/>
        </w:rPr>
        <w:t>Palabras clave:</w:t>
      </w:r>
      <w:r>
        <w:rPr>
          <w:rFonts w:ascii="Times New Roman" w:hAnsi="Times New Roman" w:cs="Times New Roman"/>
          <w:b/>
          <w:sz w:val="24"/>
          <w:szCs w:val="24"/>
        </w:rPr>
        <w:t xml:space="preserve"> </w:t>
      </w:r>
      <w:r w:rsidR="009A03A5">
        <w:rPr>
          <w:rFonts w:ascii="Times New Roman" w:hAnsi="Times New Roman" w:cs="Times New Roman"/>
          <w:sz w:val="24"/>
          <w:szCs w:val="24"/>
        </w:rPr>
        <w:t>habilidades matemáticas, i</w:t>
      </w:r>
      <w:r>
        <w:rPr>
          <w:rFonts w:ascii="Times New Roman" w:hAnsi="Times New Roman" w:cs="Times New Roman"/>
          <w:sz w:val="24"/>
          <w:szCs w:val="24"/>
        </w:rPr>
        <w:t>ngeniería</w:t>
      </w:r>
      <w:r w:rsidR="009A03A5">
        <w:rPr>
          <w:rFonts w:ascii="Times New Roman" w:hAnsi="Times New Roman" w:cs="Times New Roman"/>
          <w:sz w:val="24"/>
          <w:szCs w:val="24"/>
        </w:rPr>
        <w:t>,</w:t>
      </w:r>
      <w:r>
        <w:rPr>
          <w:rFonts w:ascii="Times New Roman" w:hAnsi="Times New Roman" w:cs="Times New Roman"/>
          <w:sz w:val="24"/>
          <w:szCs w:val="24"/>
        </w:rPr>
        <w:t xml:space="preserve"> </w:t>
      </w:r>
      <w:r w:rsidR="009A03A5">
        <w:rPr>
          <w:rFonts w:ascii="Times New Roman" w:hAnsi="Times New Roman" w:cs="Times New Roman"/>
          <w:sz w:val="24"/>
          <w:szCs w:val="24"/>
        </w:rPr>
        <w:t>s</w:t>
      </w:r>
      <w:r>
        <w:rPr>
          <w:rFonts w:ascii="Times New Roman" w:hAnsi="Times New Roman" w:cs="Times New Roman"/>
          <w:sz w:val="24"/>
          <w:szCs w:val="24"/>
        </w:rPr>
        <w:t xml:space="preserve">elección de carrera. </w:t>
      </w:r>
    </w:p>
    <w:p w14:paraId="2C60D273" w14:textId="77777777" w:rsidR="007652DC" w:rsidRDefault="007652DC" w:rsidP="0006428E">
      <w:pPr>
        <w:spacing w:after="0" w:line="360" w:lineRule="auto"/>
        <w:jc w:val="both"/>
        <w:rPr>
          <w:rFonts w:ascii="Times New Roman" w:hAnsi="Times New Roman" w:cs="Times New Roman"/>
          <w:b/>
          <w:sz w:val="24"/>
          <w:szCs w:val="24"/>
        </w:rPr>
      </w:pPr>
    </w:p>
    <w:p w14:paraId="6AD60A83" w14:textId="53BA0DED" w:rsidR="00AB1B53" w:rsidRPr="00E24F2C" w:rsidRDefault="009819F0" w:rsidP="0006428E">
      <w:pPr>
        <w:spacing w:after="0" w:line="360" w:lineRule="auto"/>
        <w:jc w:val="both"/>
        <w:rPr>
          <w:rFonts w:ascii="Calibri" w:eastAsia="Times New Roman" w:hAnsi="Calibri" w:cs="Calibri"/>
          <w:b/>
          <w:color w:val="000000" w:themeColor="text1"/>
          <w:sz w:val="28"/>
          <w:szCs w:val="28"/>
          <w:lang w:val="en-US" w:eastAsia="es-MX"/>
        </w:rPr>
      </w:pPr>
      <w:bookmarkStart w:id="0" w:name="_Hlk513979680"/>
      <w:r w:rsidRPr="00E24F2C">
        <w:rPr>
          <w:rFonts w:ascii="Calibri" w:eastAsia="Times New Roman" w:hAnsi="Calibri" w:cs="Calibri"/>
          <w:b/>
          <w:color w:val="000000" w:themeColor="text1"/>
          <w:sz w:val="28"/>
          <w:szCs w:val="28"/>
          <w:lang w:val="en-US" w:eastAsia="es-MX"/>
        </w:rPr>
        <w:t xml:space="preserve">Abstract </w:t>
      </w:r>
    </w:p>
    <w:p w14:paraId="197642B2" w14:textId="389FF064" w:rsidR="007652DC" w:rsidRPr="00F527EE" w:rsidRDefault="009819F0" w:rsidP="0006428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w:t>
      </w:r>
      <w:r w:rsidR="00AE5920">
        <w:rPr>
          <w:rFonts w:ascii="Times New Roman" w:hAnsi="Times New Roman" w:cs="Times New Roman"/>
          <w:sz w:val="24"/>
          <w:szCs w:val="24"/>
          <w:lang w:val="en-US"/>
        </w:rPr>
        <w:t>multimethod</w:t>
      </w:r>
      <w:r>
        <w:rPr>
          <w:rFonts w:ascii="Times New Roman" w:hAnsi="Times New Roman" w:cs="Times New Roman"/>
          <w:sz w:val="24"/>
          <w:szCs w:val="24"/>
          <w:lang w:val="en-US"/>
        </w:rPr>
        <w:t xml:space="preserve"> study explores the factors that affect college student motivation for selecting an engineering major, especially for students who have different levels of mathematics abilities and preparation in high school. Data from 560 students were collected at a U.S. public university, focusing on the</w:t>
      </w:r>
      <w:r w:rsidR="001600EA">
        <w:rPr>
          <w:rFonts w:ascii="Times New Roman" w:hAnsi="Times New Roman" w:cs="Times New Roman"/>
          <w:sz w:val="24"/>
          <w:szCs w:val="24"/>
          <w:lang w:val="en-US"/>
        </w:rPr>
        <w:t xml:space="preserve"> personal</w:t>
      </w:r>
      <w:r>
        <w:rPr>
          <w:rFonts w:ascii="Times New Roman" w:hAnsi="Times New Roman" w:cs="Times New Roman"/>
          <w:sz w:val="24"/>
          <w:szCs w:val="24"/>
          <w:lang w:val="en-US"/>
        </w:rPr>
        <w:t xml:space="preserve"> high school academic experiences of those students during high school</w:t>
      </w:r>
      <w:r w:rsidR="00D13546">
        <w:rPr>
          <w:rFonts w:ascii="Times New Roman" w:hAnsi="Times New Roman" w:cs="Times New Roman"/>
          <w:sz w:val="24"/>
          <w:szCs w:val="24"/>
          <w:lang w:val="en-US"/>
        </w:rPr>
        <w:t>.</w:t>
      </w:r>
      <w:r>
        <w:rPr>
          <w:rFonts w:ascii="Times New Roman" w:hAnsi="Times New Roman" w:cs="Times New Roman"/>
          <w:sz w:val="24"/>
          <w:szCs w:val="24"/>
          <w:lang w:val="en-US"/>
        </w:rPr>
        <w:t xml:space="preserve"> This information was analyzed using inferential statistics where students were separated in two groups based on mathematics abilities (high and low) and compared in terms of their decision to pursue an engineering major. Being a male student was found to be the most influential factor for choosing an engineering major, followed by having a strong mathematics preparation in high school; these results were more pronounced for the low mathematics ability group. Findings also showed that participants in the high mathematics ability group were more motivated by interest in engineering and its applications, while participants in the low mathematics ability group were more motivated for the money and social status that getting an engineer career could bring them.</w:t>
      </w:r>
      <w:r w:rsidR="006B20BC">
        <w:rPr>
          <w:rFonts w:ascii="Times New Roman" w:hAnsi="Times New Roman" w:cs="Times New Roman"/>
          <w:sz w:val="24"/>
          <w:szCs w:val="24"/>
          <w:lang w:val="en-US"/>
        </w:rPr>
        <w:t xml:space="preserve">     </w:t>
      </w:r>
      <w:r w:rsidR="00D327C8">
        <w:rPr>
          <w:rFonts w:ascii="Times New Roman" w:hAnsi="Times New Roman" w:cs="Times New Roman"/>
          <w:sz w:val="24"/>
          <w:szCs w:val="24"/>
          <w:lang w:val="en-US"/>
        </w:rPr>
        <w:t xml:space="preserve">  </w:t>
      </w:r>
      <w:r w:rsidR="0007063C">
        <w:rPr>
          <w:rFonts w:ascii="Times New Roman" w:hAnsi="Times New Roman" w:cs="Times New Roman"/>
          <w:sz w:val="24"/>
          <w:szCs w:val="24"/>
          <w:lang w:val="en-US"/>
        </w:rPr>
        <w:t xml:space="preserve">   </w:t>
      </w:r>
      <w:r w:rsidR="00F527EE">
        <w:rPr>
          <w:rFonts w:ascii="Times New Roman" w:hAnsi="Times New Roman" w:cs="Times New Roman"/>
          <w:sz w:val="24"/>
          <w:szCs w:val="24"/>
          <w:lang w:val="en-US"/>
        </w:rPr>
        <w:t xml:space="preserve"> </w:t>
      </w:r>
    </w:p>
    <w:p w14:paraId="5F139C22" w14:textId="23DB7ACC" w:rsidR="007652DC" w:rsidRDefault="007652DC" w:rsidP="0006428E">
      <w:pPr>
        <w:spacing w:after="0" w:line="360" w:lineRule="auto"/>
        <w:jc w:val="both"/>
        <w:rPr>
          <w:rFonts w:ascii="Times New Roman" w:hAnsi="Times New Roman" w:cs="Times New Roman"/>
          <w:sz w:val="24"/>
          <w:szCs w:val="24"/>
          <w:lang w:val="en-US"/>
        </w:rPr>
      </w:pPr>
      <w:r w:rsidRPr="00E24F2C">
        <w:rPr>
          <w:rFonts w:ascii="Calibri" w:eastAsia="Times New Roman" w:hAnsi="Calibri" w:cs="Calibri"/>
          <w:b/>
          <w:color w:val="000000" w:themeColor="text1"/>
          <w:sz w:val="28"/>
          <w:szCs w:val="28"/>
          <w:lang w:val="en-US" w:eastAsia="es-MX"/>
        </w:rPr>
        <w:t>Keywords:</w:t>
      </w:r>
      <w:r w:rsidRPr="006B20BC">
        <w:rPr>
          <w:rFonts w:ascii="Times New Roman" w:hAnsi="Times New Roman" w:cs="Times New Roman"/>
          <w:b/>
          <w:sz w:val="24"/>
          <w:szCs w:val="24"/>
          <w:lang w:val="en-US"/>
        </w:rPr>
        <w:t xml:space="preserve"> </w:t>
      </w:r>
      <w:r w:rsidR="009A03A5">
        <w:rPr>
          <w:rFonts w:ascii="Times New Roman" w:hAnsi="Times New Roman" w:cs="Times New Roman"/>
          <w:sz w:val="24"/>
          <w:szCs w:val="24"/>
          <w:lang w:val="en-US"/>
        </w:rPr>
        <w:t>m</w:t>
      </w:r>
      <w:r w:rsidR="009A03A5" w:rsidRPr="006B20BC">
        <w:rPr>
          <w:rFonts w:ascii="Times New Roman" w:hAnsi="Times New Roman" w:cs="Times New Roman"/>
          <w:sz w:val="24"/>
          <w:szCs w:val="24"/>
          <w:lang w:val="en-US"/>
        </w:rPr>
        <w:t>athematics a</w:t>
      </w:r>
      <w:r w:rsidR="009A03A5">
        <w:rPr>
          <w:rFonts w:ascii="Times New Roman" w:hAnsi="Times New Roman" w:cs="Times New Roman"/>
          <w:sz w:val="24"/>
          <w:szCs w:val="24"/>
          <w:lang w:val="en-US"/>
        </w:rPr>
        <w:t>bilities, e</w:t>
      </w:r>
      <w:r w:rsidR="006B20BC" w:rsidRPr="006B20BC">
        <w:rPr>
          <w:rFonts w:ascii="Times New Roman" w:hAnsi="Times New Roman" w:cs="Times New Roman"/>
          <w:sz w:val="24"/>
          <w:szCs w:val="24"/>
          <w:lang w:val="en-US"/>
        </w:rPr>
        <w:t>ngineering</w:t>
      </w:r>
      <w:r w:rsidR="009A03A5">
        <w:rPr>
          <w:rFonts w:ascii="Times New Roman" w:hAnsi="Times New Roman" w:cs="Times New Roman"/>
          <w:sz w:val="24"/>
          <w:szCs w:val="24"/>
          <w:lang w:val="en-US"/>
        </w:rPr>
        <w:t>, m</w:t>
      </w:r>
      <w:r w:rsidR="006B20BC">
        <w:rPr>
          <w:rFonts w:ascii="Times New Roman" w:hAnsi="Times New Roman" w:cs="Times New Roman"/>
          <w:sz w:val="24"/>
          <w:szCs w:val="24"/>
          <w:lang w:val="en-US"/>
        </w:rPr>
        <w:t>ajor selection.</w:t>
      </w:r>
      <w:bookmarkEnd w:id="0"/>
    </w:p>
    <w:p w14:paraId="3602A6B9" w14:textId="1EC2CD0B" w:rsidR="00737371" w:rsidRDefault="00737371" w:rsidP="0006428E">
      <w:pPr>
        <w:spacing w:after="0" w:line="360" w:lineRule="auto"/>
        <w:jc w:val="both"/>
        <w:rPr>
          <w:rFonts w:ascii="Times New Roman" w:hAnsi="Times New Roman" w:cs="Times New Roman"/>
          <w:sz w:val="24"/>
          <w:szCs w:val="24"/>
          <w:lang w:val="en-US"/>
        </w:rPr>
      </w:pPr>
    </w:p>
    <w:p w14:paraId="5C9A672C" w14:textId="77777777" w:rsidR="00586E48" w:rsidRDefault="00586E48" w:rsidP="0006428E">
      <w:pPr>
        <w:spacing w:after="0" w:line="360" w:lineRule="auto"/>
        <w:jc w:val="both"/>
        <w:rPr>
          <w:rFonts w:ascii="Calibri" w:eastAsia="Times New Roman" w:hAnsi="Calibri" w:cs="Calibri"/>
          <w:b/>
          <w:color w:val="000000" w:themeColor="text1"/>
          <w:sz w:val="28"/>
          <w:szCs w:val="28"/>
          <w:lang w:val="es-ES_tradnl" w:eastAsia="es-MX"/>
        </w:rPr>
      </w:pPr>
    </w:p>
    <w:p w14:paraId="61B56BE6" w14:textId="77777777" w:rsidR="00586E48" w:rsidRDefault="00586E48" w:rsidP="0006428E">
      <w:pPr>
        <w:spacing w:after="0" w:line="360" w:lineRule="auto"/>
        <w:jc w:val="both"/>
        <w:rPr>
          <w:rFonts w:ascii="Calibri" w:eastAsia="Times New Roman" w:hAnsi="Calibri" w:cs="Calibri"/>
          <w:b/>
          <w:color w:val="000000" w:themeColor="text1"/>
          <w:sz w:val="28"/>
          <w:szCs w:val="28"/>
          <w:lang w:val="es-ES_tradnl" w:eastAsia="es-MX"/>
        </w:rPr>
      </w:pPr>
    </w:p>
    <w:p w14:paraId="7FBF2D78" w14:textId="77777777" w:rsidR="00586E48" w:rsidRDefault="00586E48" w:rsidP="0006428E">
      <w:pPr>
        <w:spacing w:after="0" w:line="360" w:lineRule="auto"/>
        <w:jc w:val="both"/>
        <w:rPr>
          <w:rFonts w:ascii="Calibri" w:eastAsia="Times New Roman" w:hAnsi="Calibri" w:cs="Calibri"/>
          <w:b/>
          <w:color w:val="000000" w:themeColor="text1"/>
          <w:sz w:val="28"/>
          <w:szCs w:val="28"/>
          <w:lang w:val="es-ES_tradnl" w:eastAsia="es-MX"/>
        </w:rPr>
      </w:pPr>
    </w:p>
    <w:p w14:paraId="12DC899E" w14:textId="77777777" w:rsidR="00586E48" w:rsidRDefault="00586E48" w:rsidP="0006428E">
      <w:pPr>
        <w:spacing w:after="0" w:line="360" w:lineRule="auto"/>
        <w:jc w:val="both"/>
        <w:rPr>
          <w:rFonts w:ascii="Calibri" w:eastAsia="Times New Roman" w:hAnsi="Calibri" w:cs="Calibri"/>
          <w:b/>
          <w:color w:val="000000" w:themeColor="text1"/>
          <w:sz w:val="28"/>
          <w:szCs w:val="28"/>
          <w:lang w:val="es-ES_tradnl" w:eastAsia="es-MX"/>
        </w:rPr>
      </w:pPr>
    </w:p>
    <w:p w14:paraId="337F04BB" w14:textId="77777777" w:rsidR="00586E48" w:rsidRDefault="00586E48" w:rsidP="0006428E">
      <w:pPr>
        <w:spacing w:after="0" w:line="360" w:lineRule="auto"/>
        <w:jc w:val="both"/>
        <w:rPr>
          <w:rFonts w:ascii="Calibri" w:eastAsia="Times New Roman" w:hAnsi="Calibri" w:cs="Calibri"/>
          <w:b/>
          <w:color w:val="000000" w:themeColor="text1"/>
          <w:sz w:val="28"/>
          <w:szCs w:val="28"/>
          <w:lang w:val="es-ES_tradnl" w:eastAsia="es-MX"/>
        </w:rPr>
      </w:pPr>
    </w:p>
    <w:p w14:paraId="3240DD90" w14:textId="31981C36" w:rsidR="00737371" w:rsidRPr="00737371" w:rsidRDefault="00737371" w:rsidP="0006428E">
      <w:pPr>
        <w:spacing w:after="0" w:line="360" w:lineRule="auto"/>
        <w:jc w:val="both"/>
        <w:rPr>
          <w:rFonts w:ascii="Calibri" w:eastAsia="Times New Roman" w:hAnsi="Calibri" w:cs="Calibri"/>
          <w:b/>
          <w:color w:val="000000" w:themeColor="text1"/>
          <w:sz w:val="28"/>
          <w:szCs w:val="28"/>
          <w:lang w:val="es-ES_tradnl" w:eastAsia="es-MX"/>
        </w:rPr>
      </w:pPr>
      <w:r w:rsidRPr="00737371">
        <w:rPr>
          <w:rFonts w:ascii="Calibri" w:eastAsia="Times New Roman" w:hAnsi="Calibri" w:cs="Calibri"/>
          <w:b/>
          <w:color w:val="000000" w:themeColor="text1"/>
          <w:sz w:val="28"/>
          <w:szCs w:val="28"/>
          <w:lang w:val="es-ES_tradnl" w:eastAsia="es-MX"/>
        </w:rPr>
        <w:lastRenderedPageBreak/>
        <w:t>Resumo</w:t>
      </w:r>
    </w:p>
    <w:p w14:paraId="3DFACD00" w14:textId="77777777" w:rsidR="00737371" w:rsidRPr="00E24F2C" w:rsidRDefault="00737371" w:rsidP="00737371">
      <w:pPr>
        <w:spacing w:after="0" w:line="360" w:lineRule="auto"/>
        <w:jc w:val="both"/>
        <w:rPr>
          <w:rFonts w:ascii="Times New Roman" w:hAnsi="Times New Roman" w:cs="Times New Roman"/>
          <w:sz w:val="24"/>
          <w:szCs w:val="24"/>
        </w:rPr>
      </w:pPr>
      <w:r w:rsidRPr="00E24F2C">
        <w:rPr>
          <w:rFonts w:ascii="Times New Roman" w:hAnsi="Times New Roman" w:cs="Times New Roman"/>
          <w:sz w:val="24"/>
          <w:szCs w:val="24"/>
        </w:rPr>
        <w:t xml:space="preserve">Este estudo multi-método visa alcançar uma melhor compreensão das razões que podem motivar um aluno a selecionar uma carreira em engenharia, enfatizando as diferenças que podem existir entre os alunos com diferentes níveis de habilidades matemáticas. Foram coletadas informações sobre as experiências acadêmicas e pessoais de 560 estudantes de uma universidade pública dos Estados Unidos por meio de uma pesquisa. Essas informações foram analisadas através de testes estatísticos inferenciais, separando a amostra em grupos com alta e baixa habilidades matemáticas para comparar resultados </w:t>
      </w:r>
      <w:proofErr w:type="gramStart"/>
      <w:r w:rsidRPr="00E24F2C">
        <w:rPr>
          <w:rFonts w:ascii="Times New Roman" w:hAnsi="Times New Roman" w:cs="Times New Roman"/>
          <w:sz w:val="24"/>
          <w:szCs w:val="24"/>
        </w:rPr>
        <w:t>e</w:t>
      </w:r>
      <w:proofErr w:type="gramEnd"/>
      <w:r w:rsidRPr="00E24F2C">
        <w:rPr>
          <w:rFonts w:ascii="Times New Roman" w:hAnsi="Times New Roman" w:cs="Times New Roman"/>
          <w:sz w:val="24"/>
          <w:szCs w:val="24"/>
        </w:rPr>
        <w:t xml:space="preserve"> encontrar possíveis diferenças entre os alunos que selecionaram uma carreira de engenharia. Ser do sexo masculino mostrou ter a influência mais significativa na escolha de ser engenheiro, seguido por ter uma melhor preparação matemática; e estes resultados foram mais evidentes no baixo grupo de habilidades matemáticas. Por outro lado, os participantes com grande habilidade em matemática demonstraram ter um interesse genuíno nas carreiras de engenharia e suas aplicações, enquanto os participantes com baixas habilidades matemáticas buscavam mais dinheiro e a posição social que um diploma de engenharia poderia oferecer a eles.</w:t>
      </w:r>
    </w:p>
    <w:p w14:paraId="59045F26" w14:textId="77A2D34A" w:rsidR="00737371" w:rsidRPr="00E24F2C" w:rsidRDefault="00737371" w:rsidP="00737371">
      <w:pPr>
        <w:spacing w:after="0" w:line="360" w:lineRule="auto"/>
        <w:jc w:val="both"/>
        <w:rPr>
          <w:rFonts w:ascii="Times New Roman" w:hAnsi="Times New Roman" w:cs="Times New Roman"/>
          <w:sz w:val="24"/>
          <w:szCs w:val="24"/>
        </w:rPr>
      </w:pPr>
      <w:proofErr w:type="spellStart"/>
      <w:r w:rsidRPr="00737371">
        <w:rPr>
          <w:rFonts w:ascii="Calibri" w:eastAsia="Times New Roman" w:hAnsi="Calibri" w:cs="Calibri"/>
          <w:b/>
          <w:color w:val="000000" w:themeColor="text1"/>
          <w:sz w:val="28"/>
          <w:szCs w:val="28"/>
          <w:lang w:val="es-ES_tradnl" w:eastAsia="es-MX"/>
        </w:rPr>
        <w:t>Palavras</w:t>
      </w:r>
      <w:proofErr w:type="spellEnd"/>
      <w:r w:rsidRPr="00737371">
        <w:rPr>
          <w:rFonts w:ascii="Calibri" w:eastAsia="Times New Roman" w:hAnsi="Calibri" w:cs="Calibri"/>
          <w:b/>
          <w:color w:val="000000" w:themeColor="text1"/>
          <w:sz w:val="28"/>
          <w:szCs w:val="28"/>
          <w:lang w:val="es-ES_tradnl" w:eastAsia="es-MX"/>
        </w:rPr>
        <w:t>-chave:</w:t>
      </w:r>
      <w:r w:rsidRPr="00E24F2C">
        <w:rPr>
          <w:rFonts w:ascii="Times New Roman" w:hAnsi="Times New Roman" w:cs="Times New Roman"/>
          <w:sz w:val="24"/>
          <w:szCs w:val="24"/>
        </w:rPr>
        <w:t xml:space="preserve"> habilidades matemáticas, engenharia, seleção de carreira.</w:t>
      </w:r>
    </w:p>
    <w:p w14:paraId="20C928F3" w14:textId="77777777" w:rsidR="00737371" w:rsidRPr="00FC594F" w:rsidRDefault="00737371" w:rsidP="00737371">
      <w:pPr>
        <w:spacing w:line="360" w:lineRule="auto"/>
        <w:ind w:right="38"/>
        <w:rPr>
          <w:rFonts w:eastAsia="Palatino Linotype"/>
          <w:color w:val="000000" w:themeColor="text1"/>
          <w:position w:val="1"/>
        </w:rPr>
      </w:pPr>
      <w:r w:rsidRPr="005E13F6">
        <w:rPr>
          <w:rFonts w:ascii="Times New Roman" w:hAnsi="Times New Roman" w:cs="Times New Roman"/>
          <w:b/>
          <w:color w:val="000000" w:themeColor="text1"/>
          <w:sz w:val="24"/>
        </w:rPr>
        <w:t>Fecha Recepción:</w:t>
      </w:r>
      <w:r w:rsidRPr="005E13F6">
        <w:rPr>
          <w:rFonts w:ascii="Times New Roman" w:hAnsi="Times New Roman" w:cs="Times New Roman"/>
          <w:color w:val="000000" w:themeColor="text1"/>
          <w:sz w:val="24"/>
        </w:rPr>
        <w:t xml:space="preserve"> </w:t>
      </w:r>
      <w:proofErr w:type="gramStart"/>
      <w:r>
        <w:rPr>
          <w:rFonts w:ascii="Times New Roman" w:hAnsi="Times New Roman" w:cs="Times New Roman"/>
          <w:color w:val="000000" w:themeColor="text1"/>
          <w:sz w:val="24"/>
        </w:rPr>
        <w:t>Mayo</w:t>
      </w:r>
      <w:proofErr w:type="gramEnd"/>
      <w:r w:rsidRPr="005E13F6">
        <w:rPr>
          <w:rFonts w:ascii="Times New Roman" w:hAnsi="Times New Roman" w:cs="Times New Roman"/>
          <w:color w:val="000000" w:themeColor="text1"/>
          <w:sz w:val="24"/>
        </w:rPr>
        <w:t xml:space="preserve"> 2018                                 </w:t>
      </w:r>
      <w:r w:rsidRPr="005E13F6">
        <w:rPr>
          <w:rFonts w:ascii="Times New Roman" w:hAnsi="Times New Roman" w:cs="Times New Roman"/>
          <w:b/>
          <w:color w:val="000000" w:themeColor="text1"/>
          <w:sz w:val="24"/>
        </w:rPr>
        <w:t>Fecha Aceptación:</w:t>
      </w:r>
      <w:r w:rsidRPr="005E13F6">
        <w:rPr>
          <w:rFonts w:ascii="Times New Roman" w:hAnsi="Times New Roman" w:cs="Times New Roman"/>
          <w:color w:val="000000" w:themeColor="text1"/>
          <w:sz w:val="24"/>
        </w:rPr>
        <w:t xml:space="preserve"> Noviembre 2018</w:t>
      </w:r>
      <w:r w:rsidRPr="00FC594F">
        <w:rPr>
          <w:color w:val="000000" w:themeColor="text1"/>
        </w:rPr>
        <w:br/>
      </w:r>
      <w:r w:rsidR="00A336A1">
        <w:rPr>
          <w:color w:val="000000" w:themeColor="text1"/>
        </w:rPr>
        <w:pict w14:anchorId="28214E64">
          <v:rect id="_x0000_i1025" style="width:446.5pt;height:1.5pt" o:hralign="center" o:hrstd="t" o:hr="t" fillcolor="#a0a0a0" stroked="f"/>
        </w:pict>
      </w:r>
    </w:p>
    <w:p w14:paraId="0E599B6C" w14:textId="77777777" w:rsidR="00CC58BF" w:rsidRPr="00E24F2C" w:rsidRDefault="00CC58BF" w:rsidP="0006428E">
      <w:pPr>
        <w:spacing w:after="0" w:line="360" w:lineRule="auto"/>
        <w:rPr>
          <w:rFonts w:ascii="Times New Roman" w:hAnsi="Times New Roman" w:cs="Times New Roman"/>
          <w:b/>
          <w:sz w:val="24"/>
          <w:szCs w:val="24"/>
        </w:rPr>
      </w:pPr>
    </w:p>
    <w:p w14:paraId="1EAC3443" w14:textId="77777777" w:rsidR="00116982" w:rsidRPr="00514B68" w:rsidRDefault="00116982" w:rsidP="0006428E">
      <w:pPr>
        <w:spacing w:after="0" w:line="360" w:lineRule="auto"/>
        <w:rPr>
          <w:rFonts w:ascii="Times New Roman" w:hAnsi="Times New Roman" w:cs="Times New Roman"/>
          <w:b/>
          <w:sz w:val="32"/>
          <w:szCs w:val="24"/>
        </w:rPr>
      </w:pPr>
      <w:r w:rsidRPr="00737371">
        <w:rPr>
          <w:rFonts w:ascii="Calibri" w:eastAsia="Times New Roman" w:hAnsi="Calibri" w:cs="Calibri"/>
          <w:b/>
          <w:color w:val="000000" w:themeColor="text1"/>
          <w:sz w:val="28"/>
          <w:szCs w:val="28"/>
          <w:lang w:val="es-ES_tradnl" w:eastAsia="es-MX"/>
        </w:rPr>
        <w:t>Introducción</w:t>
      </w:r>
      <w:r w:rsidRPr="00514B68">
        <w:rPr>
          <w:rFonts w:ascii="Times New Roman" w:hAnsi="Times New Roman" w:cs="Times New Roman"/>
          <w:b/>
          <w:sz w:val="32"/>
          <w:szCs w:val="24"/>
        </w:rPr>
        <w:t xml:space="preserve"> </w:t>
      </w:r>
    </w:p>
    <w:p w14:paraId="67850B0C" w14:textId="28FFCD60" w:rsidR="00005772" w:rsidRDefault="00116982" w:rsidP="00514B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desarrollo </w:t>
      </w:r>
      <w:r w:rsidR="007530FC">
        <w:rPr>
          <w:rFonts w:ascii="Times New Roman" w:hAnsi="Times New Roman" w:cs="Times New Roman"/>
          <w:sz w:val="24"/>
          <w:szCs w:val="24"/>
        </w:rPr>
        <w:t xml:space="preserve">económico </w:t>
      </w:r>
      <w:r>
        <w:rPr>
          <w:rFonts w:ascii="Times New Roman" w:hAnsi="Times New Roman" w:cs="Times New Roman"/>
          <w:sz w:val="24"/>
          <w:szCs w:val="24"/>
        </w:rPr>
        <w:t xml:space="preserve">de cualquier país está relacionado </w:t>
      </w:r>
      <w:r w:rsidR="0010522C">
        <w:rPr>
          <w:rFonts w:ascii="Times New Roman" w:hAnsi="Times New Roman" w:cs="Times New Roman"/>
          <w:sz w:val="24"/>
          <w:szCs w:val="24"/>
        </w:rPr>
        <w:t xml:space="preserve">en gran medida </w:t>
      </w:r>
      <w:r>
        <w:rPr>
          <w:rFonts w:ascii="Times New Roman" w:hAnsi="Times New Roman" w:cs="Times New Roman"/>
          <w:sz w:val="24"/>
          <w:szCs w:val="24"/>
        </w:rPr>
        <w:t>con su</w:t>
      </w:r>
      <w:r w:rsidR="00DD71CA">
        <w:rPr>
          <w:rFonts w:ascii="Times New Roman" w:hAnsi="Times New Roman" w:cs="Times New Roman"/>
          <w:sz w:val="24"/>
          <w:szCs w:val="24"/>
        </w:rPr>
        <w:t xml:space="preserve">s </w:t>
      </w:r>
      <w:r w:rsidR="007530FC">
        <w:rPr>
          <w:rFonts w:ascii="Times New Roman" w:hAnsi="Times New Roman" w:cs="Times New Roman"/>
          <w:sz w:val="24"/>
          <w:szCs w:val="24"/>
        </w:rPr>
        <w:t>capaci</w:t>
      </w:r>
      <w:r w:rsidR="00DD71CA">
        <w:rPr>
          <w:rFonts w:ascii="Times New Roman" w:hAnsi="Times New Roman" w:cs="Times New Roman"/>
          <w:sz w:val="24"/>
          <w:szCs w:val="24"/>
        </w:rPr>
        <w:t xml:space="preserve">dades </w:t>
      </w:r>
      <w:r w:rsidRPr="00211D0C">
        <w:rPr>
          <w:rFonts w:ascii="Times New Roman" w:hAnsi="Times New Roman" w:cs="Times New Roman"/>
          <w:sz w:val="24"/>
          <w:szCs w:val="24"/>
        </w:rPr>
        <w:t xml:space="preserve">de </w:t>
      </w:r>
      <w:r w:rsidR="00DD71CA">
        <w:rPr>
          <w:rFonts w:ascii="Times New Roman" w:hAnsi="Times New Roman" w:cs="Times New Roman"/>
          <w:sz w:val="24"/>
          <w:szCs w:val="24"/>
        </w:rPr>
        <w:t xml:space="preserve">educar y </w:t>
      </w:r>
      <w:r w:rsidRPr="00211D0C">
        <w:rPr>
          <w:rFonts w:ascii="Times New Roman" w:hAnsi="Times New Roman" w:cs="Times New Roman"/>
          <w:sz w:val="24"/>
          <w:szCs w:val="24"/>
        </w:rPr>
        <w:t>formar</w:t>
      </w:r>
      <w:r>
        <w:rPr>
          <w:rFonts w:ascii="Times New Roman" w:hAnsi="Times New Roman" w:cs="Times New Roman"/>
          <w:sz w:val="24"/>
          <w:szCs w:val="24"/>
        </w:rPr>
        <w:t xml:space="preserve"> nuevos ingenieros </w:t>
      </w:r>
      <w:r w:rsidR="00DD71CA">
        <w:rPr>
          <w:rFonts w:ascii="Times New Roman" w:hAnsi="Times New Roman" w:cs="Times New Roman"/>
          <w:sz w:val="24"/>
          <w:szCs w:val="24"/>
        </w:rPr>
        <w:t xml:space="preserve">con las </w:t>
      </w:r>
      <w:r w:rsidR="007530FC">
        <w:rPr>
          <w:rFonts w:ascii="Times New Roman" w:hAnsi="Times New Roman" w:cs="Times New Roman"/>
          <w:sz w:val="24"/>
          <w:szCs w:val="24"/>
        </w:rPr>
        <w:t>habilidades</w:t>
      </w:r>
      <w:r w:rsidR="00DD71CA">
        <w:rPr>
          <w:rFonts w:ascii="Times New Roman" w:hAnsi="Times New Roman" w:cs="Times New Roman"/>
          <w:sz w:val="24"/>
          <w:szCs w:val="24"/>
        </w:rPr>
        <w:t xml:space="preserve"> </w:t>
      </w:r>
      <w:r>
        <w:rPr>
          <w:rFonts w:ascii="Times New Roman" w:hAnsi="Times New Roman" w:cs="Times New Roman"/>
          <w:sz w:val="24"/>
          <w:szCs w:val="24"/>
        </w:rPr>
        <w:t>de d</w:t>
      </w:r>
      <w:r w:rsidR="007530FC">
        <w:rPr>
          <w:rFonts w:ascii="Times New Roman" w:hAnsi="Times New Roman" w:cs="Times New Roman"/>
          <w:sz w:val="24"/>
          <w:szCs w:val="24"/>
        </w:rPr>
        <w:t>iseñar e implementar</w:t>
      </w:r>
      <w:r>
        <w:rPr>
          <w:rFonts w:ascii="Times New Roman" w:hAnsi="Times New Roman" w:cs="Times New Roman"/>
          <w:sz w:val="24"/>
          <w:szCs w:val="24"/>
        </w:rPr>
        <w:t xml:space="preserve"> nuevas tecnologías </w:t>
      </w:r>
      <w:r w:rsidR="00DD71CA">
        <w:rPr>
          <w:rFonts w:ascii="Times New Roman" w:hAnsi="Times New Roman" w:cs="Times New Roman"/>
          <w:sz w:val="24"/>
          <w:szCs w:val="24"/>
        </w:rPr>
        <w:t>que den</w:t>
      </w:r>
      <w:r>
        <w:rPr>
          <w:rFonts w:ascii="Times New Roman" w:hAnsi="Times New Roman" w:cs="Times New Roman"/>
          <w:sz w:val="24"/>
          <w:szCs w:val="24"/>
        </w:rPr>
        <w:t xml:space="preserve"> sol</w:t>
      </w:r>
      <w:r w:rsidR="00DD71CA">
        <w:rPr>
          <w:rFonts w:ascii="Times New Roman" w:hAnsi="Times New Roman" w:cs="Times New Roman"/>
          <w:sz w:val="24"/>
          <w:szCs w:val="24"/>
        </w:rPr>
        <w:t>ución</w:t>
      </w:r>
      <w:r>
        <w:rPr>
          <w:rFonts w:ascii="Times New Roman" w:hAnsi="Times New Roman" w:cs="Times New Roman"/>
          <w:sz w:val="24"/>
          <w:szCs w:val="24"/>
        </w:rPr>
        <w:t xml:space="preserve"> </w:t>
      </w:r>
      <w:r w:rsidR="00DD71CA">
        <w:rPr>
          <w:rFonts w:ascii="Times New Roman" w:hAnsi="Times New Roman" w:cs="Times New Roman"/>
          <w:sz w:val="24"/>
          <w:szCs w:val="24"/>
        </w:rPr>
        <w:t xml:space="preserve">a los </w:t>
      </w:r>
      <w:r w:rsidR="007530FC">
        <w:rPr>
          <w:rFonts w:ascii="Times New Roman" w:hAnsi="Times New Roman" w:cs="Times New Roman"/>
          <w:sz w:val="24"/>
          <w:szCs w:val="24"/>
        </w:rPr>
        <w:t xml:space="preserve">grandes </w:t>
      </w:r>
      <w:r>
        <w:rPr>
          <w:rFonts w:ascii="Times New Roman" w:hAnsi="Times New Roman" w:cs="Times New Roman"/>
          <w:sz w:val="24"/>
          <w:szCs w:val="24"/>
        </w:rPr>
        <w:t>problemas que afectan a la sociedad</w:t>
      </w:r>
      <w:r w:rsidR="004D6444">
        <w:rPr>
          <w:rFonts w:ascii="Times New Roman" w:hAnsi="Times New Roman" w:cs="Times New Roman"/>
          <w:sz w:val="24"/>
          <w:szCs w:val="24"/>
        </w:rPr>
        <w:t>:</w:t>
      </w:r>
      <w:r w:rsidR="007530FC">
        <w:rPr>
          <w:rFonts w:ascii="Times New Roman" w:hAnsi="Times New Roman" w:cs="Times New Roman"/>
          <w:sz w:val="24"/>
          <w:szCs w:val="24"/>
        </w:rPr>
        <w:t xml:space="preserve"> </w:t>
      </w:r>
      <w:r w:rsidR="00DD71CA">
        <w:rPr>
          <w:rFonts w:ascii="Times New Roman" w:hAnsi="Times New Roman" w:cs="Times New Roman"/>
          <w:sz w:val="24"/>
          <w:szCs w:val="24"/>
        </w:rPr>
        <w:t>la</w:t>
      </w:r>
      <w:r>
        <w:rPr>
          <w:rFonts w:ascii="Times New Roman" w:hAnsi="Times New Roman" w:cs="Times New Roman"/>
          <w:sz w:val="24"/>
          <w:szCs w:val="24"/>
        </w:rPr>
        <w:t xml:space="preserve"> </w:t>
      </w:r>
      <w:r w:rsidR="00B82642">
        <w:rPr>
          <w:rFonts w:ascii="Times New Roman" w:hAnsi="Times New Roman" w:cs="Times New Roman"/>
          <w:sz w:val="24"/>
          <w:szCs w:val="24"/>
        </w:rPr>
        <w:t xml:space="preserve">carencia </w:t>
      </w:r>
      <w:r w:rsidR="00DD71CA">
        <w:rPr>
          <w:rFonts w:ascii="Times New Roman" w:hAnsi="Times New Roman" w:cs="Times New Roman"/>
          <w:sz w:val="24"/>
          <w:szCs w:val="24"/>
        </w:rPr>
        <w:t>de</w:t>
      </w:r>
      <w:r>
        <w:rPr>
          <w:rFonts w:ascii="Times New Roman" w:hAnsi="Times New Roman" w:cs="Times New Roman"/>
          <w:sz w:val="24"/>
          <w:szCs w:val="24"/>
        </w:rPr>
        <w:t xml:space="preserve"> alimento,</w:t>
      </w:r>
      <w:r w:rsidR="00DD469E">
        <w:rPr>
          <w:rFonts w:ascii="Times New Roman" w:hAnsi="Times New Roman" w:cs="Times New Roman"/>
          <w:sz w:val="24"/>
          <w:szCs w:val="24"/>
        </w:rPr>
        <w:t xml:space="preserve"> </w:t>
      </w:r>
      <w:r w:rsidR="00B82642">
        <w:rPr>
          <w:rFonts w:ascii="Times New Roman" w:hAnsi="Times New Roman" w:cs="Times New Roman"/>
          <w:sz w:val="24"/>
          <w:szCs w:val="24"/>
        </w:rPr>
        <w:t>la falta de</w:t>
      </w:r>
      <w:r w:rsidR="00DD469E">
        <w:rPr>
          <w:rFonts w:ascii="Times New Roman" w:hAnsi="Times New Roman" w:cs="Times New Roman"/>
          <w:sz w:val="24"/>
          <w:szCs w:val="24"/>
        </w:rPr>
        <w:t xml:space="preserve"> acceso a</w:t>
      </w:r>
      <w:r>
        <w:rPr>
          <w:rFonts w:ascii="Times New Roman" w:hAnsi="Times New Roman" w:cs="Times New Roman"/>
          <w:sz w:val="24"/>
          <w:szCs w:val="24"/>
        </w:rPr>
        <w:t xml:space="preserve"> agua potable, mejores telecomunicaciones y servicios de salud, </w:t>
      </w:r>
      <w:r w:rsidR="00E95340">
        <w:rPr>
          <w:rFonts w:ascii="Times New Roman" w:hAnsi="Times New Roman" w:cs="Times New Roman"/>
          <w:sz w:val="24"/>
          <w:szCs w:val="24"/>
        </w:rPr>
        <w:t>siempre tomando en cuenta la</w:t>
      </w:r>
      <w:r>
        <w:rPr>
          <w:rFonts w:ascii="Times New Roman" w:hAnsi="Times New Roman" w:cs="Times New Roman"/>
          <w:sz w:val="24"/>
          <w:szCs w:val="24"/>
        </w:rPr>
        <w:t xml:space="preserve"> importancia de proteger al medio ambiente</w:t>
      </w:r>
      <w:r w:rsidRPr="00211D0C">
        <w:rPr>
          <w:rFonts w:ascii="Times New Roman" w:hAnsi="Times New Roman" w:cs="Times New Roman"/>
          <w:sz w:val="24"/>
          <w:szCs w:val="24"/>
        </w:rPr>
        <w:t xml:space="preserve"> </w:t>
      </w:r>
      <w:r w:rsidRPr="002A63AD">
        <w:rPr>
          <w:rFonts w:ascii="Times New Roman" w:hAnsi="Times New Roman" w:cs="Times New Roman"/>
          <w:sz w:val="24"/>
          <w:szCs w:val="24"/>
          <w:lang w:val="en-US"/>
        </w:rPr>
        <w:fldChar w:fldCharType="begin" w:fldLock="1"/>
      </w:r>
      <w:r w:rsidR="0096183A">
        <w:rPr>
          <w:rFonts w:ascii="Times New Roman" w:hAnsi="Times New Roman" w:cs="Times New Roman"/>
          <w:sz w:val="24"/>
          <w:szCs w:val="24"/>
        </w:rPr>
        <w:instrText>ADDIN CSL_CITATION {"citationItems":[{"id":"ITEM-1","itemData":{"URL":"http://www.engineeringchallenges.org/challenges.aspx","author":[{"dropping-particle":"","family":"National Academy of Engineering","given":"","non-dropping-particle":"","parse-names":false,"suffix":""}],"id":"ITEM-1","issued":{"date-parts":[["2015"]]},"title":"NAE Grand Challenges for Engineering","type":"webpage"},"uris":["http://www.mendeley.com/documents/?uuid=f6378d7b-34d5-448b-ad0a-cc5140df8196"]}],"mendeley":{"formattedCitation":"(National Academy of Engineering, 2015)","plainTextFormattedCitation":"(National Academy of Engineering, 2015)","previouslyFormattedCitation":"(National Academy of Engineering, 2015)"},"properties":{"noteIndex":0},"schema":"https://github.com/citation-style-language/schema/raw/master/csl-citation.json"}</w:instrText>
      </w:r>
      <w:r w:rsidRPr="002A63AD">
        <w:rPr>
          <w:rFonts w:ascii="Times New Roman" w:hAnsi="Times New Roman" w:cs="Times New Roman"/>
          <w:sz w:val="24"/>
          <w:szCs w:val="24"/>
          <w:lang w:val="en-US"/>
        </w:rPr>
        <w:fldChar w:fldCharType="separate"/>
      </w:r>
      <w:r w:rsidRPr="00211D0C">
        <w:rPr>
          <w:rFonts w:ascii="Times New Roman" w:hAnsi="Times New Roman" w:cs="Times New Roman"/>
          <w:noProof/>
          <w:sz w:val="24"/>
          <w:szCs w:val="24"/>
        </w:rPr>
        <w:t>(National Academy of Engineering, 2015)</w:t>
      </w:r>
      <w:r w:rsidRPr="002A63AD">
        <w:rPr>
          <w:rFonts w:ascii="Times New Roman" w:hAnsi="Times New Roman" w:cs="Times New Roman"/>
          <w:sz w:val="24"/>
          <w:szCs w:val="24"/>
          <w:lang w:val="en-US"/>
        </w:rPr>
        <w:fldChar w:fldCharType="end"/>
      </w:r>
      <w:r w:rsidRPr="00211D0C">
        <w:rPr>
          <w:rFonts w:ascii="Times New Roman" w:hAnsi="Times New Roman" w:cs="Times New Roman"/>
          <w:sz w:val="24"/>
          <w:szCs w:val="24"/>
        </w:rPr>
        <w:t xml:space="preserve">. </w:t>
      </w:r>
      <w:r w:rsidR="00DA14E2">
        <w:rPr>
          <w:rFonts w:ascii="Times New Roman" w:hAnsi="Times New Roman" w:cs="Times New Roman"/>
          <w:sz w:val="24"/>
          <w:szCs w:val="24"/>
        </w:rPr>
        <w:t xml:space="preserve">En el caso </w:t>
      </w:r>
      <w:r w:rsidR="007958B4">
        <w:rPr>
          <w:rFonts w:ascii="Times New Roman" w:hAnsi="Times New Roman" w:cs="Times New Roman"/>
          <w:sz w:val="24"/>
          <w:szCs w:val="24"/>
        </w:rPr>
        <w:t xml:space="preserve">de </w:t>
      </w:r>
      <w:r w:rsidR="00DA14E2">
        <w:rPr>
          <w:rFonts w:ascii="Times New Roman" w:hAnsi="Times New Roman" w:cs="Times New Roman"/>
          <w:sz w:val="24"/>
          <w:szCs w:val="24"/>
        </w:rPr>
        <w:t xml:space="preserve">que un país no tenga la capacidad </w:t>
      </w:r>
      <w:r w:rsidR="00CF56D3">
        <w:rPr>
          <w:rFonts w:ascii="Times New Roman" w:hAnsi="Times New Roman" w:cs="Times New Roman"/>
          <w:sz w:val="24"/>
          <w:szCs w:val="24"/>
        </w:rPr>
        <w:t>de</w:t>
      </w:r>
      <w:r w:rsidR="00CF56D3" w:rsidRPr="005F5049">
        <w:rPr>
          <w:rFonts w:ascii="Times New Roman" w:hAnsi="Times New Roman" w:cs="Times New Roman"/>
          <w:sz w:val="24"/>
          <w:szCs w:val="24"/>
        </w:rPr>
        <w:t xml:space="preserve"> </w:t>
      </w:r>
      <w:r>
        <w:rPr>
          <w:rFonts w:ascii="Times New Roman" w:hAnsi="Times New Roman" w:cs="Times New Roman"/>
          <w:sz w:val="24"/>
          <w:szCs w:val="24"/>
        </w:rPr>
        <w:t>prepara</w:t>
      </w:r>
      <w:r w:rsidRPr="005F5049">
        <w:rPr>
          <w:rFonts w:ascii="Times New Roman" w:hAnsi="Times New Roman" w:cs="Times New Roman"/>
          <w:sz w:val="24"/>
          <w:szCs w:val="24"/>
        </w:rPr>
        <w:t>r suficientes ingenieros para</w:t>
      </w:r>
      <w:r w:rsidR="007958B4">
        <w:rPr>
          <w:rFonts w:ascii="Times New Roman" w:hAnsi="Times New Roman" w:cs="Times New Roman"/>
          <w:sz w:val="24"/>
          <w:szCs w:val="24"/>
        </w:rPr>
        <w:t xml:space="preserve"> que puedan</w:t>
      </w:r>
      <w:r w:rsidRPr="005F5049">
        <w:rPr>
          <w:rFonts w:ascii="Times New Roman" w:hAnsi="Times New Roman" w:cs="Times New Roman"/>
          <w:sz w:val="24"/>
          <w:szCs w:val="24"/>
        </w:rPr>
        <w:t xml:space="preserve"> </w:t>
      </w:r>
      <w:r w:rsidR="00DA14E2">
        <w:rPr>
          <w:rFonts w:ascii="Times New Roman" w:hAnsi="Times New Roman" w:cs="Times New Roman"/>
          <w:sz w:val="24"/>
          <w:szCs w:val="24"/>
        </w:rPr>
        <w:t xml:space="preserve">encontrar soluciones eficientes </w:t>
      </w:r>
      <w:r w:rsidR="0010522C">
        <w:rPr>
          <w:rFonts w:ascii="Times New Roman" w:hAnsi="Times New Roman" w:cs="Times New Roman"/>
          <w:sz w:val="24"/>
          <w:szCs w:val="24"/>
        </w:rPr>
        <w:t>a</w:t>
      </w:r>
      <w:r w:rsidR="0010522C" w:rsidRPr="005F5049">
        <w:rPr>
          <w:rFonts w:ascii="Times New Roman" w:hAnsi="Times New Roman" w:cs="Times New Roman"/>
          <w:sz w:val="24"/>
          <w:szCs w:val="24"/>
        </w:rPr>
        <w:t xml:space="preserve"> </w:t>
      </w:r>
      <w:r w:rsidR="00DA14E2">
        <w:rPr>
          <w:rFonts w:ascii="Times New Roman" w:hAnsi="Times New Roman" w:cs="Times New Roman"/>
          <w:sz w:val="24"/>
          <w:szCs w:val="24"/>
        </w:rPr>
        <w:t xml:space="preserve">estos </w:t>
      </w:r>
      <w:r w:rsidRPr="005F5049">
        <w:rPr>
          <w:rFonts w:ascii="Times New Roman" w:hAnsi="Times New Roman" w:cs="Times New Roman"/>
          <w:sz w:val="24"/>
          <w:szCs w:val="24"/>
        </w:rPr>
        <w:t>problemas</w:t>
      </w:r>
      <w:r>
        <w:rPr>
          <w:rFonts w:ascii="Times New Roman" w:hAnsi="Times New Roman" w:cs="Times New Roman"/>
          <w:sz w:val="24"/>
          <w:szCs w:val="24"/>
        </w:rPr>
        <w:t>, enfrentará</w:t>
      </w:r>
      <w:r w:rsidRPr="005F5049">
        <w:rPr>
          <w:rFonts w:ascii="Times New Roman" w:hAnsi="Times New Roman" w:cs="Times New Roman"/>
          <w:sz w:val="24"/>
          <w:szCs w:val="24"/>
        </w:rPr>
        <w:t xml:space="preserve"> </w:t>
      </w:r>
      <w:r w:rsidR="00DA14E2">
        <w:rPr>
          <w:rFonts w:ascii="Times New Roman" w:hAnsi="Times New Roman" w:cs="Times New Roman"/>
          <w:sz w:val="24"/>
          <w:szCs w:val="24"/>
        </w:rPr>
        <w:t>rezagos</w:t>
      </w:r>
      <w:r w:rsidRPr="005F5049">
        <w:rPr>
          <w:rFonts w:ascii="Times New Roman" w:hAnsi="Times New Roman" w:cs="Times New Roman"/>
          <w:sz w:val="24"/>
          <w:szCs w:val="24"/>
        </w:rPr>
        <w:t xml:space="preserve"> en su desarrollo</w:t>
      </w:r>
      <w:r>
        <w:rPr>
          <w:rFonts w:ascii="Times New Roman" w:hAnsi="Times New Roman" w:cs="Times New Roman"/>
          <w:sz w:val="24"/>
          <w:szCs w:val="24"/>
        </w:rPr>
        <w:t>,</w:t>
      </w:r>
      <w:r w:rsidRPr="005F5049">
        <w:rPr>
          <w:rFonts w:ascii="Times New Roman" w:hAnsi="Times New Roman" w:cs="Times New Roman"/>
          <w:sz w:val="24"/>
          <w:szCs w:val="24"/>
        </w:rPr>
        <w:t xml:space="preserve"> y será incapa</w:t>
      </w:r>
      <w:r>
        <w:rPr>
          <w:rFonts w:ascii="Times New Roman" w:hAnsi="Times New Roman" w:cs="Times New Roman"/>
          <w:sz w:val="24"/>
          <w:szCs w:val="24"/>
        </w:rPr>
        <w:t xml:space="preserve">z de alcanzar un bienestar </w:t>
      </w:r>
      <w:r w:rsidR="00DA14E2">
        <w:rPr>
          <w:rFonts w:ascii="Times New Roman" w:hAnsi="Times New Roman" w:cs="Times New Roman"/>
          <w:sz w:val="24"/>
          <w:szCs w:val="24"/>
        </w:rPr>
        <w:t>para sus habitantes</w:t>
      </w:r>
      <w:r w:rsidRPr="005F5049">
        <w:rPr>
          <w:rFonts w:ascii="Times New Roman" w:hAnsi="Times New Roman" w:cs="Times New Roman"/>
          <w:sz w:val="24"/>
          <w:szCs w:val="24"/>
        </w:rPr>
        <w:t xml:space="preserve"> </w:t>
      </w:r>
      <w:r w:rsidRPr="002A63AD">
        <w:rPr>
          <w:rFonts w:ascii="Times New Roman" w:hAnsi="Times New Roman" w:cs="Times New Roman"/>
          <w:sz w:val="24"/>
          <w:szCs w:val="24"/>
          <w:lang w:val="en-US"/>
        </w:rPr>
        <w:fldChar w:fldCharType="begin" w:fldLock="1"/>
      </w:r>
      <w:r w:rsidR="0096183A">
        <w:rPr>
          <w:rFonts w:ascii="Times New Roman" w:hAnsi="Times New Roman" w:cs="Times New Roman"/>
          <w:sz w:val="24"/>
          <w:szCs w:val="24"/>
        </w:rPr>
        <w:instrText>ADDIN CSL_CITATION {"citationItems":[{"id":"ITEM-1","itemData":{"author":[{"dropping-particle":"","family":"Committee on STEM Edcucation","given":"","non-dropping-particle":"","parse-names":false,"suffix":""}],"id":"ITEM-1","issued":{"date-parts":[["2013"]]},"publisher-place":"Washington, D.C.: National Science and Technology Council","title":"Federal Science, Technology, Engineering, and Mathematics (STEM) Education","type":"report"},"uris":["http://www.mendeley.com/documents/?uuid=5150dc71-3823-495d-a3ba-6c29747477d4"]}],"mendeley":{"formattedCitation":"(Committee on STEM Edcucation, 2013)","manualFormatting":"(Committee on STEM Education, 2013)","plainTextFormattedCitation":"(Committee on STEM Edcucation, 2013)","previouslyFormattedCitation":"(Committee on STEM Edcucation, 2013)"},"properties":{"noteIndex":0},"schema":"https://github.com/citation-style-language/schema/raw/master/csl-citation.json"}</w:instrText>
      </w:r>
      <w:r w:rsidRPr="002A63AD">
        <w:rPr>
          <w:rFonts w:ascii="Times New Roman" w:hAnsi="Times New Roman" w:cs="Times New Roman"/>
          <w:sz w:val="24"/>
          <w:szCs w:val="24"/>
          <w:lang w:val="en-US"/>
        </w:rPr>
        <w:fldChar w:fldCharType="separate"/>
      </w:r>
      <w:r w:rsidRPr="005F5049">
        <w:rPr>
          <w:rFonts w:ascii="Times New Roman" w:hAnsi="Times New Roman" w:cs="Times New Roman"/>
          <w:noProof/>
          <w:sz w:val="24"/>
          <w:szCs w:val="24"/>
        </w:rPr>
        <w:t>(Committee on STEM Education, 2013)</w:t>
      </w:r>
      <w:r w:rsidRPr="002A63AD">
        <w:rPr>
          <w:rFonts w:ascii="Times New Roman" w:hAnsi="Times New Roman" w:cs="Times New Roman"/>
          <w:sz w:val="24"/>
          <w:szCs w:val="24"/>
          <w:lang w:val="en-US"/>
        </w:rPr>
        <w:fldChar w:fldCharType="end"/>
      </w:r>
      <w:r w:rsidRPr="005F5049">
        <w:rPr>
          <w:rFonts w:ascii="Times New Roman" w:hAnsi="Times New Roman" w:cs="Times New Roman"/>
          <w:sz w:val="24"/>
          <w:szCs w:val="24"/>
        </w:rPr>
        <w:t>.</w:t>
      </w:r>
    </w:p>
    <w:p w14:paraId="54908551" w14:textId="4014BF60" w:rsidR="008C2AAD" w:rsidRDefault="005143E8" w:rsidP="00514B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w:t>
      </w:r>
      <w:r w:rsidR="007958B4">
        <w:rPr>
          <w:rFonts w:ascii="Times New Roman" w:hAnsi="Times New Roman" w:cs="Times New Roman"/>
          <w:sz w:val="24"/>
          <w:szCs w:val="24"/>
        </w:rPr>
        <w:t>xiste cierto</w:t>
      </w:r>
      <w:r w:rsidR="00005772">
        <w:rPr>
          <w:rFonts w:ascii="Times New Roman" w:hAnsi="Times New Roman" w:cs="Times New Roman"/>
          <w:sz w:val="24"/>
          <w:szCs w:val="24"/>
        </w:rPr>
        <w:t xml:space="preserve"> </w:t>
      </w:r>
      <w:r w:rsidR="00005772" w:rsidRPr="00507965">
        <w:rPr>
          <w:rFonts w:ascii="Times New Roman" w:hAnsi="Times New Roman" w:cs="Times New Roman"/>
          <w:sz w:val="24"/>
          <w:szCs w:val="24"/>
        </w:rPr>
        <w:t>inter</w:t>
      </w:r>
      <w:r w:rsidR="00005772">
        <w:rPr>
          <w:rFonts w:ascii="Times New Roman" w:hAnsi="Times New Roman" w:cs="Times New Roman"/>
          <w:sz w:val="24"/>
          <w:szCs w:val="24"/>
        </w:rPr>
        <w:t xml:space="preserve">és entre los estudiantes </w:t>
      </w:r>
      <w:r w:rsidR="00E95340">
        <w:rPr>
          <w:rFonts w:ascii="Times New Roman" w:hAnsi="Times New Roman" w:cs="Times New Roman"/>
          <w:sz w:val="24"/>
          <w:szCs w:val="24"/>
        </w:rPr>
        <w:t>que están en</w:t>
      </w:r>
      <w:r w:rsidR="007958B4">
        <w:rPr>
          <w:rFonts w:ascii="Times New Roman" w:hAnsi="Times New Roman" w:cs="Times New Roman"/>
          <w:sz w:val="24"/>
          <w:szCs w:val="24"/>
        </w:rPr>
        <w:t xml:space="preserve"> edad de seleccionar su carrera </w:t>
      </w:r>
      <w:r w:rsidR="00865D53">
        <w:rPr>
          <w:rFonts w:ascii="Times New Roman" w:hAnsi="Times New Roman" w:cs="Times New Roman"/>
          <w:sz w:val="24"/>
          <w:szCs w:val="24"/>
        </w:rPr>
        <w:t xml:space="preserve">universitaria </w:t>
      </w:r>
      <w:r w:rsidR="00B774EB">
        <w:rPr>
          <w:rFonts w:ascii="Times New Roman" w:hAnsi="Times New Roman" w:cs="Times New Roman"/>
          <w:sz w:val="24"/>
          <w:szCs w:val="24"/>
        </w:rPr>
        <w:t>para</w:t>
      </w:r>
      <w:r w:rsidR="00005772">
        <w:rPr>
          <w:rFonts w:ascii="Times New Roman" w:hAnsi="Times New Roman" w:cs="Times New Roman"/>
          <w:sz w:val="24"/>
          <w:szCs w:val="24"/>
        </w:rPr>
        <w:t xml:space="preserve"> convertirse en ingenieros debido al prestigio que tiene</w:t>
      </w:r>
      <w:r w:rsidR="00FD3F78">
        <w:rPr>
          <w:rFonts w:ascii="Times New Roman" w:hAnsi="Times New Roman" w:cs="Times New Roman"/>
          <w:sz w:val="24"/>
          <w:szCs w:val="24"/>
        </w:rPr>
        <w:t xml:space="preserve"> esta área profesional</w:t>
      </w:r>
      <w:r w:rsidR="001F57D7">
        <w:rPr>
          <w:rFonts w:ascii="Times New Roman" w:hAnsi="Times New Roman" w:cs="Times New Roman"/>
          <w:sz w:val="24"/>
          <w:szCs w:val="24"/>
        </w:rPr>
        <w:t>. De igual forma,</w:t>
      </w:r>
      <w:r w:rsidR="00005772">
        <w:rPr>
          <w:rFonts w:ascii="Times New Roman" w:hAnsi="Times New Roman" w:cs="Times New Roman"/>
          <w:sz w:val="24"/>
          <w:szCs w:val="24"/>
        </w:rPr>
        <w:t xml:space="preserve"> los avances que se pueden lograr mediante el desarrollo de nuevas tecnologías son una gran motivación para muchos jóvenes </w:t>
      </w:r>
      <w:r w:rsidR="007958B4">
        <w:rPr>
          <w:rFonts w:ascii="Times New Roman" w:hAnsi="Times New Roman" w:cs="Times New Roman"/>
          <w:sz w:val="24"/>
          <w:szCs w:val="24"/>
        </w:rPr>
        <w:t>al momento de considerar una ingeniería</w:t>
      </w:r>
      <w:r w:rsidR="00005772">
        <w:rPr>
          <w:rFonts w:ascii="Times New Roman" w:hAnsi="Times New Roman" w:cs="Times New Roman"/>
          <w:sz w:val="24"/>
          <w:szCs w:val="24"/>
        </w:rPr>
        <w:t xml:space="preserve"> </w:t>
      </w:r>
      <w:r w:rsidR="00005772">
        <w:rPr>
          <w:rFonts w:ascii="Times New Roman" w:hAnsi="Times New Roman" w:cs="Times New Roman"/>
          <w:sz w:val="24"/>
          <w:szCs w:val="24"/>
        </w:rPr>
        <w:fldChar w:fldCharType="begin" w:fldLock="1"/>
      </w:r>
      <w:r w:rsidR="0096183A">
        <w:rPr>
          <w:rFonts w:ascii="Times New Roman" w:hAnsi="Times New Roman" w:cs="Times New Roman"/>
          <w:sz w:val="24"/>
          <w:szCs w:val="24"/>
        </w:rPr>
        <w:instrText>ADDIN CSL_CITATION {"citationItems":[{"id":"ITEM-1","itemData":{"URL":"http://www.engineeringchallenges.org/challenges.aspx","author":[{"dropping-particle":"","family":"National Academy of Engineering","given":"","non-dropping-particle":"","parse-names":false,"suffix":""}],"id":"ITEM-1","issued":{"date-parts":[["2015"]]},"title":"NAE Grand Challenges for Engineering","type":"webpage"},"uris":["http://www.mendeley.com/documents/?uuid=f6378d7b-34d5-448b-ad0a-cc5140df8196"]}],"mendeley":{"formattedCitation":"(National Academy of Engineering, 2015)","plainTextFormattedCitation":"(National Academy of Engineering, 2015)","previouslyFormattedCitation":"(National Academy of Engineering, 2015)"},"properties":{"noteIndex":0},"schema":"https://github.com/citation-style-language/schema/raw/master/csl-citation.json"}</w:instrText>
      </w:r>
      <w:r w:rsidR="00005772">
        <w:rPr>
          <w:rFonts w:ascii="Times New Roman" w:hAnsi="Times New Roman" w:cs="Times New Roman"/>
          <w:sz w:val="24"/>
          <w:szCs w:val="24"/>
        </w:rPr>
        <w:fldChar w:fldCharType="separate"/>
      </w:r>
      <w:r w:rsidR="00005772" w:rsidRPr="00507965">
        <w:rPr>
          <w:rFonts w:ascii="Times New Roman" w:hAnsi="Times New Roman" w:cs="Times New Roman"/>
          <w:noProof/>
          <w:sz w:val="24"/>
          <w:szCs w:val="24"/>
        </w:rPr>
        <w:t>(National Academy of Engineering, 2015)</w:t>
      </w:r>
      <w:r w:rsidR="00005772">
        <w:rPr>
          <w:rFonts w:ascii="Times New Roman" w:hAnsi="Times New Roman" w:cs="Times New Roman"/>
          <w:sz w:val="24"/>
          <w:szCs w:val="24"/>
        </w:rPr>
        <w:fldChar w:fldCharType="end"/>
      </w:r>
      <w:r w:rsidR="00005772">
        <w:rPr>
          <w:rFonts w:ascii="Times New Roman" w:hAnsi="Times New Roman" w:cs="Times New Roman"/>
          <w:sz w:val="24"/>
          <w:szCs w:val="24"/>
        </w:rPr>
        <w:t xml:space="preserve">. </w:t>
      </w:r>
      <w:r w:rsidR="007958B4">
        <w:rPr>
          <w:rFonts w:ascii="Times New Roman" w:hAnsi="Times New Roman" w:cs="Times New Roman"/>
          <w:sz w:val="24"/>
          <w:szCs w:val="24"/>
        </w:rPr>
        <w:t>Pero</w:t>
      </w:r>
      <w:r w:rsidR="00AA440A">
        <w:rPr>
          <w:rFonts w:ascii="Times New Roman" w:hAnsi="Times New Roman" w:cs="Times New Roman"/>
          <w:sz w:val="24"/>
          <w:szCs w:val="24"/>
        </w:rPr>
        <w:t>,</w:t>
      </w:r>
      <w:r w:rsidR="007958B4">
        <w:rPr>
          <w:rFonts w:ascii="Times New Roman" w:hAnsi="Times New Roman" w:cs="Times New Roman"/>
          <w:sz w:val="24"/>
          <w:szCs w:val="24"/>
        </w:rPr>
        <w:t xml:space="preserve"> a</w:t>
      </w:r>
      <w:r>
        <w:rPr>
          <w:rFonts w:ascii="Times New Roman" w:hAnsi="Times New Roman" w:cs="Times New Roman"/>
          <w:sz w:val="24"/>
          <w:szCs w:val="24"/>
        </w:rPr>
        <w:t xml:space="preserve"> pesar de</w:t>
      </w:r>
      <w:r w:rsidR="00005772" w:rsidRPr="006F563B">
        <w:rPr>
          <w:rFonts w:ascii="Times New Roman" w:hAnsi="Times New Roman" w:cs="Times New Roman"/>
          <w:sz w:val="24"/>
          <w:szCs w:val="24"/>
        </w:rPr>
        <w:t xml:space="preserve"> </w:t>
      </w:r>
      <w:r w:rsidR="007958B4">
        <w:rPr>
          <w:rFonts w:ascii="Times New Roman" w:hAnsi="Times New Roman" w:cs="Times New Roman"/>
          <w:sz w:val="24"/>
          <w:szCs w:val="24"/>
        </w:rPr>
        <w:t xml:space="preserve">este </w:t>
      </w:r>
      <w:r w:rsidR="00005772" w:rsidRPr="006F563B">
        <w:rPr>
          <w:rFonts w:ascii="Times New Roman" w:hAnsi="Times New Roman" w:cs="Times New Roman"/>
          <w:sz w:val="24"/>
          <w:szCs w:val="24"/>
        </w:rPr>
        <w:t>inter</w:t>
      </w:r>
      <w:r w:rsidR="006F563B">
        <w:rPr>
          <w:rFonts w:ascii="Times New Roman" w:hAnsi="Times New Roman" w:cs="Times New Roman"/>
          <w:sz w:val="24"/>
          <w:szCs w:val="24"/>
        </w:rPr>
        <w:t>é</w:t>
      </w:r>
      <w:r w:rsidR="00005772" w:rsidRPr="006F563B">
        <w:rPr>
          <w:rFonts w:ascii="Times New Roman" w:hAnsi="Times New Roman" w:cs="Times New Roman"/>
          <w:sz w:val="24"/>
          <w:szCs w:val="24"/>
        </w:rPr>
        <w:t xml:space="preserve">s </w:t>
      </w:r>
      <w:r w:rsidR="007958B4">
        <w:rPr>
          <w:rFonts w:ascii="Times New Roman" w:hAnsi="Times New Roman" w:cs="Times New Roman"/>
          <w:sz w:val="24"/>
          <w:szCs w:val="24"/>
        </w:rPr>
        <w:t xml:space="preserve">en </w:t>
      </w:r>
      <w:r>
        <w:rPr>
          <w:rFonts w:ascii="Times New Roman" w:hAnsi="Times New Roman" w:cs="Times New Roman"/>
          <w:sz w:val="24"/>
          <w:szCs w:val="24"/>
        </w:rPr>
        <w:t>carreras</w:t>
      </w:r>
      <w:r w:rsidR="007958B4">
        <w:rPr>
          <w:rFonts w:ascii="Times New Roman" w:hAnsi="Times New Roman" w:cs="Times New Roman"/>
          <w:sz w:val="24"/>
          <w:szCs w:val="24"/>
        </w:rPr>
        <w:t xml:space="preserve"> </w:t>
      </w:r>
      <w:r w:rsidR="00F948BE">
        <w:rPr>
          <w:rFonts w:ascii="Times New Roman" w:hAnsi="Times New Roman" w:cs="Times New Roman"/>
          <w:sz w:val="24"/>
          <w:szCs w:val="24"/>
        </w:rPr>
        <w:t xml:space="preserve">tecnológicas </w:t>
      </w:r>
      <w:r w:rsidR="00005772" w:rsidRPr="006F563B">
        <w:rPr>
          <w:rFonts w:ascii="Times New Roman" w:hAnsi="Times New Roman" w:cs="Times New Roman"/>
          <w:sz w:val="24"/>
          <w:szCs w:val="24"/>
        </w:rPr>
        <w:t>en</w:t>
      </w:r>
      <w:r w:rsidR="007958B4">
        <w:rPr>
          <w:rFonts w:ascii="Times New Roman" w:hAnsi="Times New Roman" w:cs="Times New Roman"/>
          <w:sz w:val="24"/>
          <w:szCs w:val="24"/>
        </w:rPr>
        <w:t xml:space="preserve">tre </w:t>
      </w:r>
      <w:r>
        <w:rPr>
          <w:rFonts w:ascii="Times New Roman" w:hAnsi="Times New Roman" w:cs="Times New Roman"/>
          <w:sz w:val="24"/>
          <w:szCs w:val="24"/>
        </w:rPr>
        <w:t>los</w:t>
      </w:r>
      <w:r w:rsidR="00005772" w:rsidRPr="006F563B">
        <w:rPr>
          <w:rFonts w:ascii="Times New Roman" w:hAnsi="Times New Roman" w:cs="Times New Roman"/>
          <w:sz w:val="24"/>
          <w:szCs w:val="24"/>
        </w:rPr>
        <w:t xml:space="preserve"> jóvenes</w:t>
      </w:r>
      <w:r w:rsidR="007958B4">
        <w:rPr>
          <w:rFonts w:ascii="Times New Roman" w:hAnsi="Times New Roman" w:cs="Times New Roman"/>
          <w:sz w:val="24"/>
          <w:szCs w:val="24"/>
        </w:rPr>
        <w:t xml:space="preserve"> estudiantes</w:t>
      </w:r>
      <w:r w:rsidR="00005772" w:rsidRPr="006F563B">
        <w:rPr>
          <w:rFonts w:ascii="Times New Roman" w:hAnsi="Times New Roman" w:cs="Times New Roman"/>
          <w:sz w:val="24"/>
          <w:szCs w:val="24"/>
        </w:rPr>
        <w:t xml:space="preserve">, </w:t>
      </w:r>
      <w:r w:rsidR="004F35B5">
        <w:rPr>
          <w:rFonts w:ascii="Times New Roman" w:hAnsi="Times New Roman" w:cs="Times New Roman"/>
          <w:sz w:val="24"/>
          <w:szCs w:val="24"/>
        </w:rPr>
        <w:t xml:space="preserve">actualmente </w:t>
      </w:r>
      <w:r w:rsidR="00005772" w:rsidRPr="006F563B">
        <w:rPr>
          <w:rFonts w:ascii="Times New Roman" w:hAnsi="Times New Roman" w:cs="Times New Roman"/>
          <w:sz w:val="24"/>
          <w:szCs w:val="24"/>
        </w:rPr>
        <w:t>algunos países como Estados Unidos</w:t>
      </w:r>
      <w:r w:rsidR="006F563B" w:rsidRPr="006F563B">
        <w:rPr>
          <w:rFonts w:ascii="Times New Roman" w:hAnsi="Times New Roman" w:cs="Times New Roman"/>
          <w:sz w:val="24"/>
          <w:szCs w:val="24"/>
        </w:rPr>
        <w:t>, Inglaterra, Alemania, Francia y los países más desarrol</w:t>
      </w:r>
      <w:r w:rsidR="006F563B">
        <w:rPr>
          <w:rFonts w:ascii="Times New Roman" w:hAnsi="Times New Roman" w:cs="Times New Roman"/>
          <w:sz w:val="24"/>
          <w:szCs w:val="24"/>
        </w:rPr>
        <w:t>l</w:t>
      </w:r>
      <w:r w:rsidR="006F563B" w:rsidRPr="006F563B">
        <w:rPr>
          <w:rFonts w:ascii="Times New Roman" w:hAnsi="Times New Roman" w:cs="Times New Roman"/>
          <w:sz w:val="24"/>
          <w:szCs w:val="24"/>
        </w:rPr>
        <w:t xml:space="preserve">ados de la </w:t>
      </w:r>
      <w:r>
        <w:rPr>
          <w:rFonts w:ascii="Times New Roman" w:hAnsi="Times New Roman" w:cs="Times New Roman"/>
          <w:sz w:val="24"/>
          <w:szCs w:val="24"/>
        </w:rPr>
        <w:t>U</w:t>
      </w:r>
      <w:r w:rsidR="006F563B" w:rsidRPr="006F563B">
        <w:rPr>
          <w:rFonts w:ascii="Times New Roman" w:hAnsi="Times New Roman" w:cs="Times New Roman"/>
          <w:sz w:val="24"/>
          <w:szCs w:val="24"/>
        </w:rPr>
        <w:t xml:space="preserve">nión </w:t>
      </w:r>
      <w:r>
        <w:rPr>
          <w:rFonts w:ascii="Times New Roman" w:hAnsi="Times New Roman" w:cs="Times New Roman"/>
          <w:sz w:val="24"/>
          <w:szCs w:val="24"/>
        </w:rPr>
        <w:t>E</w:t>
      </w:r>
      <w:r w:rsidR="006F563B" w:rsidRPr="006F563B">
        <w:rPr>
          <w:rFonts w:ascii="Times New Roman" w:hAnsi="Times New Roman" w:cs="Times New Roman"/>
          <w:sz w:val="24"/>
          <w:szCs w:val="24"/>
        </w:rPr>
        <w:t xml:space="preserve">uropea </w:t>
      </w:r>
      <w:r w:rsidR="006F563B">
        <w:rPr>
          <w:rFonts w:ascii="Times New Roman" w:hAnsi="Times New Roman" w:cs="Times New Roman"/>
          <w:sz w:val="24"/>
          <w:szCs w:val="24"/>
          <w:lang w:val="en-US"/>
        </w:rPr>
        <w:fldChar w:fldCharType="begin" w:fldLock="1"/>
      </w:r>
      <w:r w:rsidR="0096183A">
        <w:rPr>
          <w:rFonts w:ascii="Times New Roman" w:hAnsi="Times New Roman" w:cs="Times New Roman"/>
          <w:sz w:val="24"/>
          <w:szCs w:val="24"/>
        </w:rPr>
        <w:instrText>ADDIN CSL_CITATION {"citationItems":[{"id":"ITEM-1","itemData":{"author":[{"dropping-particle":"","family":"Erdmann","given":"Vera","non-dropping-particle":"","parse-names":false,"suffix":""},{"dropping-particle":"","family":"Schumann","given":"Tanja","non-dropping-particle":"","parse-names":false,"suffix":""}],"id":"ITEM-1","issued":{"date-parts":[["2010"]]},"title":"European Engineering Report","type":"report"},"uris":["http://www.mendeley.com/documents/?uuid=5fe74441-7ee9-4db9-a81b-3773a1f8fc31"]}],"mendeley":{"formattedCitation":"(Erdmann &amp; Schumann, 2010)","plainTextFormattedCitation":"(Erdmann &amp; Schumann, 2010)","previouslyFormattedCitation":"(Erdmann &amp; Schumann, 2010)"},"properties":{"noteIndex":0},"schema":"https://github.com/citation-style-language/schema/raw/master/csl-citation.json"}</w:instrText>
      </w:r>
      <w:r w:rsidR="006F563B">
        <w:rPr>
          <w:rFonts w:ascii="Times New Roman" w:hAnsi="Times New Roman" w:cs="Times New Roman"/>
          <w:sz w:val="24"/>
          <w:szCs w:val="24"/>
          <w:lang w:val="en-US"/>
        </w:rPr>
        <w:fldChar w:fldCharType="separate"/>
      </w:r>
      <w:r w:rsidR="006F563B" w:rsidRPr="005A6C8A">
        <w:rPr>
          <w:rFonts w:ascii="Times New Roman" w:hAnsi="Times New Roman" w:cs="Times New Roman"/>
          <w:noProof/>
          <w:sz w:val="24"/>
          <w:szCs w:val="24"/>
        </w:rPr>
        <w:t xml:space="preserve">(Erdmann </w:t>
      </w:r>
      <w:r w:rsidR="001F57D7">
        <w:rPr>
          <w:rFonts w:ascii="Times New Roman" w:hAnsi="Times New Roman" w:cs="Times New Roman"/>
          <w:noProof/>
          <w:sz w:val="24"/>
          <w:szCs w:val="24"/>
        </w:rPr>
        <w:t>y</w:t>
      </w:r>
      <w:r w:rsidR="001F57D7" w:rsidRPr="005A6C8A">
        <w:rPr>
          <w:rFonts w:ascii="Times New Roman" w:hAnsi="Times New Roman" w:cs="Times New Roman"/>
          <w:noProof/>
          <w:sz w:val="24"/>
          <w:szCs w:val="24"/>
        </w:rPr>
        <w:t xml:space="preserve"> </w:t>
      </w:r>
      <w:r w:rsidR="006F563B" w:rsidRPr="005A6C8A">
        <w:rPr>
          <w:rFonts w:ascii="Times New Roman" w:hAnsi="Times New Roman" w:cs="Times New Roman"/>
          <w:noProof/>
          <w:sz w:val="24"/>
          <w:szCs w:val="24"/>
        </w:rPr>
        <w:t>Schumann, 2010)</w:t>
      </w:r>
      <w:r w:rsidR="006F563B">
        <w:rPr>
          <w:rFonts w:ascii="Times New Roman" w:hAnsi="Times New Roman" w:cs="Times New Roman"/>
          <w:sz w:val="24"/>
          <w:szCs w:val="24"/>
          <w:lang w:val="en-US"/>
        </w:rPr>
        <w:fldChar w:fldCharType="end"/>
      </w:r>
      <w:r w:rsidR="006F563B" w:rsidRPr="005A6C8A">
        <w:rPr>
          <w:rFonts w:ascii="Times New Roman" w:hAnsi="Times New Roman" w:cs="Times New Roman"/>
          <w:sz w:val="24"/>
          <w:szCs w:val="24"/>
        </w:rPr>
        <w:t xml:space="preserve"> </w:t>
      </w:r>
      <w:r>
        <w:rPr>
          <w:rFonts w:ascii="Times New Roman" w:hAnsi="Times New Roman" w:cs="Times New Roman"/>
          <w:sz w:val="24"/>
          <w:szCs w:val="24"/>
        </w:rPr>
        <w:t>enfrentan</w:t>
      </w:r>
      <w:r w:rsidR="006F563B" w:rsidRPr="005A6C8A">
        <w:rPr>
          <w:rFonts w:ascii="Times New Roman" w:hAnsi="Times New Roman" w:cs="Times New Roman"/>
          <w:sz w:val="24"/>
          <w:szCs w:val="24"/>
        </w:rPr>
        <w:t xml:space="preserve"> problemas para poder ocupar los </w:t>
      </w:r>
      <w:r w:rsidR="007958B4">
        <w:rPr>
          <w:rFonts w:ascii="Times New Roman" w:hAnsi="Times New Roman" w:cs="Times New Roman"/>
          <w:sz w:val="24"/>
          <w:szCs w:val="24"/>
        </w:rPr>
        <w:t xml:space="preserve">trabajos </w:t>
      </w:r>
      <w:r w:rsidR="006F563B" w:rsidRPr="005A6C8A">
        <w:rPr>
          <w:rFonts w:ascii="Times New Roman" w:hAnsi="Times New Roman" w:cs="Times New Roman"/>
          <w:sz w:val="24"/>
          <w:szCs w:val="24"/>
        </w:rPr>
        <w:t xml:space="preserve">necesarios para satisfacer </w:t>
      </w:r>
      <w:r>
        <w:rPr>
          <w:rFonts w:ascii="Times New Roman" w:hAnsi="Times New Roman" w:cs="Times New Roman"/>
          <w:sz w:val="24"/>
          <w:szCs w:val="24"/>
        </w:rPr>
        <w:t>su</w:t>
      </w:r>
      <w:r w:rsidR="007958B4">
        <w:rPr>
          <w:rFonts w:ascii="Times New Roman" w:hAnsi="Times New Roman" w:cs="Times New Roman"/>
          <w:sz w:val="24"/>
          <w:szCs w:val="24"/>
        </w:rPr>
        <w:t>s</w:t>
      </w:r>
      <w:r w:rsidR="006F563B">
        <w:rPr>
          <w:rFonts w:ascii="Times New Roman" w:hAnsi="Times New Roman" w:cs="Times New Roman"/>
          <w:sz w:val="24"/>
          <w:szCs w:val="24"/>
        </w:rPr>
        <w:t xml:space="preserve"> demanda</w:t>
      </w:r>
      <w:r w:rsidR="007958B4">
        <w:rPr>
          <w:rFonts w:ascii="Times New Roman" w:hAnsi="Times New Roman" w:cs="Times New Roman"/>
          <w:sz w:val="24"/>
          <w:szCs w:val="24"/>
        </w:rPr>
        <w:t>s</w:t>
      </w:r>
      <w:r w:rsidR="006F563B">
        <w:rPr>
          <w:rFonts w:ascii="Times New Roman" w:hAnsi="Times New Roman" w:cs="Times New Roman"/>
          <w:sz w:val="24"/>
          <w:szCs w:val="24"/>
        </w:rPr>
        <w:t xml:space="preserve"> de</w:t>
      </w:r>
      <w:r w:rsidR="007958B4">
        <w:rPr>
          <w:rFonts w:ascii="Times New Roman" w:hAnsi="Times New Roman" w:cs="Times New Roman"/>
          <w:sz w:val="24"/>
          <w:szCs w:val="24"/>
        </w:rPr>
        <w:t xml:space="preserve"> creación de tecnología</w:t>
      </w:r>
      <w:r w:rsidR="005A6C8A">
        <w:rPr>
          <w:rFonts w:ascii="Times New Roman" w:hAnsi="Times New Roman" w:cs="Times New Roman"/>
          <w:sz w:val="24"/>
          <w:szCs w:val="24"/>
        </w:rPr>
        <w:t xml:space="preserve">. </w:t>
      </w:r>
    </w:p>
    <w:p w14:paraId="47574845" w14:textId="50779FE5" w:rsidR="004331E9" w:rsidRDefault="005A6C8A" w:rsidP="00514B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8C2AAD">
        <w:rPr>
          <w:rFonts w:ascii="Times New Roman" w:hAnsi="Times New Roman" w:cs="Times New Roman"/>
          <w:sz w:val="24"/>
          <w:szCs w:val="24"/>
        </w:rPr>
        <w:t>n e</w:t>
      </w:r>
      <w:r>
        <w:rPr>
          <w:rFonts w:ascii="Times New Roman" w:hAnsi="Times New Roman" w:cs="Times New Roman"/>
          <w:sz w:val="24"/>
          <w:szCs w:val="24"/>
        </w:rPr>
        <w:t>l caso de México</w:t>
      </w:r>
      <w:r w:rsidR="008C2AAD">
        <w:rPr>
          <w:rFonts w:ascii="Times New Roman" w:hAnsi="Times New Roman" w:cs="Times New Roman"/>
          <w:sz w:val="24"/>
          <w:szCs w:val="24"/>
        </w:rPr>
        <w:t>, las diferencias en el desarrollo económico y tecnológico</w:t>
      </w:r>
      <w:r w:rsidR="00F948BE">
        <w:rPr>
          <w:rFonts w:ascii="Times New Roman" w:hAnsi="Times New Roman" w:cs="Times New Roman"/>
          <w:sz w:val="24"/>
          <w:szCs w:val="24"/>
        </w:rPr>
        <w:t xml:space="preserve"> que tiene este país con respecto a países del primer mundo</w:t>
      </w:r>
      <w:r w:rsidR="008C2AAD">
        <w:rPr>
          <w:rFonts w:ascii="Times New Roman" w:hAnsi="Times New Roman" w:cs="Times New Roman"/>
          <w:sz w:val="24"/>
          <w:szCs w:val="24"/>
        </w:rPr>
        <w:t xml:space="preserve"> hacen que la demanda de nuevos ingenieros sea menor que en los países desarrollados que se mencionaron anteriormente</w:t>
      </w:r>
      <w:r w:rsidR="00860A9E">
        <w:rPr>
          <w:rFonts w:ascii="Times New Roman" w:hAnsi="Times New Roman" w:cs="Times New Roman"/>
          <w:sz w:val="24"/>
          <w:szCs w:val="24"/>
        </w:rPr>
        <w:t>.</w:t>
      </w:r>
      <w:r w:rsidR="008C2AAD">
        <w:rPr>
          <w:rFonts w:ascii="Times New Roman" w:hAnsi="Times New Roman" w:cs="Times New Roman"/>
          <w:sz w:val="24"/>
          <w:szCs w:val="24"/>
        </w:rPr>
        <w:t xml:space="preserve"> </w:t>
      </w:r>
      <w:r w:rsidR="004B5B95">
        <w:rPr>
          <w:rFonts w:ascii="Times New Roman" w:hAnsi="Times New Roman" w:cs="Times New Roman"/>
          <w:sz w:val="24"/>
          <w:szCs w:val="24"/>
        </w:rPr>
        <w:t>Sin embargo</w:t>
      </w:r>
      <w:r w:rsidR="001854A9">
        <w:rPr>
          <w:rFonts w:ascii="Times New Roman" w:hAnsi="Times New Roman" w:cs="Times New Roman"/>
          <w:sz w:val="24"/>
          <w:szCs w:val="24"/>
        </w:rPr>
        <w:t>, al</w:t>
      </w:r>
      <w:r w:rsidR="008C2AAD">
        <w:rPr>
          <w:rFonts w:ascii="Times New Roman" w:hAnsi="Times New Roman" w:cs="Times New Roman"/>
          <w:sz w:val="24"/>
          <w:szCs w:val="24"/>
        </w:rPr>
        <w:t xml:space="preserve"> igual </w:t>
      </w:r>
      <w:r w:rsidR="00860A9E">
        <w:rPr>
          <w:rFonts w:ascii="Times New Roman" w:hAnsi="Times New Roman" w:cs="Times New Roman"/>
          <w:sz w:val="24"/>
          <w:szCs w:val="24"/>
        </w:rPr>
        <w:t>que los países más desarrollados, México tiene</w:t>
      </w:r>
      <w:r w:rsidR="008C2AAD">
        <w:rPr>
          <w:rFonts w:ascii="Times New Roman" w:hAnsi="Times New Roman" w:cs="Times New Roman"/>
          <w:sz w:val="24"/>
          <w:szCs w:val="24"/>
        </w:rPr>
        <w:t xml:space="preserve"> un gran interés en </w:t>
      </w:r>
      <w:r w:rsidR="00860A9E">
        <w:rPr>
          <w:rFonts w:ascii="Times New Roman" w:hAnsi="Times New Roman" w:cs="Times New Roman"/>
          <w:sz w:val="24"/>
          <w:szCs w:val="24"/>
        </w:rPr>
        <w:t>la preparación</w:t>
      </w:r>
      <w:r w:rsidR="008C2AAD">
        <w:rPr>
          <w:rFonts w:ascii="Times New Roman" w:hAnsi="Times New Roman" w:cs="Times New Roman"/>
          <w:sz w:val="24"/>
          <w:szCs w:val="24"/>
        </w:rPr>
        <w:t xml:space="preserve"> de personal altamente capacitado en las áreas de ingeniería para impulsar el desarrollo nacional. Est</w:t>
      </w:r>
      <w:r w:rsidR="00480634">
        <w:rPr>
          <w:rFonts w:ascii="Times New Roman" w:hAnsi="Times New Roman" w:cs="Times New Roman"/>
          <w:sz w:val="24"/>
          <w:szCs w:val="24"/>
        </w:rPr>
        <w:t>a predilección</w:t>
      </w:r>
      <w:r w:rsidR="008C2AAD">
        <w:rPr>
          <w:rFonts w:ascii="Times New Roman" w:hAnsi="Times New Roman" w:cs="Times New Roman"/>
          <w:sz w:val="24"/>
          <w:szCs w:val="24"/>
        </w:rPr>
        <w:t xml:space="preserve"> en generar más ingenieros queda claramente </w:t>
      </w:r>
      <w:r w:rsidR="00445ACD">
        <w:rPr>
          <w:rFonts w:ascii="Times New Roman" w:hAnsi="Times New Roman" w:cs="Times New Roman"/>
          <w:sz w:val="24"/>
          <w:szCs w:val="24"/>
        </w:rPr>
        <w:t xml:space="preserve">establecida </w:t>
      </w:r>
      <w:r w:rsidR="008C2AAD">
        <w:rPr>
          <w:rFonts w:ascii="Times New Roman" w:hAnsi="Times New Roman" w:cs="Times New Roman"/>
          <w:sz w:val="24"/>
          <w:szCs w:val="24"/>
        </w:rPr>
        <w:t>en l</w:t>
      </w:r>
      <w:r w:rsidR="005300AD">
        <w:rPr>
          <w:rFonts w:ascii="Times New Roman" w:hAnsi="Times New Roman" w:cs="Times New Roman"/>
          <w:sz w:val="24"/>
          <w:szCs w:val="24"/>
        </w:rPr>
        <w:t>as bases</w:t>
      </w:r>
      <w:r w:rsidR="008C2AAD">
        <w:rPr>
          <w:rFonts w:ascii="Times New Roman" w:hAnsi="Times New Roman" w:cs="Times New Roman"/>
          <w:sz w:val="24"/>
          <w:szCs w:val="24"/>
        </w:rPr>
        <w:t xml:space="preserve"> d</w:t>
      </w:r>
      <w:r w:rsidR="008C2AAD">
        <w:rPr>
          <w:rFonts w:ascii="Times New Roman" w:eastAsia="Times New Roman" w:hAnsi="Times New Roman" w:cs="Times New Roman"/>
          <w:sz w:val="24"/>
          <w:szCs w:val="24"/>
          <w:lang w:eastAsia="es-MX"/>
        </w:rPr>
        <w:t xml:space="preserve">el tercer eje del </w:t>
      </w:r>
      <w:r w:rsidR="008C2AAD" w:rsidRPr="00514B68">
        <w:rPr>
          <w:rFonts w:ascii="Times New Roman" w:eastAsia="Times New Roman" w:hAnsi="Times New Roman" w:cs="Times New Roman"/>
          <w:i/>
          <w:sz w:val="24"/>
          <w:szCs w:val="24"/>
          <w:lang w:eastAsia="es-MX"/>
        </w:rPr>
        <w:t>Plan Nacional de Desarrollo 2013-2018 del Gobierno de la República</w:t>
      </w:r>
      <w:r w:rsidR="008C2AAD">
        <w:rPr>
          <w:rFonts w:ascii="Times New Roman" w:eastAsia="Times New Roman" w:hAnsi="Times New Roman" w:cs="Times New Roman"/>
          <w:sz w:val="24"/>
          <w:szCs w:val="24"/>
          <w:lang w:eastAsia="es-MX"/>
        </w:rPr>
        <w:t xml:space="preserve"> </w:t>
      </w:r>
      <w:r w:rsidR="008C2AAD">
        <w:rPr>
          <w:rFonts w:ascii="Times New Roman" w:eastAsia="Times New Roman" w:hAnsi="Times New Roman" w:cs="Times New Roman"/>
          <w:sz w:val="24"/>
          <w:szCs w:val="24"/>
          <w:lang w:eastAsia="es-MX"/>
        </w:rPr>
        <w:fldChar w:fldCharType="begin" w:fldLock="1"/>
      </w:r>
      <w:r w:rsidR="0096183A">
        <w:rPr>
          <w:rFonts w:ascii="Times New Roman" w:eastAsia="Times New Roman" w:hAnsi="Times New Roman" w:cs="Times New Roman"/>
          <w:sz w:val="24"/>
          <w:szCs w:val="24"/>
          <w:lang w:eastAsia="es-MX"/>
        </w:rPr>
        <w:instrText>ADDIN CSL_CITATION {"citationItems":[{"id":"ITEM-1","itemData":{"author":[{"dropping-particle":"","family":"PND","given":"","non-dropping-particle":"","parse-names":false,"suffix":""}],"id":"ITEM-1","issued":{"date-parts":[["2013"]]},"title":"Plan Nacional de Desarrollo 2013 - 2018. Gobierno de la República.","type":"report"},"uris":["http://www.mendeley.com/documents/?uuid=aaf2d54f-9ee0-46ce-815c-90f67c8a5580"]}],"mendeley":{"formattedCitation":"(PND, 2013)","manualFormatting":"(Gobierno de la República, 2013)","plainTextFormattedCitation":"(PND, 2013)","previouslyFormattedCitation":"(PND, 2013)"},"properties":{"noteIndex":0},"schema":"https://github.com/citation-style-language/schema/raw/master/csl-citation.json"}</w:instrText>
      </w:r>
      <w:r w:rsidR="008C2AAD">
        <w:rPr>
          <w:rFonts w:ascii="Times New Roman" w:eastAsia="Times New Roman" w:hAnsi="Times New Roman" w:cs="Times New Roman"/>
          <w:sz w:val="24"/>
          <w:szCs w:val="24"/>
          <w:lang w:eastAsia="es-MX"/>
        </w:rPr>
        <w:fldChar w:fldCharType="separate"/>
      </w:r>
      <w:r w:rsidR="008C2AAD" w:rsidRPr="000A08C8">
        <w:rPr>
          <w:rFonts w:ascii="Times New Roman" w:eastAsia="Times New Roman" w:hAnsi="Times New Roman" w:cs="Times New Roman"/>
          <w:noProof/>
          <w:sz w:val="24"/>
          <w:szCs w:val="24"/>
          <w:lang w:eastAsia="es-MX"/>
        </w:rPr>
        <w:t>(</w:t>
      </w:r>
      <w:r w:rsidR="000A1981">
        <w:rPr>
          <w:rFonts w:ascii="Times New Roman" w:eastAsia="Times New Roman" w:hAnsi="Times New Roman" w:cs="Times New Roman"/>
          <w:noProof/>
          <w:sz w:val="24"/>
          <w:szCs w:val="24"/>
          <w:lang w:eastAsia="es-MX"/>
        </w:rPr>
        <w:t>Gobierno de la República</w:t>
      </w:r>
      <w:r w:rsidR="008C2AAD" w:rsidRPr="000A08C8">
        <w:rPr>
          <w:rFonts w:ascii="Times New Roman" w:eastAsia="Times New Roman" w:hAnsi="Times New Roman" w:cs="Times New Roman"/>
          <w:noProof/>
          <w:sz w:val="24"/>
          <w:szCs w:val="24"/>
          <w:lang w:eastAsia="es-MX"/>
        </w:rPr>
        <w:t>, 2013)</w:t>
      </w:r>
      <w:r w:rsidR="008C2AAD">
        <w:rPr>
          <w:rFonts w:ascii="Times New Roman" w:eastAsia="Times New Roman" w:hAnsi="Times New Roman" w:cs="Times New Roman"/>
          <w:sz w:val="24"/>
          <w:szCs w:val="24"/>
          <w:lang w:eastAsia="es-MX"/>
        </w:rPr>
        <w:fldChar w:fldCharType="end"/>
      </w:r>
      <w:r w:rsidR="00074E3D">
        <w:rPr>
          <w:rFonts w:ascii="Times New Roman" w:eastAsia="Times New Roman" w:hAnsi="Times New Roman" w:cs="Times New Roman"/>
          <w:sz w:val="24"/>
          <w:szCs w:val="24"/>
          <w:lang w:eastAsia="es-MX"/>
        </w:rPr>
        <w:t xml:space="preserve"> y en el Programa Especial de Ciencia, Tecnología e Innovación 2014</w:t>
      </w:r>
      <w:r w:rsidR="00790453">
        <w:rPr>
          <w:rFonts w:ascii="Times New Roman" w:eastAsia="Times New Roman" w:hAnsi="Times New Roman" w:cs="Times New Roman"/>
          <w:sz w:val="24"/>
          <w:szCs w:val="24"/>
          <w:lang w:eastAsia="es-MX"/>
        </w:rPr>
        <w:t>-</w:t>
      </w:r>
      <w:r w:rsidR="00074E3D">
        <w:rPr>
          <w:rFonts w:ascii="Times New Roman" w:eastAsia="Times New Roman" w:hAnsi="Times New Roman" w:cs="Times New Roman"/>
          <w:sz w:val="24"/>
          <w:szCs w:val="24"/>
          <w:lang w:eastAsia="es-MX"/>
        </w:rPr>
        <w:t xml:space="preserve">2018 </w:t>
      </w:r>
      <w:r w:rsidR="00074E3D">
        <w:rPr>
          <w:rFonts w:ascii="Times New Roman" w:eastAsia="Times New Roman" w:hAnsi="Times New Roman" w:cs="Times New Roman"/>
          <w:sz w:val="24"/>
          <w:szCs w:val="24"/>
          <w:lang w:eastAsia="es-MX"/>
        </w:rPr>
        <w:fldChar w:fldCharType="begin" w:fldLock="1"/>
      </w:r>
      <w:r w:rsidR="0096183A">
        <w:rPr>
          <w:rFonts w:ascii="Times New Roman" w:eastAsia="Times New Roman" w:hAnsi="Times New Roman" w:cs="Times New Roman"/>
          <w:sz w:val="24"/>
          <w:szCs w:val="24"/>
          <w:lang w:eastAsia="es-MX"/>
        </w:rPr>
        <w:instrText>ADDIN CSL_CITATION {"citationItems":[{"id":"ITEM-1","itemData":{"author":[{"dropping-particle":"","family":"PECITI","given":"","non-dropping-particle":"","parse-names":false,"suffix":""}],"id":"ITEM-1","issued":{"date-parts":[["2014"]]},"title":"Programa Especial de Ciencia, Tecnología e Innovación 2014 - 2018. Diario Oficial de la Federación","type":"report"},"uris":["http://www.mendeley.com/documents/?uuid=89d40636-36f7-4faf-be7a-a2bc3887b72f"]}],"mendeley":{"formattedCitation":"(PECITI, 2014)","manualFormatting":"(Consejo Nacional de Ciencia y Tecnología, 2014)","plainTextFormattedCitation":"(PECITI, 2014)","previouslyFormattedCitation":"(PECITI, 2014)"},"properties":{"noteIndex":0},"schema":"https://github.com/citation-style-language/schema/raw/master/csl-citation.json"}</w:instrText>
      </w:r>
      <w:r w:rsidR="00074E3D">
        <w:rPr>
          <w:rFonts w:ascii="Times New Roman" w:eastAsia="Times New Roman" w:hAnsi="Times New Roman" w:cs="Times New Roman"/>
          <w:sz w:val="24"/>
          <w:szCs w:val="24"/>
          <w:lang w:eastAsia="es-MX"/>
        </w:rPr>
        <w:fldChar w:fldCharType="separate"/>
      </w:r>
      <w:r w:rsidR="00074E3D" w:rsidRPr="00DA2206">
        <w:rPr>
          <w:rFonts w:ascii="Times New Roman" w:eastAsia="Times New Roman" w:hAnsi="Times New Roman" w:cs="Times New Roman"/>
          <w:noProof/>
          <w:sz w:val="24"/>
          <w:szCs w:val="24"/>
          <w:lang w:eastAsia="es-MX"/>
        </w:rPr>
        <w:t>(</w:t>
      </w:r>
      <w:r w:rsidR="000A1981">
        <w:rPr>
          <w:rFonts w:ascii="Times New Roman" w:eastAsia="Times New Roman" w:hAnsi="Times New Roman" w:cs="Times New Roman"/>
          <w:noProof/>
          <w:sz w:val="24"/>
          <w:szCs w:val="24"/>
          <w:lang w:eastAsia="es-MX"/>
        </w:rPr>
        <w:t>Consejo Nacional de Ciencia y Tecnología</w:t>
      </w:r>
      <w:r w:rsidR="00790453">
        <w:rPr>
          <w:rFonts w:ascii="Times New Roman" w:eastAsia="Times New Roman" w:hAnsi="Times New Roman" w:cs="Times New Roman"/>
          <w:noProof/>
          <w:sz w:val="24"/>
          <w:szCs w:val="24"/>
          <w:lang w:eastAsia="es-MX"/>
        </w:rPr>
        <w:t xml:space="preserve"> [Conacyt]</w:t>
      </w:r>
      <w:r w:rsidR="00074E3D" w:rsidRPr="00DA2206">
        <w:rPr>
          <w:rFonts w:ascii="Times New Roman" w:eastAsia="Times New Roman" w:hAnsi="Times New Roman" w:cs="Times New Roman"/>
          <w:noProof/>
          <w:sz w:val="24"/>
          <w:szCs w:val="24"/>
          <w:lang w:eastAsia="es-MX"/>
        </w:rPr>
        <w:t>, 2014)</w:t>
      </w:r>
      <w:r w:rsidR="00074E3D">
        <w:rPr>
          <w:rFonts w:ascii="Times New Roman" w:eastAsia="Times New Roman" w:hAnsi="Times New Roman" w:cs="Times New Roman"/>
          <w:sz w:val="24"/>
          <w:szCs w:val="24"/>
          <w:lang w:eastAsia="es-MX"/>
        </w:rPr>
        <w:fldChar w:fldCharType="end"/>
      </w:r>
      <w:r w:rsidR="008C2AAD">
        <w:rPr>
          <w:rFonts w:ascii="Times New Roman" w:eastAsia="Times New Roman" w:hAnsi="Times New Roman" w:cs="Times New Roman"/>
          <w:sz w:val="24"/>
          <w:szCs w:val="24"/>
          <w:lang w:eastAsia="es-MX"/>
        </w:rPr>
        <w:t xml:space="preserve">, </w:t>
      </w:r>
      <w:r w:rsidR="00074E3D">
        <w:rPr>
          <w:rFonts w:ascii="Times New Roman" w:eastAsia="Times New Roman" w:hAnsi="Times New Roman" w:cs="Times New Roman"/>
          <w:sz w:val="24"/>
          <w:szCs w:val="24"/>
          <w:lang w:eastAsia="es-MX"/>
        </w:rPr>
        <w:t>los</w:t>
      </w:r>
      <w:r w:rsidR="005300AD">
        <w:rPr>
          <w:rFonts w:ascii="Times New Roman" w:eastAsia="Times New Roman" w:hAnsi="Times New Roman" w:cs="Times New Roman"/>
          <w:sz w:val="24"/>
          <w:szCs w:val="24"/>
          <w:lang w:eastAsia="es-MX"/>
        </w:rPr>
        <w:t xml:space="preserve"> cual</w:t>
      </w:r>
      <w:r w:rsidR="00074E3D">
        <w:rPr>
          <w:rFonts w:ascii="Times New Roman" w:eastAsia="Times New Roman" w:hAnsi="Times New Roman" w:cs="Times New Roman"/>
          <w:sz w:val="24"/>
          <w:szCs w:val="24"/>
          <w:lang w:eastAsia="es-MX"/>
        </w:rPr>
        <w:t>es</w:t>
      </w:r>
      <w:r w:rsidR="005300AD">
        <w:rPr>
          <w:rFonts w:ascii="Times New Roman" w:eastAsia="Times New Roman" w:hAnsi="Times New Roman" w:cs="Times New Roman"/>
          <w:sz w:val="24"/>
          <w:szCs w:val="24"/>
          <w:lang w:eastAsia="es-MX"/>
        </w:rPr>
        <w:t xml:space="preserve"> busca</w:t>
      </w:r>
      <w:r w:rsidR="005143E8">
        <w:rPr>
          <w:rFonts w:ascii="Times New Roman" w:eastAsia="Times New Roman" w:hAnsi="Times New Roman" w:cs="Times New Roman"/>
          <w:sz w:val="24"/>
          <w:szCs w:val="24"/>
          <w:lang w:eastAsia="es-MX"/>
        </w:rPr>
        <w:t>n</w:t>
      </w:r>
      <w:r w:rsidR="005300AD">
        <w:rPr>
          <w:rFonts w:ascii="Times New Roman" w:eastAsia="Times New Roman" w:hAnsi="Times New Roman" w:cs="Times New Roman"/>
          <w:sz w:val="24"/>
          <w:szCs w:val="24"/>
          <w:lang w:eastAsia="es-MX"/>
        </w:rPr>
        <w:t xml:space="preserve"> promover el interés de los estudiantes mexicanos</w:t>
      </w:r>
      <w:r w:rsidR="008C2AAD">
        <w:rPr>
          <w:rFonts w:ascii="Times New Roman" w:eastAsia="Times New Roman" w:hAnsi="Times New Roman" w:cs="Times New Roman"/>
          <w:sz w:val="24"/>
          <w:szCs w:val="24"/>
          <w:lang w:eastAsia="es-MX"/>
        </w:rPr>
        <w:t xml:space="preserve"> en </w:t>
      </w:r>
      <w:r w:rsidR="005300AD">
        <w:rPr>
          <w:rFonts w:ascii="Times New Roman" w:eastAsia="Times New Roman" w:hAnsi="Times New Roman" w:cs="Times New Roman"/>
          <w:sz w:val="24"/>
          <w:szCs w:val="24"/>
          <w:lang w:eastAsia="es-MX"/>
        </w:rPr>
        <w:t xml:space="preserve">las </w:t>
      </w:r>
      <w:r w:rsidR="008C2AAD">
        <w:rPr>
          <w:rFonts w:ascii="Times New Roman" w:eastAsia="Times New Roman" w:hAnsi="Times New Roman" w:cs="Times New Roman"/>
          <w:sz w:val="24"/>
          <w:szCs w:val="24"/>
          <w:lang w:eastAsia="es-MX"/>
        </w:rPr>
        <w:t xml:space="preserve">carreras de ingeniería, </w:t>
      </w:r>
      <w:r w:rsidR="005300AD">
        <w:rPr>
          <w:rFonts w:ascii="Times New Roman" w:eastAsia="Times New Roman" w:hAnsi="Times New Roman" w:cs="Times New Roman"/>
          <w:sz w:val="24"/>
          <w:szCs w:val="24"/>
          <w:lang w:eastAsia="es-MX"/>
        </w:rPr>
        <w:t>así como</w:t>
      </w:r>
      <w:r w:rsidR="008C2AAD">
        <w:rPr>
          <w:rFonts w:ascii="Times New Roman" w:eastAsia="Times New Roman" w:hAnsi="Times New Roman" w:cs="Times New Roman"/>
          <w:sz w:val="24"/>
          <w:szCs w:val="24"/>
          <w:lang w:eastAsia="es-MX"/>
        </w:rPr>
        <w:t xml:space="preserve"> ofrecer mejores oportunidades a los </w:t>
      </w:r>
      <w:r w:rsidR="009E565A">
        <w:rPr>
          <w:rFonts w:ascii="Times New Roman" w:eastAsia="Times New Roman" w:hAnsi="Times New Roman" w:cs="Times New Roman"/>
          <w:sz w:val="24"/>
          <w:szCs w:val="24"/>
          <w:lang w:eastAsia="es-MX"/>
        </w:rPr>
        <w:t xml:space="preserve">alumnos </w:t>
      </w:r>
      <w:r w:rsidR="008C2AAD">
        <w:rPr>
          <w:rFonts w:ascii="Times New Roman" w:eastAsia="Times New Roman" w:hAnsi="Times New Roman" w:cs="Times New Roman"/>
          <w:sz w:val="24"/>
          <w:szCs w:val="24"/>
          <w:lang w:eastAsia="es-MX"/>
        </w:rPr>
        <w:t>que experimentan problemas para terminar su carrera</w:t>
      </w:r>
      <w:r w:rsidR="00860A9E">
        <w:rPr>
          <w:rFonts w:ascii="Times New Roman" w:eastAsia="Times New Roman" w:hAnsi="Times New Roman" w:cs="Times New Roman"/>
          <w:sz w:val="24"/>
          <w:szCs w:val="24"/>
          <w:lang w:eastAsia="es-MX"/>
        </w:rPr>
        <w:t xml:space="preserve"> </w:t>
      </w:r>
      <w:r w:rsidR="000367F5">
        <w:rPr>
          <w:rFonts w:ascii="Times New Roman" w:eastAsia="Times New Roman" w:hAnsi="Times New Roman" w:cs="Times New Roman"/>
          <w:sz w:val="24"/>
          <w:szCs w:val="24"/>
          <w:lang w:eastAsia="es-MX"/>
        </w:rPr>
        <w:t>ingenieril</w:t>
      </w:r>
      <w:r w:rsidR="008C2AAD">
        <w:rPr>
          <w:rFonts w:ascii="Times New Roman" w:eastAsia="Times New Roman" w:hAnsi="Times New Roman" w:cs="Times New Roman"/>
          <w:sz w:val="24"/>
          <w:szCs w:val="24"/>
          <w:lang w:eastAsia="es-MX"/>
        </w:rPr>
        <w:t xml:space="preserve"> debido a deficien</w:t>
      </w:r>
      <w:r w:rsidR="005300AD">
        <w:rPr>
          <w:rFonts w:ascii="Times New Roman" w:eastAsia="Times New Roman" w:hAnsi="Times New Roman" w:cs="Times New Roman"/>
          <w:sz w:val="24"/>
          <w:szCs w:val="24"/>
          <w:lang w:eastAsia="es-MX"/>
        </w:rPr>
        <w:t>cias en su educación</w:t>
      </w:r>
      <w:r w:rsidR="008C2AAD">
        <w:rPr>
          <w:rFonts w:ascii="Times New Roman" w:eastAsia="Times New Roman" w:hAnsi="Times New Roman" w:cs="Times New Roman"/>
          <w:sz w:val="24"/>
          <w:szCs w:val="24"/>
          <w:lang w:eastAsia="es-MX"/>
        </w:rPr>
        <w:t xml:space="preserve"> preparatoria.</w:t>
      </w:r>
      <w:r w:rsidR="008C2AAD">
        <w:rPr>
          <w:rFonts w:ascii="Times New Roman" w:hAnsi="Times New Roman" w:cs="Times New Roman"/>
          <w:sz w:val="24"/>
          <w:szCs w:val="24"/>
        </w:rPr>
        <w:t xml:space="preserve"> </w:t>
      </w:r>
      <w:r w:rsidR="009E565A">
        <w:rPr>
          <w:rFonts w:ascii="Times New Roman" w:hAnsi="Times New Roman" w:cs="Times New Roman"/>
          <w:sz w:val="24"/>
          <w:szCs w:val="24"/>
        </w:rPr>
        <w:t xml:space="preserve">Respecto a este último punto, es </w:t>
      </w:r>
      <w:r w:rsidR="00074E3D">
        <w:rPr>
          <w:rFonts w:ascii="Times New Roman" w:hAnsi="Times New Roman" w:cs="Times New Roman"/>
          <w:sz w:val="24"/>
          <w:szCs w:val="24"/>
        </w:rPr>
        <w:t xml:space="preserve">importante considerar los altos índices de </w:t>
      </w:r>
      <w:r w:rsidR="005300AD">
        <w:rPr>
          <w:rFonts w:ascii="Times New Roman" w:hAnsi="Times New Roman" w:cs="Times New Roman"/>
          <w:sz w:val="24"/>
          <w:szCs w:val="24"/>
        </w:rPr>
        <w:t xml:space="preserve">deserción en las carreras de ingeniería en México, ya que aproximadamente </w:t>
      </w:r>
      <w:r w:rsidR="00005772">
        <w:rPr>
          <w:rFonts w:ascii="Times New Roman" w:hAnsi="Times New Roman" w:cs="Times New Roman"/>
          <w:sz w:val="24"/>
          <w:szCs w:val="24"/>
        </w:rPr>
        <w:t>50</w:t>
      </w:r>
      <w:r w:rsidR="009E565A">
        <w:rPr>
          <w:rFonts w:ascii="Times New Roman" w:hAnsi="Times New Roman" w:cs="Times New Roman"/>
          <w:sz w:val="24"/>
          <w:szCs w:val="24"/>
        </w:rPr>
        <w:t xml:space="preserve"> </w:t>
      </w:r>
      <w:r w:rsidR="00005772">
        <w:rPr>
          <w:rFonts w:ascii="Times New Roman" w:hAnsi="Times New Roman" w:cs="Times New Roman"/>
          <w:sz w:val="24"/>
          <w:szCs w:val="24"/>
        </w:rPr>
        <w:t>% de los estudiantes que ingresa</w:t>
      </w:r>
      <w:r w:rsidR="005300AD">
        <w:rPr>
          <w:rFonts w:ascii="Times New Roman" w:hAnsi="Times New Roman" w:cs="Times New Roman"/>
          <w:sz w:val="24"/>
          <w:szCs w:val="24"/>
        </w:rPr>
        <w:t xml:space="preserve">ron a </w:t>
      </w:r>
      <w:r w:rsidR="0065147D">
        <w:rPr>
          <w:rFonts w:ascii="Times New Roman" w:hAnsi="Times New Roman" w:cs="Times New Roman"/>
          <w:sz w:val="24"/>
          <w:szCs w:val="24"/>
        </w:rPr>
        <w:t>estos programas</w:t>
      </w:r>
      <w:r w:rsidR="005300AD">
        <w:rPr>
          <w:rFonts w:ascii="Times New Roman" w:hAnsi="Times New Roman" w:cs="Times New Roman"/>
          <w:sz w:val="24"/>
          <w:szCs w:val="24"/>
        </w:rPr>
        <w:t xml:space="preserve"> en la última década a</w:t>
      </w:r>
      <w:r w:rsidR="00005772">
        <w:rPr>
          <w:rFonts w:ascii="Times New Roman" w:hAnsi="Times New Roman" w:cs="Times New Roman"/>
          <w:sz w:val="24"/>
          <w:szCs w:val="24"/>
        </w:rPr>
        <w:t>bandona</w:t>
      </w:r>
      <w:r w:rsidR="005300AD">
        <w:rPr>
          <w:rFonts w:ascii="Times New Roman" w:hAnsi="Times New Roman" w:cs="Times New Roman"/>
          <w:sz w:val="24"/>
          <w:szCs w:val="24"/>
        </w:rPr>
        <w:t>ron</w:t>
      </w:r>
      <w:r w:rsidR="00005772">
        <w:rPr>
          <w:rFonts w:ascii="Times New Roman" w:hAnsi="Times New Roman" w:cs="Times New Roman"/>
          <w:sz w:val="24"/>
          <w:szCs w:val="24"/>
        </w:rPr>
        <w:t xml:space="preserve"> sus estudios</w:t>
      </w:r>
      <w:r w:rsidR="005300AD">
        <w:rPr>
          <w:rFonts w:ascii="Times New Roman" w:hAnsi="Times New Roman" w:cs="Times New Roman"/>
          <w:sz w:val="24"/>
          <w:szCs w:val="24"/>
        </w:rPr>
        <w:t xml:space="preserve"> o cambiaron de carrera</w:t>
      </w:r>
      <w:r w:rsidR="00005772">
        <w:rPr>
          <w:rFonts w:ascii="Times New Roman" w:hAnsi="Times New Roman" w:cs="Times New Roman"/>
          <w:sz w:val="24"/>
          <w:szCs w:val="24"/>
        </w:rPr>
        <w:t xml:space="preserve"> </w:t>
      </w:r>
      <w:r w:rsidR="00005772">
        <w:rPr>
          <w:rFonts w:ascii="Times New Roman" w:hAnsi="Times New Roman" w:cs="Times New Roman"/>
          <w:sz w:val="24"/>
          <w:szCs w:val="24"/>
        </w:rPr>
        <w:fldChar w:fldCharType="begin" w:fldLock="1"/>
      </w:r>
      <w:r w:rsidR="0096183A">
        <w:rPr>
          <w:rFonts w:ascii="Times New Roman" w:hAnsi="Times New Roman" w:cs="Times New Roman"/>
          <w:sz w:val="24"/>
          <w:szCs w:val="24"/>
        </w:rPr>
        <w:instrText>ADDIN CSL_CITATION {"citationItems":[{"id":"ITEM-1","itemData":{"author":[{"dropping-particle":"","family":"SEP","given":"","non-dropping-particle":"","parse-names":false,"suffix":""}],"id":"ITEM-1","issued":{"date-parts":[["2007"]]},"title":"Programa sectorial de educación 2007-2012. Unidad de Planeación y Evaluación de Políticas Educativas (UPEPE).","type":"report"},"uris":["http://www.mendeley.com/documents/?uuid=de8a70af-a25f-40c6-938d-ad4c8f477b75"]}],"mendeley":{"formattedCitation":"(SEP, 2007)","manualFormatting":"(Secretaría de Educación Pública, 2007)","plainTextFormattedCitation":"(SEP, 2007)","previouslyFormattedCitation":"(SEP, 2007)"},"properties":{"noteIndex":0},"schema":"https://github.com/citation-style-language/schema/raw/master/csl-citation.json"}</w:instrText>
      </w:r>
      <w:r w:rsidR="00005772">
        <w:rPr>
          <w:rFonts w:ascii="Times New Roman" w:hAnsi="Times New Roman" w:cs="Times New Roman"/>
          <w:sz w:val="24"/>
          <w:szCs w:val="24"/>
        </w:rPr>
        <w:fldChar w:fldCharType="separate"/>
      </w:r>
      <w:r w:rsidR="00005772" w:rsidRPr="006E14D9">
        <w:rPr>
          <w:rFonts w:ascii="Times New Roman" w:hAnsi="Times New Roman" w:cs="Times New Roman"/>
          <w:noProof/>
          <w:sz w:val="24"/>
          <w:szCs w:val="24"/>
        </w:rPr>
        <w:t>(S</w:t>
      </w:r>
      <w:r w:rsidR="00F03086">
        <w:rPr>
          <w:rFonts w:ascii="Times New Roman" w:hAnsi="Times New Roman" w:cs="Times New Roman"/>
          <w:noProof/>
          <w:sz w:val="24"/>
          <w:szCs w:val="24"/>
        </w:rPr>
        <w:t xml:space="preserve">ecretaría de </w:t>
      </w:r>
      <w:r w:rsidR="00005772" w:rsidRPr="006E14D9">
        <w:rPr>
          <w:rFonts w:ascii="Times New Roman" w:hAnsi="Times New Roman" w:cs="Times New Roman"/>
          <w:noProof/>
          <w:sz w:val="24"/>
          <w:szCs w:val="24"/>
        </w:rPr>
        <w:t>E</w:t>
      </w:r>
      <w:r w:rsidR="00F03086">
        <w:rPr>
          <w:rFonts w:ascii="Times New Roman" w:hAnsi="Times New Roman" w:cs="Times New Roman"/>
          <w:noProof/>
          <w:sz w:val="24"/>
          <w:szCs w:val="24"/>
        </w:rPr>
        <w:t xml:space="preserve">ducación </w:t>
      </w:r>
      <w:r w:rsidR="00005772" w:rsidRPr="006E14D9">
        <w:rPr>
          <w:rFonts w:ascii="Times New Roman" w:hAnsi="Times New Roman" w:cs="Times New Roman"/>
          <w:noProof/>
          <w:sz w:val="24"/>
          <w:szCs w:val="24"/>
        </w:rPr>
        <w:t>P</w:t>
      </w:r>
      <w:r w:rsidR="00F03086">
        <w:rPr>
          <w:rFonts w:ascii="Times New Roman" w:hAnsi="Times New Roman" w:cs="Times New Roman"/>
          <w:noProof/>
          <w:sz w:val="24"/>
          <w:szCs w:val="24"/>
        </w:rPr>
        <w:t>ública</w:t>
      </w:r>
      <w:r w:rsidR="009E565A">
        <w:rPr>
          <w:rFonts w:ascii="Times New Roman" w:hAnsi="Times New Roman" w:cs="Times New Roman"/>
          <w:noProof/>
          <w:sz w:val="24"/>
          <w:szCs w:val="24"/>
        </w:rPr>
        <w:t xml:space="preserve"> [SEP]</w:t>
      </w:r>
      <w:r w:rsidR="00005772" w:rsidRPr="006E14D9">
        <w:rPr>
          <w:rFonts w:ascii="Times New Roman" w:hAnsi="Times New Roman" w:cs="Times New Roman"/>
          <w:noProof/>
          <w:sz w:val="24"/>
          <w:szCs w:val="24"/>
        </w:rPr>
        <w:t>, 2007)</w:t>
      </w:r>
      <w:r w:rsidR="00005772">
        <w:rPr>
          <w:rFonts w:ascii="Times New Roman" w:hAnsi="Times New Roman" w:cs="Times New Roman"/>
          <w:sz w:val="24"/>
          <w:szCs w:val="24"/>
        </w:rPr>
        <w:fldChar w:fldCharType="end"/>
      </w:r>
      <w:r w:rsidR="00005772">
        <w:rPr>
          <w:rFonts w:ascii="Times New Roman" w:hAnsi="Times New Roman" w:cs="Times New Roman"/>
          <w:sz w:val="24"/>
          <w:szCs w:val="24"/>
        </w:rPr>
        <w:t>.</w:t>
      </w:r>
    </w:p>
    <w:p w14:paraId="7A7C62B8" w14:textId="2AE54DDB" w:rsidR="004331E9" w:rsidRDefault="004331E9" w:rsidP="0006428E">
      <w:pPr>
        <w:spacing w:after="0" w:line="360" w:lineRule="auto"/>
        <w:rPr>
          <w:rFonts w:ascii="Times New Roman" w:hAnsi="Times New Roman" w:cs="Times New Roman"/>
          <w:sz w:val="24"/>
          <w:szCs w:val="24"/>
        </w:rPr>
      </w:pPr>
    </w:p>
    <w:p w14:paraId="39E88ED2" w14:textId="29BBD3F9" w:rsidR="00586E48" w:rsidRDefault="00586E48" w:rsidP="0006428E">
      <w:pPr>
        <w:spacing w:after="0" w:line="360" w:lineRule="auto"/>
        <w:rPr>
          <w:rFonts w:ascii="Times New Roman" w:hAnsi="Times New Roman" w:cs="Times New Roman"/>
          <w:sz w:val="24"/>
          <w:szCs w:val="24"/>
        </w:rPr>
      </w:pPr>
    </w:p>
    <w:p w14:paraId="25BFCE73" w14:textId="4A5FE732" w:rsidR="00586E48" w:rsidRDefault="00586E48" w:rsidP="0006428E">
      <w:pPr>
        <w:spacing w:after="0" w:line="360" w:lineRule="auto"/>
        <w:rPr>
          <w:rFonts w:ascii="Times New Roman" w:hAnsi="Times New Roman" w:cs="Times New Roman"/>
          <w:sz w:val="24"/>
          <w:szCs w:val="24"/>
        </w:rPr>
      </w:pPr>
    </w:p>
    <w:p w14:paraId="5C3545B3" w14:textId="02BFCA62" w:rsidR="00586E48" w:rsidRDefault="00586E48" w:rsidP="0006428E">
      <w:pPr>
        <w:spacing w:after="0" w:line="360" w:lineRule="auto"/>
        <w:rPr>
          <w:rFonts w:ascii="Times New Roman" w:hAnsi="Times New Roman" w:cs="Times New Roman"/>
          <w:sz w:val="24"/>
          <w:szCs w:val="24"/>
        </w:rPr>
      </w:pPr>
    </w:p>
    <w:p w14:paraId="12C3C9BA" w14:textId="77777777" w:rsidR="00586E48" w:rsidRDefault="00586E48" w:rsidP="0006428E">
      <w:pPr>
        <w:spacing w:after="0" w:line="360" w:lineRule="auto"/>
        <w:rPr>
          <w:rFonts w:ascii="Times New Roman" w:hAnsi="Times New Roman" w:cs="Times New Roman"/>
          <w:sz w:val="24"/>
          <w:szCs w:val="24"/>
        </w:rPr>
      </w:pPr>
    </w:p>
    <w:p w14:paraId="10E41D04" w14:textId="77777777" w:rsidR="00B516B4" w:rsidRPr="00737371" w:rsidRDefault="004331E9" w:rsidP="0006428E">
      <w:pPr>
        <w:spacing w:after="0" w:line="360" w:lineRule="auto"/>
        <w:rPr>
          <w:rFonts w:ascii="Times New Roman" w:hAnsi="Times New Roman" w:cs="Times New Roman"/>
          <w:b/>
          <w:sz w:val="24"/>
          <w:szCs w:val="24"/>
        </w:rPr>
      </w:pPr>
      <w:r w:rsidRPr="00737371">
        <w:rPr>
          <w:rFonts w:ascii="Times New Roman" w:hAnsi="Times New Roman" w:cs="Times New Roman"/>
          <w:b/>
          <w:sz w:val="24"/>
          <w:szCs w:val="24"/>
        </w:rPr>
        <w:lastRenderedPageBreak/>
        <w:t>Propósito</w:t>
      </w:r>
      <w:r w:rsidR="00B5129D" w:rsidRPr="00737371">
        <w:rPr>
          <w:rFonts w:ascii="Times New Roman" w:hAnsi="Times New Roman" w:cs="Times New Roman"/>
          <w:b/>
          <w:sz w:val="24"/>
          <w:szCs w:val="24"/>
        </w:rPr>
        <w:t xml:space="preserve"> </w:t>
      </w:r>
    </w:p>
    <w:p w14:paraId="4B32DB55" w14:textId="5ABCC23C" w:rsidR="0014728B" w:rsidRDefault="008C2AAD" w:rsidP="00514B68">
      <w:pPr>
        <w:spacing w:after="0" w:line="360" w:lineRule="auto"/>
        <w:ind w:firstLine="708"/>
        <w:jc w:val="both"/>
        <w:rPr>
          <w:rFonts w:ascii="Times New Roman" w:hAnsi="Times New Roman" w:cs="Times New Roman"/>
          <w:sz w:val="24"/>
          <w:szCs w:val="24"/>
        </w:rPr>
      </w:pPr>
      <w:r w:rsidRPr="00D31F7D">
        <w:rPr>
          <w:rFonts w:ascii="Times New Roman" w:eastAsia="Times New Roman" w:hAnsi="Times New Roman" w:cs="Times New Roman"/>
          <w:sz w:val="24"/>
          <w:szCs w:val="24"/>
          <w:lang w:eastAsia="es-MX"/>
        </w:rPr>
        <w:t xml:space="preserve">Si </w:t>
      </w:r>
      <w:r w:rsidR="00FB089E">
        <w:rPr>
          <w:rFonts w:ascii="Times New Roman" w:eastAsia="Times New Roman" w:hAnsi="Times New Roman" w:cs="Times New Roman"/>
          <w:sz w:val="24"/>
          <w:szCs w:val="24"/>
          <w:lang w:eastAsia="es-MX"/>
        </w:rPr>
        <w:t xml:space="preserve">se </w:t>
      </w:r>
      <w:bookmarkStart w:id="1" w:name="_Hlk513801559"/>
      <w:r w:rsidR="00FB089E">
        <w:rPr>
          <w:rFonts w:ascii="Times New Roman" w:eastAsia="Times New Roman" w:hAnsi="Times New Roman" w:cs="Times New Roman"/>
          <w:sz w:val="24"/>
          <w:szCs w:val="24"/>
          <w:lang w:eastAsia="es-MX"/>
        </w:rPr>
        <w:t>logr</w:t>
      </w:r>
      <w:r w:rsidR="00860A9E">
        <w:rPr>
          <w:rFonts w:ascii="Times New Roman" w:eastAsia="Times New Roman" w:hAnsi="Times New Roman" w:cs="Times New Roman"/>
          <w:sz w:val="24"/>
          <w:szCs w:val="24"/>
          <w:lang w:eastAsia="es-MX"/>
        </w:rPr>
        <w:t>a</w:t>
      </w:r>
      <w:r w:rsidR="00FB089E">
        <w:rPr>
          <w:rFonts w:ascii="Times New Roman" w:eastAsia="Times New Roman" w:hAnsi="Times New Roman" w:cs="Times New Roman"/>
          <w:sz w:val="24"/>
          <w:szCs w:val="24"/>
          <w:lang w:eastAsia="es-MX"/>
        </w:rPr>
        <w:t xml:space="preserve"> un</w:t>
      </w:r>
      <w:r w:rsidRPr="00D31F7D">
        <w:rPr>
          <w:rFonts w:ascii="Times New Roman" w:eastAsia="Times New Roman" w:hAnsi="Times New Roman" w:cs="Times New Roman"/>
          <w:sz w:val="24"/>
          <w:szCs w:val="24"/>
          <w:lang w:eastAsia="es-MX"/>
        </w:rPr>
        <w:t xml:space="preserve"> mejor entendimiento de</w:t>
      </w:r>
      <w:r>
        <w:rPr>
          <w:rFonts w:ascii="Times New Roman" w:eastAsia="Times New Roman" w:hAnsi="Times New Roman" w:cs="Times New Roman"/>
          <w:sz w:val="24"/>
          <w:szCs w:val="24"/>
          <w:lang w:eastAsia="es-MX"/>
        </w:rPr>
        <w:t xml:space="preserve"> las experiencias y </w:t>
      </w:r>
      <w:r w:rsidR="00FB089E">
        <w:rPr>
          <w:rFonts w:ascii="Times New Roman" w:eastAsia="Times New Roman" w:hAnsi="Times New Roman" w:cs="Times New Roman"/>
          <w:sz w:val="24"/>
          <w:szCs w:val="24"/>
          <w:lang w:eastAsia="es-MX"/>
        </w:rPr>
        <w:t>razones</w:t>
      </w:r>
      <w:r>
        <w:rPr>
          <w:rFonts w:ascii="Times New Roman" w:eastAsia="Times New Roman" w:hAnsi="Times New Roman" w:cs="Times New Roman"/>
          <w:sz w:val="24"/>
          <w:szCs w:val="24"/>
          <w:lang w:eastAsia="es-MX"/>
        </w:rPr>
        <w:t xml:space="preserve"> que </w:t>
      </w:r>
      <w:r w:rsidR="00860A9E">
        <w:rPr>
          <w:rFonts w:ascii="Times New Roman" w:eastAsia="Times New Roman" w:hAnsi="Times New Roman" w:cs="Times New Roman"/>
          <w:sz w:val="24"/>
          <w:szCs w:val="24"/>
          <w:lang w:eastAsia="es-MX"/>
        </w:rPr>
        <w:t xml:space="preserve">pueden </w:t>
      </w:r>
      <w:r w:rsidR="00FB089E">
        <w:rPr>
          <w:rFonts w:ascii="Times New Roman" w:eastAsia="Times New Roman" w:hAnsi="Times New Roman" w:cs="Times New Roman"/>
          <w:sz w:val="24"/>
          <w:szCs w:val="24"/>
          <w:lang w:eastAsia="es-MX"/>
        </w:rPr>
        <w:t>motiva</w:t>
      </w:r>
      <w:r w:rsidR="00860A9E">
        <w:rPr>
          <w:rFonts w:ascii="Times New Roman" w:eastAsia="Times New Roman" w:hAnsi="Times New Roman" w:cs="Times New Roman"/>
          <w:sz w:val="24"/>
          <w:szCs w:val="24"/>
          <w:lang w:eastAsia="es-MX"/>
        </w:rPr>
        <w:t>r</w:t>
      </w:r>
      <w:r w:rsidR="00FB089E">
        <w:rPr>
          <w:rFonts w:ascii="Times New Roman" w:eastAsia="Times New Roman" w:hAnsi="Times New Roman" w:cs="Times New Roman"/>
          <w:sz w:val="24"/>
          <w:szCs w:val="24"/>
          <w:lang w:eastAsia="es-MX"/>
        </w:rPr>
        <w:t xml:space="preserve"> a </w:t>
      </w:r>
      <w:r w:rsidR="00860A9E">
        <w:rPr>
          <w:rFonts w:ascii="Times New Roman" w:eastAsia="Times New Roman" w:hAnsi="Times New Roman" w:cs="Times New Roman"/>
          <w:sz w:val="24"/>
          <w:szCs w:val="24"/>
          <w:lang w:eastAsia="es-MX"/>
        </w:rPr>
        <w:t xml:space="preserve">un </w:t>
      </w:r>
      <w:r>
        <w:rPr>
          <w:rFonts w:ascii="Times New Roman" w:eastAsia="Times New Roman" w:hAnsi="Times New Roman" w:cs="Times New Roman"/>
          <w:sz w:val="24"/>
          <w:szCs w:val="24"/>
          <w:lang w:eastAsia="es-MX"/>
        </w:rPr>
        <w:t xml:space="preserve">estudiante </w:t>
      </w:r>
      <w:r w:rsidR="00FB089E">
        <w:rPr>
          <w:rFonts w:ascii="Times New Roman" w:eastAsia="Times New Roman" w:hAnsi="Times New Roman" w:cs="Times New Roman"/>
          <w:sz w:val="24"/>
          <w:szCs w:val="24"/>
          <w:lang w:eastAsia="es-MX"/>
        </w:rPr>
        <w:t xml:space="preserve">a seleccionar una carrera en </w:t>
      </w:r>
      <w:r>
        <w:rPr>
          <w:rFonts w:ascii="Times New Roman" w:eastAsia="Times New Roman" w:hAnsi="Times New Roman" w:cs="Times New Roman"/>
          <w:sz w:val="24"/>
          <w:szCs w:val="24"/>
          <w:lang w:eastAsia="es-MX"/>
        </w:rPr>
        <w:t>ingeniería</w:t>
      </w:r>
      <w:bookmarkEnd w:id="1"/>
      <w:r w:rsidR="004E5FEF">
        <w:rPr>
          <w:rFonts w:ascii="Times New Roman" w:eastAsia="Times New Roman" w:hAnsi="Times New Roman" w:cs="Times New Roman"/>
          <w:sz w:val="24"/>
          <w:szCs w:val="24"/>
          <w:lang w:eastAsia="es-MX"/>
        </w:rPr>
        <w:t>,</w:t>
      </w:r>
      <w:r w:rsidR="00FB089E">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se podría preparar mejor a los profesores y directivos </w:t>
      </w:r>
      <w:r w:rsidR="00FB089E">
        <w:rPr>
          <w:rFonts w:ascii="Times New Roman" w:eastAsia="Times New Roman" w:hAnsi="Times New Roman" w:cs="Times New Roman"/>
          <w:sz w:val="24"/>
          <w:szCs w:val="24"/>
          <w:lang w:eastAsia="es-MX"/>
        </w:rPr>
        <w:t xml:space="preserve">de la educación básica </w:t>
      </w:r>
      <w:r>
        <w:rPr>
          <w:rFonts w:ascii="Times New Roman" w:eastAsia="Times New Roman" w:hAnsi="Times New Roman" w:cs="Times New Roman"/>
          <w:sz w:val="24"/>
          <w:szCs w:val="24"/>
          <w:lang w:eastAsia="es-MX"/>
        </w:rPr>
        <w:t xml:space="preserve">para </w:t>
      </w:r>
      <w:r w:rsidR="00FB089E">
        <w:rPr>
          <w:rFonts w:ascii="Times New Roman" w:eastAsia="Times New Roman" w:hAnsi="Times New Roman" w:cs="Times New Roman"/>
          <w:sz w:val="24"/>
          <w:szCs w:val="24"/>
          <w:lang w:eastAsia="es-MX"/>
        </w:rPr>
        <w:t xml:space="preserve">promover un mayor interés en </w:t>
      </w:r>
      <w:r w:rsidR="00860A9E">
        <w:rPr>
          <w:rFonts w:ascii="Times New Roman" w:eastAsia="Times New Roman" w:hAnsi="Times New Roman" w:cs="Times New Roman"/>
          <w:sz w:val="24"/>
          <w:szCs w:val="24"/>
          <w:lang w:eastAsia="es-MX"/>
        </w:rPr>
        <w:t>e</w:t>
      </w:r>
      <w:r w:rsidR="000C4FC6">
        <w:rPr>
          <w:rFonts w:ascii="Times New Roman" w:eastAsia="Times New Roman" w:hAnsi="Times New Roman" w:cs="Times New Roman"/>
          <w:sz w:val="24"/>
          <w:szCs w:val="24"/>
          <w:lang w:eastAsia="es-MX"/>
        </w:rPr>
        <w:t>ste campo profesional</w:t>
      </w:r>
      <w:r w:rsidR="00FB089E">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Ad</w:t>
      </w:r>
      <w:r w:rsidR="00FB089E">
        <w:rPr>
          <w:rFonts w:ascii="Times New Roman" w:eastAsia="Times New Roman" w:hAnsi="Times New Roman" w:cs="Times New Roman"/>
          <w:sz w:val="24"/>
          <w:szCs w:val="24"/>
          <w:lang w:eastAsia="es-MX"/>
        </w:rPr>
        <w:t>icionalmente</w:t>
      </w:r>
      <w:r>
        <w:rPr>
          <w:rFonts w:ascii="Times New Roman" w:eastAsia="Times New Roman" w:hAnsi="Times New Roman" w:cs="Times New Roman"/>
          <w:sz w:val="24"/>
          <w:szCs w:val="24"/>
          <w:lang w:eastAsia="es-MX"/>
        </w:rPr>
        <w:t xml:space="preserve">, se </w:t>
      </w:r>
      <w:r w:rsidR="00FB089E">
        <w:rPr>
          <w:rFonts w:ascii="Times New Roman" w:eastAsia="Times New Roman" w:hAnsi="Times New Roman" w:cs="Times New Roman"/>
          <w:sz w:val="24"/>
          <w:szCs w:val="24"/>
          <w:lang w:eastAsia="es-MX"/>
        </w:rPr>
        <w:t xml:space="preserve">podrían diseñar actividades y </w:t>
      </w:r>
      <w:r w:rsidR="0026165E">
        <w:rPr>
          <w:rFonts w:ascii="Times New Roman" w:eastAsia="Times New Roman" w:hAnsi="Times New Roman" w:cs="Times New Roman"/>
          <w:sz w:val="24"/>
          <w:szCs w:val="24"/>
          <w:lang w:eastAsia="es-MX"/>
        </w:rPr>
        <w:t>estr</w:t>
      </w:r>
      <w:r w:rsidR="00497516">
        <w:rPr>
          <w:rFonts w:ascii="Times New Roman" w:eastAsia="Times New Roman" w:hAnsi="Times New Roman" w:cs="Times New Roman"/>
          <w:sz w:val="24"/>
          <w:szCs w:val="24"/>
          <w:lang w:eastAsia="es-MX"/>
        </w:rPr>
        <w:t>a</w:t>
      </w:r>
      <w:r w:rsidR="0026165E">
        <w:rPr>
          <w:rFonts w:ascii="Times New Roman" w:eastAsia="Times New Roman" w:hAnsi="Times New Roman" w:cs="Times New Roman"/>
          <w:sz w:val="24"/>
          <w:szCs w:val="24"/>
          <w:lang w:eastAsia="es-MX"/>
        </w:rPr>
        <w:t>tegi</w:t>
      </w:r>
      <w:r w:rsidR="00FB089E">
        <w:rPr>
          <w:rFonts w:ascii="Times New Roman" w:eastAsia="Times New Roman" w:hAnsi="Times New Roman" w:cs="Times New Roman"/>
          <w:sz w:val="24"/>
          <w:szCs w:val="24"/>
          <w:lang w:eastAsia="es-MX"/>
        </w:rPr>
        <w:t>as enfocadas a desarrollar</w:t>
      </w:r>
      <w:r w:rsidR="00497516">
        <w:rPr>
          <w:rFonts w:ascii="Times New Roman" w:eastAsia="Times New Roman" w:hAnsi="Times New Roman" w:cs="Times New Roman"/>
          <w:sz w:val="24"/>
          <w:szCs w:val="24"/>
          <w:lang w:eastAsia="es-MX"/>
        </w:rPr>
        <w:t xml:space="preserve"> las</w:t>
      </w:r>
      <w:r w:rsidR="00FB089E">
        <w:rPr>
          <w:rFonts w:ascii="Times New Roman" w:eastAsia="Times New Roman" w:hAnsi="Times New Roman" w:cs="Times New Roman"/>
          <w:sz w:val="24"/>
          <w:szCs w:val="24"/>
          <w:lang w:eastAsia="es-MX"/>
        </w:rPr>
        <w:t xml:space="preserve"> habilidades necesarias para poder enfren</w:t>
      </w:r>
      <w:r w:rsidR="00DA6EC1">
        <w:rPr>
          <w:rFonts w:ascii="Times New Roman" w:eastAsia="Times New Roman" w:hAnsi="Times New Roman" w:cs="Times New Roman"/>
          <w:sz w:val="24"/>
          <w:szCs w:val="24"/>
          <w:lang w:eastAsia="es-MX"/>
        </w:rPr>
        <w:t>t</w:t>
      </w:r>
      <w:r w:rsidR="00FB089E">
        <w:rPr>
          <w:rFonts w:ascii="Times New Roman" w:eastAsia="Times New Roman" w:hAnsi="Times New Roman" w:cs="Times New Roman"/>
          <w:sz w:val="24"/>
          <w:szCs w:val="24"/>
          <w:lang w:eastAsia="es-MX"/>
        </w:rPr>
        <w:t xml:space="preserve">ar los retos que </w:t>
      </w:r>
      <w:r w:rsidR="00860A9E">
        <w:rPr>
          <w:rFonts w:ascii="Times New Roman" w:eastAsia="Times New Roman" w:hAnsi="Times New Roman" w:cs="Times New Roman"/>
          <w:sz w:val="24"/>
          <w:szCs w:val="24"/>
          <w:lang w:eastAsia="es-MX"/>
        </w:rPr>
        <w:t>se presentan en una</w:t>
      </w:r>
      <w:r w:rsidR="00FB089E">
        <w:rPr>
          <w:rFonts w:ascii="Times New Roman" w:eastAsia="Times New Roman" w:hAnsi="Times New Roman" w:cs="Times New Roman"/>
          <w:sz w:val="24"/>
          <w:szCs w:val="24"/>
          <w:lang w:eastAsia="es-MX"/>
        </w:rPr>
        <w:t xml:space="preserve"> carrera de </w:t>
      </w:r>
      <w:r w:rsidR="00CC54FE">
        <w:rPr>
          <w:rFonts w:ascii="Times New Roman" w:eastAsia="Times New Roman" w:hAnsi="Times New Roman" w:cs="Times New Roman"/>
          <w:sz w:val="24"/>
          <w:szCs w:val="24"/>
          <w:lang w:eastAsia="es-MX"/>
        </w:rPr>
        <w:t xml:space="preserve">esta rama </w:t>
      </w:r>
      <w:r w:rsidR="00A16EEB">
        <w:rPr>
          <w:rFonts w:ascii="Times New Roman" w:eastAsia="Times New Roman" w:hAnsi="Times New Roman" w:cs="Times New Roman"/>
          <w:sz w:val="24"/>
          <w:szCs w:val="24"/>
          <w:lang w:eastAsia="es-MX"/>
        </w:rPr>
        <w:t>desde la educación preparatoria</w:t>
      </w:r>
      <w:r w:rsidR="00497516">
        <w:rPr>
          <w:rFonts w:ascii="Times New Roman" w:eastAsia="Times New Roman" w:hAnsi="Times New Roman" w:cs="Times New Roman"/>
          <w:sz w:val="24"/>
          <w:szCs w:val="24"/>
          <w:lang w:eastAsia="es-MX"/>
        </w:rPr>
        <w:t>.</w:t>
      </w:r>
      <w:r w:rsidR="0014728B">
        <w:rPr>
          <w:rFonts w:ascii="Times New Roman" w:eastAsia="Times New Roman" w:hAnsi="Times New Roman" w:cs="Times New Roman"/>
          <w:sz w:val="24"/>
          <w:szCs w:val="24"/>
          <w:lang w:eastAsia="es-MX"/>
        </w:rPr>
        <w:t xml:space="preserve"> </w:t>
      </w:r>
    </w:p>
    <w:p w14:paraId="3CFB6281" w14:textId="2CBF4A76" w:rsidR="005729D2" w:rsidRDefault="00116982" w:rsidP="00514B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Pr="000E4F55">
        <w:rPr>
          <w:rFonts w:ascii="Times New Roman" w:hAnsi="Times New Roman" w:cs="Times New Roman"/>
          <w:sz w:val="24"/>
          <w:szCs w:val="24"/>
        </w:rPr>
        <w:t xml:space="preserve">a </w:t>
      </w:r>
      <w:r w:rsidR="00FE6AC1">
        <w:rPr>
          <w:rFonts w:ascii="Times New Roman" w:hAnsi="Times New Roman" w:cs="Times New Roman"/>
          <w:sz w:val="24"/>
          <w:szCs w:val="24"/>
        </w:rPr>
        <w:t>literatura</w:t>
      </w:r>
      <w:r w:rsidRPr="000E4F55">
        <w:rPr>
          <w:rFonts w:ascii="Times New Roman" w:hAnsi="Times New Roman" w:cs="Times New Roman"/>
          <w:sz w:val="24"/>
          <w:szCs w:val="24"/>
        </w:rPr>
        <w:t xml:space="preserve"> existe</w:t>
      </w:r>
      <w:r w:rsidR="00FB089E">
        <w:rPr>
          <w:rFonts w:ascii="Times New Roman" w:hAnsi="Times New Roman" w:cs="Times New Roman"/>
          <w:sz w:val="24"/>
          <w:szCs w:val="24"/>
        </w:rPr>
        <w:t>nte</w:t>
      </w:r>
      <w:r>
        <w:rPr>
          <w:rFonts w:ascii="Times New Roman" w:hAnsi="Times New Roman" w:cs="Times New Roman"/>
          <w:sz w:val="24"/>
          <w:szCs w:val="24"/>
        </w:rPr>
        <w:t xml:space="preserve"> </w:t>
      </w:r>
      <w:r w:rsidR="00FB089E">
        <w:rPr>
          <w:rFonts w:ascii="Times New Roman" w:hAnsi="Times New Roman" w:cs="Times New Roman"/>
          <w:sz w:val="24"/>
          <w:szCs w:val="24"/>
        </w:rPr>
        <w:t>sobre</w:t>
      </w:r>
      <w:r w:rsidRPr="000E4F55">
        <w:rPr>
          <w:rFonts w:ascii="Times New Roman" w:hAnsi="Times New Roman" w:cs="Times New Roman"/>
          <w:sz w:val="24"/>
          <w:szCs w:val="24"/>
        </w:rPr>
        <w:t xml:space="preserve"> los motivos que pueden influenciar</w:t>
      </w:r>
      <w:r>
        <w:rPr>
          <w:rFonts w:ascii="Times New Roman" w:hAnsi="Times New Roman" w:cs="Times New Roman"/>
          <w:sz w:val="24"/>
          <w:szCs w:val="24"/>
        </w:rPr>
        <w:t xml:space="preserve"> </w:t>
      </w:r>
      <w:r w:rsidR="00FE6AC1">
        <w:rPr>
          <w:rFonts w:ascii="Times New Roman" w:hAnsi="Times New Roman" w:cs="Times New Roman"/>
          <w:sz w:val="24"/>
          <w:szCs w:val="24"/>
        </w:rPr>
        <w:t xml:space="preserve">el interés mostrado por los </w:t>
      </w:r>
      <w:r>
        <w:rPr>
          <w:rFonts w:ascii="Times New Roman" w:hAnsi="Times New Roman" w:cs="Times New Roman"/>
          <w:sz w:val="24"/>
          <w:szCs w:val="24"/>
        </w:rPr>
        <w:t>estudiante</w:t>
      </w:r>
      <w:r w:rsidR="00FE6AC1">
        <w:rPr>
          <w:rFonts w:ascii="Times New Roman" w:hAnsi="Times New Roman" w:cs="Times New Roman"/>
          <w:sz w:val="24"/>
          <w:szCs w:val="24"/>
        </w:rPr>
        <w:t>s</w:t>
      </w:r>
      <w:r>
        <w:rPr>
          <w:rFonts w:ascii="Times New Roman" w:hAnsi="Times New Roman" w:cs="Times New Roman"/>
          <w:sz w:val="24"/>
          <w:szCs w:val="24"/>
        </w:rPr>
        <w:t xml:space="preserve"> </w:t>
      </w:r>
      <w:r w:rsidR="00FE6AC1">
        <w:rPr>
          <w:rFonts w:ascii="Times New Roman" w:hAnsi="Times New Roman" w:cs="Times New Roman"/>
          <w:sz w:val="24"/>
          <w:szCs w:val="24"/>
        </w:rPr>
        <w:t>por</w:t>
      </w:r>
      <w:r>
        <w:rPr>
          <w:rFonts w:ascii="Times New Roman" w:hAnsi="Times New Roman" w:cs="Times New Roman"/>
          <w:sz w:val="24"/>
          <w:szCs w:val="24"/>
        </w:rPr>
        <w:t xml:space="preserve"> seleccionar </w:t>
      </w:r>
      <w:r w:rsidR="00FE6AC1">
        <w:rPr>
          <w:rFonts w:ascii="Times New Roman" w:hAnsi="Times New Roman" w:cs="Times New Roman"/>
          <w:sz w:val="24"/>
          <w:szCs w:val="24"/>
        </w:rPr>
        <w:t xml:space="preserve">una </w:t>
      </w:r>
      <w:r>
        <w:rPr>
          <w:rFonts w:ascii="Times New Roman" w:hAnsi="Times New Roman" w:cs="Times New Roman"/>
          <w:sz w:val="24"/>
          <w:szCs w:val="24"/>
        </w:rPr>
        <w:t>ingeniería como su carrera</w:t>
      </w:r>
      <w:r w:rsidRPr="000E4F55">
        <w:rPr>
          <w:rFonts w:ascii="Times New Roman" w:hAnsi="Times New Roman" w:cs="Times New Roman"/>
          <w:sz w:val="24"/>
          <w:szCs w:val="24"/>
        </w:rPr>
        <w:t xml:space="preserve"> </w:t>
      </w:r>
      <w:r>
        <w:rPr>
          <w:rFonts w:ascii="Times New Roman" w:hAnsi="Times New Roman" w:cs="Times New Roman"/>
          <w:sz w:val="24"/>
          <w:szCs w:val="24"/>
        </w:rPr>
        <w:t>profes</w:t>
      </w:r>
      <w:r w:rsidRPr="000E4F55">
        <w:rPr>
          <w:rFonts w:ascii="Times New Roman" w:hAnsi="Times New Roman" w:cs="Times New Roman"/>
          <w:sz w:val="24"/>
          <w:szCs w:val="24"/>
        </w:rPr>
        <w:t>ional</w:t>
      </w:r>
      <w:r>
        <w:rPr>
          <w:rFonts w:ascii="Times New Roman" w:hAnsi="Times New Roman" w:cs="Times New Roman"/>
          <w:sz w:val="24"/>
          <w:szCs w:val="24"/>
        </w:rPr>
        <w:t xml:space="preserve"> indica que hay diferentes factores que pueden afectar esta importante decisión. </w:t>
      </w:r>
      <w:r w:rsidRPr="000E4F55">
        <w:rPr>
          <w:rFonts w:ascii="Times New Roman" w:hAnsi="Times New Roman" w:cs="Times New Roman"/>
          <w:sz w:val="24"/>
          <w:szCs w:val="24"/>
        </w:rPr>
        <w:t xml:space="preserve">Entre los </w:t>
      </w:r>
      <w:r>
        <w:rPr>
          <w:rFonts w:ascii="Times New Roman" w:hAnsi="Times New Roman" w:cs="Times New Roman"/>
          <w:sz w:val="24"/>
          <w:szCs w:val="24"/>
        </w:rPr>
        <w:t>más determina</w:t>
      </w:r>
      <w:r w:rsidRPr="000E4F55">
        <w:rPr>
          <w:rFonts w:ascii="Times New Roman" w:hAnsi="Times New Roman" w:cs="Times New Roman"/>
          <w:sz w:val="24"/>
          <w:szCs w:val="24"/>
        </w:rPr>
        <w:t>ntes se ha</w:t>
      </w:r>
      <w:r w:rsidR="000C4FC6">
        <w:rPr>
          <w:rFonts w:ascii="Times New Roman" w:hAnsi="Times New Roman" w:cs="Times New Roman"/>
          <w:sz w:val="24"/>
          <w:szCs w:val="24"/>
        </w:rPr>
        <w:t>n</w:t>
      </w:r>
      <w:r w:rsidRPr="000E4F55">
        <w:rPr>
          <w:rFonts w:ascii="Times New Roman" w:hAnsi="Times New Roman" w:cs="Times New Roman"/>
          <w:sz w:val="24"/>
          <w:szCs w:val="24"/>
        </w:rPr>
        <w:t xml:space="preserve"> encontrado</w:t>
      </w:r>
      <w:r w:rsidR="000C4FC6">
        <w:rPr>
          <w:rFonts w:ascii="Times New Roman" w:hAnsi="Times New Roman" w:cs="Times New Roman"/>
          <w:sz w:val="24"/>
          <w:szCs w:val="24"/>
        </w:rPr>
        <w:t xml:space="preserve"> los siguientes</w:t>
      </w:r>
      <w:r>
        <w:rPr>
          <w:rFonts w:ascii="Times New Roman" w:hAnsi="Times New Roman" w:cs="Times New Roman"/>
          <w:sz w:val="24"/>
          <w:szCs w:val="24"/>
        </w:rPr>
        <w:t>:</w:t>
      </w:r>
      <w:r w:rsidRPr="000E4F55">
        <w:rPr>
          <w:rFonts w:ascii="Times New Roman" w:hAnsi="Times New Roman" w:cs="Times New Roman"/>
          <w:sz w:val="24"/>
          <w:szCs w:val="24"/>
        </w:rPr>
        <w:t xml:space="preserve"> </w:t>
      </w:r>
      <w:r>
        <w:rPr>
          <w:rFonts w:ascii="Times New Roman" w:hAnsi="Times New Roman" w:cs="Times New Roman"/>
          <w:sz w:val="24"/>
          <w:szCs w:val="24"/>
        </w:rPr>
        <w:t xml:space="preserve">los antecedentes y procedencia </w:t>
      </w:r>
      <w:r>
        <w:rPr>
          <w:rFonts w:ascii="Times New Roman" w:hAnsi="Times New Roman" w:cs="Times New Roman"/>
          <w:sz w:val="24"/>
          <w:szCs w:val="24"/>
          <w:lang w:val="en-US"/>
        </w:rPr>
        <w:fldChar w:fldCharType="begin" w:fldLock="1"/>
      </w:r>
      <w:r w:rsidR="0096183A">
        <w:rPr>
          <w:rFonts w:ascii="Times New Roman" w:hAnsi="Times New Roman" w:cs="Times New Roman"/>
          <w:sz w:val="24"/>
          <w:szCs w:val="24"/>
        </w:rPr>
        <w:instrText>ADDIN CSL_CITATION {"citationItems":[{"id":"ITEM-1","itemData":{"author":[{"dropping-particle":"","family":"Lent","given":"Robert W.","non-dropping-particle":"","parse-names":false,"suffix":""},{"dropping-particle":"","family":"Brown","given":"Steven D.","non-dropping-particle":"","parse-names":false,"suffix":""},{"dropping-particle":"","family":"Hackett","given":"Gail","non-dropping-particle":"","parse-names":false,"suffix":""}],"container-title":"Journal of Vocational Behavior","id":"ITEM-1","issued":{"date-parts":[["1994"]]},"page":"79-122","title":"Toward a unifying social cognitive theory of career and academic interest, choice, and performance","type":"article-journal","volume":"45"},"uris":["http://www.mendeley.com/documents/?uuid=4d025b16-d0ad-452b-ab1d-9765745b5ef7"]}],"mendeley":{"formattedCitation":"(R. W. Lent, Brown, &amp; Hackett, 1994)","manualFormatting":"(Lent, Brown, &amp; Hackett, 1994)","plainTextFormattedCitation":"(R. W. Lent, Brown, &amp; Hackett, 1994)","previouslyFormattedCitation":"(R. W. Lent, Brown, &amp; Hackett, 1994)"},"properties":{"noteIndex":0},"schema":"https://github.com/citation-style-language/schema/raw/master/csl-citation.json"}</w:instrText>
      </w:r>
      <w:r>
        <w:rPr>
          <w:rFonts w:ascii="Times New Roman" w:hAnsi="Times New Roman" w:cs="Times New Roman"/>
          <w:sz w:val="24"/>
          <w:szCs w:val="24"/>
          <w:lang w:val="en-US"/>
        </w:rPr>
        <w:fldChar w:fldCharType="separate"/>
      </w:r>
      <w:r w:rsidR="00677177" w:rsidRPr="00677177">
        <w:rPr>
          <w:rFonts w:ascii="Times New Roman" w:hAnsi="Times New Roman" w:cs="Times New Roman"/>
          <w:noProof/>
          <w:sz w:val="24"/>
          <w:szCs w:val="24"/>
        </w:rPr>
        <w:t>(Lent, Brown</w:t>
      </w:r>
      <w:r w:rsidR="00210D73">
        <w:rPr>
          <w:rFonts w:ascii="Times New Roman" w:hAnsi="Times New Roman" w:cs="Times New Roman"/>
          <w:noProof/>
          <w:sz w:val="24"/>
          <w:szCs w:val="24"/>
        </w:rPr>
        <w:t xml:space="preserve"> y</w:t>
      </w:r>
      <w:r w:rsidR="00677177" w:rsidRPr="00677177">
        <w:rPr>
          <w:rFonts w:ascii="Times New Roman" w:hAnsi="Times New Roman" w:cs="Times New Roman"/>
          <w:noProof/>
          <w:sz w:val="24"/>
          <w:szCs w:val="24"/>
        </w:rPr>
        <w:t xml:space="preserve"> Hackett, 1994)</w:t>
      </w:r>
      <w:r>
        <w:rPr>
          <w:rFonts w:ascii="Times New Roman" w:hAnsi="Times New Roman" w:cs="Times New Roman"/>
          <w:sz w:val="24"/>
          <w:szCs w:val="24"/>
          <w:lang w:val="en-US"/>
        </w:rPr>
        <w:fldChar w:fldCharType="end"/>
      </w:r>
      <w:r w:rsidRPr="00D75E76">
        <w:rPr>
          <w:rFonts w:ascii="Times New Roman" w:hAnsi="Times New Roman" w:cs="Times New Roman"/>
          <w:sz w:val="24"/>
          <w:szCs w:val="24"/>
        </w:rPr>
        <w:t>, la preparación y experiencias académicas,</w:t>
      </w:r>
      <w:r>
        <w:rPr>
          <w:rFonts w:ascii="Times New Roman" w:hAnsi="Times New Roman" w:cs="Times New Roman"/>
          <w:sz w:val="24"/>
          <w:szCs w:val="24"/>
        </w:rPr>
        <w:t xml:space="preserve"> la influencia de los padres</w:t>
      </w:r>
      <w:r w:rsidRPr="00D75E76">
        <w:rPr>
          <w:rFonts w:ascii="Times New Roman" w:hAnsi="Times New Roman" w:cs="Times New Roman"/>
          <w:sz w:val="24"/>
          <w:szCs w:val="24"/>
        </w:rPr>
        <w:t xml:space="preserve"> </w:t>
      </w:r>
      <w:r>
        <w:rPr>
          <w:rFonts w:ascii="Times New Roman" w:hAnsi="Times New Roman" w:cs="Times New Roman"/>
          <w:sz w:val="24"/>
          <w:szCs w:val="24"/>
          <w:lang w:val="en-US"/>
        </w:rPr>
        <w:fldChar w:fldCharType="begin" w:fldLock="1"/>
      </w:r>
      <w:r w:rsidR="0096183A">
        <w:rPr>
          <w:rFonts w:ascii="Times New Roman" w:hAnsi="Times New Roman" w:cs="Times New Roman"/>
          <w:sz w:val="24"/>
          <w:szCs w:val="24"/>
        </w:rPr>
        <w:instrText>ADDIN CSL_CITATION {"citationItems":[{"id":"ITEM-1","itemData":{"author":[{"dropping-particle":"","family":"Porter","given":"Christopher H","non-dropping-particle":"","parse-names":false,"suffix":""}],"id":"ITEM-1","issue":"December","issued":{"date-parts":[["2011"]]},"note":"-descripcion de ingenieria\n-hay mas ingenieros graduandose cada año pero aumentan mas las otras carreras\n-preparacion desde prepa por si quieres ser inge\n-oportunidades de trabajo perrotas\n-caracteristicas de los STEM students\n-hay programas para aumentar el interes de los chavos en estudiar ingenieria","publisher":"Clemson University","title":"An Examination of Variables Which Influence High School Students to Enroll in an Undergraduate Engineering or Physical Science Major.","type":"thesis"},"uris":["http://www.mendeley.com/documents/?uuid=728ee90d-554b-45b3-85de-c44db88c1e6a"]}],"mendeley":{"formattedCitation":"(Porter, 2011)","plainTextFormattedCitation":"(Porter, 2011)","previouslyFormattedCitation":"(Porter, 2011)"},"properties":{"noteIndex":0},"schema":"https://github.com/citation-style-language/schema/raw/master/csl-citation.json"}</w:instrText>
      </w:r>
      <w:r>
        <w:rPr>
          <w:rFonts w:ascii="Times New Roman" w:hAnsi="Times New Roman" w:cs="Times New Roman"/>
          <w:sz w:val="24"/>
          <w:szCs w:val="24"/>
          <w:lang w:val="en-US"/>
        </w:rPr>
        <w:fldChar w:fldCharType="separate"/>
      </w:r>
      <w:r w:rsidRPr="00D75E76">
        <w:rPr>
          <w:rFonts w:ascii="Times New Roman" w:hAnsi="Times New Roman" w:cs="Times New Roman"/>
          <w:noProof/>
          <w:sz w:val="24"/>
          <w:szCs w:val="24"/>
        </w:rPr>
        <w:t>(Porter, 2011)</w:t>
      </w:r>
      <w:r>
        <w:rPr>
          <w:rFonts w:ascii="Times New Roman" w:hAnsi="Times New Roman" w:cs="Times New Roman"/>
          <w:sz w:val="24"/>
          <w:szCs w:val="24"/>
          <w:lang w:val="en-US"/>
        </w:rPr>
        <w:fldChar w:fldCharType="end"/>
      </w:r>
      <w:r w:rsidRPr="00D75E76">
        <w:rPr>
          <w:rFonts w:ascii="Times New Roman" w:hAnsi="Times New Roman" w:cs="Times New Roman"/>
          <w:sz w:val="24"/>
          <w:szCs w:val="24"/>
        </w:rPr>
        <w:t xml:space="preserve"> y las habilidades y </w:t>
      </w:r>
      <w:r>
        <w:rPr>
          <w:rFonts w:ascii="Times New Roman" w:hAnsi="Times New Roman" w:cs="Times New Roman"/>
          <w:sz w:val="24"/>
          <w:szCs w:val="24"/>
        </w:rPr>
        <w:t>preparación matemática de los alumnos</w:t>
      </w:r>
      <w:r w:rsidRPr="00D75E76">
        <w:rPr>
          <w:rFonts w:ascii="Times New Roman" w:hAnsi="Times New Roman" w:cs="Times New Roman"/>
          <w:sz w:val="24"/>
          <w:szCs w:val="24"/>
        </w:rPr>
        <w:t xml:space="preserve"> </w:t>
      </w:r>
      <w:r>
        <w:rPr>
          <w:rFonts w:ascii="Times New Roman" w:hAnsi="Times New Roman" w:cs="Times New Roman"/>
          <w:sz w:val="24"/>
          <w:szCs w:val="24"/>
          <w:lang w:val="en-US"/>
        </w:rPr>
        <w:fldChar w:fldCharType="begin" w:fldLock="1"/>
      </w:r>
      <w:r w:rsidR="0096183A">
        <w:rPr>
          <w:rFonts w:ascii="Times New Roman" w:hAnsi="Times New Roman" w:cs="Times New Roman"/>
          <w:sz w:val="24"/>
          <w:szCs w:val="24"/>
        </w:rPr>
        <w:instrText>ADDIN CSL_CITATION {"citationItems":[{"id":"ITEM-1","itemData":{"DOI":"10.1002/j.2168-9830.2007.tb00913.x","ISBN":"10694730","ISSN":"10694730","abstract":"This research examines demographic, academic, attitudinal, and experiential data from the Cooperative Institutional Research Program (CIRP) for over 12,000 students at two universities to test a methodology for identifying variables showing significant differences between students intending to major in science, technology, engineering, or mathematics (STEM) versus non-STEM subjects. The methodology utilizes basic statistical techniques to identify significant differences between STEM and non-STEM students within seven population subgroups based upon school attended, race/ethnicity, and gender. The value of individual variables is assessed by how consistently significant differences are found across the subgroups. The variables found to be most valuable in identifying STEM students reflect both quantitative and qualitative measures. Quantitative measures of academic ability such as SAT mathematics score, high school grade point average, and to a lesser extent SAT verbal score are all indicators. Qualitative measures including self-ratings of mathematical ability, computer skills, and academic ability are also good indicators. [ABSTRACT FROM AUTHOR]\\nCopyright of Journal of Engineering Education is the property of ASEE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Abstracts.)","author":[{"dropping-particle":"","family":"Nicholls","given":"Gillian M.","non-dropping-particle":"","parse-names":false,"suffix":""},{"dropping-particle":"","family":"Wolfe","given":"Harvey","non-dropping-particle":"","parse-names":false,"suffix":""},{"dropping-particle":"","family":"Besterfield-Sacre","given":"Mary","non-dropping-particle":"","parse-names":false,"suffix":""},{"dropping-particle":"","family":"Shuman","given":"Larry J.","non-dropping-particle":"","parse-names":false,"suffix":""},{"dropping-particle":"","family":"Larpkiattaworn","given":"Siripen","non-dropping-particle":"","parse-names":false,"suffix":""}],"container-title":"Journal of Engineering Education","id":"ITEM-1","issue":"January","issued":{"date-parts":[["2007"]]},"page":"33-44","title":"A Method for Identifying Variables for Predicting STEM Enrollment","type":"article-journal","volume":"96"},"uris":["http://www.mendeley.com/documents/?uuid=8a8cdb66-9af8-480e-99a5-f44c39c814ab"]},{"id":"ITEM-2","itemData":{"DOI":"10.1037/0022-0167.38.4.424","ISBN":"BF637.C6J6   150.5 112 FR","ISSN":"0022-0167","PMID":"1186","abstract":"This study explored (a) the relation of the four hypothesized sources of efficacy information (personal performance accomplishments, vicarious learning, social persuasion, and emotional arousal) to mathematics self-efficacy percepts and (b) the relations among self-efficacy, outcome expectations, interest in mathematics-related college courses, and choice of science-based careers. Subjects were 138 introductory psychology students. Results indicated that the efficacy informational sources were significantly predictive of and helped explain gender differences in mathematics self-efficacy, that outcome expectations complemented self-efficacy in predicting interest and choice indexes, and that the effects of self-efficacy on science-related career choice were mediated by i</w:instrText>
      </w:r>
      <w:r w:rsidR="0096183A" w:rsidRPr="00E24F2C">
        <w:rPr>
          <w:rFonts w:ascii="Times New Roman" w:hAnsi="Times New Roman" w:cs="Times New Roman"/>
          <w:sz w:val="24"/>
          <w:szCs w:val="24"/>
          <w:lang w:val="en-US"/>
        </w:rPr>
        <w:instrText>nterests. Implications for the further extension of social-cognitive theory to career behavior are discussed.","author":[{"dropping-particle":"","family":"Lent","given":"Robert W.","non-dropping-particle":"","parse-names":false,"suffix":""},{"dropping-particle":"","family":"Lopez","given":"Frederick G.","non-dropping-particle":"","parse-names":false,"suffix":""},{"dropping-particle":"","family":"Bieschke","given":"Kathleen J.","non-dropping-particle":"","parse-names":false,"suffix":""}],"container-title":"Journal of Counseling Psychology","id":"ITEM-2","issue":"4","issued":{"date-parts":[["1991"]]},"page":"424-430","title":"Mathematics self-efficacy: Sources and relation to science-based career choice.","type":"article-journal","volume":"38"},"uris":["http://www.mendeley.com/documents/?uuid=9b54807d-b50d-4fbd-906e-29454bc75f53"]}],"mendeley":{"formattedCitation":"(R. W. Lent, Lopez, &amp; Bieschke, 1991; Nicholls, Wolfe, Besterfield-Sacre, Shuman, &amp; Larpkiattaworn, 2007)","manualFormatting":"(Lent, Lopez, &amp; Bieschke, 1991; Nicholls, Wolfe, Besterfield-Sacre, Shuman, &amp; Larpkiattaworn, 2007)","plainTextFormattedCitation":"(R. W. Lent, Lopez, &amp; Bieschke, 1991; Nicholls, Wolfe, Besterfield-Sacre, Shuman, &amp; Larpkiattaworn, 2007)","previouslyFormattedCitation":"(R. W. Lent, Lopez, &amp; Bieschke, 1991; Nicholls, Wolfe, Besterfield-Sacre, Shuman, &amp; Larpkiattaworn, 2007)"},"properties":{"noteIndex":0},"schema":"https://github.com/citation-style-language/schema/raw/master/csl-citation.json"}</w:instrText>
      </w:r>
      <w:r>
        <w:rPr>
          <w:rFonts w:ascii="Times New Roman" w:hAnsi="Times New Roman" w:cs="Times New Roman"/>
          <w:sz w:val="24"/>
          <w:szCs w:val="24"/>
          <w:lang w:val="en-US"/>
        </w:rPr>
        <w:fldChar w:fldCharType="separate"/>
      </w:r>
      <w:r w:rsidR="00677177" w:rsidRPr="00E24F2C">
        <w:rPr>
          <w:rFonts w:ascii="Times New Roman" w:hAnsi="Times New Roman" w:cs="Times New Roman"/>
          <w:noProof/>
          <w:sz w:val="24"/>
          <w:szCs w:val="24"/>
          <w:lang w:val="en-US"/>
        </w:rPr>
        <w:t>(Lent, Lopez</w:t>
      </w:r>
      <w:r w:rsidR="00210D73" w:rsidRPr="00E24F2C">
        <w:rPr>
          <w:rFonts w:ascii="Times New Roman" w:hAnsi="Times New Roman" w:cs="Times New Roman"/>
          <w:noProof/>
          <w:sz w:val="24"/>
          <w:szCs w:val="24"/>
          <w:lang w:val="en-US"/>
        </w:rPr>
        <w:t xml:space="preserve"> y</w:t>
      </w:r>
      <w:r w:rsidR="00677177" w:rsidRPr="00E24F2C">
        <w:rPr>
          <w:rFonts w:ascii="Times New Roman" w:hAnsi="Times New Roman" w:cs="Times New Roman"/>
          <w:noProof/>
          <w:sz w:val="24"/>
          <w:szCs w:val="24"/>
          <w:lang w:val="en-US"/>
        </w:rPr>
        <w:t xml:space="preserve"> Bieschke, 1991; Nicholls, Wolfe, Besterfield, Shuman</w:t>
      </w:r>
      <w:r w:rsidR="00210D73" w:rsidRPr="00E24F2C">
        <w:rPr>
          <w:rFonts w:ascii="Times New Roman" w:hAnsi="Times New Roman" w:cs="Times New Roman"/>
          <w:noProof/>
          <w:sz w:val="24"/>
          <w:szCs w:val="24"/>
          <w:lang w:val="en-US"/>
        </w:rPr>
        <w:t xml:space="preserve"> y</w:t>
      </w:r>
      <w:r w:rsidR="00677177" w:rsidRPr="00E24F2C">
        <w:rPr>
          <w:rFonts w:ascii="Times New Roman" w:hAnsi="Times New Roman" w:cs="Times New Roman"/>
          <w:noProof/>
          <w:sz w:val="24"/>
          <w:szCs w:val="24"/>
          <w:lang w:val="en-US"/>
        </w:rPr>
        <w:t xml:space="preserve"> Larpkiattaworn, 2007)</w:t>
      </w:r>
      <w:r>
        <w:rPr>
          <w:rFonts w:ascii="Times New Roman" w:hAnsi="Times New Roman" w:cs="Times New Roman"/>
          <w:sz w:val="24"/>
          <w:szCs w:val="24"/>
          <w:lang w:val="en-US"/>
        </w:rPr>
        <w:fldChar w:fldCharType="end"/>
      </w:r>
      <w:r w:rsidRPr="00E24F2C">
        <w:rPr>
          <w:rFonts w:ascii="Times New Roman" w:hAnsi="Times New Roman" w:cs="Times New Roman"/>
          <w:sz w:val="24"/>
          <w:szCs w:val="24"/>
          <w:lang w:val="en-US"/>
        </w:rPr>
        <w:t>.</w:t>
      </w:r>
      <w:r w:rsidR="0014728B" w:rsidRPr="00E24F2C">
        <w:rPr>
          <w:rFonts w:ascii="Times New Roman" w:hAnsi="Times New Roman" w:cs="Times New Roman"/>
          <w:sz w:val="24"/>
          <w:szCs w:val="24"/>
          <w:lang w:val="en-US"/>
        </w:rPr>
        <w:t xml:space="preserve"> </w:t>
      </w:r>
      <w:r w:rsidR="0014728B" w:rsidRPr="0014728B">
        <w:rPr>
          <w:rFonts w:ascii="Times New Roman" w:hAnsi="Times New Roman" w:cs="Times New Roman"/>
          <w:sz w:val="24"/>
          <w:szCs w:val="24"/>
        </w:rPr>
        <w:t>Incluso,</w:t>
      </w:r>
      <w:r w:rsidR="0014728B">
        <w:rPr>
          <w:rFonts w:ascii="Times New Roman" w:hAnsi="Times New Roman" w:cs="Times New Roman"/>
          <w:sz w:val="24"/>
          <w:szCs w:val="24"/>
        </w:rPr>
        <w:t xml:space="preserve"> a</w:t>
      </w:r>
      <w:r w:rsidRPr="00D75E76">
        <w:rPr>
          <w:rFonts w:ascii="Times New Roman" w:hAnsi="Times New Roman" w:cs="Times New Roman"/>
          <w:sz w:val="24"/>
          <w:szCs w:val="24"/>
        </w:rPr>
        <w:t xml:space="preserve">lgunos alumnos seleccionan la carrera de ingeniería </w:t>
      </w:r>
      <w:r>
        <w:rPr>
          <w:rFonts w:ascii="Times New Roman" w:hAnsi="Times New Roman" w:cs="Times New Roman"/>
          <w:sz w:val="24"/>
          <w:szCs w:val="24"/>
        </w:rPr>
        <w:t>con el</w:t>
      </w:r>
      <w:r w:rsidRPr="00D75E76">
        <w:rPr>
          <w:rFonts w:ascii="Times New Roman" w:hAnsi="Times New Roman" w:cs="Times New Roman"/>
          <w:sz w:val="24"/>
          <w:szCs w:val="24"/>
        </w:rPr>
        <w:t xml:space="preserve"> deseo de ayudar a la sociedad dise</w:t>
      </w:r>
      <w:r>
        <w:rPr>
          <w:rFonts w:ascii="Times New Roman" w:hAnsi="Times New Roman" w:cs="Times New Roman"/>
          <w:sz w:val="24"/>
          <w:szCs w:val="24"/>
        </w:rPr>
        <w:t>ñando y desarrollando proyectos tecnológico</w:t>
      </w:r>
      <w:r w:rsidRPr="00D75E76">
        <w:rPr>
          <w:rFonts w:ascii="Times New Roman" w:hAnsi="Times New Roman" w:cs="Times New Roman"/>
          <w:sz w:val="24"/>
          <w:szCs w:val="24"/>
        </w:rPr>
        <w:t>s que pu</w:t>
      </w:r>
      <w:r w:rsidR="005143E8">
        <w:rPr>
          <w:rFonts w:ascii="Times New Roman" w:hAnsi="Times New Roman" w:cs="Times New Roman"/>
          <w:sz w:val="24"/>
          <w:szCs w:val="24"/>
        </w:rPr>
        <w:t>edan</w:t>
      </w:r>
      <w:r w:rsidRPr="00D75E76">
        <w:rPr>
          <w:rFonts w:ascii="Times New Roman" w:hAnsi="Times New Roman" w:cs="Times New Roman"/>
          <w:sz w:val="24"/>
          <w:szCs w:val="24"/>
        </w:rPr>
        <w:t xml:space="preserve"> solucionar problemas de la vida diaria, </w:t>
      </w:r>
      <w:r w:rsidR="0014728B">
        <w:rPr>
          <w:rFonts w:ascii="Times New Roman" w:hAnsi="Times New Roman" w:cs="Times New Roman"/>
          <w:sz w:val="24"/>
          <w:szCs w:val="24"/>
        </w:rPr>
        <w:t>aun</w:t>
      </w:r>
      <w:r w:rsidRPr="00D75E76">
        <w:rPr>
          <w:rFonts w:ascii="Times New Roman" w:hAnsi="Times New Roman" w:cs="Times New Roman"/>
          <w:sz w:val="24"/>
          <w:szCs w:val="24"/>
        </w:rPr>
        <w:t xml:space="preserve"> cuando no tienen una idea</w:t>
      </w:r>
      <w:r w:rsidR="007B16D5">
        <w:rPr>
          <w:rFonts w:ascii="Times New Roman" w:hAnsi="Times New Roman" w:cs="Times New Roman"/>
          <w:sz w:val="24"/>
          <w:szCs w:val="24"/>
        </w:rPr>
        <w:t xml:space="preserve"> clara</w:t>
      </w:r>
      <w:r w:rsidRPr="00D75E76">
        <w:rPr>
          <w:rFonts w:ascii="Times New Roman" w:hAnsi="Times New Roman" w:cs="Times New Roman"/>
          <w:sz w:val="24"/>
          <w:szCs w:val="24"/>
        </w:rPr>
        <w:t xml:space="preserve"> de las posibilidades labora</w:t>
      </w:r>
      <w:r>
        <w:rPr>
          <w:rFonts w:ascii="Times New Roman" w:hAnsi="Times New Roman" w:cs="Times New Roman"/>
          <w:sz w:val="24"/>
          <w:szCs w:val="24"/>
        </w:rPr>
        <w:t>les que tienen los ingenieros</w:t>
      </w:r>
      <w:r w:rsidRPr="00D75E76">
        <w:rPr>
          <w:rFonts w:ascii="Times New Roman" w:hAnsi="Times New Roman" w:cs="Times New Roman"/>
          <w:sz w:val="24"/>
          <w:szCs w:val="24"/>
        </w:rPr>
        <w:t xml:space="preserve"> </w:t>
      </w:r>
      <w:r>
        <w:rPr>
          <w:rFonts w:ascii="Times New Roman" w:hAnsi="Times New Roman" w:cs="Times New Roman"/>
          <w:sz w:val="24"/>
          <w:szCs w:val="24"/>
          <w:lang w:val="en-US"/>
        </w:rPr>
        <w:fldChar w:fldCharType="begin" w:fldLock="1"/>
      </w:r>
      <w:r w:rsidR="0096183A">
        <w:rPr>
          <w:rFonts w:ascii="Times New Roman" w:hAnsi="Times New Roman" w:cs="Times New Roman"/>
          <w:sz w:val="24"/>
          <w:szCs w:val="24"/>
        </w:rPr>
        <w:instrText>ADDIN CSL_CITATION {"citationItems":[{"id":"ITEM-1","itemData":{"author":[{"dropping-particle":"","family":"Cunningham","given":"C.","non-dropping-particle":"","parse-names":false,"suffix":""},{"dropping-particle":"","family":"Knight","given":"M.","non-dropping-particle":"","parse-names":false,"suffix":""}],"container-title":"Proceedings of the 2004 American Society for Engineering Education Annual Conference and Exposition. Salt Lake City, UT, June 20–23. Washington, DC: ASEE.","id":"ITEM-1","issued":{"date-parts":[["2004"]]},"title":"Draw an Engineer Test: Development of a Tool to investigate Students’ Ideas about Engineers and Engineering","type":"article-journal"},"uris":["http://www.mendeley.com/documents/?uuid=8de425b3-27a7-4077-8e8e-effa398c760f"]}],"mendeley":{"formattedCitation":"(Cunningham &amp; Knight, 2004)","plainTextFormattedCitation":"(Cunningham &amp; Knight, 2004)","previouslyFormattedCitation":"(Cunningham &amp; Knight, 2004)"},"properties":{"noteIndex":0},"schema":"https://github.com/citation-style-language/schema/raw/master/csl-citation.json"}</w:instrText>
      </w:r>
      <w:r>
        <w:rPr>
          <w:rFonts w:ascii="Times New Roman" w:hAnsi="Times New Roman" w:cs="Times New Roman"/>
          <w:sz w:val="24"/>
          <w:szCs w:val="24"/>
          <w:lang w:val="en-US"/>
        </w:rPr>
        <w:fldChar w:fldCharType="separate"/>
      </w:r>
      <w:r w:rsidRPr="00D75E76">
        <w:rPr>
          <w:rFonts w:ascii="Times New Roman" w:hAnsi="Times New Roman" w:cs="Times New Roman"/>
          <w:noProof/>
          <w:sz w:val="24"/>
          <w:szCs w:val="24"/>
        </w:rPr>
        <w:t xml:space="preserve">(Cunningham </w:t>
      </w:r>
      <w:r w:rsidR="00210D73">
        <w:rPr>
          <w:rFonts w:ascii="Times New Roman" w:hAnsi="Times New Roman" w:cs="Times New Roman"/>
          <w:noProof/>
          <w:sz w:val="24"/>
          <w:szCs w:val="24"/>
        </w:rPr>
        <w:t>y</w:t>
      </w:r>
      <w:r w:rsidR="00210D73" w:rsidRPr="00D75E76">
        <w:rPr>
          <w:rFonts w:ascii="Times New Roman" w:hAnsi="Times New Roman" w:cs="Times New Roman"/>
          <w:noProof/>
          <w:sz w:val="24"/>
          <w:szCs w:val="24"/>
        </w:rPr>
        <w:t xml:space="preserve"> </w:t>
      </w:r>
      <w:r w:rsidRPr="00D75E76">
        <w:rPr>
          <w:rFonts w:ascii="Times New Roman" w:hAnsi="Times New Roman" w:cs="Times New Roman"/>
          <w:noProof/>
          <w:sz w:val="24"/>
          <w:szCs w:val="24"/>
        </w:rPr>
        <w:t>Knight, 2004)</w:t>
      </w:r>
      <w:r>
        <w:rPr>
          <w:rFonts w:ascii="Times New Roman" w:hAnsi="Times New Roman" w:cs="Times New Roman"/>
          <w:sz w:val="24"/>
          <w:szCs w:val="24"/>
          <w:lang w:val="en-US"/>
        </w:rPr>
        <w:fldChar w:fldCharType="end"/>
      </w:r>
      <w:r w:rsidRPr="00D75E76">
        <w:rPr>
          <w:rFonts w:ascii="Times New Roman" w:hAnsi="Times New Roman" w:cs="Times New Roman"/>
          <w:sz w:val="24"/>
          <w:szCs w:val="24"/>
        </w:rPr>
        <w:t>.</w:t>
      </w:r>
      <w:r w:rsidR="00A16EEB">
        <w:rPr>
          <w:rFonts w:ascii="Times New Roman" w:hAnsi="Times New Roman" w:cs="Times New Roman"/>
          <w:sz w:val="24"/>
          <w:szCs w:val="24"/>
        </w:rPr>
        <w:t xml:space="preserve"> </w:t>
      </w:r>
    </w:p>
    <w:p w14:paraId="548BA5DF" w14:textId="68059BD5" w:rsidR="0090595B" w:rsidRPr="00E24F2C" w:rsidRDefault="005729D2" w:rsidP="00514B68">
      <w:pPr>
        <w:spacing w:after="0" w:line="360" w:lineRule="auto"/>
        <w:ind w:firstLine="708"/>
        <w:jc w:val="both"/>
        <w:rPr>
          <w:rFonts w:ascii="Times New Roman" w:hAnsi="Times New Roman" w:cs="Times New Roman"/>
          <w:sz w:val="24"/>
          <w:szCs w:val="24"/>
        </w:rPr>
      </w:pPr>
      <w:r w:rsidRPr="009B1D3B">
        <w:rPr>
          <w:rFonts w:ascii="Times New Roman" w:hAnsi="Times New Roman" w:cs="Times New Roman"/>
          <w:sz w:val="24"/>
          <w:szCs w:val="24"/>
        </w:rPr>
        <w:t xml:space="preserve">A pesar de </w:t>
      </w:r>
      <w:r>
        <w:rPr>
          <w:rFonts w:ascii="Times New Roman" w:hAnsi="Times New Roman" w:cs="Times New Roman"/>
          <w:sz w:val="24"/>
          <w:szCs w:val="24"/>
        </w:rPr>
        <w:t xml:space="preserve">que los estudiantes </w:t>
      </w:r>
      <w:r w:rsidR="00677177">
        <w:rPr>
          <w:rFonts w:ascii="Times New Roman" w:hAnsi="Times New Roman" w:cs="Times New Roman"/>
          <w:sz w:val="24"/>
          <w:szCs w:val="24"/>
        </w:rPr>
        <w:t xml:space="preserve">pueden </w:t>
      </w:r>
      <w:r w:rsidR="00B00519">
        <w:rPr>
          <w:rFonts w:ascii="Times New Roman" w:hAnsi="Times New Roman" w:cs="Times New Roman"/>
          <w:sz w:val="24"/>
          <w:szCs w:val="24"/>
        </w:rPr>
        <w:t>considerar</w:t>
      </w:r>
      <w:r w:rsidR="00677177">
        <w:rPr>
          <w:rFonts w:ascii="Times New Roman" w:hAnsi="Times New Roman" w:cs="Times New Roman"/>
          <w:sz w:val="24"/>
          <w:szCs w:val="24"/>
        </w:rPr>
        <w:t xml:space="preserve"> diferentes razones para seleccionar</w:t>
      </w:r>
      <w:r w:rsidR="00210D73">
        <w:rPr>
          <w:rFonts w:ascii="Times New Roman" w:hAnsi="Times New Roman" w:cs="Times New Roman"/>
          <w:sz w:val="24"/>
          <w:szCs w:val="24"/>
        </w:rPr>
        <w:t xml:space="preserve"> una</w:t>
      </w:r>
      <w:r w:rsidR="00677177">
        <w:rPr>
          <w:rFonts w:ascii="Times New Roman" w:hAnsi="Times New Roman" w:cs="Times New Roman"/>
          <w:sz w:val="24"/>
          <w:szCs w:val="24"/>
        </w:rPr>
        <w:t xml:space="preserve"> </w:t>
      </w:r>
      <w:r>
        <w:rPr>
          <w:rFonts w:ascii="Times New Roman" w:hAnsi="Times New Roman" w:cs="Times New Roman"/>
          <w:sz w:val="24"/>
          <w:szCs w:val="24"/>
        </w:rPr>
        <w:t xml:space="preserve">ingeniería </w:t>
      </w:r>
      <w:r w:rsidR="00677177">
        <w:rPr>
          <w:rFonts w:ascii="Times New Roman" w:hAnsi="Times New Roman" w:cs="Times New Roman"/>
          <w:sz w:val="24"/>
          <w:szCs w:val="24"/>
        </w:rPr>
        <w:t xml:space="preserve">como su carrera, </w:t>
      </w:r>
      <w:bookmarkStart w:id="2" w:name="_Hlk513801876"/>
      <w:r w:rsidR="00677177">
        <w:rPr>
          <w:rFonts w:ascii="Times New Roman" w:hAnsi="Times New Roman" w:cs="Times New Roman"/>
          <w:sz w:val="24"/>
          <w:szCs w:val="24"/>
        </w:rPr>
        <w:t xml:space="preserve">se ha demostrado que la influencia que tienen las habilidades matemáticas y la forma en que los </w:t>
      </w:r>
      <w:r w:rsidR="00DA6EC1">
        <w:rPr>
          <w:rFonts w:ascii="Times New Roman" w:hAnsi="Times New Roman" w:cs="Times New Roman"/>
          <w:sz w:val="24"/>
          <w:szCs w:val="24"/>
        </w:rPr>
        <w:t xml:space="preserve">alumnos </w:t>
      </w:r>
      <w:r w:rsidR="00677177">
        <w:rPr>
          <w:rFonts w:ascii="Times New Roman" w:hAnsi="Times New Roman" w:cs="Times New Roman"/>
          <w:sz w:val="24"/>
          <w:szCs w:val="24"/>
        </w:rPr>
        <w:t xml:space="preserve">piensan sobre la dificultad de los cursos de matemáticas es el factor más determinante en su </w:t>
      </w:r>
      <w:r w:rsidR="00E96FD3">
        <w:rPr>
          <w:rFonts w:ascii="Times New Roman" w:hAnsi="Times New Roman" w:cs="Times New Roman"/>
          <w:sz w:val="24"/>
          <w:szCs w:val="24"/>
        </w:rPr>
        <w:t xml:space="preserve">elección </w:t>
      </w:r>
      <w:bookmarkEnd w:id="2"/>
      <w:r w:rsidR="00677177">
        <w:rPr>
          <w:rFonts w:ascii="Times New Roman" w:hAnsi="Times New Roman" w:cs="Times New Roman"/>
          <w:sz w:val="24"/>
          <w:szCs w:val="24"/>
        </w:rPr>
        <w:fldChar w:fldCharType="begin" w:fldLock="1"/>
      </w:r>
      <w:r w:rsidR="0096183A">
        <w:rPr>
          <w:rFonts w:ascii="Times New Roman" w:hAnsi="Times New Roman" w:cs="Times New Roman"/>
          <w:sz w:val="24"/>
          <w:szCs w:val="24"/>
        </w:rPr>
        <w:instrText>ADDIN CSL_CITATION {"citationItems":[{"id":"ITEM-1","itemData":{"DOI":"10.1016/0001-8791(83)90046-5","ISBN":"0001-8791","ISSN":"00018791","abstract":"The major purpose of the present study was to investigate the relationship of mathematics self-efficacy expectations to the selection of science-based majors in college males and females. Based on results obtained from a pilot sample of college students, an instrument assessing mathematics self-efficacy expectations was developed. The items used in the mathematics self-efficacy scale included everyday math tasks, math problems, and math-based college courses. Subjects, 153 female and 109 male undergraduates, completed the mathematics self-efficacy scale, the Bem Sex Role Inventory, an adapted version of the Fennema-Sherman Mathematics Attitudes Scales, and a questionnaire concerning their college major choices. Results indicated that mathematics self-efficacy expectations were significantly related to the extent to which students selected science-based college majors, thus supporting the postulated role of cognitive mediational factors in educational and career choice behavior. In addition, the math-related self-efficacy expectations of college males were significantly stronger than were those of college females. Implications of the findings for the process of educational and career decision-making are discussed.","author":[{"dropping-particle":"","family":"Betz","given":"Nancy E","non-dropping-particle":"","parse-names":false,"suffix":""},{"dropping-particle":"","family":"Hackett","given":"Gail","non-dropping-particle":"","parse-names":false,"suffix":""}],"container-title":"Journal of Vocational Behavior","id":"ITEM-1","issue":"3","issued":{"date-parts":[["1983"]]},"page":"329-345","title":"The relationship of mathematics self-efficacy expectations to the selection of science-based college majors","type":"article","volume":"23"},"uris":["http://www.mendeley.com/documents/?uuid=5a1b7b51-2446-4b96-a706-725685697779"]},{"id":"ITEM-2","itemData":{"DOI":"10.1037/0022-0167.32.1.47","ISBN":"0022-0167","ISSN":"0022-0167","abstract":"The purpose of the present study was to test the hypothesis that mathematics-related self-efficacy mediates the effects of gender and mathematical preparation and achievement on math relatedness of college major choice. The responses of 117 undergraduates to a series of inventories and questionnaires yielded seven variables descriptive of the math-related career choice process; a causal model of the interrelationships of these variables was constructed from predictions based on self-efficacy theory. A path analysis and consequent refinement of the model resulted in a final path model that was congruent with a self-efficacy approach to women's career development. Unexpected results and implications of the model are discussed.","author":[{"dropping-particle":"","family":"Hackett","given":"Gail","non-dropping-particle":"","parse-names":false,"suffix":""}],"container-title":"Journal of Counseling Psychology","id":"ITEM-2","issue":"1","issued":{"date-parts":[["1985"]]},"page":"47-56","title":"Role of mathematics self-efficacy in the choice of math-related majors of college women and men: A path analysis.","type":"article-journal","volume":"32"},"uris":["http://www.mendeley.com/documents/?uuid=c2cd54e9-a6d9-47be-bf16-ad4964cddbeb"]},{"id":"ITEM-3","itemData":{"author":[{"dropping-particle":"","family":"Lent","given":"R.","non-dropping-particle":"","parse-names":false,"suffix":""},{"dropping-particle":"","family":"Lopez","given":"F.","non-dropping-particle":"","parse-names":false,"suffix":""},{"dropping-particle":"","family":"Bieschke","given":"K.","non-dropping-particle":"","parse-names":false,"suffix":""}],"container-title":"Journal of Counseling Psychology","id":"ITEM-3","issue":"4","issued":{"date-parts":[["1991"]]},"page":"424–430.","title":"Mathematics self- efficacy sources and relation to science-based career choice","type":"article-journal","volume":"38"},"uris":["http://www.mendeley.com/documents/?uuid=f94264c0-a97f-48cd-9717-aab3f451c033"]}],"mendeley":{"formattedCitation":"(Betz &amp; Hackett, 1983; Hackett, 1985; R. Lent, Lopez, &amp; Bieschke, 1991)","manualFormatting":"(Betz &amp; Hackett, 1983; Hackett, 1985; Lent, Lopez, &amp; Bieschke, 1991)","plainTextFormattedCitation":"(Betz &amp; Hackett, 1983; Hackett, 1985; R. Lent, Lopez, &amp; Bieschke, 1991)","previouslyFormattedCitation":"(Betz &amp; Hackett, 1983; Hackett, 1985; R. Lent, Lopez, &amp; Bieschke, 1991)"},"properties":{"noteIndex":0},"schema":"https://github.com/citation-style-language/schema/raw/master/csl-citation.json"}</w:instrText>
      </w:r>
      <w:r w:rsidR="00677177">
        <w:rPr>
          <w:rFonts w:ascii="Times New Roman" w:hAnsi="Times New Roman" w:cs="Times New Roman"/>
          <w:sz w:val="24"/>
          <w:szCs w:val="24"/>
        </w:rPr>
        <w:fldChar w:fldCharType="separate"/>
      </w:r>
      <w:r w:rsidR="00677177" w:rsidRPr="00677177">
        <w:rPr>
          <w:rFonts w:ascii="Times New Roman" w:hAnsi="Times New Roman" w:cs="Times New Roman"/>
          <w:noProof/>
          <w:sz w:val="24"/>
          <w:szCs w:val="24"/>
        </w:rPr>
        <w:t xml:space="preserve">(Betz </w:t>
      </w:r>
      <w:r w:rsidR="00210D73">
        <w:rPr>
          <w:rFonts w:ascii="Times New Roman" w:hAnsi="Times New Roman" w:cs="Times New Roman"/>
          <w:noProof/>
          <w:sz w:val="24"/>
          <w:szCs w:val="24"/>
        </w:rPr>
        <w:t>y</w:t>
      </w:r>
      <w:r w:rsidR="00210D73" w:rsidRPr="00677177">
        <w:rPr>
          <w:rFonts w:ascii="Times New Roman" w:hAnsi="Times New Roman" w:cs="Times New Roman"/>
          <w:noProof/>
          <w:sz w:val="24"/>
          <w:szCs w:val="24"/>
        </w:rPr>
        <w:t xml:space="preserve"> </w:t>
      </w:r>
      <w:r w:rsidR="00677177" w:rsidRPr="00677177">
        <w:rPr>
          <w:rFonts w:ascii="Times New Roman" w:hAnsi="Times New Roman" w:cs="Times New Roman"/>
          <w:noProof/>
          <w:sz w:val="24"/>
          <w:szCs w:val="24"/>
        </w:rPr>
        <w:t>Hackett, 1983; Hackett, 1985; Lent</w:t>
      </w:r>
      <w:r w:rsidR="00210D73">
        <w:rPr>
          <w:rFonts w:ascii="Times New Roman" w:hAnsi="Times New Roman" w:cs="Times New Roman"/>
          <w:noProof/>
          <w:sz w:val="24"/>
          <w:szCs w:val="24"/>
        </w:rPr>
        <w:t xml:space="preserve"> </w:t>
      </w:r>
      <w:r w:rsidR="00210D73" w:rsidRPr="00514B68">
        <w:rPr>
          <w:rFonts w:ascii="Times New Roman" w:hAnsi="Times New Roman" w:cs="Times New Roman"/>
          <w:i/>
          <w:noProof/>
          <w:sz w:val="24"/>
          <w:szCs w:val="24"/>
        </w:rPr>
        <w:t>et al.</w:t>
      </w:r>
      <w:r w:rsidR="00677177" w:rsidRPr="00677177">
        <w:rPr>
          <w:rFonts w:ascii="Times New Roman" w:hAnsi="Times New Roman" w:cs="Times New Roman"/>
          <w:noProof/>
          <w:sz w:val="24"/>
          <w:szCs w:val="24"/>
        </w:rPr>
        <w:t>, 1991)</w:t>
      </w:r>
      <w:r w:rsidR="00677177">
        <w:rPr>
          <w:rFonts w:ascii="Times New Roman" w:hAnsi="Times New Roman" w:cs="Times New Roman"/>
          <w:sz w:val="24"/>
          <w:szCs w:val="24"/>
        </w:rPr>
        <w:fldChar w:fldCharType="end"/>
      </w:r>
      <w:r>
        <w:rPr>
          <w:rFonts w:ascii="Times New Roman" w:hAnsi="Times New Roman" w:cs="Times New Roman"/>
          <w:sz w:val="24"/>
          <w:szCs w:val="24"/>
        </w:rPr>
        <w:t>.</w:t>
      </w:r>
      <w:r w:rsidR="00677177">
        <w:rPr>
          <w:rFonts w:ascii="Times New Roman" w:hAnsi="Times New Roman" w:cs="Times New Roman"/>
          <w:sz w:val="24"/>
          <w:szCs w:val="24"/>
        </w:rPr>
        <w:t xml:space="preserve"> La literatura </w:t>
      </w:r>
      <w:r w:rsidR="00F948BE">
        <w:rPr>
          <w:rFonts w:ascii="Times New Roman" w:hAnsi="Times New Roman" w:cs="Times New Roman"/>
          <w:sz w:val="24"/>
          <w:szCs w:val="24"/>
        </w:rPr>
        <w:t xml:space="preserve">actual </w:t>
      </w:r>
      <w:r w:rsidR="00677177">
        <w:rPr>
          <w:rFonts w:ascii="Times New Roman" w:hAnsi="Times New Roman" w:cs="Times New Roman"/>
          <w:sz w:val="24"/>
          <w:szCs w:val="24"/>
        </w:rPr>
        <w:t xml:space="preserve">sugiere </w:t>
      </w:r>
      <w:proofErr w:type="gramStart"/>
      <w:r w:rsidR="007413D2">
        <w:rPr>
          <w:rFonts w:ascii="Times New Roman" w:hAnsi="Times New Roman" w:cs="Times New Roman"/>
          <w:sz w:val="24"/>
          <w:szCs w:val="24"/>
        </w:rPr>
        <w:t>que</w:t>
      </w:r>
      <w:proofErr w:type="gramEnd"/>
      <w:r w:rsidR="007413D2">
        <w:rPr>
          <w:rFonts w:ascii="Times New Roman" w:hAnsi="Times New Roman" w:cs="Times New Roman"/>
          <w:sz w:val="24"/>
          <w:szCs w:val="24"/>
        </w:rPr>
        <w:t xml:space="preserve"> si un estudiante siente que sus habilidades matemáticas son</w:t>
      </w:r>
      <w:r w:rsidR="007B16D5">
        <w:rPr>
          <w:rFonts w:ascii="Times New Roman" w:hAnsi="Times New Roman" w:cs="Times New Roman"/>
          <w:sz w:val="24"/>
          <w:szCs w:val="24"/>
        </w:rPr>
        <w:t xml:space="preserve"> </w:t>
      </w:r>
      <w:r w:rsidR="004A052A">
        <w:rPr>
          <w:rFonts w:ascii="Times New Roman" w:hAnsi="Times New Roman" w:cs="Times New Roman"/>
          <w:sz w:val="24"/>
          <w:szCs w:val="24"/>
        </w:rPr>
        <w:t xml:space="preserve">lo </w:t>
      </w:r>
      <w:r w:rsidR="007B16D5">
        <w:rPr>
          <w:rFonts w:ascii="Times New Roman" w:hAnsi="Times New Roman" w:cs="Times New Roman"/>
          <w:sz w:val="24"/>
          <w:szCs w:val="24"/>
        </w:rPr>
        <w:t>suficientemente</w:t>
      </w:r>
      <w:r w:rsidR="007413D2">
        <w:rPr>
          <w:rFonts w:ascii="Times New Roman" w:hAnsi="Times New Roman" w:cs="Times New Roman"/>
          <w:sz w:val="24"/>
          <w:szCs w:val="24"/>
        </w:rPr>
        <w:t xml:space="preserve"> buenas</w:t>
      </w:r>
      <w:r w:rsidR="007B16D5">
        <w:rPr>
          <w:rFonts w:ascii="Times New Roman" w:hAnsi="Times New Roman" w:cs="Times New Roman"/>
          <w:sz w:val="24"/>
          <w:szCs w:val="24"/>
        </w:rPr>
        <w:t xml:space="preserve"> para</w:t>
      </w:r>
      <w:r w:rsidR="007413D2">
        <w:rPr>
          <w:rFonts w:ascii="Times New Roman" w:hAnsi="Times New Roman" w:cs="Times New Roman"/>
          <w:sz w:val="24"/>
          <w:szCs w:val="24"/>
        </w:rPr>
        <w:t xml:space="preserve"> aprobar los cursos de matemáticas incluidos en las carreras </w:t>
      </w:r>
      <w:r w:rsidR="00BA630F">
        <w:rPr>
          <w:rFonts w:ascii="Times New Roman" w:hAnsi="Times New Roman" w:cs="Times New Roman"/>
          <w:sz w:val="24"/>
          <w:szCs w:val="24"/>
        </w:rPr>
        <w:t>ingenieriles</w:t>
      </w:r>
      <w:r w:rsidR="007413D2">
        <w:rPr>
          <w:rFonts w:ascii="Times New Roman" w:hAnsi="Times New Roman" w:cs="Times New Roman"/>
          <w:sz w:val="24"/>
          <w:szCs w:val="24"/>
        </w:rPr>
        <w:t xml:space="preserve"> sin </w:t>
      </w:r>
      <w:r w:rsidR="009B7799">
        <w:rPr>
          <w:rFonts w:ascii="Times New Roman" w:hAnsi="Times New Roman" w:cs="Times New Roman"/>
          <w:sz w:val="24"/>
          <w:szCs w:val="24"/>
        </w:rPr>
        <w:t xml:space="preserve">experimentar </w:t>
      </w:r>
      <w:r w:rsidR="007413D2">
        <w:rPr>
          <w:rFonts w:ascii="Times New Roman" w:hAnsi="Times New Roman" w:cs="Times New Roman"/>
          <w:sz w:val="24"/>
          <w:szCs w:val="24"/>
        </w:rPr>
        <w:t>problemas mayores, entonces será mucho más propenso a seleccionar una ingeniería como carrera. Además, el confiar en sus habilidades matemáticas puede ser un factor determ</w:t>
      </w:r>
      <w:r w:rsidR="0012429B">
        <w:rPr>
          <w:rFonts w:ascii="Times New Roman" w:hAnsi="Times New Roman" w:cs="Times New Roman"/>
          <w:sz w:val="24"/>
          <w:szCs w:val="24"/>
        </w:rPr>
        <w:t>i</w:t>
      </w:r>
      <w:r w:rsidR="007413D2">
        <w:rPr>
          <w:rFonts w:ascii="Times New Roman" w:hAnsi="Times New Roman" w:cs="Times New Roman"/>
          <w:sz w:val="24"/>
          <w:szCs w:val="24"/>
        </w:rPr>
        <w:t>na</w:t>
      </w:r>
      <w:r w:rsidR="0012429B">
        <w:rPr>
          <w:rFonts w:ascii="Times New Roman" w:hAnsi="Times New Roman" w:cs="Times New Roman"/>
          <w:sz w:val="24"/>
          <w:szCs w:val="24"/>
        </w:rPr>
        <w:t>n</w:t>
      </w:r>
      <w:r w:rsidR="007413D2">
        <w:rPr>
          <w:rFonts w:ascii="Times New Roman" w:hAnsi="Times New Roman" w:cs="Times New Roman"/>
          <w:sz w:val="24"/>
          <w:szCs w:val="24"/>
        </w:rPr>
        <w:t xml:space="preserve">te en la decisión de los estudiantes de ingeniería de permanecer en su carrera si llegan a enfrentar dificultades para acreditar alguno de sus cursos de matemáticas </w:t>
      </w:r>
      <w:r w:rsidR="007413D2">
        <w:rPr>
          <w:rFonts w:ascii="Times New Roman" w:hAnsi="Times New Roman" w:cs="Times New Roman"/>
          <w:sz w:val="24"/>
          <w:szCs w:val="24"/>
        </w:rPr>
        <w:fldChar w:fldCharType="begin" w:fldLock="1"/>
      </w:r>
      <w:r w:rsidR="0096183A">
        <w:rPr>
          <w:rFonts w:ascii="Times New Roman" w:hAnsi="Times New Roman" w:cs="Times New Roman"/>
          <w:sz w:val="24"/>
          <w:szCs w:val="24"/>
        </w:rPr>
        <w:instrText>ADDIN CSL_CITATION {"citationItems":[{"id":"ITEM-1","itemData":{"ISBN":"0949-149X","ISSN":"0949-149X","abstract":"Engineering student's self-efficacy beliefs are strongly tied to their successful navigation of the engineering curriculum. Mathematics self-efficacy has been shown to be especially important to engineering student retention during the critical first two years of the curriculum. The purpose of this study is to investigate the changes in students' mathematics self-efficacy over the course of a freshman engineering mathematics course and examine the reasons that these changes occurred, using a mixed methods research approach. As a group, students' belief that they could solve mathematics problems (problem mathematics self-efficacy) improved, but their belief that they could be successful in future mathematics courses (courses mathematics self-efficacy) did not. Following individual analysis, differential factors for groups of students who increased, decreased, or remained the same in each construct are described. Educators can use results to incorporate efficacy-developing aspects of their mathematics courses.","author":[{"dropping-particle":"","family":"Brown","given":"S","non-dropping-particle":"","parse-names":false,"suffix":""},{"dropping-particle":"","family":"Burnham","given":"J","non-dropping-particle":"","parse-names":false,"suffix":""}],"container-title":"International Journal of Engineering Education","id":"ITEM-1","issue":"1","issued":{"date-parts":[["2012"]]},"page":"113-129","title":"Engineering Student's Mathematics Self-Efficacy Development in a Freshmen Engineering Mathematics Course","type":"article-journal","volume":"28"},"uris":["http://www.mendeley.com/documents/?uuid=da8a364b-746c-41bb-af39-aaeaf7afa3b5"]},{"id":"ITEM-2","itemData":{"author":[{"dropping-particle":"","family":"Eris","given":"O.","non-dropping-particle":"","parse-names":false,"suffix":""},{"dropping-particle":"","family":"Chachra","given":"D","non-dropping-particle":"","parse-names":false,"suffix":""},{"dropping-particle":"","family":"Chen","given":"H. L.","non-dropping-particle":"","parse-names":false,"suffix":""},{"dropping-particle":"","family":"Sheppard","given":"S.","non-dropping-particle":"","parse-names":false,"suffix":""},{"dropping-particle":"","family":"Ludlow","given":"L.","non-dropping-particle":"","parse-names":false,"suffix":""},{"dropping-particle":"","family":"Rosca","given":"C.","non-dropping-particle":"","parse-names":false,"suffix":""}],"container-title":"Journal of Engineering Education","id":"ITEM-2","issue":"4","issued":{"date-parts":[["2010"]]},"page":"371","title":"Outcomes of a Longitudinal Administration of the Persistence in Engineering Survey.","type":"article-journal","volume":"99"},"uris":["http://www.mendeley.com/documents/?uuid=7d86f8b9-5053-437e-8c69-a48ff70b9b2b"]},{"id":"ITEM-3","itemData":{"author":[{"dropping-particle":"","family":"Levin","given":"James","non-dropping-particle":"","parse-names":false,"suffix":""},{"dropping-particle":"","family":"Wyckoff","given":"John","non-dropping-particle":"","parse-names":false,"suffix":""}],"container-title":"Engineering Education","id":"ITEM-3","issue":"11","issued":{"date-parts":[["1988"]]},"page":"178-182","title":"Effective advising: Identifying students most likely to persist and succeed in engineering","type":"article-journal","volume":"78"},"uris":["http://www.mendeley.com/documents/?uuid=37d3ded4-2308-4220-949a-7e115271322b"]},{"id":"ITEM-4","itemData":{"author":[{"dropping-particle":"","family":"Seymour","given":"Elaine","non-dropping-particle":"","parse-names":false,"suffix":""},{"dropping-particle":"","family":"Hewitt","given":"Nancy M","non-dropping-particle":"","parse-names":false,"suffix":""}],"id":"ITEM-4","issued":{"date-parts":[["1997"]]},"publisher":"Westview Press, Boulder, CO.","titl</w:instrText>
      </w:r>
      <w:r w:rsidR="0096183A" w:rsidRPr="00E24F2C">
        <w:rPr>
          <w:rFonts w:ascii="Times New Roman" w:hAnsi="Times New Roman" w:cs="Times New Roman"/>
          <w:sz w:val="24"/>
          <w:szCs w:val="24"/>
        </w:rPr>
        <w:instrText>e":"Talking About Leaving: Why Undergraduates Leave the Sciences.","type":"book"},"uris":["http://www.mendeley.com/documents/?uuid=1ff8e9c4-ef9c-4ff2-aa1d-0474237ac270"]},{"id":"ITEM-5","itemData":{"DOI":"10.1016/j.econedurev.2010.06.016","ISSN":"0272-7757","author":[{"dropping-particle":"","family":"Kokkelenberg","given":"Edward C","non-dropping-particle":"","parse-names":false,"suffix":""},{"dropping-particle":"","family":"Sinha","given":"Esha","non-dropping-particle":"","parse-names":false,"suffix":""}],"container-title":"Economics of Education Review","id":"ITEM-5","issue":"6","issued":{"date-parts":[["2010"]]},"page":"935-946","publisher":"Elsevier Ltd","title":"Economics of Education Review Who succeeds in STEM studies ? An analysis of Binghamton University undergraduate students","type":"article-journal","volume":"29"},"uris":["http://www.mendeley.com/documents/?uuid=de2dc8eb-f453-492e-872e-57d997cd44b3"]}],"mendeley":{"formattedCitation":"(Brown &amp; Burnham, 2012; Eris et al., 2010; Kokkelenberg &amp; Sinha, 2010; Levin &amp; Wyckoff, 1988; Seymour &amp; Hewitt, 1997)","plainTextFormattedCitation":"(Brown &amp; Burnham, 2012; Eris et al., 2010; Kokkelenberg &amp; Sinha, 2010; Levin &amp; Wyckoff, 1988; Seymour &amp; Hewitt, 1997)","previouslyFormattedCitation":"(Brown &amp; Burnham, 2012; Eris et al., 2010; Kokkelenberg &amp; Sinha, 2010; Levin &amp; Wyckoff, 1988; Seymour &amp; Hewitt, 1997)"},"properties":{"noteIndex":0},"schema":"https://github.com/citation-style-language/schema/raw/master/csl-citation.json"}</w:instrText>
      </w:r>
      <w:r w:rsidR="007413D2">
        <w:rPr>
          <w:rFonts w:ascii="Times New Roman" w:hAnsi="Times New Roman" w:cs="Times New Roman"/>
          <w:sz w:val="24"/>
          <w:szCs w:val="24"/>
        </w:rPr>
        <w:fldChar w:fldCharType="separate"/>
      </w:r>
      <w:r w:rsidR="00885822" w:rsidRPr="00E24F2C">
        <w:rPr>
          <w:rFonts w:ascii="Times New Roman" w:hAnsi="Times New Roman" w:cs="Times New Roman"/>
          <w:noProof/>
          <w:sz w:val="24"/>
          <w:szCs w:val="24"/>
        </w:rPr>
        <w:t xml:space="preserve">(Brown </w:t>
      </w:r>
      <w:r w:rsidR="00E96FD3" w:rsidRPr="00E24F2C">
        <w:rPr>
          <w:rFonts w:ascii="Times New Roman" w:hAnsi="Times New Roman" w:cs="Times New Roman"/>
          <w:noProof/>
          <w:sz w:val="24"/>
          <w:szCs w:val="24"/>
        </w:rPr>
        <w:t xml:space="preserve">y </w:t>
      </w:r>
      <w:r w:rsidR="00885822" w:rsidRPr="00E24F2C">
        <w:rPr>
          <w:rFonts w:ascii="Times New Roman" w:hAnsi="Times New Roman" w:cs="Times New Roman"/>
          <w:noProof/>
          <w:sz w:val="24"/>
          <w:szCs w:val="24"/>
        </w:rPr>
        <w:t xml:space="preserve">Burnham, 2012; Eris </w:t>
      </w:r>
      <w:r w:rsidR="00885822" w:rsidRPr="00E24F2C">
        <w:rPr>
          <w:rFonts w:ascii="Times New Roman" w:hAnsi="Times New Roman" w:cs="Times New Roman"/>
          <w:i/>
          <w:noProof/>
          <w:sz w:val="24"/>
          <w:szCs w:val="24"/>
        </w:rPr>
        <w:t>et al</w:t>
      </w:r>
      <w:r w:rsidR="00885822" w:rsidRPr="00E24F2C">
        <w:rPr>
          <w:rFonts w:ascii="Times New Roman" w:hAnsi="Times New Roman" w:cs="Times New Roman"/>
          <w:noProof/>
          <w:sz w:val="24"/>
          <w:szCs w:val="24"/>
        </w:rPr>
        <w:t xml:space="preserve">., 2010; Kokkelenberg </w:t>
      </w:r>
      <w:r w:rsidR="00F750B3" w:rsidRPr="00E24F2C">
        <w:rPr>
          <w:rFonts w:ascii="Times New Roman" w:hAnsi="Times New Roman" w:cs="Times New Roman"/>
          <w:noProof/>
          <w:sz w:val="24"/>
          <w:szCs w:val="24"/>
        </w:rPr>
        <w:t xml:space="preserve">y </w:t>
      </w:r>
      <w:r w:rsidR="00885822" w:rsidRPr="00E24F2C">
        <w:rPr>
          <w:rFonts w:ascii="Times New Roman" w:hAnsi="Times New Roman" w:cs="Times New Roman"/>
          <w:noProof/>
          <w:sz w:val="24"/>
          <w:szCs w:val="24"/>
        </w:rPr>
        <w:t xml:space="preserve">Sinha, 2010; Levin </w:t>
      </w:r>
      <w:r w:rsidR="00F750B3" w:rsidRPr="00E24F2C">
        <w:rPr>
          <w:rFonts w:ascii="Times New Roman" w:hAnsi="Times New Roman" w:cs="Times New Roman"/>
          <w:noProof/>
          <w:sz w:val="24"/>
          <w:szCs w:val="24"/>
        </w:rPr>
        <w:t xml:space="preserve">y </w:t>
      </w:r>
      <w:r w:rsidR="00885822" w:rsidRPr="00E24F2C">
        <w:rPr>
          <w:rFonts w:ascii="Times New Roman" w:hAnsi="Times New Roman" w:cs="Times New Roman"/>
          <w:noProof/>
          <w:sz w:val="24"/>
          <w:szCs w:val="24"/>
        </w:rPr>
        <w:t xml:space="preserve">Wyckoff, 1988; Seymour </w:t>
      </w:r>
      <w:r w:rsidR="00F750B3" w:rsidRPr="00E24F2C">
        <w:rPr>
          <w:rFonts w:ascii="Times New Roman" w:hAnsi="Times New Roman" w:cs="Times New Roman"/>
          <w:noProof/>
          <w:sz w:val="24"/>
          <w:szCs w:val="24"/>
        </w:rPr>
        <w:t xml:space="preserve">y </w:t>
      </w:r>
      <w:r w:rsidR="00885822" w:rsidRPr="00E24F2C">
        <w:rPr>
          <w:rFonts w:ascii="Times New Roman" w:hAnsi="Times New Roman" w:cs="Times New Roman"/>
          <w:noProof/>
          <w:sz w:val="24"/>
          <w:szCs w:val="24"/>
        </w:rPr>
        <w:t>Hewitt, 1997)</w:t>
      </w:r>
      <w:r w:rsidR="007413D2">
        <w:rPr>
          <w:rFonts w:ascii="Times New Roman" w:hAnsi="Times New Roman" w:cs="Times New Roman"/>
          <w:sz w:val="24"/>
          <w:szCs w:val="24"/>
        </w:rPr>
        <w:fldChar w:fldCharType="end"/>
      </w:r>
      <w:r w:rsidR="006405CC" w:rsidRPr="00E24F2C">
        <w:rPr>
          <w:rFonts w:ascii="Times New Roman" w:hAnsi="Times New Roman" w:cs="Times New Roman"/>
          <w:sz w:val="24"/>
          <w:szCs w:val="24"/>
        </w:rPr>
        <w:t>.</w:t>
      </w:r>
    </w:p>
    <w:p w14:paraId="6EB7BBCC" w14:textId="7B9705C5" w:rsidR="0014728B" w:rsidRDefault="00816404" w:rsidP="00514B68">
      <w:pPr>
        <w:spacing w:after="0" w:line="360" w:lineRule="auto"/>
        <w:ind w:firstLine="708"/>
        <w:jc w:val="both"/>
        <w:rPr>
          <w:rFonts w:ascii="Times New Roman" w:eastAsia="Times New Roman" w:hAnsi="Times New Roman" w:cs="Times New Roman"/>
          <w:sz w:val="24"/>
          <w:szCs w:val="24"/>
          <w:lang w:eastAsia="es-MX"/>
        </w:rPr>
      </w:pPr>
      <w:r>
        <w:rPr>
          <w:rFonts w:ascii="Times New Roman" w:hAnsi="Times New Roman" w:cs="Times New Roman"/>
          <w:sz w:val="24"/>
          <w:szCs w:val="24"/>
        </w:rPr>
        <w:lastRenderedPageBreak/>
        <w:t xml:space="preserve">Asimismo, la </w:t>
      </w:r>
      <w:r w:rsidR="0090595B">
        <w:rPr>
          <w:rFonts w:ascii="Times New Roman" w:hAnsi="Times New Roman" w:cs="Times New Roman"/>
          <w:sz w:val="24"/>
          <w:szCs w:val="24"/>
        </w:rPr>
        <w:t xml:space="preserve">literatura existente </w:t>
      </w:r>
      <w:r w:rsidR="005250B5">
        <w:rPr>
          <w:rFonts w:ascii="Times New Roman" w:hAnsi="Times New Roman" w:cs="Times New Roman"/>
          <w:sz w:val="24"/>
          <w:szCs w:val="24"/>
        </w:rPr>
        <w:t xml:space="preserve">sobre </w:t>
      </w:r>
      <w:r w:rsidR="00AF4AA1">
        <w:rPr>
          <w:rFonts w:ascii="Times New Roman" w:hAnsi="Times New Roman" w:cs="Times New Roman"/>
          <w:sz w:val="24"/>
          <w:szCs w:val="24"/>
        </w:rPr>
        <w:t xml:space="preserve">el alumnado </w:t>
      </w:r>
      <w:r w:rsidR="005250B5">
        <w:rPr>
          <w:rFonts w:ascii="Times New Roman" w:hAnsi="Times New Roman" w:cs="Times New Roman"/>
          <w:sz w:val="24"/>
          <w:szCs w:val="24"/>
        </w:rPr>
        <w:t xml:space="preserve">de </w:t>
      </w:r>
      <w:r>
        <w:rPr>
          <w:rFonts w:ascii="Times New Roman" w:hAnsi="Times New Roman" w:cs="Times New Roman"/>
          <w:sz w:val="24"/>
          <w:szCs w:val="24"/>
        </w:rPr>
        <w:t xml:space="preserve">esta rama </w:t>
      </w:r>
      <w:r w:rsidR="00706C69">
        <w:rPr>
          <w:rFonts w:ascii="Times New Roman" w:hAnsi="Times New Roman" w:cs="Times New Roman"/>
          <w:sz w:val="24"/>
          <w:szCs w:val="24"/>
        </w:rPr>
        <w:t>ha mostrado diferencias estadísticas significativas entre los números de mujeres y hombres que seleccionan</w:t>
      </w:r>
      <w:r>
        <w:rPr>
          <w:rFonts w:ascii="Times New Roman" w:hAnsi="Times New Roman" w:cs="Times New Roman"/>
          <w:sz w:val="24"/>
          <w:szCs w:val="24"/>
        </w:rPr>
        <w:t xml:space="preserve"> una</w:t>
      </w:r>
      <w:r w:rsidR="00706C69">
        <w:rPr>
          <w:rFonts w:ascii="Times New Roman" w:hAnsi="Times New Roman" w:cs="Times New Roman"/>
          <w:sz w:val="24"/>
          <w:szCs w:val="24"/>
        </w:rPr>
        <w:t xml:space="preserve"> ingeniería como su carrera</w:t>
      </w:r>
      <w:r w:rsidR="00B00519">
        <w:rPr>
          <w:rFonts w:ascii="Times New Roman" w:hAnsi="Times New Roman" w:cs="Times New Roman"/>
          <w:sz w:val="24"/>
          <w:szCs w:val="24"/>
        </w:rPr>
        <w:t xml:space="preserve"> </w:t>
      </w:r>
      <w:r w:rsidR="00B00519">
        <w:rPr>
          <w:rFonts w:ascii="Times New Roman" w:hAnsi="Times New Roman" w:cs="Times New Roman"/>
          <w:sz w:val="24"/>
          <w:szCs w:val="24"/>
        </w:rPr>
        <w:fldChar w:fldCharType="begin" w:fldLock="1"/>
      </w:r>
      <w:r w:rsidR="0096183A">
        <w:rPr>
          <w:rFonts w:ascii="Times New Roman" w:hAnsi="Times New Roman" w:cs="Times New Roman"/>
          <w:sz w:val="24"/>
          <w:szCs w:val="24"/>
        </w:rPr>
        <w:instrText>ADDIN CSL_CITATION {"citationItems":[{"id":"ITEM-1","itemData":{"DOI":"10.1002/j.2168-9830.2011.tb00012.x","ISBN":"10694730","ISSN":"1069-4730","PMID":"62286539","abstract":"BACKGROUND Concern for workforce needs, social justice, and the diversification of the engineering profession make it critical to understand how different metrics may overestimate or underestimate the success of various race-gender populations in engineering. PURPOSE(HYPOTHESIS) While earlier work found that women in nearly all racial groups persist to the eighth semester at rates comparable to men, results vary in studies that use other measures of success, providing an incentive to compare multiple measures of success in the same population. DESIGN/METHOD The eight-semester persistence and six-year graduation rates are compared for various race-gender popu- lations using a longitudinal, comprehensive dataset of more than 75,000 students matriculating in engi- neering at nine universities from 1988–1998. RESULTS Gender differences in persistence of Asian, Black, Hispanic, Native American, and White students are far outweighed by institutional differences. Racial differences are more pronounced, however, revealing some patterns that transcend institutional differences. CONCLUSIONS Our work demonstrates that trajectories of persistence are non-linear, gendered, and racialized, and fur- ther that higher education has developed the way in which persistence is studied based on the behavior of the majority, specificallly the White, male population. Even if institutions were to treat all students equal- ly, the outcomes will not necessarily be the same because various populations respond differently to the same conditions. Using eight-semester persistence may result in a “systematic majority measurement bias.” Therefore, multiple measures may be needed to describe outcomes in diverse populations.","author":[{"dropping-particle":"","family":"Ohland","given":"Matthew W.","non-dropping-particle":"","parse-names":false,"suffix":""},{"dropping-particle":"","family":"Brawner","given":"Catherine E.","non-dropping-particle":"","parse-names":false,"suffix":""},{"dropping-particle":"","family":"Camacho","given":"Michelle M.","non-dropping-particle":"","parse-names":false,"suffix":""},{"dropping-particle":"","family":"Layton","given":"Richard a.","non-dropping-particle":"","parse-names":false,"suffix":""},{"dropping-particle":"","family":"Long","given":"Russel a.","non-dropping-particle":"","parse-names":false,"suffix":""},{"dropping-particle":"","family":"Lord","given":"Susan M.","non-dropping-particle":"","parse-names":false,"suffix":""},{"dropping-particle":"","family":"Wasburn","given":"Mara H.","non-dropping-particle":"","parse-names":false,"suffix":""}],"container-title":"Journal of Engineering Education","id":"ITEM-1","issue":"2","issued":{"date-parts":[["2011"]]},"page":"225-252","title":"Race, gender, and measures of success in engineering education","type":"article-journal","volume":"100"},"uris":["http://www.mendeley.com/documents/?uuid=91239005-9d38-4e3b-bde1-fd4155d51a25"]}],"mendeley":{"formattedCitation":"(Ohland et al., 2011)","plainTextFormattedCitation":"(Ohland et al., 2011)","previouslyFormattedCitation":"(Ohland et al., 2011)"},"properties":{"noteIndex":0},"schema":"https://github.com/citation-style-language/schema/raw/master/csl-citation.json"}</w:instrText>
      </w:r>
      <w:r w:rsidR="00B00519">
        <w:rPr>
          <w:rFonts w:ascii="Times New Roman" w:hAnsi="Times New Roman" w:cs="Times New Roman"/>
          <w:sz w:val="24"/>
          <w:szCs w:val="24"/>
        </w:rPr>
        <w:fldChar w:fldCharType="separate"/>
      </w:r>
      <w:r w:rsidR="00B00519" w:rsidRPr="00706C69">
        <w:rPr>
          <w:rFonts w:ascii="Times New Roman" w:hAnsi="Times New Roman" w:cs="Times New Roman"/>
          <w:noProof/>
          <w:sz w:val="24"/>
          <w:szCs w:val="24"/>
        </w:rPr>
        <w:t xml:space="preserve">(Ohland </w:t>
      </w:r>
      <w:r w:rsidR="00B00519" w:rsidRPr="00514B68">
        <w:rPr>
          <w:rFonts w:ascii="Times New Roman" w:hAnsi="Times New Roman" w:cs="Times New Roman"/>
          <w:i/>
          <w:noProof/>
          <w:sz w:val="24"/>
          <w:szCs w:val="24"/>
        </w:rPr>
        <w:t>et al</w:t>
      </w:r>
      <w:r w:rsidR="00B00519" w:rsidRPr="00706C69">
        <w:rPr>
          <w:rFonts w:ascii="Times New Roman" w:hAnsi="Times New Roman" w:cs="Times New Roman"/>
          <w:noProof/>
          <w:sz w:val="24"/>
          <w:szCs w:val="24"/>
        </w:rPr>
        <w:t>., 2011)</w:t>
      </w:r>
      <w:r w:rsidR="00B00519">
        <w:rPr>
          <w:rFonts w:ascii="Times New Roman" w:hAnsi="Times New Roman" w:cs="Times New Roman"/>
          <w:sz w:val="24"/>
          <w:szCs w:val="24"/>
        </w:rPr>
        <w:fldChar w:fldCharType="end"/>
      </w:r>
      <w:r w:rsidR="0009677B">
        <w:rPr>
          <w:rFonts w:ascii="Times New Roman" w:hAnsi="Times New Roman" w:cs="Times New Roman"/>
          <w:sz w:val="24"/>
          <w:szCs w:val="24"/>
        </w:rPr>
        <w:t>.</w:t>
      </w:r>
      <w:r w:rsidR="00706C69">
        <w:rPr>
          <w:rFonts w:ascii="Times New Roman" w:hAnsi="Times New Roman" w:cs="Times New Roman"/>
          <w:sz w:val="24"/>
          <w:szCs w:val="24"/>
        </w:rPr>
        <w:t xml:space="preserve"> </w:t>
      </w:r>
      <w:r w:rsidR="0009677B">
        <w:rPr>
          <w:rFonts w:ascii="Times New Roman" w:hAnsi="Times New Roman" w:cs="Times New Roman"/>
          <w:sz w:val="24"/>
          <w:szCs w:val="24"/>
        </w:rPr>
        <w:t xml:space="preserve">Al tener más hombres que mujeres inscritos, se puede inferir </w:t>
      </w:r>
      <w:r w:rsidR="00706C69">
        <w:rPr>
          <w:rFonts w:ascii="Times New Roman" w:hAnsi="Times New Roman" w:cs="Times New Roman"/>
          <w:sz w:val="24"/>
          <w:szCs w:val="24"/>
        </w:rPr>
        <w:t xml:space="preserve">que los </w:t>
      </w:r>
      <w:r w:rsidR="007053D5">
        <w:rPr>
          <w:rFonts w:ascii="Times New Roman" w:hAnsi="Times New Roman" w:cs="Times New Roman"/>
          <w:sz w:val="24"/>
          <w:szCs w:val="24"/>
        </w:rPr>
        <w:t xml:space="preserve">primeros </w:t>
      </w:r>
      <w:r w:rsidR="00706C69">
        <w:rPr>
          <w:rFonts w:ascii="Times New Roman" w:hAnsi="Times New Roman" w:cs="Times New Roman"/>
          <w:sz w:val="24"/>
          <w:szCs w:val="24"/>
        </w:rPr>
        <w:t>tiene</w:t>
      </w:r>
      <w:r w:rsidR="00B00519">
        <w:rPr>
          <w:rFonts w:ascii="Times New Roman" w:hAnsi="Times New Roman" w:cs="Times New Roman"/>
          <w:sz w:val="24"/>
          <w:szCs w:val="24"/>
        </w:rPr>
        <w:t>n</w:t>
      </w:r>
      <w:r w:rsidR="00706C69">
        <w:rPr>
          <w:rFonts w:ascii="Times New Roman" w:hAnsi="Times New Roman" w:cs="Times New Roman"/>
          <w:sz w:val="24"/>
          <w:szCs w:val="24"/>
        </w:rPr>
        <w:t xml:space="preserve"> más interés en </w:t>
      </w:r>
      <w:r w:rsidR="00314CB2">
        <w:rPr>
          <w:rFonts w:ascii="Times New Roman" w:hAnsi="Times New Roman" w:cs="Times New Roman"/>
          <w:sz w:val="24"/>
          <w:szCs w:val="24"/>
        </w:rPr>
        <w:t>estos programas universitarios</w:t>
      </w:r>
      <w:r w:rsidR="00706C69">
        <w:rPr>
          <w:rFonts w:ascii="Times New Roman" w:hAnsi="Times New Roman" w:cs="Times New Roman"/>
          <w:sz w:val="24"/>
          <w:szCs w:val="24"/>
        </w:rPr>
        <w:t xml:space="preserve">, y a su vez, mejores oportunidades para lograr un título de ingeniero. Esta </w:t>
      </w:r>
      <w:r w:rsidR="0009677B">
        <w:rPr>
          <w:rFonts w:ascii="Times New Roman" w:hAnsi="Times New Roman" w:cs="Times New Roman"/>
          <w:sz w:val="24"/>
          <w:szCs w:val="24"/>
        </w:rPr>
        <w:t xml:space="preserve">disparidad entre los números de mujeres y hombres que seleccionan </w:t>
      </w:r>
      <w:r w:rsidR="00314CB2">
        <w:rPr>
          <w:rFonts w:ascii="Times New Roman" w:hAnsi="Times New Roman" w:cs="Times New Roman"/>
          <w:sz w:val="24"/>
          <w:szCs w:val="24"/>
        </w:rPr>
        <w:t xml:space="preserve">una </w:t>
      </w:r>
      <w:r w:rsidR="0009677B">
        <w:rPr>
          <w:rFonts w:ascii="Times New Roman" w:hAnsi="Times New Roman" w:cs="Times New Roman"/>
          <w:sz w:val="24"/>
          <w:szCs w:val="24"/>
        </w:rPr>
        <w:t xml:space="preserve">ingeniería puede ser causada por los estereotipos que las mujeres pueden enfrentar si muestran interés </w:t>
      </w:r>
      <w:r w:rsidR="00350A89">
        <w:rPr>
          <w:rFonts w:ascii="Times New Roman" w:hAnsi="Times New Roman" w:cs="Times New Roman"/>
          <w:sz w:val="24"/>
          <w:szCs w:val="24"/>
        </w:rPr>
        <w:t xml:space="preserve">en estas carreras. Por ejemplo, se ha demostrado que las mujeres </w:t>
      </w:r>
      <w:r w:rsidR="00B00519">
        <w:rPr>
          <w:rFonts w:ascii="Times New Roman" w:hAnsi="Times New Roman" w:cs="Times New Roman"/>
          <w:sz w:val="24"/>
          <w:szCs w:val="24"/>
        </w:rPr>
        <w:t>son más propensas a creer que sus compañeros hombres pueden desempeñarse mejor en actividades que involucran las matemáticas,</w:t>
      </w:r>
      <w:r w:rsidR="007B16D5">
        <w:rPr>
          <w:rFonts w:ascii="Times New Roman" w:hAnsi="Times New Roman" w:cs="Times New Roman"/>
          <w:sz w:val="24"/>
          <w:szCs w:val="24"/>
        </w:rPr>
        <w:t xml:space="preserve"> y esto sucede</w:t>
      </w:r>
      <w:r w:rsidR="00B00519">
        <w:rPr>
          <w:rFonts w:ascii="Times New Roman" w:hAnsi="Times New Roman" w:cs="Times New Roman"/>
          <w:sz w:val="24"/>
          <w:szCs w:val="24"/>
        </w:rPr>
        <w:t xml:space="preserve"> incluso cuando las mujeres tienen un desempeño igual o mejor que sus compañeros hombres en exámenes y evaluaciones </w:t>
      </w:r>
      <w:r w:rsidR="00B00519">
        <w:rPr>
          <w:rFonts w:ascii="Times New Roman" w:hAnsi="Times New Roman" w:cs="Times New Roman"/>
          <w:sz w:val="24"/>
          <w:szCs w:val="24"/>
        </w:rPr>
        <w:fldChar w:fldCharType="begin" w:fldLock="1"/>
      </w:r>
      <w:r w:rsidR="0096183A">
        <w:rPr>
          <w:rFonts w:ascii="Times New Roman" w:hAnsi="Times New Roman" w:cs="Times New Roman"/>
          <w:sz w:val="24"/>
          <w:szCs w:val="24"/>
        </w:rPr>
        <w:instrText>ADDIN CSL_CITATION {"citationItems":[{"id":"ITEM-1","itemData":{"DOI":"10.1177/0956797613486989","ISSN":"1467-9280","PMID":"23985576","abstract":"Two studies were conducted to examine gender differences in trait (habitual) versus state (momentary) mathematics anxiety in a sample of students (Study 1: N = 584; Study 2: N = 111). For trait math anxiety, the findings of both studies replicated previous research showing that female students report higher levels of anxiety than do male students. However, no gender differences were observed for state anxiety, as assessed using experience-sampling methods while students took a math test (Study 1) and attended math classes (Study 2). The discrepant findings for trait versus state math anxiety were partly accounted for by students' beliefs about their competence in mathematics, with female students reporting lower perceived competence than male students despite having the same average grades in math. Implications for educational practices and the assessment of anxiety are discussed.","author":[{"dropping-particle":"","family":"Goetz","given":"Thomas","non-dropping-particle":"","parse-names":false,"suffix":""},{"dropping-particle":"","family":"Bieg","given":"Madeleine","non-dropping-particle":"","parse-names":false,"suffix":""},{"dropping-particle":"","family":"Lüdtke","given":"Oliver","non-dropping-particle":"","parse-names":false,"suffix":""},{"dropping-particle":"","family":"Pekrun","given":"Reinhard","non-dropping-particle":"","parse-names":false,"suffix":""},{"dropping-particle":"","family":"Hall","given":"Nathan C","non-dropping-particle":"","parse-names":false,"suffix":""}],"container-title":"Psychological science","id":"ITEM-1","issue":"August","issued":{"date-parts":[["2013","8","28"]]},"title":"Do Girls Really Experience More Anxiety in Mathematics?","type":"article-journal"},"uris":["http://www.mendeley.com/documents/?uuid=701fd935-cce5-49a3-a0e4-7906c16b9f74"]}],"mendeley":{"formattedCitation":"(Goetz, Bieg, Lüdtke, Pekrun, &amp; Hall, 2013)","plainTextFormattedCitation":"(Goetz, Bieg, Lüdtke, Pekrun, &amp; Hall, 2013)","previouslyFormattedCitation":"(Goetz, Bieg, Lüdtke, Pekrun, &amp; Hall, 2013)"},"properties":{"noteIndex":0},"schema":"https://github.com/citation-style-language/schema/raw/master/csl-citation.json"}</w:instrText>
      </w:r>
      <w:r w:rsidR="00B00519">
        <w:rPr>
          <w:rFonts w:ascii="Times New Roman" w:hAnsi="Times New Roman" w:cs="Times New Roman"/>
          <w:sz w:val="24"/>
          <w:szCs w:val="24"/>
        </w:rPr>
        <w:fldChar w:fldCharType="separate"/>
      </w:r>
      <w:r w:rsidR="00B00519" w:rsidRPr="00B00519">
        <w:rPr>
          <w:rFonts w:ascii="Times New Roman" w:hAnsi="Times New Roman" w:cs="Times New Roman"/>
          <w:noProof/>
          <w:sz w:val="24"/>
          <w:szCs w:val="24"/>
        </w:rPr>
        <w:t>(Goetz, Bieg, Lüdtke, Pekrun</w:t>
      </w:r>
      <w:r w:rsidR="004A5415">
        <w:rPr>
          <w:rFonts w:ascii="Times New Roman" w:hAnsi="Times New Roman" w:cs="Times New Roman"/>
          <w:noProof/>
          <w:sz w:val="24"/>
          <w:szCs w:val="24"/>
        </w:rPr>
        <w:t xml:space="preserve"> y</w:t>
      </w:r>
      <w:r w:rsidR="00B00519" w:rsidRPr="00B00519">
        <w:rPr>
          <w:rFonts w:ascii="Times New Roman" w:hAnsi="Times New Roman" w:cs="Times New Roman"/>
          <w:noProof/>
          <w:sz w:val="24"/>
          <w:szCs w:val="24"/>
        </w:rPr>
        <w:t xml:space="preserve"> Hall, 2013)</w:t>
      </w:r>
      <w:r w:rsidR="00B00519">
        <w:rPr>
          <w:rFonts w:ascii="Times New Roman" w:hAnsi="Times New Roman" w:cs="Times New Roman"/>
          <w:sz w:val="24"/>
          <w:szCs w:val="24"/>
        </w:rPr>
        <w:fldChar w:fldCharType="end"/>
      </w:r>
      <w:r w:rsidR="00B00519">
        <w:rPr>
          <w:rFonts w:ascii="Times New Roman" w:hAnsi="Times New Roman" w:cs="Times New Roman"/>
          <w:sz w:val="24"/>
          <w:szCs w:val="24"/>
        </w:rPr>
        <w:t xml:space="preserve">. </w:t>
      </w:r>
      <w:r w:rsidR="00196306">
        <w:rPr>
          <w:rFonts w:ascii="Times New Roman" w:hAnsi="Times New Roman" w:cs="Times New Roman"/>
          <w:sz w:val="24"/>
          <w:szCs w:val="24"/>
        </w:rPr>
        <w:t>E</w:t>
      </w:r>
      <w:r w:rsidR="00AE5168">
        <w:rPr>
          <w:rFonts w:ascii="Times New Roman" w:hAnsi="Times New Roman" w:cs="Times New Roman"/>
          <w:sz w:val="24"/>
          <w:szCs w:val="24"/>
        </w:rPr>
        <w:t>stos estereotipos negativos se ha</w:t>
      </w:r>
      <w:r w:rsidR="005143E8">
        <w:rPr>
          <w:rFonts w:ascii="Times New Roman" w:hAnsi="Times New Roman" w:cs="Times New Roman"/>
          <w:sz w:val="24"/>
          <w:szCs w:val="24"/>
        </w:rPr>
        <w:t>n</w:t>
      </w:r>
      <w:r w:rsidR="00AE5168">
        <w:rPr>
          <w:rFonts w:ascii="Times New Roman" w:hAnsi="Times New Roman" w:cs="Times New Roman"/>
          <w:sz w:val="24"/>
          <w:szCs w:val="24"/>
        </w:rPr>
        <w:t xml:space="preserve"> ligado a niveles altos de ansiedad matemática </w:t>
      </w:r>
      <w:r w:rsidR="00196306">
        <w:rPr>
          <w:rFonts w:ascii="Times New Roman" w:hAnsi="Times New Roman" w:cs="Times New Roman"/>
          <w:sz w:val="24"/>
          <w:szCs w:val="24"/>
        </w:rPr>
        <w:t xml:space="preserve">y desempeño deficiente en actividades </w:t>
      </w:r>
      <w:r w:rsidR="00FD6A70">
        <w:rPr>
          <w:rFonts w:ascii="Times New Roman" w:hAnsi="Times New Roman" w:cs="Times New Roman"/>
          <w:sz w:val="24"/>
          <w:szCs w:val="24"/>
        </w:rPr>
        <w:t xml:space="preserve">de este rubro </w:t>
      </w:r>
      <w:r w:rsidR="00196306">
        <w:rPr>
          <w:rFonts w:ascii="Times New Roman" w:hAnsi="Times New Roman" w:cs="Times New Roman"/>
          <w:sz w:val="24"/>
          <w:szCs w:val="24"/>
        </w:rPr>
        <w:t xml:space="preserve">por parte de las estudiantes mujeres, </w:t>
      </w:r>
      <w:r w:rsidR="0094261C">
        <w:rPr>
          <w:rFonts w:ascii="Times New Roman" w:hAnsi="Times New Roman" w:cs="Times New Roman"/>
          <w:sz w:val="24"/>
          <w:szCs w:val="24"/>
        </w:rPr>
        <w:t xml:space="preserve">lo que las ha hecho </w:t>
      </w:r>
      <w:r w:rsidR="00196306">
        <w:rPr>
          <w:rFonts w:ascii="Times New Roman" w:hAnsi="Times New Roman" w:cs="Times New Roman"/>
          <w:sz w:val="24"/>
          <w:szCs w:val="24"/>
        </w:rPr>
        <w:t xml:space="preserve">más propensas a sentir poca confianza en sus habilidades matemáticas y por consecuencia menos interesadas en escoger carreras de ingeniería </w:t>
      </w:r>
      <w:r w:rsidR="00196306">
        <w:rPr>
          <w:rFonts w:ascii="Times New Roman" w:hAnsi="Times New Roman" w:cs="Times New Roman"/>
          <w:sz w:val="24"/>
          <w:szCs w:val="24"/>
        </w:rPr>
        <w:fldChar w:fldCharType="begin" w:fldLock="1"/>
      </w:r>
      <w:r w:rsidR="0096183A">
        <w:rPr>
          <w:rFonts w:ascii="Times New Roman" w:hAnsi="Times New Roman" w:cs="Times New Roman"/>
          <w:sz w:val="24"/>
          <w:szCs w:val="24"/>
        </w:rPr>
        <w:instrText>ADDIN CSL_CITATION {"citationItems":[{"id":"ITEM-1","itemData":{"DOI":"10.1006/jesp.2001.1491","ISBN":"0022-1031","ISSN":"00221031","PMID":"173989800002","abstract":"African American college students tend to obtain lower grades than their White counterparts, even when they enter college with equivalent test scores. Past research suggests that negative stereotypes impugning Black students’ intellectual abilities play a role in this underperformance. Awareness of these stereotypes can psychologically threaten African Americans, a phenomenon known as “stereotype threat” (Steele &amp; Aronson, 1995), which can in turn provoke responses that impair both academic performance and psychological engagement with academics. An experiment was performed to test a method of helping students resist these responses to stereotype threat. Specifically, students in the experimental condition of the experiment were encouraged to see intelligence—the object of the stereotype—as a malleable rather than fixed capacity. This mind-set was predicted to make students’ performances less vulnerable to stereotype threat and help them maintain their psychological engagement with academics, both of which could help boost their college grades. Results were consistent with predictions. The African American students (and, to some degree, the White students) encouraged to view intelligence as malleable reported greater enjoyment of the academic process, greater academic engagement, and obtained higher grade point averages than their counterparts in two control groups.","author":[{"dropping-particle":"","family":"Aronson","given":"Joshua","non-dropping-particle":"","parse-names":false,"suffix":""},{"dropping-particle":"","family":"Fried","given":"Carrie B.","non-dropping-particle":"","parse-names":false,"suffix":""},{"dropping-particle":"","family":"Good","given":"Catherine","non-dropping-particle":"","parse-names":false,"suffix":""}],"container-title":"Journal of Experimental Social Psychology","id":"ITEM-1","issued":{"date-parts":[["2002"]]},"page":"113-125","title":"Reducing the effects of stereotype threat on African American college students by shaping theories of intelligence","type":"article-journal","volume":"38"},"uris":["http://www.mendeley.com/documents/?uuid=938da6cb-ad43-466a-bb6a-489a9a13c19f"]},{"id":"ITEM-2","itemData":{"DOI":"10.2307/749515","ISBN":"00218251","ISSN":"00218251","abstract":"This study investigated the relationship between mathematical performance and mathematics self-efficacy, attitudes toward mathematics, and the choice of mathematics-related majors by 153 college women and 109 college men. Mathematics performance was correlated moderately with mathematics self-efficacy. No support was found for Hackett and Betz's (1981) hypothesis that women's mathematics self-efficacy expectations are unrealistically low compared to men's. Both mathematics performance and mathematics self-efficacy were significantly and positively correlated with attitudes toward mathematics, masculine sex-role orientation, and a mathematics-related major. Regression analyses supported the superiority of mathematics self-efficacy over mathematics performance and achievement variables in predicting the choice of a mathematics-related major. CR - Copyright &amp;#169; 1989 National Council of Teachers of Mathematics","author":[{"dropping-particle":"","family":"Hackett","given":"Gail","non-dropping-particle":"","parse-names":false,"suffix":""},{"dropping-particle":"","family":"Betz","given":"Nancy E","non-dropping-particle":"","parse-names":false,"suffix":""}],"container-title":"Journal for Research in Mathematics Education","id":"ITEM-2","issue":"3","issued":{"date-parts":[["1989"]]},"page":"261-273","title":"An Exploration of the Mathematics Self-Efficacy/Mathematics Performance Correspondence","type":"article-journal","volume":"20"},"uris":["http://www.mendeley.com/documents/?uuid=09e14832-f87d-440e-9f81-a2f2adee845f"]}],"mendeley":{"formattedCitation":"(Aronson, Fried, &amp; Good, 2002; Hackett &amp; Betz, 1989)","plainTextFormattedCitation":"(Aronson, Fried, &amp; Good, 2002; Hackett &amp; Betz, 1989)","previouslyFormattedCitation":"(Aronson, Fried, &amp; Good, 2002; Hackett &amp; Betz, 1989)"},"properties":{"noteIndex":0},"schema":"https://github.com/citation-style-language/schema/raw/master/csl-citation.json"}</w:instrText>
      </w:r>
      <w:r w:rsidR="00196306">
        <w:rPr>
          <w:rFonts w:ascii="Times New Roman" w:hAnsi="Times New Roman" w:cs="Times New Roman"/>
          <w:sz w:val="24"/>
          <w:szCs w:val="24"/>
        </w:rPr>
        <w:fldChar w:fldCharType="separate"/>
      </w:r>
      <w:r w:rsidR="00196306" w:rsidRPr="00196306">
        <w:rPr>
          <w:rFonts w:ascii="Times New Roman" w:hAnsi="Times New Roman" w:cs="Times New Roman"/>
          <w:noProof/>
          <w:sz w:val="24"/>
          <w:szCs w:val="24"/>
        </w:rPr>
        <w:t>(Aronson, Fried</w:t>
      </w:r>
      <w:r w:rsidR="0094261C">
        <w:rPr>
          <w:rFonts w:ascii="Times New Roman" w:hAnsi="Times New Roman" w:cs="Times New Roman"/>
          <w:noProof/>
          <w:sz w:val="24"/>
          <w:szCs w:val="24"/>
        </w:rPr>
        <w:t xml:space="preserve"> y</w:t>
      </w:r>
      <w:r w:rsidR="00196306" w:rsidRPr="00196306">
        <w:rPr>
          <w:rFonts w:ascii="Times New Roman" w:hAnsi="Times New Roman" w:cs="Times New Roman"/>
          <w:noProof/>
          <w:sz w:val="24"/>
          <w:szCs w:val="24"/>
        </w:rPr>
        <w:t xml:space="preserve"> Good, 2002; Hackett </w:t>
      </w:r>
      <w:r w:rsidR="00A144F9">
        <w:rPr>
          <w:rFonts w:ascii="Times New Roman" w:hAnsi="Times New Roman" w:cs="Times New Roman"/>
          <w:noProof/>
          <w:sz w:val="24"/>
          <w:szCs w:val="24"/>
        </w:rPr>
        <w:t>y</w:t>
      </w:r>
      <w:r w:rsidR="00196306" w:rsidRPr="00196306">
        <w:rPr>
          <w:rFonts w:ascii="Times New Roman" w:hAnsi="Times New Roman" w:cs="Times New Roman"/>
          <w:noProof/>
          <w:sz w:val="24"/>
          <w:szCs w:val="24"/>
        </w:rPr>
        <w:t xml:space="preserve"> Betz, 1989)</w:t>
      </w:r>
      <w:r w:rsidR="00196306">
        <w:rPr>
          <w:rFonts w:ascii="Times New Roman" w:hAnsi="Times New Roman" w:cs="Times New Roman"/>
          <w:sz w:val="24"/>
          <w:szCs w:val="24"/>
        </w:rPr>
        <w:fldChar w:fldCharType="end"/>
      </w:r>
      <w:r w:rsidR="00196306">
        <w:rPr>
          <w:rFonts w:ascii="Times New Roman" w:hAnsi="Times New Roman" w:cs="Times New Roman"/>
          <w:sz w:val="24"/>
          <w:szCs w:val="24"/>
        </w:rPr>
        <w:t>.</w:t>
      </w:r>
    </w:p>
    <w:p w14:paraId="05B69C2E" w14:textId="15BD8274" w:rsidR="002C1478" w:rsidRDefault="0014728B" w:rsidP="00514B68">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Si se logra despertar un mayor interés </w:t>
      </w:r>
      <w:r w:rsidR="00A16EEB">
        <w:rPr>
          <w:rFonts w:ascii="Times New Roman" w:eastAsia="Times New Roman" w:hAnsi="Times New Roman" w:cs="Times New Roman"/>
          <w:sz w:val="24"/>
          <w:szCs w:val="24"/>
          <w:lang w:eastAsia="es-MX"/>
        </w:rPr>
        <w:t xml:space="preserve">en las carreras de ingeniería en los alumnos de nivel </w:t>
      </w:r>
      <w:r w:rsidR="0090595B">
        <w:rPr>
          <w:rFonts w:ascii="Times New Roman" w:eastAsia="Times New Roman" w:hAnsi="Times New Roman" w:cs="Times New Roman"/>
          <w:sz w:val="24"/>
          <w:szCs w:val="24"/>
          <w:lang w:eastAsia="es-MX"/>
        </w:rPr>
        <w:t>medio y medio superior</w:t>
      </w:r>
      <w:r w:rsidR="00A16EEB">
        <w:rPr>
          <w:rFonts w:ascii="Times New Roman" w:eastAsia="Times New Roman" w:hAnsi="Times New Roman" w:cs="Times New Roman"/>
          <w:sz w:val="24"/>
          <w:szCs w:val="24"/>
          <w:lang w:eastAsia="es-MX"/>
        </w:rPr>
        <w:t>, se tendr</w:t>
      </w:r>
      <w:r w:rsidR="007B16D5">
        <w:rPr>
          <w:rFonts w:ascii="Times New Roman" w:eastAsia="Times New Roman" w:hAnsi="Times New Roman" w:cs="Times New Roman"/>
          <w:sz w:val="24"/>
          <w:szCs w:val="24"/>
          <w:lang w:eastAsia="es-MX"/>
        </w:rPr>
        <w:t>án</w:t>
      </w:r>
      <w:r w:rsidR="00A16EEB">
        <w:rPr>
          <w:rFonts w:ascii="Times New Roman" w:eastAsia="Times New Roman" w:hAnsi="Times New Roman" w:cs="Times New Roman"/>
          <w:sz w:val="24"/>
          <w:szCs w:val="24"/>
          <w:lang w:eastAsia="es-MX"/>
        </w:rPr>
        <w:t xml:space="preserve"> mejores bases para desarrollar </w:t>
      </w:r>
      <w:r w:rsidR="002B115E">
        <w:rPr>
          <w:rFonts w:ascii="Times New Roman" w:eastAsia="Times New Roman" w:hAnsi="Times New Roman" w:cs="Times New Roman"/>
          <w:sz w:val="24"/>
          <w:szCs w:val="24"/>
          <w:lang w:eastAsia="es-MX"/>
        </w:rPr>
        <w:t>planes de acción</w:t>
      </w:r>
      <w:r w:rsidR="00C87C4C">
        <w:rPr>
          <w:rFonts w:ascii="Times New Roman" w:eastAsia="Times New Roman" w:hAnsi="Times New Roman" w:cs="Times New Roman"/>
          <w:sz w:val="24"/>
          <w:szCs w:val="24"/>
          <w:lang w:eastAsia="es-MX"/>
        </w:rPr>
        <w:t xml:space="preserve"> dirigidos a</w:t>
      </w:r>
      <w:r w:rsidR="002B115E">
        <w:rPr>
          <w:rFonts w:ascii="Times New Roman" w:eastAsia="Times New Roman" w:hAnsi="Times New Roman" w:cs="Times New Roman"/>
          <w:sz w:val="24"/>
          <w:szCs w:val="24"/>
          <w:lang w:eastAsia="es-MX"/>
        </w:rPr>
        <w:t xml:space="preserve"> cumplir con las necesidades de </w:t>
      </w:r>
      <w:r w:rsidR="00C87C4C">
        <w:rPr>
          <w:rFonts w:ascii="Times New Roman" w:eastAsia="Times New Roman" w:hAnsi="Times New Roman" w:cs="Times New Roman"/>
          <w:sz w:val="24"/>
          <w:szCs w:val="24"/>
          <w:lang w:eastAsia="es-MX"/>
        </w:rPr>
        <w:t xml:space="preserve">formación de </w:t>
      </w:r>
      <w:r w:rsidR="002B115E">
        <w:rPr>
          <w:rFonts w:ascii="Times New Roman" w:eastAsia="Times New Roman" w:hAnsi="Times New Roman" w:cs="Times New Roman"/>
          <w:sz w:val="24"/>
          <w:szCs w:val="24"/>
          <w:lang w:eastAsia="es-MX"/>
        </w:rPr>
        <w:t xml:space="preserve">capital </w:t>
      </w:r>
      <w:r w:rsidR="00C87C4C">
        <w:rPr>
          <w:rFonts w:ascii="Times New Roman" w:eastAsia="Times New Roman" w:hAnsi="Times New Roman" w:cs="Times New Roman"/>
          <w:sz w:val="24"/>
          <w:szCs w:val="24"/>
          <w:lang w:eastAsia="es-MX"/>
        </w:rPr>
        <w:t xml:space="preserve">humano altamente capacitado en las </w:t>
      </w:r>
      <w:r w:rsidR="005143E8">
        <w:rPr>
          <w:rFonts w:ascii="Times New Roman" w:eastAsia="Times New Roman" w:hAnsi="Times New Roman" w:cs="Times New Roman"/>
          <w:sz w:val="24"/>
          <w:szCs w:val="24"/>
          <w:lang w:eastAsia="es-MX"/>
        </w:rPr>
        <w:t>áreas</w:t>
      </w:r>
      <w:r w:rsidR="00C87C4C">
        <w:rPr>
          <w:rFonts w:ascii="Times New Roman" w:eastAsia="Times New Roman" w:hAnsi="Times New Roman" w:cs="Times New Roman"/>
          <w:sz w:val="24"/>
          <w:szCs w:val="24"/>
          <w:lang w:eastAsia="es-MX"/>
        </w:rPr>
        <w:t xml:space="preserve"> de tecnología establecidas en </w:t>
      </w:r>
      <w:r w:rsidR="009136DE">
        <w:rPr>
          <w:rFonts w:ascii="Times New Roman" w:eastAsia="Times New Roman" w:hAnsi="Times New Roman" w:cs="Times New Roman"/>
          <w:sz w:val="24"/>
          <w:szCs w:val="24"/>
          <w:lang w:eastAsia="es-MX"/>
        </w:rPr>
        <w:t xml:space="preserve">los ya citados </w:t>
      </w:r>
      <w:r w:rsidR="00116982" w:rsidRPr="00514B68">
        <w:rPr>
          <w:rFonts w:ascii="Times New Roman" w:eastAsia="Times New Roman" w:hAnsi="Times New Roman" w:cs="Times New Roman"/>
          <w:i/>
          <w:sz w:val="24"/>
          <w:szCs w:val="24"/>
          <w:lang w:eastAsia="es-MX"/>
        </w:rPr>
        <w:t>Plan Nacional de Desarrollo 2013</w:t>
      </w:r>
      <w:r w:rsidR="00FD6A70" w:rsidRPr="00514B68">
        <w:rPr>
          <w:rFonts w:ascii="Times New Roman" w:eastAsia="Times New Roman" w:hAnsi="Times New Roman" w:cs="Times New Roman"/>
          <w:i/>
          <w:sz w:val="24"/>
          <w:szCs w:val="24"/>
          <w:lang w:eastAsia="es-MX"/>
        </w:rPr>
        <w:t>-</w:t>
      </w:r>
      <w:r w:rsidR="00116982" w:rsidRPr="00514B68">
        <w:rPr>
          <w:rFonts w:ascii="Times New Roman" w:eastAsia="Times New Roman" w:hAnsi="Times New Roman" w:cs="Times New Roman"/>
          <w:i/>
          <w:sz w:val="24"/>
          <w:szCs w:val="24"/>
          <w:lang w:eastAsia="es-MX"/>
        </w:rPr>
        <w:t>2018</w:t>
      </w:r>
      <w:r w:rsidR="00116982">
        <w:rPr>
          <w:rFonts w:ascii="Times New Roman" w:eastAsia="Times New Roman" w:hAnsi="Times New Roman" w:cs="Times New Roman"/>
          <w:sz w:val="24"/>
          <w:szCs w:val="24"/>
          <w:lang w:eastAsia="es-MX"/>
        </w:rPr>
        <w:t xml:space="preserve"> </w:t>
      </w:r>
      <w:r w:rsidR="00116982">
        <w:rPr>
          <w:rFonts w:ascii="Times New Roman" w:eastAsia="Times New Roman" w:hAnsi="Times New Roman" w:cs="Times New Roman"/>
          <w:sz w:val="24"/>
          <w:szCs w:val="24"/>
          <w:lang w:eastAsia="es-MX"/>
        </w:rPr>
        <w:fldChar w:fldCharType="begin" w:fldLock="1"/>
      </w:r>
      <w:r w:rsidR="0096183A">
        <w:rPr>
          <w:rFonts w:ascii="Times New Roman" w:eastAsia="Times New Roman" w:hAnsi="Times New Roman" w:cs="Times New Roman"/>
          <w:sz w:val="24"/>
          <w:szCs w:val="24"/>
          <w:lang w:eastAsia="es-MX"/>
        </w:rPr>
        <w:instrText>ADDIN CSL_CITATION {"citationItems":[{"id":"ITEM-1","itemData":{"author":[{"dropping-particle":"","family":"PND","given":"","non-dropping-particle":"","parse-names":false,"suffix":""}],"id":"ITEM-1","issued":{"date-parts":[["2013"]]},"title":"Plan Nacional de Desarrollo 2013 - 2018. Gobierno de la República.","type":"report"},"uris":["http://www.mendeley.com/documents/?uuid=aaf2d54f-9ee0-46ce-815c-90f67c8a5580"]}],"mendeley":{"formattedCitation":"(PND, 2013)","manualFormatting":"(Gobierno de la República, 2013)","plainTextFormattedCitation":"(PND, 2013)","previouslyFormattedCitation":"(PND, 2013)"},"properties":{"noteIndex":0},"schema":"https://github.com/citation-style-language/schema/raw/master/csl-citation.json"}</w:instrText>
      </w:r>
      <w:r w:rsidR="00116982">
        <w:rPr>
          <w:rFonts w:ascii="Times New Roman" w:eastAsia="Times New Roman" w:hAnsi="Times New Roman" w:cs="Times New Roman"/>
          <w:sz w:val="24"/>
          <w:szCs w:val="24"/>
          <w:lang w:eastAsia="es-MX"/>
        </w:rPr>
        <w:fldChar w:fldCharType="separate"/>
      </w:r>
      <w:r w:rsidR="00116982" w:rsidRPr="00DA2206">
        <w:rPr>
          <w:rFonts w:ascii="Times New Roman" w:eastAsia="Times New Roman" w:hAnsi="Times New Roman" w:cs="Times New Roman"/>
          <w:noProof/>
          <w:sz w:val="24"/>
          <w:szCs w:val="24"/>
          <w:lang w:eastAsia="es-MX"/>
        </w:rPr>
        <w:t>(</w:t>
      </w:r>
      <w:r w:rsidR="00F03086">
        <w:rPr>
          <w:rFonts w:ascii="Times New Roman" w:eastAsia="Times New Roman" w:hAnsi="Times New Roman" w:cs="Times New Roman"/>
          <w:noProof/>
          <w:sz w:val="24"/>
          <w:szCs w:val="24"/>
          <w:lang w:eastAsia="es-MX"/>
        </w:rPr>
        <w:t>Gobierno de la República</w:t>
      </w:r>
      <w:r w:rsidR="00116982" w:rsidRPr="00DA2206">
        <w:rPr>
          <w:rFonts w:ascii="Times New Roman" w:eastAsia="Times New Roman" w:hAnsi="Times New Roman" w:cs="Times New Roman"/>
          <w:noProof/>
          <w:sz w:val="24"/>
          <w:szCs w:val="24"/>
          <w:lang w:eastAsia="es-MX"/>
        </w:rPr>
        <w:t>, 2013)</w:t>
      </w:r>
      <w:r w:rsidR="00116982">
        <w:rPr>
          <w:rFonts w:ascii="Times New Roman" w:eastAsia="Times New Roman" w:hAnsi="Times New Roman" w:cs="Times New Roman"/>
          <w:sz w:val="24"/>
          <w:szCs w:val="24"/>
          <w:lang w:eastAsia="es-MX"/>
        </w:rPr>
        <w:fldChar w:fldCharType="end"/>
      </w:r>
      <w:r w:rsidR="00116982">
        <w:rPr>
          <w:rFonts w:ascii="Times New Roman" w:eastAsia="Times New Roman" w:hAnsi="Times New Roman" w:cs="Times New Roman"/>
          <w:sz w:val="24"/>
          <w:szCs w:val="24"/>
          <w:lang w:eastAsia="es-MX"/>
        </w:rPr>
        <w:t xml:space="preserve"> y Programa Especial de Ciencia, Tecnología e Innovación 2014 - 2018 </w:t>
      </w:r>
      <w:r w:rsidR="00116982">
        <w:rPr>
          <w:rFonts w:ascii="Times New Roman" w:eastAsia="Times New Roman" w:hAnsi="Times New Roman" w:cs="Times New Roman"/>
          <w:sz w:val="24"/>
          <w:szCs w:val="24"/>
          <w:lang w:eastAsia="es-MX"/>
        </w:rPr>
        <w:fldChar w:fldCharType="begin" w:fldLock="1"/>
      </w:r>
      <w:r w:rsidR="0096183A">
        <w:rPr>
          <w:rFonts w:ascii="Times New Roman" w:eastAsia="Times New Roman" w:hAnsi="Times New Roman" w:cs="Times New Roman"/>
          <w:sz w:val="24"/>
          <w:szCs w:val="24"/>
          <w:lang w:eastAsia="es-MX"/>
        </w:rPr>
        <w:instrText>ADDIN CSL_CITATION {"citationItems":[{"id":"ITEM-1","itemData":{"author":[{"dropping-particle":"","family":"PECITI","given":"","non-dropping-particle":"","parse-names":false,"suffix":""}],"id":"ITEM-1","issued":{"date-parts":[["2014"]]},"title":"Programa Especial de Ciencia, Tecnología e Innovación 2014 - 2018. Diario Oficial de la Federación","type":"report"},"uris":["http://www.mendeley.com/documents/?uuid=89d40636-36f7-4faf-be7a-a2bc3887b72f"]}],"mendeley":{"formattedCitation":"(PECITI, 2014)","manualFormatting":"(Consejo Nacional de Ciencia y Tecnología, 2014)","plainTextFormattedCitation":"(PECITI, 2014)","previouslyFormattedCitation":"(PECITI, 2014)"},"properties":{"noteIndex":0},"schema":"https://github.com/citation-style-language/schema/raw/master/csl-citation.json"}</w:instrText>
      </w:r>
      <w:r w:rsidR="00116982">
        <w:rPr>
          <w:rFonts w:ascii="Times New Roman" w:eastAsia="Times New Roman" w:hAnsi="Times New Roman" w:cs="Times New Roman"/>
          <w:sz w:val="24"/>
          <w:szCs w:val="24"/>
          <w:lang w:eastAsia="es-MX"/>
        </w:rPr>
        <w:fldChar w:fldCharType="separate"/>
      </w:r>
      <w:r w:rsidR="00116982" w:rsidRPr="00DA2206">
        <w:rPr>
          <w:rFonts w:ascii="Times New Roman" w:eastAsia="Times New Roman" w:hAnsi="Times New Roman" w:cs="Times New Roman"/>
          <w:noProof/>
          <w:sz w:val="24"/>
          <w:szCs w:val="24"/>
          <w:lang w:eastAsia="es-MX"/>
        </w:rPr>
        <w:t>(</w:t>
      </w:r>
      <w:r w:rsidR="00F03086">
        <w:rPr>
          <w:rFonts w:ascii="Times New Roman" w:eastAsia="Times New Roman" w:hAnsi="Times New Roman" w:cs="Times New Roman"/>
          <w:noProof/>
          <w:sz w:val="24"/>
          <w:szCs w:val="24"/>
          <w:lang w:eastAsia="es-MX"/>
        </w:rPr>
        <w:t>Con</w:t>
      </w:r>
      <w:r w:rsidR="009136DE">
        <w:rPr>
          <w:rFonts w:ascii="Times New Roman" w:eastAsia="Times New Roman" w:hAnsi="Times New Roman" w:cs="Times New Roman"/>
          <w:noProof/>
          <w:sz w:val="24"/>
          <w:szCs w:val="24"/>
          <w:lang w:eastAsia="es-MX"/>
        </w:rPr>
        <w:t>acyt</w:t>
      </w:r>
      <w:r w:rsidR="00116982" w:rsidRPr="00DA2206">
        <w:rPr>
          <w:rFonts w:ascii="Times New Roman" w:eastAsia="Times New Roman" w:hAnsi="Times New Roman" w:cs="Times New Roman"/>
          <w:noProof/>
          <w:sz w:val="24"/>
          <w:szCs w:val="24"/>
          <w:lang w:eastAsia="es-MX"/>
        </w:rPr>
        <w:t>, 2014)</w:t>
      </w:r>
      <w:r w:rsidR="00116982">
        <w:rPr>
          <w:rFonts w:ascii="Times New Roman" w:eastAsia="Times New Roman" w:hAnsi="Times New Roman" w:cs="Times New Roman"/>
          <w:sz w:val="24"/>
          <w:szCs w:val="24"/>
          <w:lang w:eastAsia="es-MX"/>
        </w:rPr>
        <w:fldChar w:fldCharType="end"/>
      </w:r>
      <w:r w:rsidR="00116982">
        <w:rPr>
          <w:rFonts w:ascii="Times New Roman" w:eastAsia="Times New Roman" w:hAnsi="Times New Roman" w:cs="Times New Roman"/>
          <w:sz w:val="24"/>
          <w:szCs w:val="24"/>
          <w:lang w:eastAsia="es-MX"/>
        </w:rPr>
        <w:t xml:space="preserve">. </w:t>
      </w:r>
      <w:r w:rsidR="00C87C4C">
        <w:rPr>
          <w:rFonts w:ascii="Times New Roman" w:eastAsia="Times New Roman" w:hAnsi="Times New Roman" w:cs="Times New Roman"/>
          <w:sz w:val="24"/>
          <w:szCs w:val="24"/>
          <w:lang w:eastAsia="es-MX"/>
        </w:rPr>
        <w:t>Para colaborar con esta meta, e</w:t>
      </w:r>
      <w:r w:rsidR="00116982">
        <w:rPr>
          <w:rFonts w:ascii="Times New Roman" w:eastAsia="Times New Roman" w:hAnsi="Times New Roman" w:cs="Times New Roman"/>
          <w:sz w:val="24"/>
          <w:szCs w:val="24"/>
          <w:lang w:eastAsia="es-MX"/>
        </w:rPr>
        <w:t xml:space="preserve">ste proyecto de investigación </w:t>
      </w:r>
      <w:r w:rsidR="00C87C4C">
        <w:rPr>
          <w:rFonts w:ascii="Times New Roman" w:eastAsia="Times New Roman" w:hAnsi="Times New Roman" w:cs="Times New Roman"/>
          <w:sz w:val="24"/>
          <w:szCs w:val="24"/>
          <w:lang w:eastAsia="es-MX"/>
        </w:rPr>
        <w:t>fue</w:t>
      </w:r>
      <w:r w:rsidR="00116982">
        <w:rPr>
          <w:rFonts w:ascii="Times New Roman" w:eastAsia="Times New Roman" w:hAnsi="Times New Roman" w:cs="Times New Roman"/>
          <w:sz w:val="24"/>
          <w:szCs w:val="24"/>
          <w:lang w:eastAsia="es-MX"/>
        </w:rPr>
        <w:t xml:space="preserve"> dirigido </w:t>
      </w:r>
      <w:r w:rsidR="00C87C4C">
        <w:rPr>
          <w:rFonts w:ascii="Times New Roman" w:eastAsia="Times New Roman" w:hAnsi="Times New Roman" w:cs="Times New Roman"/>
          <w:sz w:val="24"/>
          <w:szCs w:val="24"/>
          <w:lang w:eastAsia="es-MX"/>
        </w:rPr>
        <w:t>por</w:t>
      </w:r>
      <w:r w:rsidR="00116982">
        <w:rPr>
          <w:rFonts w:ascii="Times New Roman" w:eastAsia="Times New Roman" w:hAnsi="Times New Roman" w:cs="Times New Roman"/>
          <w:sz w:val="24"/>
          <w:szCs w:val="24"/>
          <w:lang w:eastAsia="es-MX"/>
        </w:rPr>
        <w:t xml:space="preserve"> la siguiente pregunta</w:t>
      </w:r>
      <w:r w:rsidR="00C87C4C">
        <w:rPr>
          <w:rFonts w:ascii="Times New Roman" w:eastAsia="Times New Roman" w:hAnsi="Times New Roman" w:cs="Times New Roman"/>
          <w:sz w:val="24"/>
          <w:szCs w:val="24"/>
          <w:lang w:eastAsia="es-MX"/>
        </w:rPr>
        <w:t xml:space="preserve"> de investigación</w:t>
      </w:r>
      <w:r w:rsidR="00116982">
        <w:rPr>
          <w:rFonts w:ascii="Times New Roman" w:eastAsia="Times New Roman" w:hAnsi="Times New Roman" w:cs="Times New Roman"/>
          <w:sz w:val="24"/>
          <w:szCs w:val="24"/>
          <w:lang w:eastAsia="es-MX"/>
        </w:rPr>
        <w:t>:</w:t>
      </w:r>
    </w:p>
    <w:p w14:paraId="0D4B8039" w14:textId="2242473A" w:rsidR="00427867" w:rsidRDefault="00C87C4C" w:rsidP="00514B68">
      <w:pPr>
        <w:spacing w:after="0" w:line="360" w:lineRule="auto"/>
        <w:ind w:firstLine="708"/>
        <w:jc w:val="both"/>
        <w:rPr>
          <w:rFonts w:ascii="Times New Roman" w:hAnsi="Times New Roman" w:cs="Times New Roman"/>
          <w:b/>
          <w:sz w:val="24"/>
          <w:szCs w:val="24"/>
        </w:rPr>
      </w:pPr>
      <w:r>
        <w:rPr>
          <w:rFonts w:ascii="Times New Roman" w:eastAsia="Times New Roman" w:hAnsi="Times New Roman" w:cs="Times New Roman"/>
          <w:sz w:val="24"/>
          <w:szCs w:val="24"/>
          <w:lang w:eastAsia="es-MX"/>
        </w:rPr>
        <w:t xml:space="preserve">¿Qué tipo de experiencias en la educación preparatoria </w:t>
      </w:r>
      <w:r w:rsidR="0073727D">
        <w:rPr>
          <w:rFonts w:ascii="Times New Roman" w:eastAsia="Times New Roman" w:hAnsi="Times New Roman" w:cs="Times New Roman"/>
          <w:sz w:val="24"/>
          <w:szCs w:val="24"/>
          <w:lang w:eastAsia="es-MX"/>
        </w:rPr>
        <w:t xml:space="preserve">pueden influenciar </w:t>
      </w:r>
      <w:r>
        <w:rPr>
          <w:rFonts w:ascii="Times New Roman" w:eastAsia="Times New Roman" w:hAnsi="Times New Roman" w:cs="Times New Roman"/>
          <w:sz w:val="24"/>
          <w:szCs w:val="24"/>
          <w:lang w:eastAsia="es-MX"/>
        </w:rPr>
        <w:t xml:space="preserve">la decisión de los estudiantes de seleccionar </w:t>
      </w:r>
      <w:r w:rsidR="00C45069">
        <w:rPr>
          <w:rFonts w:ascii="Times New Roman" w:eastAsia="Times New Roman" w:hAnsi="Times New Roman" w:cs="Times New Roman"/>
          <w:sz w:val="24"/>
          <w:szCs w:val="24"/>
          <w:lang w:eastAsia="es-MX"/>
        </w:rPr>
        <w:t xml:space="preserve">una </w:t>
      </w:r>
      <w:r>
        <w:rPr>
          <w:rFonts w:ascii="Times New Roman" w:eastAsia="Times New Roman" w:hAnsi="Times New Roman" w:cs="Times New Roman"/>
          <w:sz w:val="24"/>
          <w:szCs w:val="24"/>
          <w:lang w:eastAsia="es-MX"/>
        </w:rPr>
        <w:t>ingeniería como su carrera</w:t>
      </w:r>
      <w:r w:rsidR="00C45069">
        <w:rPr>
          <w:rFonts w:ascii="Times New Roman" w:eastAsia="Times New Roman" w:hAnsi="Times New Roman" w:cs="Times New Roman"/>
          <w:sz w:val="24"/>
          <w:szCs w:val="24"/>
          <w:lang w:eastAsia="es-MX"/>
        </w:rPr>
        <w:t xml:space="preserve"> </w:t>
      </w:r>
      <w:r w:rsidR="005D0D7E">
        <w:rPr>
          <w:rFonts w:ascii="Times New Roman" w:eastAsia="Times New Roman" w:hAnsi="Times New Roman" w:cs="Times New Roman"/>
          <w:sz w:val="24"/>
          <w:szCs w:val="24"/>
          <w:lang w:eastAsia="es-MX"/>
        </w:rPr>
        <w:t>dependiendo de</w:t>
      </w:r>
      <w:r w:rsidR="00C45069">
        <w:rPr>
          <w:rFonts w:ascii="Times New Roman" w:eastAsia="Times New Roman" w:hAnsi="Times New Roman" w:cs="Times New Roman"/>
          <w:sz w:val="24"/>
          <w:szCs w:val="24"/>
          <w:lang w:eastAsia="es-MX"/>
        </w:rPr>
        <w:t xml:space="preserve"> su</w:t>
      </w:r>
      <w:r w:rsidR="00D778D0">
        <w:rPr>
          <w:rFonts w:ascii="Times New Roman" w:eastAsia="Times New Roman" w:hAnsi="Times New Roman" w:cs="Times New Roman"/>
          <w:sz w:val="24"/>
          <w:szCs w:val="24"/>
          <w:lang w:eastAsia="es-MX"/>
        </w:rPr>
        <w:t>s habilidades</w:t>
      </w:r>
      <w:r w:rsidR="005D0D7E">
        <w:rPr>
          <w:rFonts w:ascii="Times New Roman" w:eastAsia="Times New Roman" w:hAnsi="Times New Roman" w:cs="Times New Roman"/>
          <w:sz w:val="24"/>
          <w:szCs w:val="24"/>
          <w:lang w:eastAsia="es-MX"/>
        </w:rPr>
        <w:t xml:space="preserve"> matemátic</w:t>
      </w:r>
      <w:r w:rsidR="00D778D0">
        <w:rPr>
          <w:rFonts w:ascii="Times New Roman" w:eastAsia="Times New Roman" w:hAnsi="Times New Roman" w:cs="Times New Roman"/>
          <w:sz w:val="24"/>
          <w:szCs w:val="24"/>
          <w:lang w:eastAsia="es-MX"/>
        </w:rPr>
        <w:t>as</w:t>
      </w:r>
      <w:r w:rsidR="00116982">
        <w:rPr>
          <w:rFonts w:ascii="Times New Roman" w:eastAsia="Times New Roman" w:hAnsi="Times New Roman" w:cs="Times New Roman"/>
          <w:sz w:val="24"/>
          <w:szCs w:val="24"/>
          <w:lang w:eastAsia="es-MX"/>
        </w:rPr>
        <w:t>?</w:t>
      </w:r>
    </w:p>
    <w:p w14:paraId="2482BD36" w14:textId="2EB4DD33" w:rsidR="00196306" w:rsidRDefault="006405CC" w:rsidP="00514B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 importante </w:t>
      </w:r>
      <w:r w:rsidR="00657AC5">
        <w:rPr>
          <w:rFonts w:ascii="Times New Roman" w:hAnsi="Times New Roman" w:cs="Times New Roman"/>
          <w:sz w:val="24"/>
          <w:szCs w:val="24"/>
        </w:rPr>
        <w:t>comprender</w:t>
      </w:r>
      <w:r w:rsidR="008218AD">
        <w:rPr>
          <w:rFonts w:ascii="Times New Roman" w:hAnsi="Times New Roman" w:cs="Times New Roman"/>
          <w:sz w:val="24"/>
          <w:szCs w:val="24"/>
        </w:rPr>
        <w:t xml:space="preserve"> las razones por las cuales </w:t>
      </w:r>
      <w:r w:rsidR="00313E94">
        <w:rPr>
          <w:rFonts w:ascii="Times New Roman" w:hAnsi="Times New Roman" w:cs="Times New Roman"/>
          <w:sz w:val="24"/>
          <w:szCs w:val="24"/>
        </w:rPr>
        <w:t>alguien</w:t>
      </w:r>
      <w:r w:rsidR="008218AD">
        <w:rPr>
          <w:rFonts w:ascii="Times New Roman" w:hAnsi="Times New Roman" w:cs="Times New Roman"/>
          <w:sz w:val="24"/>
          <w:szCs w:val="24"/>
        </w:rPr>
        <w:t xml:space="preserve"> decide seleccionar una carrera en </w:t>
      </w:r>
      <w:r w:rsidR="00657AC5">
        <w:rPr>
          <w:rFonts w:ascii="Times New Roman" w:hAnsi="Times New Roman" w:cs="Times New Roman"/>
          <w:sz w:val="24"/>
          <w:szCs w:val="24"/>
        </w:rPr>
        <w:t>el área de</w:t>
      </w:r>
      <w:r w:rsidR="00623825">
        <w:rPr>
          <w:rFonts w:ascii="Times New Roman" w:hAnsi="Times New Roman" w:cs="Times New Roman"/>
          <w:sz w:val="24"/>
          <w:szCs w:val="24"/>
        </w:rPr>
        <w:t xml:space="preserve"> </w:t>
      </w:r>
      <w:r w:rsidR="008218AD">
        <w:rPr>
          <w:rFonts w:ascii="Times New Roman" w:hAnsi="Times New Roman" w:cs="Times New Roman"/>
          <w:sz w:val="24"/>
          <w:szCs w:val="24"/>
        </w:rPr>
        <w:t>ingeniería y la forma en que sus h</w:t>
      </w:r>
      <w:r w:rsidR="00D92CCA">
        <w:rPr>
          <w:rFonts w:ascii="Times New Roman" w:hAnsi="Times New Roman" w:cs="Times New Roman"/>
          <w:sz w:val="24"/>
          <w:szCs w:val="24"/>
        </w:rPr>
        <w:t xml:space="preserve">abilidades matemáticas </w:t>
      </w:r>
      <w:r w:rsidR="008218AD">
        <w:rPr>
          <w:rFonts w:ascii="Times New Roman" w:hAnsi="Times New Roman" w:cs="Times New Roman"/>
          <w:sz w:val="24"/>
          <w:szCs w:val="24"/>
        </w:rPr>
        <w:t>pueden influenciar esta decisión</w:t>
      </w:r>
      <w:r w:rsidR="00CE41DD">
        <w:rPr>
          <w:rFonts w:ascii="Times New Roman" w:hAnsi="Times New Roman" w:cs="Times New Roman"/>
          <w:sz w:val="24"/>
          <w:szCs w:val="24"/>
        </w:rPr>
        <w:t xml:space="preserve">. De </w:t>
      </w:r>
      <w:r w:rsidR="00D92CCA">
        <w:rPr>
          <w:rFonts w:ascii="Times New Roman" w:hAnsi="Times New Roman" w:cs="Times New Roman"/>
          <w:sz w:val="24"/>
          <w:szCs w:val="24"/>
        </w:rPr>
        <w:t xml:space="preserve">esta manera se podrán diseñar e implementar acciones para </w:t>
      </w:r>
      <w:r w:rsidR="00623825">
        <w:rPr>
          <w:rFonts w:ascii="Times New Roman" w:hAnsi="Times New Roman" w:cs="Times New Roman"/>
          <w:sz w:val="24"/>
          <w:szCs w:val="24"/>
        </w:rPr>
        <w:t>desper</w:t>
      </w:r>
      <w:r w:rsidR="00D92CCA">
        <w:rPr>
          <w:rFonts w:ascii="Times New Roman" w:hAnsi="Times New Roman" w:cs="Times New Roman"/>
          <w:sz w:val="24"/>
          <w:szCs w:val="24"/>
        </w:rPr>
        <w:t xml:space="preserve">tar el interés de los jóvenes </w:t>
      </w:r>
      <w:r w:rsidR="00623825">
        <w:rPr>
          <w:rFonts w:ascii="Times New Roman" w:hAnsi="Times New Roman" w:cs="Times New Roman"/>
          <w:sz w:val="24"/>
          <w:szCs w:val="24"/>
        </w:rPr>
        <w:t>por</w:t>
      </w:r>
      <w:r w:rsidR="008218AD">
        <w:rPr>
          <w:rFonts w:ascii="Times New Roman" w:hAnsi="Times New Roman" w:cs="Times New Roman"/>
          <w:sz w:val="24"/>
          <w:szCs w:val="24"/>
        </w:rPr>
        <w:t xml:space="preserve"> estas carreras</w:t>
      </w:r>
      <w:r w:rsidR="00D92CCA">
        <w:rPr>
          <w:rFonts w:ascii="Times New Roman" w:hAnsi="Times New Roman" w:cs="Times New Roman"/>
          <w:sz w:val="24"/>
          <w:szCs w:val="24"/>
        </w:rPr>
        <w:t xml:space="preserve"> desde </w:t>
      </w:r>
      <w:r w:rsidR="00623825">
        <w:rPr>
          <w:rFonts w:ascii="Times New Roman" w:hAnsi="Times New Roman" w:cs="Times New Roman"/>
          <w:sz w:val="24"/>
          <w:szCs w:val="24"/>
        </w:rPr>
        <w:t>la</w:t>
      </w:r>
      <w:r w:rsidR="00D92CCA">
        <w:rPr>
          <w:rFonts w:ascii="Times New Roman" w:hAnsi="Times New Roman" w:cs="Times New Roman"/>
          <w:sz w:val="24"/>
          <w:szCs w:val="24"/>
        </w:rPr>
        <w:t xml:space="preserve"> educación </w:t>
      </w:r>
      <w:r w:rsidR="008218AD">
        <w:rPr>
          <w:rFonts w:ascii="Times New Roman" w:hAnsi="Times New Roman" w:cs="Times New Roman"/>
          <w:sz w:val="24"/>
          <w:szCs w:val="24"/>
        </w:rPr>
        <w:t xml:space="preserve">media y </w:t>
      </w:r>
      <w:r w:rsidR="00D92CCA">
        <w:rPr>
          <w:rFonts w:ascii="Times New Roman" w:hAnsi="Times New Roman" w:cs="Times New Roman"/>
          <w:sz w:val="24"/>
          <w:szCs w:val="24"/>
        </w:rPr>
        <w:t xml:space="preserve">media </w:t>
      </w:r>
      <w:r w:rsidR="00D92CCA">
        <w:rPr>
          <w:rFonts w:ascii="Times New Roman" w:hAnsi="Times New Roman" w:cs="Times New Roman"/>
          <w:sz w:val="24"/>
          <w:szCs w:val="24"/>
        </w:rPr>
        <w:lastRenderedPageBreak/>
        <w:t>superior.</w:t>
      </w:r>
      <w:r>
        <w:rPr>
          <w:rFonts w:ascii="Times New Roman" w:hAnsi="Times New Roman" w:cs="Times New Roman"/>
          <w:sz w:val="24"/>
          <w:szCs w:val="24"/>
        </w:rPr>
        <w:t xml:space="preserve"> </w:t>
      </w:r>
      <w:r w:rsidR="00623825">
        <w:rPr>
          <w:rFonts w:ascii="Times New Roman" w:hAnsi="Times New Roman" w:cs="Times New Roman"/>
          <w:sz w:val="24"/>
          <w:szCs w:val="24"/>
        </w:rPr>
        <w:t xml:space="preserve">La preparación matemática de </w:t>
      </w:r>
      <w:r w:rsidR="00507DD8">
        <w:rPr>
          <w:rFonts w:ascii="Times New Roman" w:hAnsi="Times New Roman" w:cs="Times New Roman"/>
          <w:sz w:val="24"/>
          <w:szCs w:val="24"/>
        </w:rPr>
        <w:t>las personas</w:t>
      </w:r>
      <w:r w:rsidR="00623825">
        <w:rPr>
          <w:rFonts w:ascii="Times New Roman" w:hAnsi="Times New Roman" w:cs="Times New Roman"/>
          <w:sz w:val="24"/>
          <w:szCs w:val="24"/>
        </w:rPr>
        <w:t xml:space="preserve"> en edad de seleccionar su carrera profesional puede ser un factor determinante en esta importante decisión </w:t>
      </w:r>
      <w:r w:rsidR="00623825">
        <w:rPr>
          <w:rFonts w:ascii="Times New Roman" w:hAnsi="Times New Roman" w:cs="Times New Roman"/>
          <w:sz w:val="24"/>
          <w:szCs w:val="24"/>
        </w:rPr>
        <w:fldChar w:fldCharType="begin" w:fldLock="1"/>
      </w:r>
      <w:r w:rsidR="0096183A">
        <w:rPr>
          <w:rFonts w:ascii="Times New Roman" w:hAnsi="Times New Roman" w:cs="Times New Roman"/>
          <w:sz w:val="24"/>
          <w:szCs w:val="24"/>
        </w:rPr>
        <w:instrText>ADDIN CSL_CITATION {"citationItems":[{"id":"ITEM-1","itemData":{"DOI":"10.1002/sce.21007","ISBN":"00368326","ISSN":"00368326","PMID":"74219591","abstract":"This retrospective cohort study characterizes how interest in science, technology, engineering, mathematics (STEM) careers changes during high school for more than 6,000 students in a representative national sample of 34 two- and four-year colleges taking mandatory college English courses. Overall, large gender differences in career plans were found, with males showing far more interest particularly in engineering, whereas females were more attracted to careers in health and medicine during their high school years. The key factor predicting STEM career interest at the end of high school was interest at the start of high school. There was an additional effect of gender, indicating both a lower retention of STEM career interest among females and a greater difficulty in attracting females to STEM fields during high school. During the high school years, the percentage of males interested in a STEM career remained stable (from 39.5 to 39.7), whereas for females it declined from 15.7 to 12.7. The students' initial specific (disciplinary) career interests were found to influence the stability of their interest in a STEM career, with those interested in physics careers at the start of high school having the highest retention in STEM. © 2012 Wiley Periodicals, Inc. Sci Ed 96:411-427, 2012 [ABSTRACT FROM AUTHOR]","author":[{"dropping-particle":"","family":"Sadler","given":"Philip M.","non-dropping-particle":"","parse-names":false,"suffix":""},{"dropping-particle":"","family":"Sonnert","given":"Gerhard","non-dropping-particle":"","parse-names":false,"suffix":""},{"dropping-particle":"","family":"Hazari","given":"Zahra","non-dropping-particle":"","parse-names":false,"suffix":""},{"dropping-particle":"","family":"Tai","given":"Robert","non-dropping-particle":"","parse-names":false,"suffix":""}],"container-title":"Science Education","id":"ITEM-1","issued":{"date-parts":[["2012"]]},"page":"411-427","title":"Stability and volatility of STEM career interest in high school: A gender study","type":"article-journal","volume":"96"},"uris":["http://www.mendeley.com/documents/?uuid=78c07103-c3ee-44d7-bf8f-fac8797dca61"]}],"mendeley":{"formattedCitation":"(Sadler, Sonnert, Hazari, &amp; Tai, 2012)","plainTextFormattedCitation":"(Sadler, Sonnert, Hazari, &amp; Tai, 2012)","previouslyFormattedCitation":"(Sadler, Sonnert, Hazari, &amp; Tai, 2012)"},"properties":{"noteIndex":0},"schema":"https://github.com/citation-style-language/schema/raw/master/csl-citation.json"}</w:instrText>
      </w:r>
      <w:r w:rsidR="00623825">
        <w:rPr>
          <w:rFonts w:ascii="Times New Roman" w:hAnsi="Times New Roman" w:cs="Times New Roman"/>
          <w:sz w:val="24"/>
          <w:szCs w:val="24"/>
        </w:rPr>
        <w:fldChar w:fldCharType="separate"/>
      </w:r>
      <w:r w:rsidR="00623825" w:rsidRPr="00623825">
        <w:rPr>
          <w:rFonts w:ascii="Times New Roman" w:hAnsi="Times New Roman" w:cs="Times New Roman"/>
          <w:noProof/>
          <w:sz w:val="24"/>
          <w:szCs w:val="24"/>
        </w:rPr>
        <w:t>(Sadler, Sonnert, Hazari</w:t>
      </w:r>
      <w:r w:rsidR="00CE41DD">
        <w:rPr>
          <w:rFonts w:ascii="Times New Roman" w:hAnsi="Times New Roman" w:cs="Times New Roman"/>
          <w:noProof/>
          <w:sz w:val="24"/>
          <w:szCs w:val="24"/>
        </w:rPr>
        <w:t xml:space="preserve"> y</w:t>
      </w:r>
      <w:r w:rsidR="00623825" w:rsidRPr="00623825">
        <w:rPr>
          <w:rFonts w:ascii="Times New Roman" w:hAnsi="Times New Roman" w:cs="Times New Roman"/>
          <w:noProof/>
          <w:sz w:val="24"/>
          <w:szCs w:val="24"/>
        </w:rPr>
        <w:t xml:space="preserve"> Tai, 2012)</w:t>
      </w:r>
      <w:r w:rsidR="00623825">
        <w:rPr>
          <w:rFonts w:ascii="Times New Roman" w:hAnsi="Times New Roman" w:cs="Times New Roman"/>
          <w:sz w:val="24"/>
          <w:szCs w:val="24"/>
        </w:rPr>
        <w:fldChar w:fldCharType="end"/>
      </w:r>
      <w:r w:rsidR="00623825">
        <w:rPr>
          <w:rFonts w:ascii="Times New Roman" w:hAnsi="Times New Roman" w:cs="Times New Roman"/>
          <w:sz w:val="24"/>
          <w:szCs w:val="24"/>
        </w:rPr>
        <w:t xml:space="preserve">. Esto toma gran relevancia ya que los </w:t>
      </w:r>
      <w:r w:rsidR="00DE664D">
        <w:rPr>
          <w:rFonts w:ascii="Times New Roman" w:hAnsi="Times New Roman" w:cs="Times New Roman"/>
          <w:sz w:val="24"/>
          <w:szCs w:val="24"/>
        </w:rPr>
        <w:t xml:space="preserve">alumnos </w:t>
      </w:r>
      <w:r w:rsidR="00623825">
        <w:rPr>
          <w:rFonts w:ascii="Times New Roman" w:hAnsi="Times New Roman" w:cs="Times New Roman"/>
          <w:sz w:val="24"/>
          <w:szCs w:val="24"/>
        </w:rPr>
        <w:t xml:space="preserve">mexicanos muestran un rezago considerable en su preparación matemática </w:t>
      </w:r>
      <w:r w:rsidR="0073727D">
        <w:rPr>
          <w:rFonts w:ascii="Times New Roman" w:hAnsi="Times New Roman" w:cs="Times New Roman"/>
          <w:sz w:val="24"/>
          <w:szCs w:val="24"/>
        </w:rPr>
        <w:t>desde su</w:t>
      </w:r>
      <w:r w:rsidR="00623825">
        <w:rPr>
          <w:rFonts w:ascii="Times New Roman" w:hAnsi="Times New Roman" w:cs="Times New Roman"/>
          <w:sz w:val="24"/>
          <w:szCs w:val="24"/>
        </w:rPr>
        <w:t xml:space="preserve"> educación básica. </w:t>
      </w:r>
      <w:r w:rsidR="00116982">
        <w:rPr>
          <w:rFonts w:ascii="Times New Roman" w:hAnsi="Times New Roman" w:cs="Times New Roman"/>
          <w:sz w:val="24"/>
          <w:szCs w:val="24"/>
        </w:rPr>
        <w:t>Según datos de la Organización para la Cooperación y el Desarrollo Económicos</w:t>
      </w:r>
      <w:r w:rsidR="00507DD8">
        <w:rPr>
          <w:rFonts w:ascii="Times New Roman" w:hAnsi="Times New Roman" w:cs="Times New Roman"/>
          <w:sz w:val="24"/>
          <w:szCs w:val="24"/>
        </w:rPr>
        <w:t xml:space="preserve"> (OCDE),</w:t>
      </w:r>
      <w:r w:rsidR="00116982">
        <w:rPr>
          <w:rFonts w:ascii="Times New Roman" w:hAnsi="Times New Roman" w:cs="Times New Roman"/>
          <w:sz w:val="24"/>
          <w:szCs w:val="24"/>
        </w:rPr>
        <w:t xml:space="preserve"> en sus estudios de evaluación internacional de alumnos en el 2014, México tiene a casi 60</w:t>
      </w:r>
      <w:r w:rsidR="00507DD8">
        <w:rPr>
          <w:rFonts w:ascii="Times New Roman" w:hAnsi="Times New Roman" w:cs="Times New Roman"/>
          <w:sz w:val="24"/>
          <w:szCs w:val="24"/>
        </w:rPr>
        <w:t xml:space="preserve"> </w:t>
      </w:r>
      <w:r w:rsidR="00116982">
        <w:rPr>
          <w:rFonts w:ascii="Times New Roman" w:hAnsi="Times New Roman" w:cs="Times New Roman"/>
          <w:sz w:val="24"/>
          <w:szCs w:val="24"/>
        </w:rPr>
        <w:t xml:space="preserve">% de sus estudiantes en los </w:t>
      </w:r>
      <w:r w:rsidR="00037F36">
        <w:rPr>
          <w:rFonts w:ascii="Times New Roman" w:hAnsi="Times New Roman" w:cs="Times New Roman"/>
          <w:sz w:val="24"/>
          <w:szCs w:val="24"/>
        </w:rPr>
        <w:t xml:space="preserve">niveles </w:t>
      </w:r>
      <w:r w:rsidR="00116982">
        <w:rPr>
          <w:rFonts w:ascii="Times New Roman" w:hAnsi="Times New Roman" w:cs="Times New Roman"/>
          <w:sz w:val="24"/>
          <w:szCs w:val="24"/>
        </w:rPr>
        <w:t>1, 2 y 3 (de un máximo de 6) en educación matemática</w:t>
      </w:r>
      <w:r w:rsidR="00507DD8">
        <w:rPr>
          <w:rFonts w:ascii="Times New Roman" w:hAnsi="Times New Roman" w:cs="Times New Roman"/>
          <w:sz w:val="24"/>
          <w:szCs w:val="24"/>
        </w:rPr>
        <w:t>:</w:t>
      </w:r>
      <w:r w:rsidR="00116982">
        <w:rPr>
          <w:rFonts w:ascii="Times New Roman" w:hAnsi="Times New Roman" w:cs="Times New Roman"/>
          <w:sz w:val="24"/>
          <w:szCs w:val="24"/>
        </w:rPr>
        <w:t xml:space="preserve"> </w:t>
      </w:r>
      <w:r w:rsidR="00FD6A70">
        <w:rPr>
          <w:rFonts w:ascii="Times New Roman" w:hAnsi="Times New Roman" w:cs="Times New Roman"/>
          <w:sz w:val="24"/>
          <w:szCs w:val="24"/>
        </w:rPr>
        <w:t xml:space="preserve">en general </w:t>
      </w:r>
      <w:r w:rsidR="00116982">
        <w:rPr>
          <w:rFonts w:ascii="Times New Roman" w:hAnsi="Times New Roman" w:cs="Times New Roman"/>
          <w:sz w:val="24"/>
          <w:szCs w:val="24"/>
        </w:rPr>
        <w:t xml:space="preserve">un nivel bajo e insuficiente para participar en el desarrollo de una sociedad moderna </w:t>
      </w:r>
      <w:r w:rsidR="00116982">
        <w:rPr>
          <w:rFonts w:ascii="Times New Roman" w:hAnsi="Times New Roman" w:cs="Times New Roman"/>
          <w:sz w:val="24"/>
          <w:szCs w:val="24"/>
        </w:rPr>
        <w:fldChar w:fldCharType="begin" w:fldLock="1"/>
      </w:r>
      <w:r w:rsidR="0096183A">
        <w:rPr>
          <w:rFonts w:ascii="Times New Roman" w:hAnsi="Times New Roman" w:cs="Times New Roman"/>
          <w:sz w:val="24"/>
          <w:szCs w:val="24"/>
        </w:rPr>
        <w:instrText>ADDIN CSL_CITATION {"citationItems":[{"id":"ITEM-1","itemData":{"author":[{"dropping-particle":"","family":"OECD","given":"","non-dropping-particle":"","parse-names":false,"suffix":""}],"id":"ITEM-1","issued":{"date-parts":[["2014"]]},"title":"PISA 2012 Results: What Students Know and Can Do – Student Performance in Mathematics, Reading and Science.","type":"report"},"uris":["http://www.mendeley.com/documents/?uuid=bc6feb3d-fbb5-4f7d-b631-6d8944537e48"]}],"mendeley":{"formattedCitation":"(OECD, 2014)","manualFormatting":"(Organisation for Economic Co-operation and Development, 2014)","plainTextFormattedCitation":"(OECD, 2014)","previouslyFormattedCitation":"(OECD, 2014)"},"properties":{"noteIndex":0},"schema":"https://github.com/citation-style-language/schema/raw/master/csl-citation.json"}</w:instrText>
      </w:r>
      <w:r w:rsidR="00116982">
        <w:rPr>
          <w:rFonts w:ascii="Times New Roman" w:hAnsi="Times New Roman" w:cs="Times New Roman"/>
          <w:sz w:val="24"/>
          <w:szCs w:val="24"/>
        </w:rPr>
        <w:fldChar w:fldCharType="separate"/>
      </w:r>
      <w:r w:rsidR="00116982" w:rsidRPr="00D71EFF">
        <w:rPr>
          <w:rFonts w:ascii="Times New Roman" w:hAnsi="Times New Roman" w:cs="Times New Roman"/>
          <w:noProof/>
          <w:sz w:val="24"/>
          <w:szCs w:val="24"/>
        </w:rPr>
        <w:t>(</w:t>
      </w:r>
      <w:r w:rsidR="00037F36">
        <w:rPr>
          <w:rFonts w:ascii="Times New Roman" w:hAnsi="Times New Roman" w:cs="Times New Roman"/>
          <w:bCs/>
          <w:iCs/>
          <w:noProof/>
          <w:color w:val="000000"/>
          <w:sz w:val="24"/>
          <w:szCs w:val="24"/>
          <w:shd w:val="clear" w:color="auto" w:fill="F9F9F9"/>
        </w:rPr>
        <w:t>OCDE</w:t>
      </w:r>
      <w:r w:rsidR="00116982" w:rsidRPr="007340EE">
        <w:rPr>
          <w:rFonts w:ascii="Times New Roman" w:hAnsi="Times New Roman" w:cs="Times New Roman"/>
          <w:noProof/>
          <w:sz w:val="24"/>
          <w:szCs w:val="24"/>
        </w:rPr>
        <w:t>, 2014)</w:t>
      </w:r>
      <w:r w:rsidR="00116982">
        <w:rPr>
          <w:rFonts w:ascii="Times New Roman" w:hAnsi="Times New Roman" w:cs="Times New Roman"/>
          <w:sz w:val="24"/>
          <w:szCs w:val="24"/>
        </w:rPr>
        <w:fldChar w:fldCharType="end"/>
      </w:r>
      <w:r w:rsidR="00116982">
        <w:rPr>
          <w:rFonts w:ascii="Times New Roman" w:hAnsi="Times New Roman" w:cs="Times New Roman"/>
          <w:sz w:val="24"/>
          <w:szCs w:val="24"/>
        </w:rPr>
        <w:t>.</w:t>
      </w:r>
      <w:r w:rsidR="00116982" w:rsidRPr="002E24C2">
        <w:rPr>
          <w:rFonts w:ascii="Times New Roman" w:hAnsi="Times New Roman" w:cs="Times New Roman"/>
          <w:sz w:val="24"/>
          <w:szCs w:val="24"/>
        </w:rPr>
        <w:t xml:space="preserve"> </w:t>
      </w:r>
      <w:r w:rsidR="00116982">
        <w:rPr>
          <w:rFonts w:ascii="Times New Roman" w:hAnsi="Times New Roman" w:cs="Times New Roman"/>
          <w:sz w:val="24"/>
          <w:szCs w:val="24"/>
        </w:rPr>
        <w:t>Es</w:t>
      </w:r>
      <w:r w:rsidR="00D92CCA">
        <w:rPr>
          <w:rFonts w:ascii="Times New Roman" w:hAnsi="Times New Roman" w:cs="Times New Roman"/>
          <w:sz w:val="24"/>
          <w:szCs w:val="24"/>
        </w:rPr>
        <w:t>te rezago en educación matemática</w:t>
      </w:r>
      <w:r w:rsidR="00116982">
        <w:rPr>
          <w:rFonts w:ascii="Times New Roman" w:hAnsi="Times New Roman" w:cs="Times New Roman"/>
          <w:sz w:val="24"/>
          <w:szCs w:val="24"/>
        </w:rPr>
        <w:t xml:space="preserve"> </w:t>
      </w:r>
      <w:r w:rsidR="00D92CCA">
        <w:rPr>
          <w:rFonts w:ascii="Times New Roman" w:hAnsi="Times New Roman" w:cs="Times New Roman"/>
          <w:sz w:val="24"/>
          <w:szCs w:val="24"/>
        </w:rPr>
        <w:t>puede estar afectando de forma negativa el posible interés de los estudiantes</w:t>
      </w:r>
      <w:r w:rsidR="009856A6">
        <w:rPr>
          <w:rFonts w:ascii="Times New Roman" w:hAnsi="Times New Roman" w:cs="Times New Roman"/>
          <w:sz w:val="24"/>
          <w:szCs w:val="24"/>
        </w:rPr>
        <w:t xml:space="preserve"> mexicanos</w:t>
      </w:r>
      <w:r w:rsidR="00D92CCA">
        <w:rPr>
          <w:rFonts w:ascii="Times New Roman" w:hAnsi="Times New Roman" w:cs="Times New Roman"/>
          <w:sz w:val="24"/>
          <w:szCs w:val="24"/>
        </w:rPr>
        <w:t xml:space="preserve"> por las carreras de ingeniería</w:t>
      </w:r>
      <w:r w:rsidR="006539BD">
        <w:rPr>
          <w:rFonts w:ascii="Times New Roman" w:hAnsi="Times New Roman" w:cs="Times New Roman"/>
          <w:sz w:val="24"/>
          <w:szCs w:val="24"/>
        </w:rPr>
        <w:t xml:space="preserve"> y provocando</w:t>
      </w:r>
      <w:r w:rsidR="009856A6">
        <w:rPr>
          <w:rFonts w:ascii="Times New Roman" w:hAnsi="Times New Roman" w:cs="Times New Roman"/>
          <w:sz w:val="24"/>
          <w:szCs w:val="24"/>
        </w:rPr>
        <w:t xml:space="preserve"> </w:t>
      </w:r>
      <w:r w:rsidR="00D92CCA">
        <w:rPr>
          <w:rFonts w:ascii="Times New Roman" w:hAnsi="Times New Roman" w:cs="Times New Roman"/>
          <w:sz w:val="24"/>
          <w:szCs w:val="24"/>
        </w:rPr>
        <w:t xml:space="preserve">que algunos decidan evitar </w:t>
      </w:r>
      <w:r w:rsidR="006539BD">
        <w:rPr>
          <w:rFonts w:ascii="Times New Roman" w:hAnsi="Times New Roman" w:cs="Times New Roman"/>
          <w:sz w:val="24"/>
          <w:szCs w:val="24"/>
        </w:rPr>
        <w:t>un programa de esta área</w:t>
      </w:r>
      <w:r w:rsidR="00D92CCA">
        <w:rPr>
          <w:rFonts w:ascii="Times New Roman" w:hAnsi="Times New Roman" w:cs="Times New Roman"/>
          <w:sz w:val="24"/>
          <w:szCs w:val="24"/>
        </w:rPr>
        <w:t xml:space="preserve"> </w:t>
      </w:r>
      <w:r w:rsidR="006539BD">
        <w:rPr>
          <w:rFonts w:ascii="Times New Roman" w:hAnsi="Times New Roman" w:cs="Times New Roman"/>
          <w:sz w:val="24"/>
          <w:szCs w:val="24"/>
        </w:rPr>
        <w:t xml:space="preserve">a causa de </w:t>
      </w:r>
      <w:r w:rsidR="00D92CCA">
        <w:rPr>
          <w:rFonts w:ascii="Times New Roman" w:hAnsi="Times New Roman" w:cs="Times New Roman"/>
          <w:sz w:val="24"/>
          <w:szCs w:val="24"/>
        </w:rPr>
        <w:t>que sus habilidades no s</w:t>
      </w:r>
      <w:r w:rsidR="005B5B64">
        <w:rPr>
          <w:rFonts w:ascii="Times New Roman" w:hAnsi="Times New Roman" w:cs="Times New Roman"/>
          <w:sz w:val="24"/>
          <w:szCs w:val="24"/>
        </w:rPr>
        <w:t>on</w:t>
      </w:r>
      <w:r w:rsidR="006539BD">
        <w:rPr>
          <w:rFonts w:ascii="Times New Roman" w:hAnsi="Times New Roman" w:cs="Times New Roman"/>
          <w:sz w:val="24"/>
          <w:szCs w:val="24"/>
        </w:rPr>
        <w:t xml:space="preserve"> lo</w:t>
      </w:r>
      <w:r w:rsidR="00D92CCA">
        <w:rPr>
          <w:rFonts w:ascii="Times New Roman" w:hAnsi="Times New Roman" w:cs="Times New Roman"/>
          <w:sz w:val="24"/>
          <w:szCs w:val="24"/>
        </w:rPr>
        <w:t xml:space="preserve"> suficiente</w:t>
      </w:r>
      <w:r w:rsidR="002C1478">
        <w:rPr>
          <w:rFonts w:ascii="Times New Roman" w:hAnsi="Times New Roman" w:cs="Times New Roman"/>
          <w:sz w:val="24"/>
          <w:szCs w:val="24"/>
        </w:rPr>
        <w:t>mente buenas</w:t>
      </w:r>
      <w:r w:rsidR="00D92CCA">
        <w:rPr>
          <w:rFonts w:ascii="Times New Roman" w:hAnsi="Times New Roman" w:cs="Times New Roman"/>
          <w:sz w:val="24"/>
          <w:szCs w:val="24"/>
        </w:rPr>
        <w:t xml:space="preserve"> para acreditar los cursos de matemáticas que </w:t>
      </w:r>
      <w:r w:rsidR="008218AD">
        <w:rPr>
          <w:rFonts w:ascii="Times New Roman" w:hAnsi="Times New Roman" w:cs="Times New Roman"/>
          <w:sz w:val="24"/>
          <w:szCs w:val="24"/>
        </w:rPr>
        <w:t>incluye en su retícula</w:t>
      </w:r>
      <w:r w:rsidR="00116982">
        <w:rPr>
          <w:rFonts w:ascii="Times New Roman" w:hAnsi="Times New Roman" w:cs="Times New Roman"/>
          <w:sz w:val="24"/>
          <w:szCs w:val="24"/>
        </w:rPr>
        <w:t>.</w:t>
      </w:r>
    </w:p>
    <w:p w14:paraId="46A1846D" w14:textId="77777777" w:rsidR="00196306" w:rsidRDefault="00196306" w:rsidP="0006428E">
      <w:pPr>
        <w:spacing w:after="0" w:line="360" w:lineRule="auto"/>
        <w:rPr>
          <w:rFonts w:ascii="Times New Roman" w:hAnsi="Times New Roman" w:cs="Times New Roman"/>
          <w:b/>
          <w:sz w:val="24"/>
          <w:szCs w:val="24"/>
        </w:rPr>
      </w:pPr>
    </w:p>
    <w:p w14:paraId="3D623233" w14:textId="6B96CC16" w:rsidR="00196306" w:rsidRPr="00737371" w:rsidRDefault="003A292E" w:rsidP="0006428E">
      <w:pPr>
        <w:spacing w:after="0" w:line="360" w:lineRule="auto"/>
        <w:rPr>
          <w:rFonts w:ascii="Calibri" w:eastAsia="Times New Roman" w:hAnsi="Calibri" w:cs="Calibri"/>
          <w:b/>
          <w:color w:val="000000" w:themeColor="text1"/>
          <w:sz w:val="28"/>
          <w:szCs w:val="28"/>
          <w:lang w:val="es-ES_tradnl" w:eastAsia="es-MX"/>
        </w:rPr>
      </w:pPr>
      <w:r w:rsidRPr="00737371">
        <w:rPr>
          <w:rFonts w:ascii="Calibri" w:eastAsia="Times New Roman" w:hAnsi="Calibri" w:cs="Calibri"/>
          <w:b/>
          <w:color w:val="000000" w:themeColor="text1"/>
          <w:sz w:val="28"/>
          <w:szCs w:val="28"/>
          <w:lang w:val="es-ES_tradnl" w:eastAsia="es-MX"/>
        </w:rPr>
        <w:t xml:space="preserve">Marco </w:t>
      </w:r>
      <w:r w:rsidR="0006428E" w:rsidRPr="00737371">
        <w:rPr>
          <w:rFonts w:ascii="Calibri" w:eastAsia="Times New Roman" w:hAnsi="Calibri" w:cs="Calibri"/>
          <w:b/>
          <w:color w:val="000000" w:themeColor="text1"/>
          <w:sz w:val="28"/>
          <w:szCs w:val="28"/>
          <w:lang w:val="es-ES_tradnl" w:eastAsia="es-MX"/>
        </w:rPr>
        <w:t>teórico</w:t>
      </w:r>
    </w:p>
    <w:p w14:paraId="33D124E2" w14:textId="49C1570D" w:rsidR="00C14048" w:rsidRDefault="00E63EBE" w:rsidP="00514B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presente </w:t>
      </w:r>
      <w:r w:rsidR="00196306">
        <w:rPr>
          <w:rFonts w:ascii="Times New Roman" w:hAnsi="Times New Roman" w:cs="Times New Roman"/>
          <w:sz w:val="24"/>
          <w:szCs w:val="24"/>
        </w:rPr>
        <w:t>estudio</w:t>
      </w:r>
      <w:r w:rsidR="004A0A4D">
        <w:rPr>
          <w:rFonts w:ascii="Times New Roman" w:hAnsi="Times New Roman" w:cs="Times New Roman"/>
          <w:sz w:val="24"/>
          <w:szCs w:val="24"/>
        </w:rPr>
        <w:t xml:space="preserve"> se </w:t>
      </w:r>
      <w:r w:rsidR="003830B0">
        <w:rPr>
          <w:rFonts w:ascii="Times New Roman" w:hAnsi="Times New Roman" w:cs="Times New Roman"/>
          <w:sz w:val="24"/>
          <w:szCs w:val="24"/>
        </w:rPr>
        <w:t xml:space="preserve">fundamenta </w:t>
      </w:r>
      <w:r w:rsidR="0098440C">
        <w:rPr>
          <w:rFonts w:ascii="Times New Roman" w:hAnsi="Times New Roman" w:cs="Times New Roman"/>
          <w:sz w:val="24"/>
          <w:szCs w:val="24"/>
        </w:rPr>
        <w:t xml:space="preserve">en la </w:t>
      </w:r>
      <w:r>
        <w:rPr>
          <w:rFonts w:ascii="Times New Roman" w:hAnsi="Times New Roman" w:cs="Times New Roman"/>
          <w:sz w:val="24"/>
          <w:szCs w:val="24"/>
        </w:rPr>
        <w:t xml:space="preserve">teoría social cognitiva del desarrollo de carrera </w:t>
      </w:r>
      <w:r w:rsidR="0098440C">
        <w:rPr>
          <w:rFonts w:ascii="Times New Roman" w:hAnsi="Times New Roman" w:cs="Times New Roman"/>
          <w:sz w:val="24"/>
          <w:szCs w:val="24"/>
        </w:rPr>
        <w:t>(SCCT</w:t>
      </w:r>
      <w:r w:rsidR="00717DC0">
        <w:rPr>
          <w:rFonts w:ascii="Times New Roman" w:hAnsi="Times New Roman" w:cs="Times New Roman"/>
          <w:sz w:val="24"/>
          <w:szCs w:val="24"/>
        </w:rPr>
        <w:t>, por sus siglas en inglés</w:t>
      </w:r>
      <w:r w:rsidR="0098440C">
        <w:rPr>
          <w:rFonts w:ascii="Times New Roman" w:hAnsi="Times New Roman" w:cs="Times New Roman"/>
          <w:sz w:val="24"/>
          <w:szCs w:val="24"/>
        </w:rPr>
        <w:t xml:space="preserve">) planteada por Lent </w:t>
      </w:r>
      <w:r w:rsidRPr="00514B68">
        <w:rPr>
          <w:rFonts w:ascii="Times New Roman" w:hAnsi="Times New Roman" w:cs="Times New Roman"/>
          <w:i/>
          <w:sz w:val="24"/>
          <w:szCs w:val="24"/>
        </w:rPr>
        <w:t>et al.</w:t>
      </w:r>
      <w:r w:rsidR="0098440C">
        <w:rPr>
          <w:rFonts w:ascii="Times New Roman" w:hAnsi="Times New Roman" w:cs="Times New Roman"/>
          <w:sz w:val="24"/>
          <w:szCs w:val="24"/>
        </w:rPr>
        <w:t xml:space="preserve"> </w:t>
      </w:r>
      <w:r w:rsidR="0098440C">
        <w:rPr>
          <w:rFonts w:ascii="Times New Roman" w:hAnsi="Times New Roman" w:cs="Times New Roman"/>
          <w:sz w:val="24"/>
          <w:szCs w:val="24"/>
        </w:rPr>
        <w:fldChar w:fldCharType="begin" w:fldLock="1"/>
      </w:r>
      <w:r w:rsidR="0096183A">
        <w:rPr>
          <w:rFonts w:ascii="Times New Roman" w:hAnsi="Times New Roman" w:cs="Times New Roman"/>
          <w:sz w:val="24"/>
          <w:szCs w:val="24"/>
        </w:rPr>
        <w:instrText>ADDIN CSL_CITATION {"citationItems":[{"id":"ITEM-1","itemData":{"author":[{"dropping-particle":"","family":"Lent","given":"Robert W.","non-dropping-particle":"","parse-names":false,"suffix":""},{"dropping-particle":"","family":"Brown","given":"Steven D.","non-dropping-particle":"","parse-names":false,"suffix":""},{"dropping-particle":"","family":"Hackett","given":"Gail","non-dropping-particle":"","parse-names":false,"suffix":""}],"container-title":"Journal of Vocational Behavior","id":"ITEM-1","issued":{"date-parts":[["1994"]]},"page":"79-122","title":"Toward a unifying social cognitive theory of career and academic interest, choice, and performance","type":"article-journal","volume":"45"},"uris":["http://www.mendeley.com/documents/?uuid=4d025b16-d0ad-452b-ab1d-9765745b5ef7"]}],"mendeley":{"formattedCitation":"(R. W. Lent et al., 1994)","manualFormatting":"(1994)","plainTextFormattedCitation":"(R. W. Lent et al., 1994)","previouslyFormattedCitation":"(R. W. Lent et al., 1994)"},"properties":{"noteIndex":0},"schema":"https://github.com/citation-style-language/schema/raw/master/csl-citation.json"}</w:instrText>
      </w:r>
      <w:r w:rsidR="0098440C">
        <w:rPr>
          <w:rFonts w:ascii="Times New Roman" w:hAnsi="Times New Roman" w:cs="Times New Roman"/>
          <w:sz w:val="24"/>
          <w:szCs w:val="24"/>
        </w:rPr>
        <w:fldChar w:fldCharType="separate"/>
      </w:r>
      <w:r w:rsidR="0098440C" w:rsidRPr="0098440C">
        <w:rPr>
          <w:rFonts w:ascii="Times New Roman" w:hAnsi="Times New Roman" w:cs="Times New Roman"/>
          <w:noProof/>
          <w:sz w:val="24"/>
          <w:szCs w:val="24"/>
        </w:rPr>
        <w:t>(1994)</w:t>
      </w:r>
      <w:r w:rsidR="0098440C">
        <w:rPr>
          <w:rFonts w:ascii="Times New Roman" w:hAnsi="Times New Roman" w:cs="Times New Roman"/>
          <w:sz w:val="24"/>
          <w:szCs w:val="24"/>
        </w:rPr>
        <w:fldChar w:fldCharType="end"/>
      </w:r>
      <w:r w:rsidR="0098440C">
        <w:rPr>
          <w:rFonts w:ascii="Times New Roman" w:hAnsi="Times New Roman" w:cs="Times New Roman"/>
          <w:sz w:val="24"/>
          <w:szCs w:val="24"/>
        </w:rPr>
        <w:t xml:space="preserve">. </w:t>
      </w:r>
      <w:r>
        <w:rPr>
          <w:rFonts w:ascii="Times New Roman" w:hAnsi="Times New Roman" w:cs="Times New Roman"/>
          <w:sz w:val="24"/>
          <w:szCs w:val="24"/>
        </w:rPr>
        <w:t>Esta teoría</w:t>
      </w:r>
      <w:r w:rsidR="00B85539">
        <w:rPr>
          <w:rFonts w:ascii="Times New Roman" w:hAnsi="Times New Roman" w:cs="Times New Roman"/>
          <w:sz w:val="24"/>
          <w:szCs w:val="24"/>
        </w:rPr>
        <w:t xml:space="preserve"> </w:t>
      </w:r>
      <w:r w:rsidR="0098440C">
        <w:rPr>
          <w:rFonts w:ascii="Times New Roman" w:hAnsi="Times New Roman" w:cs="Times New Roman"/>
          <w:sz w:val="24"/>
          <w:szCs w:val="24"/>
        </w:rPr>
        <w:t xml:space="preserve">identifica tres mecanismos sociales cognitivos relevantes para la selección de carrera: </w:t>
      </w:r>
      <w:r w:rsidR="0098440C" w:rsidRPr="00514B68">
        <w:rPr>
          <w:rFonts w:ascii="Times New Roman" w:hAnsi="Times New Roman" w:cs="Times New Roman"/>
          <w:i/>
          <w:sz w:val="24"/>
          <w:szCs w:val="24"/>
        </w:rPr>
        <w:t>a)</w:t>
      </w:r>
      <w:r w:rsidR="0098440C">
        <w:rPr>
          <w:rFonts w:ascii="Times New Roman" w:hAnsi="Times New Roman" w:cs="Times New Roman"/>
          <w:sz w:val="24"/>
          <w:szCs w:val="24"/>
        </w:rPr>
        <w:t xml:space="preserve"> </w:t>
      </w:r>
      <w:r>
        <w:rPr>
          <w:rFonts w:ascii="Times New Roman" w:hAnsi="Times New Roman" w:cs="Times New Roman"/>
          <w:sz w:val="24"/>
          <w:szCs w:val="24"/>
        </w:rPr>
        <w:t xml:space="preserve">sentimientos </w:t>
      </w:r>
      <w:r w:rsidR="0098440C">
        <w:rPr>
          <w:rFonts w:ascii="Times New Roman" w:hAnsi="Times New Roman" w:cs="Times New Roman"/>
          <w:sz w:val="24"/>
          <w:szCs w:val="24"/>
        </w:rPr>
        <w:t xml:space="preserve">de autoeficacia, </w:t>
      </w:r>
      <w:r w:rsidR="0098440C" w:rsidRPr="00514B68">
        <w:rPr>
          <w:rFonts w:ascii="Times New Roman" w:hAnsi="Times New Roman" w:cs="Times New Roman"/>
          <w:i/>
          <w:sz w:val="24"/>
          <w:szCs w:val="24"/>
        </w:rPr>
        <w:t>b)</w:t>
      </w:r>
      <w:r w:rsidR="00E86B5D">
        <w:rPr>
          <w:rFonts w:ascii="Times New Roman" w:hAnsi="Times New Roman" w:cs="Times New Roman"/>
          <w:sz w:val="24"/>
          <w:szCs w:val="24"/>
        </w:rPr>
        <w:t xml:space="preserve"> </w:t>
      </w:r>
      <w:r>
        <w:rPr>
          <w:rFonts w:ascii="Times New Roman" w:hAnsi="Times New Roman" w:cs="Times New Roman"/>
          <w:sz w:val="24"/>
          <w:szCs w:val="24"/>
        </w:rPr>
        <w:t xml:space="preserve">expectativas </w:t>
      </w:r>
      <w:r w:rsidR="00E86B5D">
        <w:rPr>
          <w:rFonts w:ascii="Times New Roman" w:hAnsi="Times New Roman" w:cs="Times New Roman"/>
          <w:sz w:val="24"/>
          <w:szCs w:val="24"/>
        </w:rPr>
        <w:t xml:space="preserve">de resultados y </w:t>
      </w:r>
      <w:r w:rsidR="00E86B5D" w:rsidRPr="00514B68">
        <w:rPr>
          <w:rFonts w:ascii="Times New Roman" w:hAnsi="Times New Roman" w:cs="Times New Roman"/>
          <w:i/>
          <w:sz w:val="24"/>
          <w:szCs w:val="24"/>
        </w:rPr>
        <w:t>c)</w:t>
      </w:r>
      <w:r w:rsidR="00E86B5D">
        <w:rPr>
          <w:rFonts w:ascii="Times New Roman" w:hAnsi="Times New Roman" w:cs="Times New Roman"/>
          <w:sz w:val="24"/>
          <w:szCs w:val="24"/>
        </w:rPr>
        <w:t xml:space="preserve"> </w:t>
      </w:r>
      <w:r>
        <w:rPr>
          <w:rFonts w:ascii="Times New Roman" w:hAnsi="Times New Roman" w:cs="Times New Roman"/>
          <w:sz w:val="24"/>
          <w:szCs w:val="24"/>
        </w:rPr>
        <w:t xml:space="preserve">objetivos </w:t>
      </w:r>
      <w:r w:rsidR="00E86B5D">
        <w:rPr>
          <w:rFonts w:ascii="Times New Roman" w:hAnsi="Times New Roman" w:cs="Times New Roman"/>
          <w:sz w:val="24"/>
          <w:szCs w:val="24"/>
        </w:rPr>
        <w:t xml:space="preserve">seleccionados. El </w:t>
      </w:r>
      <w:r w:rsidR="00600658">
        <w:rPr>
          <w:rFonts w:ascii="Times New Roman" w:hAnsi="Times New Roman" w:cs="Times New Roman"/>
          <w:sz w:val="24"/>
          <w:szCs w:val="24"/>
        </w:rPr>
        <w:t xml:space="preserve">marco teórico de la </w:t>
      </w:r>
      <w:r w:rsidR="00E86B5D">
        <w:rPr>
          <w:rFonts w:ascii="Times New Roman" w:hAnsi="Times New Roman" w:cs="Times New Roman"/>
          <w:sz w:val="24"/>
          <w:szCs w:val="24"/>
        </w:rPr>
        <w:t>SCCT</w:t>
      </w:r>
      <w:r w:rsidR="00600658">
        <w:rPr>
          <w:rFonts w:ascii="Times New Roman" w:hAnsi="Times New Roman" w:cs="Times New Roman"/>
          <w:sz w:val="24"/>
          <w:szCs w:val="24"/>
        </w:rPr>
        <w:t xml:space="preserve"> se desarrolló </w:t>
      </w:r>
      <w:r>
        <w:rPr>
          <w:rFonts w:ascii="Times New Roman" w:hAnsi="Times New Roman" w:cs="Times New Roman"/>
          <w:sz w:val="24"/>
          <w:szCs w:val="24"/>
        </w:rPr>
        <w:t xml:space="preserve">con base </w:t>
      </w:r>
      <w:r w:rsidR="00600658">
        <w:rPr>
          <w:rFonts w:ascii="Times New Roman" w:hAnsi="Times New Roman" w:cs="Times New Roman"/>
          <w:sz w:val="24"/>
          <w:szCs w:val="24"/>
        </w:rPr>
        <w:t>en tres modelos</w:t>
      </w:r>
      <w:r w:rsidR="00E86B5D">
        <w:rPr>
          <w:rFonts w:ascii="Times New Roman" w:hAnsi="Times New Roman" w:cs="Times New Roman"/>
          <w:sz w:val="24"/>
          <w:szCs w:val="24"/>
        </w:rPr>
        <w:t xml:space="preserve"> </w:t>
      </w:r>
      <w:r w:rsidR="00600658">
        <w:rPr>
          <w:rFonts w:ascii="Times New Roman" w:hAnsi="Times New Roman" w:cs="Times New Roman"/>
          <w:sz w:val="24"/>
          <w:szCs w:val="24"/>
        </w:rPr>
        <w:t xml:space="preserve">que colocan estos constructos como factores que pueden tener una gran influencia en las decisiones académicas de un estudiante, </w:t>
      </w:r>
      <w:r w:rsidR="009E1907">
        <w:rPr>
          <w:rFonts w:ascii="Times New Roman" w:hAnsi="Times New Roman" w:cs="Times New Roman"/>
          <w:sz w:val="24"/>
          <w:szCs w:val="24"/>
        </w:rPr>
        <w:t xml:space="preserve">especialmente si se analiza la forma en que el </w:t>
      </w:r>
      <w:r w:rsidR="004062A6">
        <w:rPr>
          <w:rFonts w:ascii="Times New Roman" w:hAnsi="Times New Roman" w:cs="Times New Roman"/>
          <w:sz w:val="24"/>
          <w:szCs w:val="24"/>
        </w:rPr>
        <w:t xml:space="preserve">alumno </w:t>
      </w:r>
      <w:r w:rsidR="009E1907">
        <w:rPr>
          <w:rFonts w:ascii="Times New Roman" w:hAnsi="Times New Roman" w:cs="Times New Roman"/>
          <w:sz w:val="24"/>
          <w:szCs w:val="24"/>
        </w:rPr>
        <w:t xml:space="preserve">reacciona ante posibles barreras y </w:t>
      </w:r>
      <w:r w:rsidR="00B85539">
        <w:rPr>
          <w:rFonts w:ascii="Times New Roman" w:hAnsi="Times New Roman" w:cs="Times New Roman"/>
          <w:sz w:val="24"/>
          <w:szCs w:val="24"/>
        </w:rPr>
        <w:t>soportes</w:t>
      </w:r>
      <w:r w:rsidR="009E1907">
        <w:rPr>
          <w:rFonts w:ascii="Times New Roman" w:hAnsi="Times New Roman" w:cs="Times New Roman"/>
          <w:sz w:val="24"/>
          <w:szCs w:val="24"/>
        </w:rPr>
        <w:t xml:space="preserve"> que puedan afectar su interés y desempeño en actividades relacionadas a una carrera en </w:t>
      </w:r>
      <w:r>
        <w:rPr>
          <w:rFonts w:ascii="Times New Roman" w:hAnsi="Times New Roman" w:cs="Times New Roman"/>
          <w:sz w:val="24"/>
          <w:szCs w:val="24"/>
        </w:rPr>
        <w:t>específico</w:t>
      </w:r>
      <w:r w:rsidR="009E1907">
        <w:rPr>
          <w:rFonts w:ascii="Times New Roman" w:hAnsi="Times New Roman" w:cs="Times New Roman"/>
          <w:sz w:val="24"/>
          <w:szCs w:val="24"/>
        </w:rPr>
        <w:t>.</w:t>
      </w:r>
      <w:r w:rsidR="00C14048">
        <w:rPr>
          <w:rFonts w:ascii="Times New Roman" w:hAnsi="Times New Roman" w:cs="Times New Roman"/>
          <w:sz w:val="24"/>
          <w:szCs w:val="24"/>
        </w:rPr>
        <w:t xml:space="preserve"> </w:t>
      </w:r>
      <w:r w:rsidR="009E1907">
        <w:rPr>
          <w:rFonts w:ascii="Times New Roman" w:hAnsi="Times New Roman" w:cs="Times New Roman"/>
          <w:sz w:val="24"/>
          <w:szCs w:val="24"/>
        </w:rPr>
        <w:t xml:space="preserve">Los constructos y modelos especificados por la SCCT fueron utilizados en </w:t>
      </w:r>
      <w:r w:rsidR="00444005">
        <w:rPr>
          <w:rFonts w:ascii="Times New Roman" w:hAnsi="Times New Roman" w:cs="Times New Roman"/>
          <w:sz w:val="24"/>
          <w:szCs w:val="24"/>
        </w:rPr>
        <w:t xml:space="preserve">el presente trabajo </w:t>
      </w:r>
      <w:r w:rsidR="009E1907">
        <w:rPr>
          <w:rFonts w:ascii="Times New Roman" w:hAnsi="Times New Roman" w:cs="Times New Roman"/>
          <w:sz w:val="24"/>
          <w:szCs w:val="24"/>
        </w:rPr>
        <w:t>para determinar qu</w:t>
      </w:r>
      <w:r w:rsidR="00D23142">
        <w:rPr>
          <w:rFonts w:ascii="Times New Roman" w:hAnsi="Times New Roman" w:cs="Times New Roman"/>
          <w:sz w:val="24"/>
          <w:szCs w:val="24"/>
        </w:rPr>
        <w:t>é</w:t>
      </w:r>
      <w:r w:rsidR="009E1907">
        <w:rPr>
          <w:rFonts w:ascii="Times New Roman" w:hAnsi="Times New Roman" w:cs="Times New Roman"/>
          <w:sz w:val="24"/>
          <w:szCs w:val="24"/>
        </w:rPr>
        <w:t xml:space="preserve"> razones tienen un mayor impacto en la decisión de un estudiante </w:t>
      </w:r>
      <w:r w:rsidR="00D23142">
        <w:rPr>
          <w:rFonts w:ascii="Times New Roman" w:hAnsi="Times New Roman" w:cs="Times New Roman"/>
          <w:sz w:val="24"/>
          <w:szCs w:val="24"/>
        </w:rPr>
        <w:t>para</w:t>
      </w:r>
      <w:r w:rsidR="009E1907">
        <w:rPr>
          <w:rFonts w:ascii="Times New Roman" w:hAnsi="Times New Roman" w:cs="Times New Roman"/>
          <w:sz w:val="24"/>
          <w:szCs w:val="24"/>
        </w:rPr>
        <w:t xml:space="preserve"> selecciona</w:t>
      </w:r>
      <w:r w:rsidR="00B85539">
        <w:rPr>
          <w:rFonts w:ascii="Times New Roman" w:hAnsi="Times New Roman" w:cs="Times New Roman"/>
          <w:sz w:val="24"/>
          <w:szCs w:val="24"/>
        </w:rPr>
        <w:t>r</w:t>
      </w:r>
      <w:r w:rsidR="009E1907">
        <w:rPr>
          <w:rFonts w:ascii="Times New Roman" w:hAnsi="Times New Roman" w:cs="Times New Roman"/>
          <w:sz w:val="24"/>
          <w:szCs w:val="24"/>
        </w:rPr>
        <w:t xml:space="preserve"> una carrera</w:t>
      </w:r>
      <w:r w:rsidR="005B5B64">
        <w:rPr>
          <w:rFonts w:ascii="Times New Roman" w:hAnsi="Times New Roman" w:cs="Times New Roman"/>
          <w:sz w:val="24"/>
          <w:szCs w:val="24"/>
        </w:rPr>
        <w:t xml:space="preserve"> en el área de ingeniería</w:t>
      </w:r>
      <w:r w:rsidR="009E1907">
        <w:rPr>
          <w:rFonts w:ascii="Times New Roman" w:hAnsi="Times New Roman" w:cs="Times New Roman"/>
          <w:sz w:val="24"/>
          <w:szCs w:val="24"/>
        </w:rPr>
        <w:t xml:space="preserve">, </w:t>
      </w:r>
      <w:r w:rsidR="003830B0">
        <w:rPr>
          <w:rFonts w:ascii="Times New Roman" w:hAnsi="Times New Roman" w:cs="Times New Roman"/>
          <w:sz w:val="24"/>
          <w:szCs w:val="24"/>
        </w:rPr>
        <w:t xml:space="preserve">con énfasis en </w:t>
      </w:r>
      <w:r w:rsidR="00A820FB">
        <w:rPr>
          <w:rFonts w:ascii="Times New Roman" w:hAnsi="Times New Roman" w:cs="Times New Roman"/>
          <w:sz w:val="24"/>
          <w:szCs w:val="24"/>
        </w:rPr>
        <w:t>si estos llegan a pe</w:t>
      </w:r>
      <w:r w:rsidR="00C14048">
        <w:rPr>
          <w:rFonts w:ascii="Times New Roman" w:hAnsi="Times New Roman" w:cs="Times New Roman"/>
          <w:sz w:val="24"/>
          <w:szCs w:val="24"/>
        </w:rPr>
        <w:t>r</w:t>
      </w:r>
      <w:r w:rsidR="00A820FB">
        <w:rPr>
          <w:rFonts w:ascii="Times New Roman" w:hAnsi="Times New Roman" w:cs="Times New Roman"/>
          <w:sz w:val="24"/>
          <w:szCs w:val="24"/>
        </w:rPr>
        <w:t>cibir los cursos de matemáticas como una barrera debido a un desempeño y entendimiento</w:t>
      </w:r>
      <w:r w:rsidR="00444005">
        <w:rPr>
          <w:rFonts w:ascii="Times New Roman" w:hAnsi="Times New Roman" w:cs="Times New Roman"/>
          <w:sz w:val="24"/>
          <w:szCs w:val="24"/>
        </w:rPr>
        <w:t xml:space="preserve"> matemático</w:t>
      </w:r>
      <w:r w:rsidR="00A820FB">
        <w:rPr>
          <w:rFonts w:ascii="Times New Roman" w:hAnsi="Times New Roman" w:cs="Times New Roman"/>
          <w:sz w:val="24"/>
          <w:szCs w:val="24"/>
        </w:rPr>
        <w:t xml:space="preserve"> deficiente.</w:t>
      </w:r>
      <w:r w:rsidR="00680187">
        <w:rPr>
          <w:rFonts w:ascii="Times New Roman" w:hAnsi="Times New Roman" w:cs="Times New Roman"/>
          <w:sz w:val="24"/>
          <w:szCs w:val="24"/>
        </w:rPr>
        <w:t xml:space="preserve"> </w:t>
      </w:r>
    </w:p>
    <w:p w14:paraId="7980C8A4" w14:textId="0E50C2DA" w:rsidR="00196306" w:rsidRPr="00B7215A" w:rsidRDefault="00FF4CEB" w:rsidP="00514B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Ad</w:t>
      </w:r>
      <w:r w:rsidR="00B85539">
        <w:rPr>
          <w:rFonts w:ascii="Times New Roman" w:hAnsi="Times New Roman" w:cs="Times New Roman"/>
          <w:sz w:val="24"/>
          <w:szCs w:val="24"/>
        </w:rPr>
        <w:t>icionalmente</w:t>
      </w:r>
      <w:r>
        <w:rPr>
          <w:rFonts w:ascii="Times New Roman" w:hAnsi="Times New Roman" w:cs="Times New Roman"/>
          <w:sz w:val="24"/>
          <w:szCs w:val="24"/>
        </w:rPr>
        <w:t>, se u</w:t>
      </w:r>
      <w:r w:rsidR="00B85539">
        <w:rPr>
          <w:rFonts w:ascii="Times New Roman" w:hAnsi="Times New Roman" w:cs="Times New Roman"/>
          <w:sz w:val="24"/>
          <w:szCs w:val="24"/>
        </w:rPr>
        <w:t>tilizó</w:t>
      </w:r>
      <w:r>
        <w:rPr>
          <w:rFonts w:ascii="Times New Roman" w:hAnsi="Times New Roman" w:cs="Times New Roman"/>
          <w:sz w:val="24"/>
          <w:szCs w:val="24"/>
        </w:rPr>
        <w:t xml:space="preserve"> la </w:t>
      </w:r>
      <w:r w:rsidR="003830B0">
        <w:rPr>
          <w:rFonts w:ascii="Times New Roman" w:hAnsi="Times New Roman" w:cs="Times New Roman"/>
          <w:sz w:val="24"/>
          <w:szCs w:val="24"/>
        </w:rPr>
        <w:t xml:space="preserve">teoría del aprendizaje social </w:t>
      </w:r>
      <w:r w:rsidR="00B85539">
        <w:rPr>
          <w:rFonts w:ascii="Times New Roman" w:hAnsi="Times New Roman" w:cs="Times New Roman"/>
          <w:sz w:val="24"/>
          <w:szCs w:val="24"/>
        </w:rPr>
        <w:t>de</w:t>
      </w:r>
      <w:r>
        <w:rPr>
          <w:rFonts w:ascii="Times New Roman" w:hAnsi="Times New Roman" w:cs="Times New Roman"/>
          <w:sz w:val="24"/>
          <w:szCs w:val="24"/>
        </w:rPr>
        <w:t xml:space="preserve"> </w:t>
      </w:r>
      <w:r w:rsidR="00B7215A" w:rsidRPr="00B7215A">
        <w:rPr>
          <w:rFonts w:ascii="Times New Roman" w:hAnsi="Times New Roman" w:cs="Times New Roman"/>
          <w:sz w:val="24"/>
          <w:szCs w:val="24"/>
        </w:rPr>
        <w:t xml:space="preserve">Bandura </w:t>
      </w:r>
      <w:r w:rsidR="00B7215A">
        <w:rPr>
          <w:rFonts w:ascii="Times New Roman" w:hAnsi="Times New Roman" w:cs="Times New Roman"/>
          <w:sz w:val="24"/>
          <w:szCs w:val="24"/>
        </w:rPr>
        <w:fldChar w:fldCharType="begin" w:fldLock="1"/>
      </w:r>
      <w:r w:rsidR="0096183A">
        <w:rPr>
          <w:rFonts w:ascii="Times New Roman" w:hAnsi="Times New Roman" w:cs="Times New Roman"/>
          <w:sz w:val="24"/>
          <w:szCs w:val="24"/>
        </w:rPr>
        <w:instrText>ADDIN CSL_CITATION {"citationItems":[{"id":"ITEM-1","itemData":{"author":[{"dropping-particle":"","family":"Bandura","given":"Albert","non-dropping-particle":"","parse-names":false,"suffix":""}],"id":"ITEM-1","issued":{"date-parts":[["1986"]]},"publisher":"Englewood Cliffs, NJ: Prentice Hall.","title":"Social foundations of thought and action: A social cognitive theory.","type":"book"},"uris":["http://www.mendeley.com/documents/?uuid=0f13cf58-4be5-4391-88cb-0bcadb8316dd"]}],"mendeley":{"formattedCitation":"(Bandura, 1986)","manualFormatting":"(1986)","plainTextFormattedCitation":"(Bandura, 1986)","previouslyFormattedCitation":"(Bandura, 1986)"},"properties":{"noteIndex":0},"schema":"https://github.com/citation-style-language/schema/raw/master/csl-citation.json"}</w:instrText>
      </w:r>
      <w:r w:rsidR="00B7215A">
        <w:rPr>
          <w:rFonts w:ascii="Times New Roman" w:hAnsi="Times New Roman" w:cs="Times New Roman"/>
          <w:sz w:val="24"/>
          <w:szCs w:val="24"/>
        </w:rPr>
        <w:fldChar w:fldCharType="separate"/>
      </w:r>
      <w:r w:rsidR="00B7215A" w:rsidRPr="00B7215A">
        <w:rPr>
          <w:rFonts w:ascii="Times New Roman" w:hAnsi="Times New Roman" w:cs="Times New Roman"/>
          <w:noProof/>
          <w:sz w:val="24"/>
          <w:szCs w:val="24"/>
        </w:rPr>
        <w:t>(1986)</w:t>
      </w:r>
      <w:r w:rsidR="00B7215A">
        <w:rPr>
          <w:rFonts w:ascii="Times New Roman" w:hAnsi="Times New Roman" w:cs="Times New Roman"/>
          <w:sz w:val="24"/>
          <w:szCs w:val="24"/>
        </w:rPr>
        <w:fldChar w:fldCharType="end"/>
      </w:r>
      <w:r>
        <w:rPr>
          <w:rFonts w:ascii="Times New Roman" w:hAnsi="Times New Roman" w:cs="Times New Roman"/>
          <w:sz w:val="24"/>
          <w:szCs w:val="24"/>
        </w:rPr>
        <w:t xml:space="preserve"> para </w:t>
      </w:r>
      <w:r w:rsidR="00444005">
        <w:rPr>
          <w:rFonts w:ascii="Times New Roman" w:hAnsi="Times New Roman" w:cs="Times New Roman"/>
          <w:sz w:val="24"/>
          <w:szCs w:val="24"/>
        </w:rPr>
        <w:t xml:space="preserve">alcanzar </w:t>
      </w:r>
      <w:r>
        <w:rPr>
          <w:rFonts w:ascii="Times New Roman" w:hAnsi="Times New Roman" w:cs="Times New Roman"/>
          <w:sz w:val="24"/>
          <w:szCs w:val="24"/>
        </w:rPr>
        <w:t>un</w:t>
      </w:r>
      <w:r w:rsidR="00444005">
        <w:rPr>
          <w:rFonts w:ascii="Times New Roman" w:hAnsi="Times New Roman" w:cs="Times New Roman"/>
          <w:sz w:val="24"/>
          <w:szCs w:val="24"/>
        </w:rPr>
        <w:t>a</w:t>
      </w:r>
      <w:r>
        <w:rPr>
          <w:rFonts w:ascii="Times New Roman" w:hAnsi="Times New Roman" w:cs="Times New Roman"/>
          <w:sz w:val="24"/>
          <w:szCs w:val="24"/>
        </w:rPr>
        <w:t xml:space="preserve"> mejor </w:t>
      </w:r>
      <w:r w:rsidR="00444005">
        <w:rPr>
          <w:rFonts w:ascii="Times New Roman" w:hAnsi="Times New Roman" w:cs="Times New Roman"/>
          <w:sz w:val="24"/>
          <w:szCs w:val="24"/>
        </w:rPr>
        <w:t xml:space="preserve">comprensión </w:t>
      </w:r>
      <w:r>
        <w:rPr>
          <w:rFonts w:ascii="Times New Roman" w:hAnsi="Times New Roman" w:cs="Times New Roman"/>
          <w:sz w:val="24"/>
          <w:szCs w:val="24"/>
        </w:rPr>
        <w:t>de la</w:t>
      </w:r>
      <w:r w:rsidR="00B85539">
        <w:rPr>
          <w:rFonts w:ascii="Times New Roman" w:hAnsi="Times New Roman" w:cs="Times New Roman"/>
          <w:sz w:val="24"/>
          <w:szCs w:val="24"/>
        </w:rPr>
        <w:t xml:space="preserve"> relación entre las</w:t>
      </w:r>
      <w:r>
        <w:rPr>
          <w:rFonts w:ascii="Times New Roman" w:hAnsi="Times New Roman" w:cs="Times New Roman"/>
          <w:sz w:val="24"/>
          <w:szCs w:val="24"/>
        </w:rPr>
        <w:t xml:space="preserve"> </w:t>
      </w:r>
      <w:r w:rsidR="00190156">
        <w:rPr>
          <w:rFonts w:ascii="Times New Roman" w:hAnsi="Times New Roman" w:cs="Times New Roman"/>
          <w:sz w:val="24"/>
          <w:szCs w:val="24"/>
        </w:rPr>
        <w:t>experiencias</w:t>
      </w:r>
      <w:r>
        <w:rPr>
          <w:rFonts w:ascii="Times New Roman" w:hAnsi="Times New Roman" w:cs="Times New Roman"/>
          <w:sz w:val="24"/>
          <w:szCs w:val="24"/>
        </w:rPr>
        <w:t xml:space="preserve"> académicas </w:t>
      </w:r>
      <w:r w:rsidR="00B85539">
        <w:rPr>
          <w:rFonts w:ascii="Times New Roman" w:hAnsi="Times New Roman" w:cs="Times New Roman"/>
          <w:sz w:val="24"/>
          <w:szCs w:val="24"/>
        </w:rPr>
        <w:t>y l</w:t>
      </w:r>
      <w:r>
        <w:rPr>
          <w:rFonts w:ascii="Times New Roman" w:hAnsi="Times New Roman" w:cs="Times New Roman"/>
          <w:sz w:val="24"/>
          <w:szCs w:val="24"/>
        </w:rPr>
        <w:t>a</w:t>
      </w:r>
      <w:r w:rsidR="00B85539">
        <w:rPr>
          <w:rFonts w:ascii="Times New Roman" w:hAnsi="Times New Roman" w:cs="Times New Roman"/>
          <w:sz w:val="24"/>
          <w:szCs w:val="24"/>
        </w:rPr>
        <w:t>s decisiones de la</w:t>
      </w:r>
      <w:r>
        <w:rPr>
          <w:rFonts w:ascii="Times New Roman" w:hAnsi="Times New Roman" w:cs="Times New Roman"/>
          <w:sz w:val="24"/>
          <w:szCs w:val="24"/>
        </w:rPr>
        <w:t xml:space="preserve"> vida diaria</w:t>
      </w:r>
      <w:r w:rsidR="00B85539">
        <w:rPr>
          <w:rFonts w:ascii="Times New Roman" w:hAnsi="Times New Roman" w:cs="Times New Roman"/>
          <w:sz w:val="24"/>
          <w:szCs w:val="24"/>
        </w:rPr>
        <w:t xml:space="preserve"> de los estudiantes, y c</w:t>
      </w:r>
      <w:r w:rsidR="005D16BD">
        <w:rPr>
          <w:rFonts w:ascii="Times New Roman" w:hAnsi="Times New Roman" w:cs="Times New Roman"/>
          <w:sz w:val="24"/>
          <w:szCs w:val="24"/>
        </w:rPr>
        <w:t>ó</w:t>
      </w:r>
      <w:r w:rsidR="00B85539">
        <w:rPr>
          <w:rFonts w:ascii="Times New Roman" w:hAnsi="Times New Roman" w:cs="Times New Roman"/>
          <w:sz w:val="24"/>
          <w:szCs w:val="24"/>
        </w:rPr>
        <w:t xml:space="preserve">mo </w:t>
      </w:r>
      <w:r w:rsidR="00D23142">
        <w:rPr>
          <w:rFonts w:ascii="Times New Roman" w:hAnsi="Times New Roman" w:cs="Times New Roman"/>
          <w:sz w:val="24"/>
          <w:szCs w:val="24"/>
        </w:rPr>
        <w:t>e</w:t>
      </w:r>
      <w:r w:rsidR="00B85539">
        <w:rPr>
          <w:rFonts w:ascii="Times New Roman" w:hAnsi="Times New Roman" w:cs="Times New Roman"/>
          <w:sz w:val="24"/>
          <w:szCs w:val="24"/>
        </w:rPr>
        <w:t xml:space="preserve">sta relación </w:t>
      </w:r>
      <w:r w:rsidR="00190156">
        <w:rPr>
          <w:rFonts w:ascii="Times New Roman" w:hAnsi="Times New Roman" w:cs="Times New Roman"/>
          <w:sz w:val="24"/>
          <w:szCs w:val="24"/>
        </w:rPr>
        <w:t xml:space="preserve">puede influenciar </w:t>
      </w:r>
      <w:r w:rsidR="00B85539">
        <w:rPr>
          <w:rFonts w:ascii="Times New Roman" w:hAnsi="Times New Roman" w:cs="Times New Roman"/>
          <w:sz w:val="24"/>
          <w:szCs w:val="24"/>
        </w:rPr>
        <w:t xml:space="preserve">el </w:t>
      </w:r>
      <w:r w:rsidR="00B85539">
        <w:rPr>
          <w:rFonts w:ascii="Times New Roman" w:hAnsi="Times New Roman" w:cs="Times New Roman"/>
          <w:sz w:val="24"/>
          <w:szCs w:val="24"/>
        </w:rPr>
        <w:lastRenderedPageBreak/>
        <w:t>interés</w:t>
      </w:r>
      <w:r w:rsidR="00190156">
        <w:rPr>
          <w:rFonts w:ascii="Times New Roman" w:hAnsi="Times New Roman" w:cs="Times New Roman"/>
          <w:sz w:val="24"/>
          <w:szCs w:val="24"/>
        </w:rPr>
        <w:t xml:space="preserve"> de </w:t>
      </w:r>
      <w:r w:rsidR="00B85539">
        <w:rPr>
          <w:rFonts w:ascii="Times New Roman" w:hAnsi="Times New Roman" w:cs="Times New Roman"/>
          <w:sz w:val="24"/>
          <w:szCs w:val="24"/>
        </w:rPr>
        <w:t>estos</w:t>
      </w:r>
      <w:r w:rsidR="00190156">
        <w:rPr>
          <w:rFonts w:ascii="Times New Roman" w:hAnsi="Times New Roman" w:cs="Times New Roman"/>
          <w:sz w:val="24"/>
          <w:szCs w:val="24"/>
        </w:rPr>
        <w:t xml:space="preserve"> </w:t>
      </w:r>
      <w:r w:rsidR="00B85539">
        <w:rPr>
          <w:rFonts w:ascii="Times New Roman" w:hAnsi="Times New Roman" w:cs="Times New Roman"/>
          <w:sz w:val="24"/>
          <w:szCs w:val="24"/>
        </w:rPr>
        <w:t>en</w:t>
      </w:r>
      <w:r w:rsidR="00190156">
        <w:rPr>
          <w:rFonts w:ascii="Times New Roman" w:hAnsi="Times New Roman" w:cs="Times New Roman"/>
          <w:sz w:val="24"/>
          <w:szCs w:val="24"/>
        </w:rPr>
        <w:t xml:space="preserve"> buscar un título de ingeniero</w:t>
      </w:r>
      <w:r w:rsidR="00B85539">
        <w:rPr>
          <w:rFonts w:ascii="Times New Roman" w:hAnsi="Times New Roman" w:cs="Times New Roman"/>
          <w:sz w:val="24"/>
          <w:szCs w:val="24"/>
        </w:rPr>
        <w:t>s</w:t>
      </w:r>
      <w:r w:rsidR="00190156">
        <w:rPr>
          <w:rFonts w:ascii="Times New Roman" w:hAnsi="Times New Roman" w:cs="Times New Roman"/>
          <w:sz w:val="24"/>
          <w:szCs w:val="24"/>
        </w:rPr>
        <w:t>. Según Bandura</w:t>
      </w:r>
      <w:r w:rsidR="00593519">
        <w:rPr>
          <w:rFonts w:ascii="Times New Roman" w:hAnsi="Times New Roman" w:cs="Times New Roman"/>
          <w:sz w:val="24"/>
          <w:szCs w:val="24"/>
        </w:rPr>
        <w:t xml:space="preserve"> (1986)</w:t>
      </w:r>
      <w:r w:rsidR="00190156">
        <w:rPr>
          <w:rFonts w:ascii="Times New Roman" w:hAnsi="Times New Roman" w:cs="Times New Roman"/>
          <w:sz w:val="24"/>
          <w:szCs w:val="24"/>
        </w:rPr>
        <w:t>,</w:t>
      </w:r>
      <w:r w:rsidR="00B7215A" w:rsidRPr="00B7215A">
        <w:rPr>
          <w:rFonts w:ascii="Times New Roman" w:hAnsi="Times New Roman" w:cs="Times New Roman"/>
          <w:sz w:val="24"/>
          <w:szCs w:val="24"/>
        </w:rPr>
        <w:t xml:space="preserve"> las experiencias que l</w:t>
      </w:r>
      <w:r w:rsidR="004D0EFE">
        <w:rPr>
          <w:rFonts w:ascii="Times New Roman" w:hAnsi="Times New Roman" w:cs="Times New Roman"/>
          <w:sz w:val="24"/>
          <w:szCs w:val="24"/>
        </w:rPr>
        <w:t xml:space="preserve">os individuos </w:t>
      </w:r>
      <w:r w:rsidR="00B7215A" w:rsidRPr="00B7215A">
        <w:rPr>
          <w:rFonts w:ascii="Times New Roman" w:hAnsi="Times New Roman" w:cs="Times New Roman"/>
          <w:sz w:val="24"/>
          <w:szCs w:val="24"/>
        </w:rPr>
        <w:t>viv</w:t>
      </w:r>
      <w:r w:rsidR="00B7215A">
        <w:rPr>
          <w:rFonts w:ascii="Times New Roman" w:hAnsi="Times New Roman" w:cs="Times New Roman"/>
          <w:sz w:val="24"/>
          <w:szCs w:val="24"/>
        </w:rPr>
        <w:t>en</w:t>
      </w:r>
      <w:r w:rsidR="00B7215A" w:rsidRPr="00B7215A">
        <w:rPr>
          <w:rFonts w:ascii="Times New Roman" w:hAnsi="Times New Roman" w:cs="Times New Roman"/>
          <w:sz w:val="24"/>
          <w:szCs w:val="24"/>
        </w:rPr>
        <w:t xml:space="preserve"> en </w:t>
      </w:r>
      <w:r w:rsidR="00593519">
        <w:rPr>
          <w:rFonts w:ascii="Times New Roman" w:hAnsi="Times New Roman" w:cs="Times New Roman"/>
          <w:sz w:val="24"/>
          <w:szCs w:val="24"/>
        </w:rPr>
        <w:t>la</w:t>
      </w:r>
      <w:r w:rsidR="00593519" w:rsidRPr="00B7215A">
        <w:rPr>
          <w:rFonts w:ascii="Times New Roman" w:hAnsi="Times New Roman" w:cs="Times New Roman"/>
          <w:sz w:val="24"/>
          <w:szCs w:val="24"/>
        </w:rPr>
        <w:t xml:space="preserve"> </w:t>
      </w:r>
      <w:r w:rsidR="00B7215A" w:rsidRPr="00B7215A">
        <w:rPr>
          <w:rFonts w:ascii="Times New Roman" w:hAnsi="Times New Roman" w:cs="Times New Roman"/>
          <w:sz w:val="24"/>
          <w:szCs w:val="24"/>
        </w:rPr>
        <w:t>educación media superior pueden ser un factor determinante en la selecció</w:t>
      </w:r>
      <w:r w:rsidR="00B7215A">
        <w:rPr>
          <w:rFonts w:ascii="Times New Roman" w:hAnsi="Times New Roman" w:cs="Times New Roman"/>
          <w:sz w:val="24"/>
          <w:szCs w:val="24"/>
        </w:rPr>
        <w:t>n de actividades escolares y carrera profesional, especialmente si sienten que sus habilidades son</w:t>
      </w:r>
      <w:r w:rsidR="004D0EFE">
        <w:rPr>
          <w:rFonts w:ascii="Times New Roman" w:hAnsi="Times New Roman" w:cs="Times New Roman"/>
          <w:sz w:val="24"/>
          <w:szCs w:val="24"/>
        </w:rPr>
        <w:t xml:space="preserve"> lo</w:t>
      </w:r>
      <w:r w:rsidR="00B7215A">
        <w:rPr>
          <w:rFonts w:ascii="Times New Roman" w:hAnsi="Times New Roman" w:cs="Times New Roman"/>
          <w:sz w:val="24"/>
          <w:szCs w:val="24"/>
        </w:rPr>
        <w:t xml:space="preserve"> suficientemente buenas </w:t>
      </w:r>
      <w:r w:rsidR="004D0EFE">
        <w:rPr>
          <w:rFonts w:ascii="Times New Roman" w:hAnsi="Times New Roman" w:cs="Times New Roman"/>
          <w:sz w:val="24"/>
          <w:szCs w:val="24"/>
        </w:rPr>
        <w:t xml:space="preserve">como </w:t>
      </w:r>
      <w:r w:rsidR="00B7215A">
        <w:rPr>
          <w:rFonts w:ascii="Times New Roman" w:hAnsi="Times New Roman" w:cs="Times New Roman"/>
          <w:sz w:val="24"/>
          <w:szCs w:val="24"/>
        </w:rPr>
        <w:t>para terminar un</w:t>
      </w:r>
      <w:r w:rsidR="00C67FCA">
        <w:rPr>
          <w:rFonts w:ascii="Times New Roman" w:hAnsi="Times New Roman" w:cs="Times New Roman"/>
          <w:sz w:val="24"/>
          <w:szCs w:val="24"/>
        </w:rPr>
        <w:t xml:space="preserve"> estudio universitario</w:t>
      </w:r>
      <w:r w:rsidR="0095270C">
        <w:rPr>
          <w:rFonts w:ascii="Times New Roman" w:hAnsi="Times New Roman" w:cs="Times New Roman"/>
          <w:sz w:val="24"/>
          <w:szCs w:val="24"/>
        </w:rPr>
        <w:t xml:space="preserve"> en particular</w:t>
      </w:r>
      <w:r w:rsidR="004D0EFE">
        <w:rPr>
          <w:rFonts w:ascii="Times New Roman" w:hAnsi="Times New Roman" w:cs="Times New Roman"/>
          <w:sz w:val="24"/>
          <w:szCs w:val="24"/>
        </w:rPr>
        <w:t>.</w:t>
      </w:r>
    </w:p>
    <w:p w14:paraId="5C9E33E9" w14:textId="77777777" w:rsidR="00190156" w:rsidRDefault="00190156" w:rsidP="0006428E">
      <w:pPr>
        <w:spacing w:after="0" w:line="360" w:lineRule="auto"/>
        <w:rPr>
          <w:rFonts w:ascii="Times New Roman" w:hAnsi="Times New Roman" w:cs="Times New Roman"/>
          <w:b/>
          <w:sz w:val="24"/>
          <w:szCs w:val="24"/>
        </w:rPr>
      </w:pPr>
    </w:p>
    <w:p w14:paraId="3C3A670F" w14:textId="5202DE4A" w:rsidR="00196306" w:rsidRPr="00737371" w:rsidRDefault="00190156" w:rsidP="0006428E">
      <w:pPr>
        <w:spacing w:after="0" w:line="360" w:lineRule="auto"/>
        <w:rPr>
          <w:rFonts w:ascii="Calibri" w:eastAsia="Times New Roman" w:hAnsi="Calibri" w:cs="Calibri"/>
          <w:b/>
          <w:color w:val="000000" w:themeColor="text1"/>
          <w:sz w:val="28"/>
          <w:szCs w:val="28"/>
          <w:lang w:val="es-ES_tradnl" w:eastAsia="es-MX"/>
        </w:rPr>
      </w:pPr>
      <w:r w:rsidRPr="00737371">
        <w:rPr>
          <w:rFonts w:ascii="Calibri" w:eastAsia="Times New Roman" w:hAnsi="Calibri" w:cs="Calibri"/>
          <w:b/>
          <w:color w:val="000000" w:themeColor="text1"/>
          <w:sz w:val="28"/>
          <w:szCs w:val="28"/>
          <w:lang w:val="es-ES_tradnl" w:eastAsia="es-MX"/>
        </w:rPr>
        <w:t>Métodos</w:t>
      </w:r>
    </w:p>
    <w:p w14:paraId="56F9D0D2" w14:textId="2ED34C70" w:rsidR="00AE5920" w:rsidRDefault="00AE5920" w:rsidP="00514B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w:t>
      </w:r>
      <w:r w:rsidR="00C67FCA">
        <w:rPr>
          <w:rFonts w:ascii="Times New Roman" w:hAnsi="Times New Roman" w:cs="Times New Roman"/>
          <w:sz w:val="24"/>
          <w:szCs w:val="24"/>
        </w:rPr>
        <w:t>a investigación</w:t>
      </w:r>
      <w:r>
        <w:rPr>
          <w:rFonts w:ascii="Times New Roman" w:hAnsi="Times New Roman" w:cs="Times New Roman"/>
          <w:sz w:val="24"/>
          <w:szCs w:val="24"/>
        </w:rPr>
        <w:t xml:space="preserve"> siguió un diseño multimétodo ya que la información recolectada contenía respuestas que se podían analizar de mejor manera usando métodos cua</w:t>
      </w:r>
      <w:r w:rsidR="001D5E72">
        <w:rPr>
          <w:rFonts w:ascii="Times New Roman" w:hAnsi="Times New Roman" w:cs="Times New Roman"/>
          <w:sz w:val="24"/>
          <w:szCs w:val="24"/>
        </w:rPr>
        <w:t>nt</w:t>
      </w:r>
      <w:r>
        <w:rPr>
          <w:rFonts w:ascii="Times New Roman" w:hAnsi="Times New Roman" w:cs="Times New Roman"/>
          <w:sz w:val="24"/>
          <w:szCs w:val="24"/>
        </w:rPr>
        <w:t xml:space="preserve">itativos, mientras que </w:t>
      </w:r>
      <w:r w:rsidR="00B06812">
        <w:rPr>
          <w:rFonts w:ascii="Times New Roman" w:hAnsi="Times New Roman" w:cs="Times New Roman"/>
          <w:sz w:val="24"/>
          <w:szCs w:val="24"/>
        </w:rPr>
        <w:t>l</w:t>
      </w:r>
      <w:r>
        <w:rPr>
          <w:rFonts w:ascii="Times New Roman" w:hAnsi="Times New Roman" w:cs="Times New Roman"/>
          <w:sz w:val="24"/>
          <w:szCs w:val="24"/>
        </w:rPr>
        <w:t>as respuestas a preguntas abiertas se debían analizar de forma cualitativa</w:t>
      </w:r>
      <w:r w:rsidR="00B06812">
        <w:rPr>
          <w:rFonts w:ascii="Times New Roman" w:hAnsi="Times New Roman" w:cs="Times New Roman"/>
          <w:sz w:val="24"/>
          <w:szCs w:val="24"/>
        </w:rPr>
        <w:t xml:space="preserve"> </w:t>
      </w:r>
      <w:r w:rsidR="00B06812">
        <w:rPr>
          <w:rFonts w:ascii="Times New Roman" w:hAnsi="Times New Roman" w:cs="Times New Roman"/>
          <w:sz w:val="24"/>
          <w:szCs w:val="24"/>
        </w:rPr>
        <w:fldChar w:fldCharType="begin" w:fldLock="1"/>
      </w:r>
      <w:r w:rsidR="0096183A">
        <w:rPr>
          <w:rFonts w:ascii="Times New Roman" w:hAnsi="Times New Roman" w:cs="Times New Roman"/>
          <w:sz w:val="24"/>
          <w:szCs w:val="24"/>
        </w:rPr>
        <w:instrText>ADDIN CSL_CITATION {"citationItems":[{"id":"ITEM-1","itemData":{"author":[{"dropping-particle":"","family":"Creswell","given":"J. W.","non-dropping-particle":"","parse-names":false,"suffix":""},{"dropping-particle":"","family":"Clark","given":"V.","non-dropping-particle":"","parse-names":false,"suffix":""}],"edition":"2nd ed.","id":"ITEM-1","issued":{"date-parts":[["2011"]]},"publisher":"Thousand Oaks, CA: Sage Publications, Inc.","title":"Designing and Conducting Mixed Methods Research","type":"book"},"uris":["http://www.mendeley.com/documents/?uuid=189bc559-f102-4675-bd96-76f583feae17"]}],"mendeley":{"formattedCitation":"(Creswell &amp; Clark, 2011)","plainTextFormattedCitation":"(Creswell &amp; Clark, 2011)","previouslyFormattedCitation":"(Creswell &amp; Clark, 2011)"},"properties":{"noteIndex":0},"schema":"https://github.com/citation-style-language/schema/raw/master/csl-citation.json"}</w:instrText>
      </w:r>
      <w:r w:rsidR="00B06812">
        <w:rPr>
          <w:rFonts w:ascii="Times New Roman" w:hAnsi="Times New Roman" w:cs="Times New Roman"/>
          <w:sz w:val="24"/>
          <w:szCs w:val="24"/>
        </w:rPr>
        <w:fldChar w:fldCharType="separate"/>
      </w:r>
      <w:r w:rsidR="00B06812" w:rsidRPr="00B06812">
        <w:rPr>
          <w:rFonts w:ascii="Times New Roman" w:hAnsi="Times New Roman" w:cs="Times New Roman"/>
          <w:noProof/>
          <w:sz w:val="24"/>
          <w:szCs w:val="24"/>
        </w:rPr>
        <w:t xml:space="preserve">(Creswell </w:t>
      </w:r>
      <w:r w:rsidR="00263AE4">
        <w:rPr>
          <w:rFonts w:ascii="Times New Roman" w:hAnsi="Times New Roman" w:cs="Times New Roman"/>
          <w:noProof/>
          <w:sz w:val="24"/>
          <w:szCs w:val="24"/>
        </w:rPr>
        <w:t>y</w:t>
      </w:r>
      <w:r w:rsidR="00263AE4" w:rsidRPr="00B06812">
        <w:rPr>
          <w:rFonts w:ascii="Times New Roman" w:hAnsi="Times New Roman" w:cs="Times New Roman"/>
          <w:noProof/>
          <w:sz w:val="24"/>
          <w:szCs w:val="24"/>
        </w:rPr>
        <w:t xml:space="preserve"> </w:t>
      </w:r>
      <w:r w:rsidR="00B06812" w:rsidRPr="00B06812">
        <w:rPr>
          <w:rFonts w:ascii="Times New Roman" w:hAnsi="Times New Roman" w:cs="Times New Roman"/>
          <w:noProof/>
          <w:sz w:val="24"/>
          <w:szCs w:val="24"/>
        </w:rPr>
        <w:t>Clark, 2011)</w:t>
      </w:r>
      <w:r w:rsidR="00B06812">
        <w:rPr>
          <w:rFonts w:ascii="Times New Roman" w:hAnsi="Times New Roman" w:cs="Times New Roman"/>
          <w:sz w:val="24"/>
          <w:szCs w:val="24"/>
        </w:rPr>
        <w:fldChar w:fldCharType="end"/>
      </w:r>
      <w:r>
        <w:rPr>
          <w:rFonts w:ascii="Times New Roman" w:hAnsi="Times New Roman" w:cs="Times New Roman"/>
          <w:sz w:val="24"/>
          <w:szCs w:val="24"/>
        </w:rPr>
        <w:t xml:space="preserve">. Al final, los resultados de los análisis cualitativos y cuantitativos </w:t>
      </w:r>
      <w:r w:rsidR="00B06812">
        <w:rPr>
          <w:rFonts w:ascii="Times New Roman" w:hAnsi="Times New Roman" w:cs="Times New Roman"/>
          <w:sz w:val="24"/>
          <w:szCs w:val="24"/>
        </w:rPr>
        <w:t>se utilizaron de forma independiente para facilitar</w:t>
      </w:r>
      <w:r w:rsidR="00263AE4">
        <w:rPr>
          <w:rFonts w:ascii="Times New Roman" w:hAnsi="Times New Roman" w:cs="Times New Roman"/>
          <w:sz w:val="24"/>
          <w:szCs w:val="24"/>
        </w:rPr>
        <w:t xml:space="preserve"> y presentar</w:t>
      </w:r>
      <w:r w:rsidR="00B06812">
        <w:rPr>
          <w:rFonts w:ascii="Times New Roman" w:hAnsi="Times New Roman" w:cs="Times New Roman"/>
          <w:sz w:val="24"/>
          <w:szCs w:val="24"/>
        </w:rPr>
        <w:t xml:space="preserve"> la respuesta </w:t>
      </w:r>
      <w:r w:rsidR="00263AE4">
        <w:rPr>
          <w:rFonts w:ascii="Times New Roman" w:hAnsi="Times New Roman" w:cs="Times New Roman"/>
          <w:sz w:val="24"/>
          <w:szCs w:val="24"/>
        </w:rPr>
        <w:t xml:space="preserve">a </w:t>
      </w:r>
      <w:r w:rsidR="00B06812">
        <w:rPr>
          <w:rFonts w:ascii="Times New Roman" w:hAnsi="Times New Roman" w:cs="Times New Roman"/>
          <w:sz w:val="24"/>
          <w:szCs w:val="24"/>
        </w:rPr>
        <w:t xml:space="preserve">la pregunta de investigación de una forma más detallada, pero no se encontraron suficientes conexiones entre estos dos métodos para poder establecer un diseño mixto de investigación </w:t>
      </w:r>
      <w:r w:rsidR="00B06812">
        <w:rPr>
          <w:rFonts w:ascii="Times New Roman" w:hAnsi="Times New Roman" w:cs="Times New Roman"/>
          <w:sz w:val="24"/>
          <w:szCs w:val="24"/>
        </w:rPr>
        <w:fldChar w:fldCharType="begin" w:fldLock="1"/>
      </w:r>
      <w:r w:rsidR="0096183A">
        <w:rPr>
          <w:rFonts w:ascii="Times New Roman" w:hAnsi="Times New Roman" w:cs="Times New Roman"/>
          <w:sz w:val="24"/>
          <w:szCs w:val="24"/>
        </w:rPr>
        <w:instrText>ADDIN CSL_CITATION {"citationItems":[{"id":"ITEM-1","itemData":{"author":[{"dropping-particle":"","family":"Creswell","given":"J. W.","non-dropping-particle":"","parse-names":false,"suffix":""},{"dropping-particle":"","family":"Clark","given":"V.","non-dropping-particle":"","parse-names":false,"suffix":""}],"edition":"2nd ed.","id":"ITEM-1","issued":{"date-parts":[["2011"]]},"publisher":"Thousand Oaks, CA: Sage Publications, Inc.","title":"Designing and Conducting Mixed Methods Research","type":"book"},"uris":["http://www.mendeley.com/documents/?uuid=189bc559-f102-4675-bd96-76f583feae17"]}],"mendeley":{"formattedCitation":"(Creswell &amp; Clark, 2011)","plainTextFormattedCitation":"(Creswell &amp; Clark, 2011)","previouslyFormattedCitation":"(Creswell &amp; Clark, 2011)"},"properties":{"noteIndex":0},"schema":"https://github.com/citation-style-language/schema/raw/master/csl-citation.json"}</w:instrText>
      </w:r>
      <w:r w:rsidR="00B06812">
        <w:rPr>
          <w:rFonts w:ascii="Times New Roman" w:hAnsi="Times New Roman" w:cs="Times New Roman"/>
          <w:sz w:val="24"/>
          <w:szCs w:val="24"/>
        </w:rPr>
        <w:fldChar w:fldCharType="separate"/>
      </w:r>
      <w:r w:rsidR="00B06812" w:rsidRPr="00B06812">
        <w:rPr>
          <w:rFonts w:ascii="Times New Roman" w:hAnsi="Times New Roman" w:cs="Times New Roman"/>
          <w:noProof/>
          <w:sz w:val="24"/>
          <w:szCs w:val="24"/>
        </w:rPr>
        <w:t xml:space="preserve">(Creswell </w:t>
      </w:r>
      <w:r w:rsidR="00263AE4">
        <w:rPr>
          <w:rFonts w:ascii="Times New Roman" w:hAnsi="Times New Roman" w:cs="Times New Roman"/>
          <w:noProof/>
          <w:sz w:val="24"/>
          <w:szCs w:val="24"/>
        </w:rPr>
        <w:t>y</w:t>
      </w:r>
      <w:r w:rsidR="00263AE4" w:rsidRPr="00B06812">
        <w:rPr>
          <w:rFonts w:ascii="Times New Roman" w:hAnsi="Times New Roman" w:cs="Times New Roman"/>
          <w:noProof/>
          <w:sz w:val="24"/>
          <w:szCs w:val="24"/>
        </w:rPr>
        <w:t xml:space="preserve"> </w:t>
      </w:r>
      <w:r w:rsidR="00B06812" w:rsidRPr="00B06812">
        <w:rPr>
          <w:rFonts w:ascii="Times New Roman" w:hAnsi="Times New Roman" w:cs="Times New Roman"/>
          <w:noProof/>
          <w:sz w:val="24"/>
          <w:szCs w:val="24"/>
        </w:rPr>
        <w:t>Clark, 2011)</w:t>
      </w:r>
      <w:r w:rsidR="00B06812">
        <w:rPr>
          <w:rFonts w:ascii="Times New Roman" w:hAnsi="Times New Roman" w:cs="Times New Roman"/>
          <w:sz w:val="24"/>
          <w:szCs w:val="24"/>
        </w:rPr>
        <w:fldChar w:fldCharType="end"/>
      </w:r>
      <w:r w:rsidR="00B0681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60187E0" w14:textId="24E6A28D" w:rsidR="00DF739E" w:rsidRPr="00FD4ACD" w:rsidRDefault="00B06812" w:rsidP="00514B68">
      <w:pPr>
        <w:spacing w:after="0" w:line="360" w:lineRule="auto"/>
        <w:ind w:firstLine="708"/>
        <w:jc w:val="both"/>
        <w:rPr>
          <w:rFonts w:ascii="Times New Roman" w:hAnsi="Times New Roman" w:cs="Times New Roman"/>
          <w:sz w:val="24"/>
          <w:szCs w:val="24"/>
        </w:rPr>
      </w:pPr>
      <w:r w:rsidRPr="00FD4ACD">
        <w:rPr>
          <w:rFonts w:ascii="Times New Roman" w:hAnsi="Times New Roman" w:cs="Times New Roman"/>
          <w:sz w:val="24"/>
          <w:szCs w:val="24"/>
        </w:rPr>
        <w:t>S</w:t>
      </w:r>
      <w:r w:rsidR="00AE5920" w:rsidRPr="00FD4ACD">
        <w:rPr>
          <w:rFonts w:ascii="Times New Roman" w:hAnsi="Times New Roman" w:cs="Times New Roman"/>
          <w:sz w:val="24"/>
          <w:szCs w:val="24"/>
        </w:rPr>
        <w:t xml:space="preserve">e </w:t>
      </w:r>
      <w:r w:rsidR="00AB1BB3" w:rsidRPr="00FD4ACD">
        <w:rPr>
          <w:rFonts w:ascii="Times New Roman" w:hAnsi="Times New Roman" w:cs="Times New Roman"/>
          <w:sz w:val="24"/>
          <w:szCs w:val="24"/>
        </w:rPr>
        <w:t>utiliz</w:t>
      </w:r>
      <w:r w:rsidR="00530C8C" w:rsidRPr="00FD4ACD">
        <w:rPr>
          <w:rFonts w:ascii="Times New Roman" w:hAnsi="Times New Roman" w:cs="Times New Roman"/>
          <w:sz w:val="24"/>
          <w:szCs w:val="24"/>
        </w:rPr>
        <w:t>ó</w:t>
      </w:r>
      <w:r w:rsidR="00AB1BB3" w:rsidRPr="00FD4ACD">
        <w:rPr>
          <w:rFonts w:ascii="Times New Roman" w:hAnsi="Times New Roman" w:cs="Times New Roman"/>
          <w:sz w:val="24"/>
          <w:szCs w:val="24"/>
        </w:rPr>
        <w:t xml:space="preserve"> la </w:t>
      </w:r>
      <w:r w:rsidR="00AB1BB3" w:rsidRPr="008E091A">
        <w:rPr>
          <w:rFonts w:ascii="Times New Roman" w:hAnsi="Times New Roman" w:cs="Times New Roman"/>
          <w:sz w:val="24"/>
          <w:szCs w:val="24"/>
        </w:rPr>
        <w:t>High School Activities, Characteristics, and Influences Survey</w:t>
      </w:r>
      <w:r w:rsidR="00AB1BB3" w:rsidRPr="00FD4ACD">
        <w:rPr>
          <w:rFonts w:ascii="Times New Roman" w:hAnsi="Times New Roman" w:cs="Times New Roman"/>
          <w:sz w:val="24"/>
          <w:szCs w:val="24"/>
        </w:rPr>
        <w:t xml:space="preserve"> desarrollada por Porter </w:t>
      </w:r>
      <w:r w:rsidR="00AB1BB3" w:rsidRPr="00FD4ACD">
        <w:rPr>
          <w:rFonts w:ascii="Times New Roman" w:hAnsi="Times New Roman" w:cs="Times New Roman"/>
          <w:sz w:val="24"/>
          <w:szCs w:val="24"/>
        </w:rPr>
        <w:fldChar w:fldCharType="begin" w:fldLock="1"/>
      </w:r>
      <w:r w:rsidR="0096183A">
        <w:rPr>
          <w:rFonts w:ascii="Times New Roman" w:hAnsi="Times New Roman" w:cs="Times New Roman"/>
          <w:sz w:val="24"/>
          <w:szCs w:val="24"/>
        </w:rPr>
        <w:instrText>ADDIN CSL_CITATION {"citationItems":[{"id":"ITEM-1","itemData":{"author":[{"dropping-particle":"","family":"Porter","given":"Christopher H","non-dropping-particle":"","parse-names":false,"suffix":""}],"id":"ITEM-1","issue":"December","issued":{"date-parts":[["2011"]]},"note":"-descripcion de ingenieria\n-hay mas ingenieros graduandose cada año pero aumentan mas las otras carreras\n-preparacion desde prepa por si quieres ser inge\n-oportunidades de trabajo perrotas\n-caracteristicas de los STEM students\n-hay programas para aumentar el interes de los chavos en estudiar ingenieria","publisher":"Clemson University","title":"An Examination of Variables Which Influence High School Students to Enroll in an Undergraduate Engineering or Physical Science Major.","type":"thesis"},"uris":["http://www.mendeley.com/documents/?uuid=728ee90d-554b-45b3-85de-c44db88c1e6a"]}],"mendeley":{"formattedCitation":"(Porter, 2011)","manualFormatting":"(2011)","plainTextFormattedCitation":"(Porter, 2011)","previouslyFormattedCitation":"(Porter, 2011)"},"properties":{"noteIndex":0},"schema":"https://github.com/citation-style-language/schema/raw/master/csl-citation.json"}</w:instrText>
      </w:r>
      <w:r w:rsidR="00AB1BB3" w:rsidRPr="00FD4ACD">
        <w:rPr>
          <w:rFonts w:ascii="Times New Roman" w:hAnsi="Times New Roman" w:cs="Times New Roman"/>
          <w:sz w:val="24"/>
          <w:szCs w:val="24"/>
        </w:rPr>
        <w:fldChar w:fldCharType="separate"/>
      </w:r>
      <w:r w:rsidR="00AB1BB3" w:rsidRPr="00FD4ACD">
        <w:rPr>
          <w:rFonts w:ascii="Times New Roman" w:hAnsi="Times New Roman" w:cs="Times New Roman"/>
          <w:noProof/>
          <w:sz w:val="24"/>
          <w:szCs w:val="24"/>
        </w:rPr>
        <w:t>(2011)</w:t>
      </w:r>
      <w:r w:rsidR="00AB1BB3" w:rsidRPr="00FD4ACD">
        <w:rPr>
          <w:rFonts w:ascii="Times New Roman" w:hAnsi="Times New Roman" w:cs="Times New Roman"/>
          <w:sz w:val="24"/>
          <w:szCs w:val="24"/>
        </w:rPr>
        <w:fldChar w:fldCharType="end"/>
      </w:r>
      <w:r w:rsidR="00530C8C" w:rsidRPr="00FD4ACD">
        <w:rPr>
          <w:rFonts w:ascii="Times New Roman" w:hAnsi="Times New Roman" w:cs="Times New Roman"/>
          <w:sz w:val="24"/>
          <w:szCs w:val="24"/>
        </w:rPr>
        <w:t xml:space="preserve">. Esta </w:t>
      </w:r>
      <w:r w:rsidR="00AB1BB3" w:rsidRPr="00FD4ACD">
        <w:rPr>
          <w:rFonts w:ascii="Times New Roman" w:hAnsi="Times New Roman" w:cs="Times New Roman"/>
          <w:sz w:val="24"/>
          <w:szCs w:val="24"/>
        </w:rPr>
        <w:t xml:space="preserve">consta de 64 </w:t>
      </w:r>
      <w:r w:rsidR="00FD4ACD" w:rsidRPr="00FD4ACD">
        <w:rPr>
          <w:rFonts w:ascii="Times New Roman" w:hAnsi="Times New Roman" w:cs="Times New Roman"/>
          <w:sz w:val="24"/>
          <w:szCs w:val="24"/>
        </w:rPr>
        <w:t>í</w:t>
      </w:r>
      <w:r w:rsidR="00AB1BB3" w:rsidRPr="00FD4ACD">
        <w:rPr>
          <w:rFonts w:ascii="Times New Roman" w:hAnsi="Times New Roman" w:cs="Times New Roman"/>
          <w:sz w:val="24"/>
          <w:szCs w:val="24"/>
        </w:rPr>
        <w:t>tems</w:t>
      </w:r>
      <w:r w:rsidR="003D6242" w:rsidRPr="00FD4ACD">
        <w:rPr>
          <w:rFonts w:ascii="Times New Roman" w:hAnsi="Times New Roman" w:cs="Times New Roman"/>
          <w:sz w:val="24"/>
          <w:szCs w:val="24"/>
        </w:rPr>
        <w:t xml:space="preserve"> que preguntan a los estudiantes sobre su preparación académica y los cursos que tomaron en preparatoria</w:t>
      </w:r>
      <w:r w:rsidR="00536DD6" w:rsidRPr="00FD4ACD">
        <w:rPr>
          <w:rFonts w:ascii="Times New Roman" w:hAnsi="Times New Roman" w:cs="Times New Roman"/>
          <w:sz w:val="24"/>
          <w:szCs w:val="24"/>
        </w:rPr>
        <w:t xml:space="preserve"> (ejemplo: </w:t>
      </w:r>
      <w:r w:rsidR="0037700A" w:rsidRPr="00FD4ACD">
        <w:rPr>
          <w:rFonts w:ascii="Times New Roman" w:hAnsi="Times New Roman" w:cs="Times New Roman"/>
          <w:sz w:val="24"/>
          <w:szCs w:val="24"/>
        </w:rPr>
        <w:t>p</w:t>
      </w:r>
      <w:r w:rsidR="00536DD6" w:rsidRPr="00FD4ACD">
        <w:rPr>
          <w:rFonts w:ascii="Times New Roman" w:hAnsi="Times New Roman" w:cs="Times New Roman"/>
          <w:sz w:val="24"/>
          <w:szCs w:val="24"/>
        </w:rPr>
        <w:t>or favor indi</w:t>
      </w:r>
      <w:r w:rsidR="00592DCE" w:rsidRPr="00FD4ACD">
        <w:rPr>
          <w:rFonts w:ascii="Times New Roman" w:hAnsi="Times New Roman" w:cs="Times New Roman"/>
          <w:sz w:val="24"/>
          <w:szCs w:val="24"/>
        </w:rPr>
        <w:t>ca</w:t>
      </w:r>
      <w:r w:rsidR="00536DD6" w:rsidRPr="00FD4ACD">
        <w:rPr>
          <w:rFonts w:ascii="Times New Roman" w:hAnsi="Times New Roman" w:cs="Times New Roman"/>
          <w:sz w:val="24"/>
          <w:szCs w:val="24"/>
        </w:rPr>
        <w:t xml:space="preserve"> todos los cursos de matemáticas que tomaste en la preparatoria.), </w:t>
      </w:r>
      <w:r w:rsidR="003D6242" w:rsidRPr="00FD4ACD">
        <w:rPr>
          <w:rFonts w:ascii="Times New Roman" w:hAnsi="Times New Roman" w:cs="Times New Roman"/>
          <w:sz w:val="24"/>
          <w:szCs w:val="24"/>
        </w:rPr>
        <w:t>su nivel de confianza realizando actividades académicas con preguntas tipo Likert</w:t>
      </w:r>
      <w:r w:rsidR="00536DD6" w:rsidRPr="00FD4ACD">
        <w:rPr>
          <w:rFonts w:ascii="Times New Roman" w:hAnsi="Times New Roman" w:cs="Times New Roman"/>
          <w:sz w:val="24"/>
          <w:szCs w:val="24"/>
        </w:rPr>
        <w:t xml:space="preserve"> (</w:t>
      </w:r>
      <w:r w:rsidR="00592DCE" w:rsidRPr="00FD4ACD">
        <w:rPr>
          <w:rFonts w:ascii="Times New Roman" w:hAnsi="Times New Roman" w:cs="Times New Roman"/>
          <w:sz w:val="24"/>
          <w:szCs w:val="24"/>
        </w:rPr>
        <w:t xml:space="preserve">ejemplo: </w:t>
      </w:r>
      <w:r w:rsidR="0037700A" w:rsidRPr="00FD4ACD">
        <w:rPr>
          <w:rFonts w:ascii="Times New Roman" w:hAnsi="Times New Roman" w:cs="Times New Roman"/>
          <w:sz w:val="24"/>
          <w:szCs w:val="24"/>
        </w:rPr>
        <w:t>i</w:t>
      </w:r>
      <w:r w:rsidR="00592DCE" w:rsidRPr="00FD4ACD">
        <w:rPr>
          <w:rFonts w:ascii="Times New Roman" w:hAnsi="Times New Roman" w:cs="Times New Roman"/>
          <w:sz w:val="24"/>
          <w:szCs w:val="24"/>
        </w:rPr>
        <w:t>ndica tu nivel de confianza en tus habilidades para solucionar problemas complejos de matemáticas.</w:t>
      </w:r>
      <w:r w:rsidR="00536DD6" w:rsidRPr="00FD4ACD">
        <w:rPr>
          <w:rFonts w:ascii="Times New Roman" w:hAnsi="Times New Roman" w:cs="Times New Roman"/>
          <w:sz w:val="24"/>
          <w:szCs w:val="24"/>
        </w:rPr>
        <w:t>)</w:t>
      </w:r>
      <w:r w:rsidR="003D6242" w:rsidRPr="00FD4ACD">
        <w:rPr>
          <w:rFonts w:ascii="Times New Roman" w:hAnsi="Times New Roman" w:cs="Times New Roman"/>
          <w:sz w:val="24"/>
          <w:szCs w:val="24"/>
        </w:rPr>
        <w:t xml:space="preserve">, su </w:t>
      </w:r>
      <w:r w:rsidR="00D23142" w:rsidRPr="00FD4ACD">
        <w:rPr>
          <w:rFonts w:ascii="Times New Roman" w:hAnsi="Times New Roman" w:cs="Times New Roman"/>
          <w:sz w:val="24"/>
          <w:szCs w:val="24"/>
        </w:rPr>
        <w:t>situación</w:t>
      </w:r>
      <w:r w:rsidR="003D6242" w:rsidRPr="00FD4ACD">
        <w:rPr>
          <w:rFonts w:ascii="Times New Roman" w:hAnsi="Times New Roman" w:cs="Times New Roman"/>
          <w:sz w:val="24"/>
          <w:szCs w:val="24"/>
        </w:rPr>
        <w:t xml:space="preserve"> socioeconómica </w:t>
      </w:r>
      <w:r w:rsidR="00592DCE" w:rsidRPr="00FD4ACD">
        <w:rPr>
          <w:rFonts w:ascii="Times New Roman" w:hAnsi="Times New Roman" w:cs="Times New Roman"/>
          <w:sz w:val="24"/>
          <w:szCs w:val="24"/>
        </w:rPr>
        <w:t>(ejemplo: ¿</w:t>
      </w:r>
      <w:r w:rsidR="0037700A" w:rsidRPr="00FD4ACD">
        <w:rPr>
          <w:rFonts w:ascii="Times New Roman" w:hAnsi="Times New Roman" w:cs="Times New Roman"/>
          <w:sz w:val="24"/>
          <w:szCs w:val="24"/>
        </w:rPr>
        <w:t>c</w:t>
      </w:r>
      <w:r w:rsidR="00592DCE" w:rsidRPr="00FD4ACD">
        <w:rPr>
          <w:rFonts w:ascii="Times New Roman" w:hAnsi="Times New Roman" w:cs="Times New Roman"/>
          <w:sz w:val="24"/>
          <w:szCs w:val="24"/>
        </w:rPr>
        <w:t xml:space="preserve">uál es el grado académico más alto obtenido por tus padres?) </w:t>
      </w:r>
      <w:r w:rsidR="003D6242" w:rsidRPr="00FD4ACD">
        <w:rPr>
          <w:rFonts w:ascii="Times New Roman" w:hAnsi="Times New Roman" w:cs="Times New Roman"/>
          <w:sz w:val="24"/>
          <w:szCs w:val="24"/>
        </w:rPr>
        <w:t xml:space="preserve">y </w:t>
      </w:r>
      <w:r w:rsidR="00530C8C" w:rsidRPr="00FD4ACD">
        <w:rPr>
          <w:rFonts w:ascii="Times New Roman" w:hAnsi="Times New Roman" w:cs="Times New Roman"/>
          <w:sz w:val="24"/>
          <w:szCs w:val="24"/>
        </w:rPr>
        <w:t xml:space="preserve">algunas preguntas abiertas para recolectar información sobre </w:t>
      </w:r>
      <w:r w:rsidR="003D6242" w:rsidRPr="00FD4ACD">
        <w:rPr>
          <w:rFonts w:ascii="Times New Roman" w:hAnsi="Times New Roman" w:cs="Times New Roman"/>
          <w:sz w:val="24"/>
          <w:szCs w:val="24"/>
        </w:rPr>
        <w:t xml:space="preserve">aspectos familiares </w:t>
      </w:r>
      <w:r w:rsidR="00FF56DC" w:rsidRPr="00FD4ACD">
        <w:rPr>
          <w:rFonts w:ascii="Times New Roman" w:hAnsi="Times New Roman" w:cs="Times New Roman"/>
          <w:sz w:val="24"/>
          <w:szCs w:val="24"/>
        </w:rPr>
        <w:t>y personales</w:t>
      </w:r>
      <w:r w:rsidR="00592DCE" w:rsidRPr="00FD4ACD">
        <w:rPr>
          <w:rFonts w:ascii="Times New Roman" w:hAnsi="Times New Roman" w:cs="Times New Roman"/>
          <w:sz w:val="24"/>
          <w:szCs w:val="24"/>
        </w:rPr>
        <w:t xml:space="preserve"> (ejemplo: ¿</w:t>
      </w:r>
      <w:r w:rsidR="0037700A" w:rsidRPr="00FD4ACD">
        <w:rPr>
          <w:rFonts w:ascii="Times New Roman" w:hAnsi="Times New Roman" w:cs="Times New Roman"/>
          <w:sz w:val="24"/>
          <w:szCs w:val="24"/>
        </w:rPr>
        <w:t>c</w:t>
      </w:r>
      <w:r w:rsidR="00592DCE" w:rsidRPr="00FD4ACD">
        <w:rPr>
          <w:rFonts w:ascii="Times New Roman" w:hAnsi="Times New Roman" w:cs="Times New Roman"/>
          <w:sz w:val="24"/>
          <w:szCs w:val="24"/>
        </w:rPr>
        <w:t>uál fue la influencia más grande que tuviste para escoger la carrera profesional que deseabas estudiar?)</w:t>
      </w:r>
      <w:r w:rsidR="003D6242" w:rsidRPr="00FD4ACD">
        <w:rPr>
          <w:rFonts w:ascii="Times New Roman" w:hAnsi="Times New Roman" w:cs="Times New Roman"/>
          <w:sz w:val="24"/>
          <w:szCs w:val="24"/>
        </w:rPr>
        <w:t>.</w:t>
      </w:r>
      <w:r w:rsidR="00382EBF" w:rsidRPr="00FD4ACD">
        <w:rPr>
          <w:rFonts w:ascii="Times New Roman" w:hAnsi="Times New Roman" w:cs="Times New Roman"/>
          <w:sz w:val="24"/>
          <w:szCs w:val="24"/>
        </w:rPr>
        <w:t xml:space="preserve"> </w:t>
      </w:r>
      <w:r w:rsidR="00B6331F">
        <w:rPr>
          <w:rFonts w:ascii="Times New Roman" w:hAnsi="Times New Roman" w:cs="Times New Roman"/>
          <w:sz w:val="24"/>
          <w:szCs w:val="24"/>
        </w:rPr>
        <w:t>Y f</w:t>
      </w:r>
      <w:r w:rsidR="00382EBF" w:rsidRPr="00FD4ACD">
        <w:rPr>
          <w:rFonts w:ascii="Times New Roman" w:hAnsi="Times New Roman" w:cs="Times New Roman"/>
          <w:sz w:val="24"/>
          <w:szCs w:val="24"/>
        </w:rPr>
        <w:t xml:space="preserve">ue desarrollada siguiendo la guía para el desarrollo de encuestas en línea de Dillman </w:t>
      </w:r>
      <w:r w:rsidR="00B6331F" w:rsidRPr="00FD4ACD">
        <w:rPr>
          <w:rFonts w:ascii="Times New Roman" w:hAnsi="Times New Roman" w:cs="Times New Roman"/>
          <w:sz w:val="24"/>
          <w:szCs w:val="24"/>
        </w:rPr>
        <w:fldChar w:fldCharType="begin" w:fldLock="1"/>
      </w:r>
      <w:r w:rsidR="00B6331F">
        <w:rPr>
          <w:rFonts w:ascii="Times New Roman" w:hAnsi="Times New Roman" w:cs="Times New Roman"/>
          <w:sz w:val="24"/>
          <w:szCs w:val="24"/>
        </w:rPr>
        <w:instrText>ADDIN CSL_CITATION {"citationItems":[{"id":"ITEM-1","itemData":{"author":[{"dropping-particle":"","family":"Dillman","given":"D. A.","non-dropping-particle":"","parse-names":false,"suffix":""}],"id":"ITEM-1","issued":{"date-parts":[["2007"]]},"publisher":"Wiley., New York: J.","title":"Mail and internet surveys: The tailored design method.","type":"book"},"uris":["http://www.mendeley.com/documents/?uuid=de5c24bc-1e1e-46a3-8ab0-24b13a491876"]}],"mendeley":{"formattedCitation":"(Dillman, 2007)","manualFormatting":"(2007)","plainTextFormattedCitation":"(Dillman, 2007)","previouslyFormattedCitation":"(Dillman, 2007)"},"properties":{"noteIndex":0},"schema":"https://github.com/citation-style-language/schema/raw/master/csl-citation.json"}</w:instrText>
      </w:r>
      <w:r w:rsidR="00B6331F" w:rsidRPr="00FD4ACD">
        <w:rPr>
          <w:rFonts w:ascii="Times New Roman" w:hAnsi="Times New Roman" w:cs="Times New Roman"/>
          <w:sz w:val="24"/>
          <w:szCs w:val="24"/>
        </w:rPr>
        <w:fldChar w:fldCharType="separate"/>
      </w:r>
      <w:r w:rsidR="00B6331F" w:rsidRPr="00FD4ACD">
        <w:rPr>
          <w:rFonts w:ascii="Times New Roman" w:hAnsi="Times New Roman" w:cs="Times New Roman"/>
          <w:noProof/>
          <w:sz w:val="24"/>
          <w:szCs w:val="24"/>
        </w:rPr>
        <w:t>(2007)</w:t>
      </w:r>
      <w:r w:rsidR="00B6331F" w:rsidRPr="00FD4ACD">
        <w:rPr>
          <w:rFonts w:ascii="Times New Roman" w:hAnsi="Times New Roman" w:cs="Times New Roman"/>
          <w:sz w:val="24"/>
          <w:szCs w:val="24"/>
        </w:rPr>
        <w:fldChar w:fldCharType="end"/>
      </w:r>
      <w:r w:rsidR="00B6331F">
        <w:rPr>
          <w:rFonts w:ascii="Times New Roman" w:hAnsi="Times New Roman" w:cs="Times New Roman"/>
          <w:sz w:val="24"/>
          <w:szCs w:val="24"/>
        </w:rPr>
        <w:t>. Además,</w:t>
      </w:r>
      <w:r w:rsidR="00382EBF" w:rsidRPr="00FD4ACD">
        <w:rPr>
          <w:rFonts w:ascii="Times New Roman" w:hAnsi="Times New Roman" w:cs="Times New Roman"/>
          <w:sz w:val="24"/>
          <w:szCs w:val="24"/>
        </w:rPr>
        <w:t xml:space="preserve"> ha demostrado poder recolectar información para </w:t>
      </w:r>
      <w:r w:rsidR="00B6331F">
        <w:rPr>
          <w:rFonts w:ascii="Times New Roman" w:hAnsi="Times New Roman" w:cs="Times New Roman"/>
          <w:sz w:val="24"/>
          <w:szCs w:val="24"/>
        </w:rPr>
        <w:t>investigaciones</w:t>
      </w:r>
      <w:r w:rsidR="00B6331F" w:rsidRPr="00FD4ACD">
        <w:rPr>
          <w:rFonts w:ascii="Times New Roman" w:hAnsi="Times New Roman" w:cs="Times New Roman"/>
          <w:sz w:val="24"/>
          <w:szCs w:val="24"/>
        </w:rPr>
        <w:t xml:space="preserve"> </w:t>
      </w:r>
      <w:r w:rsidR="00382EBF" w:rsidRPr="00FD4ACD">
        <w:rPr>
          <w:rFonts w:ascii="Times New Roman" w:hAnsi="Times New Roman" w:cs="Times New Roman"/>
          <w:sz w:val="24"/>
          <w:szCs w:val="24"/>
        </w:rPr>
        <w:t>similares con éxito</w:t>
      </w:r>
      <w:r w:rsidR="00B6331F">
        <w:rPr>
          <w:rFonts w:ascii="Times New Roman" w:hAnsi="Times New Roman" w:cs="Times New Roman"/>
          <w:sz w:val="24"/>
          <w:szCs w:val="24"/>
        </w:rPr>
        <w:t>, así como</w:t>
      </w:r>
      <w:r w:rsidR="00382EBF" w:rsidRPr="00FD4ACD">
        <w:rPr>
          <w:rFonts w:ascii="Times New Roman" w:hAnsi="Times New Roman" w:cs="Times New Roman"/>
          <w:sz w:val="24"/>
          <w:szCs w:val="24"/>
        </w:rPr>
        <w:t xml:space="preserve"> ha sido probada estadísticamente para validar su confiabilidad en estudios anteriores </w:t>
      </w:r>
      <w:r w:rsidR="00382EBF" w:rsidRPr="00FD4ACD">
        <w:rPr>
          <w:rFonts w:ascii="Times New Roman" w:hAnsi="Times New Roman" w:cs="Times New Roman"/>
          <w:sz w:val="24"/>
          <w:szCs w:val="24"/>
        </w:rPr>
        <w:fldChar w:fldCharType="begin" w:fldLock="1"/>
      </w:r>
      <w:r w:rsidR="0096183A">
        <w:rPr>
          <w:rFonts w:ascii="Times New Roman" w:hAnsi="Times New Roman" w:cs="Times New Roman"/>
          <w:sz w:val="24"/>
          <w:szCs w:val="24"/>
        </w:rPr>
        <w:instrText>ADDIN CSL_CITATION {"citationItems":[{"id":"ITEM-1","itemData":{"author":[{"dropping-particle":"","family":"Porter","given":"Christopher H","non-dropping-particle":"","parse-names":false,"suffix":""}],"id":"ITEM-1","issue":"December","issued":{"date-parts":[["2011"]]},"note":"-descripcion de ingenieria\n-hay mas ingenieros graduandose cada año pero aumentan mas las otras carreras\n-preparacion desde prepa por si quieres ser inge\n-oportunidades de trabajo perrotas\n-caracteristicas de los STEM students\n-hay programas para aumentar el interes de los chavos en estudiar ingenieria","publisher":"Clemson University","title":"An Examination of Variables Which Influence High School Students to Enroll in an Undergraduate Engineering or Physical Science Major.","type":"thesis"},"uris":["http://www.mendeley.com/documents/?uuid=728ee90d-554b-45b3-85de-c44db88c1e6a"]}],"mendeley":{"formattedCitation":"(Porter, 2011)","plainTextFormattedCitation":"(Porter, 2011)","previouslyFormattedCitation":"(Porter, 2011)"},"properties":{"noteIndex":0},"schema":"https://github.com/citation-style-language/schema/raw/master/csl-citation.json"}</w:instrText>
      </w:r>
      <w:r w:rsidR="00382EBF" w:rsidRPr="00FD4ACD">
        <w:rPr>
          <w:rFonts w:ascii="Times New Roman" w:hAnsi="Times New Roman" w:cs="Times New Roman"/>
          <w:sz w:val="24"/>
          <w:szCs w:val="24"/>
        </w:rPr>
        <w:fldChar w:fldCharType="separate"/>
      </w:r>
      <w:r w:rsidR="00382EBF" w:rsidRPr="00FD4ACD">
        <w:rPr>
          <w:rFonts w:ascii="Times New Roman" w:hAnsi="Times New Roman" w:cs="Times New Roman"/>
          <w:noProof/>
          <w:sz w:val="24"/>
          <w:szCs w:val="24"/>
        </w:rPr>
        <w:t>(Porter, 2011)</w:t>
      </w:r>
      <w:r w:rsidR="00382EBF" w:rsidRPr="00FD4ACD">
        <w:rPr>
          <w:rFonts w:ascii="Times New Roman" w:hAnsi="Times New Roman" w:cs="Times New Roman"/>
          <w:sz w:val="24"/>
          <w:szCs w:val="24"/>
        </w:rPr>
        <w:fldChar w:fldCharType="end"/>
      </w:r>
      <w:r w:rsidR="00382EBF" w:rsidRPr="00FD4ACD">
        <w:rPr>
          <w:rFonts w:ascii="Times New Roman" w:hAnsi="Times New Roman" w:cs="Times New Roman"/>
          <w:sz w:val="24"/>
          <w:szCs w:val="24"/>
        </w:rPr>
        <w:t xml:space="preserve">. </w:t>
      </w:r>
    </w:p>
    <w:p w14:paraId="3D03C9CD" w14:textId="77777777" w:rsidR="00586E48" w:rsidRDefault="00586E48" w:rsidP="00514B68">
      <w:pPr>
        <w:spacing w:after="0" w:line="360" w:lineRule="auto"/>
        <w:ind w:firstLine="708"/>
        <w:jc w:val="both"/>
        <w:rPr>
          <w:rFonts w:ascii="Times New Roman" w:hAnsi="Times New Roman" w:cs="Times New Roman"/>
          <w:sz w:val="24"/>
          <w:szCs w:val="24"/>
        </w:rPr>
      </w:pPr>
    </w:p>
    <w:p w14:paraId="27907621" w14:textId="7C1E99EB" w:rsidR="00530C8C" w:rsidRPr="00FD4ACD" w:rsidRDefault="000B14DB" w:rsidP="00514B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Cabe subrayar que</w:t>
      </w:r>
      <w:r w:rsidR="0098347B">
        <w:rPr>
          <w:rFonts w:ascii="Times New Roman" w:hAnsi="Times New Roman" w:cs="Times New Roman"/>
          <w:sz w:val="24"/>
          <w:szCs w:val="24"/>
        </w:rPr>
        <w:t>, aunado a lo ya mencionado,</w:t>
      </w:r>
      <w:r>
        <w:rPr>
          <w:rFonts w:ascii="Times New Roman" w:hAnsi="Times New Roman" w:cs="Times New Roman"/>
          <w:sz w:val="24"/>
          <w:szCs w:val="24"/>
        </w:rPr>
        <w:t xml:space="preserve"> esta</w:t>
      </w:r>
      <w:r w:rsidRPr="00FD4ACD">
        <w:rPr>
          <w:rFonts w:ascii="Times New Roman" w:hAnsi="Times New Roman" w:cs="Times New Roman"/>
          <w:sz w:val="24"/>
          <w:szCs w:val="24"/>
        </w:rPr>
        <w:t xml:space="preserve"> </w:t>
      </w:r>
      <w:r w:rsidR="00110272" w:rsidRPr="00FD4ACD">
        <w:rPr>
          <w:rFonts w:ascii="Times New Roman" w:hAnsi="Times New Roman" w:cs="Times New Roman"/>
          <w:sz w:val="24"/>
          <w:szCs w:val="24"/>
        </w:rPr>
        <w:t>encue</w:t>
      </w:r>
      <w:r w:rsidR="00061028" w:rsidRPr="00FD4ACD">
        <w:rPr>
          <w:rFonts w:ascii="Times New Roman" w:hAnsi="Times New Roman" w:cs="Times New Roman"/>
          <w:sz w:val="24"/>
          <w:szCs w:val="24"/>
        </w:rPr>
        <w:t xml:space="preserve">sta fue seleccionada para este estudio debido a la relación que se encontró </w:t>
      </w:r>
      <w:r w:rsidR="008D6543">
        <w:rPr>
          <w:rFonts w:ascii="Times New Roman" w:hAnsi="Times New Roman" w:cs="Times New Roman"/>
          <w:sz w:val="24"/>
          <w:szCs w:val="24"/>
        </w:rPr>
        <w:t>entre</w:t>
      </w:r>
      <w:r w:rsidR="008D6543" w:rsidRPr="00FD4ACD">
        <w:rPr>
          <w:rFonts w:ascii="Times New Roman" w:hAnsi="Times New Roman" w:cs="Times New Roman"/>
          <w:sz w:val="24"/>
          <w:szCs w:val="24"/>
        </w:rPr>
        <w:t xml:space="preserve"> </w:t>
      </w:r>
      <w:r w:rsidR="00061028" w:rsidRPr="00FD4ACD">
        <w:rPr>
          <w:rFonts w:ascii="Times New Roman" w:hAnsi="Times New Roman" w:cs="Times New Roman"/>
          <w:sz w:val="24"/>
          <w:szCs w:val="24"/>
        </w:rPr>
        <w:t>el</w:t>
      </w:r>
      <w:r w:rsidR="00DF739E" w:rsidRPr="00FD4ACD">
        <w:rPr>
          <w:rFonts w:ascii="Times New Roman" w:hAnsi="Times New Roman" w:cs="Times New Roman"/>
          <w:sz w:val="24"/>
          <w:szCs w:val="24"/>
        </w:rPr>
        <w:t xml:space="preserve"> diseño de </w:t>
      </w:r>
      <w:r w:rsidR="00061028" w:rsidRPr="00FD4ACD">
        <w:rPr>
          <w:rFonts w:ascii="Times New Roman" w:hAnsi="Times New Roman" w:cs="Times New Roman"/>
          <w:sz w:val="24"/>
          <w:szCs w:val="24"/>
        </w:rPr>
        <w:t>algunas de su</w:t>
      </w:r>
      <w:r w:rsidR="00DF739E" w:rsidRPr="00FD4ACD">
        <w:rPr>
          <w:rFonts w:ascii="Times New Roman" w:hAnsi="Times New Roman" w:cs="Times New Roman"/>
          <w:sz w:val="24"/>
          <w:szCs w:val="24"/>
        </w:rPr>
        <w:t xml:space="preserve">s preguntas </w:t>
      </w:r>
      <w:r w:rsidR="008D6543">
        <w:rPr>
          <w:rFonts w:ascii="Times New Roman" w:hAnsi="Times New Roman" w:cs="Times New Roman"/>
          <w:sz w:val="24"/>
          <w:szCs w:val="24"/>
        </w:rPr>
        <w:t>y</w:t>
      </w:r>
      <w:r w:rsidR="008D6543" w:rsidRPr="00FD4ACD">
        <w:rPr>
          <w:rFonts w:ascii="Times New Roman" w:hAnsi="Times New Roman" w:cs="Times New Roman"/>
          <w:sz w:val="24"/>
          <w:szCs w:val="24"/>
        </w:rPr>
        <w:t xml:space="preserve"> </w:t>
      </w:r>
      <w:r w:rsidR="00DF739E" w:rsidRPr="00FD4ACD">
        <w:rPr>
          <w:rFonts w:ascii="Times New Roman" w:hAnsi="Times New Roman" w:cs="Times New Roman"/>
          <w:sz w:val="24"/>
          <w:szCs w:val="24"/>
        </w:rPr>
        <w:t xml:space="preserve">las teorías establecidas por Lent </w:t>
      </w:r>
      <w:r w:rsidRPr="00514B68">
        <w:rPr>
          <w:rFonts w:ascii="Times New Roman" w:hAnsi="Times New Roman" w:cs="Times New Roman"/>
          <w:i/>
          <w:sz w:val="24"/>
          <w:szCs w:val="24"/>
        </w:rPr>
        <w:t>et al.</w:t>
      </w:r>
      <w:r w:rsidR="00DF739E" w:rsidRPr="00FD4ACD">
        <w:rPr>
          <w:rFonts w:ascii="Times New Roman" w:hAnsi="Times New Roman" w:cs="Times New Roman"/>
          <w:sz w:val="24"/>
          <w:szCs w:val="24"/>
        </w:rPr>
        <w:t xml:space="preserve"> </w:t>
      </w:r>
      <w:r w:rsidR="00DF739E" w:rsidRPr="00FD4ACD">
        <w:rPr>
          <w:rFonts w:ascii="Times New Roman" w:hAnsi="Times New Roman" w:cs="Times New Roman"/>
          <w:sz w:val="24"/>
          <w:szCs w:val="24"/>
        </w:rPr>
        <w:fldChar w:fldCharType="begin" w:fldLock="1"/>
      </w:r>
      <w:r w:rsidR="0096183A">
        <w:rPr>
          <w:rFonts w:ascii="Times New Roman" w:hAnsi="Times New Roman" w:cs="Times New Roman"/>
          <w:sz w:val="24"/>
          <w:szCs w:val="24"/>
        </w:rPr>
        <w:instrText>ADDIN CSL_CITATION {"citationItems":[{"id":"ITEM-1","itemData":{"author":[{"dropping-particle":"","family":"Lent","given":"Robert W.","non-dropping-particle":"","parse-names":false,"suffix":""},{"dropping-particle":"","family":"Brown","given":"Steven D.","non-dropping-particle":"","parse-names":false,"suffix":""},{"dropping-particle":"","family":"Hackett","given":"Gail","non-dropping-particle":"","parse-names":false,"suffix":""}],"container-title":"Journal of Vocational Behavior","id":"ITEM-1","issued":{"date-parts":[["1994"]]},"page":"79-122","title":"Toward a unifying social cognitive theory of career and academic interest, choice, and performance","type":"article-journal","volume":"45"},"uris":["http://www.mendeley.com/documents/?uuid=4d025b16-d0ad-452b-ab1d-9765745b5ef7"]}],"mendeley":{"formattedCitation":"(R. W. Lent et al., 1994)","manualFormatting":"( 1994)","plainTextFormattedCitation":"(R. W. Lent et al., 1994)","previouslyFormattedCitation":"(R. W. Lent et al., 1994)"},"properties":{"noteIndex":0},"schema":"https://github.com/citation-style-language/schema/raw/master/csl-citation.json"}</w:instrText>
      </w:r>
      <w:r w:rsidR="00DF739E" w:rsidRPr="00FD4ACD">
        <w:rPr>
          <w:rFonts w:ascii="Times New Roman" w:hAnsi="Times New Roman" w:cs="Times New Roman"/>
          <w:sz w:val="24"/>
          <w:szCs w:val="24"/>
        </w:rPr>
        <w:fldChar w:fldCharType="separate"/>
      </w:r>
      <w:r w:rsidR="00DF739E" w:rsidRPr="00FD4ACD">
        <w:rPr>
          <w:rFonts w:ascii="Times New Roman" w:hAnsi="Times New Roman" w:cs="Times New Roman"/>
          <w:noProof/>
          <w:sz w:val="24"/>
          <w:szCs w:val="24"/>
        </w:rPr>
        <w:t>( 1994)</w:t>
      </w:r>
      <w:r w:rsidR="00DF739E" w:rsidRPr="00FD4ACD">
        <w:rPr>
          <w:rFonts w:ascii="Times New Roman" w:hAnsi="Times New Roman" w:cs="Times New Roman"/>
          <w:sz w:val="24"/>
          <w:szCs w:val="24"/>
        </w:rPr>
        <w:fldChar w:fldCharType="end"/>
      </w:r>
      <w:r w:rsidR="00DF739E" w:rsidRPr="00FD4ACD">
        <w:rPr>
          <w:rFonts w:ascii="Times New Roman" w:hAnsi="Times New Roman" w:cs="Times New Roman"/>
          <w:sz w:val="24"/>
          <w:szCs w:val="24"/>
        </w:rPr>
        <w:t xml:space="preserve"> y por Bandura </w:t>
      </w:r>
      <w:r w:rsidR="00DF739E" w:rsidRPr="00FD4ACD">
        <w:rPr>
          <w:rFonts w:ascii="Times New Roman" w:hAnsi="Times New Roman" w:cs="Times New Roman"/>
          <w:sz w:val="24"/>
          <w:szCs w:val="24"/>
        </w:rPr>
        <w:fldChar w:fldCharType="begin" w:fldLock="1"/>
      </w:r>
      <w:r w:rsidR="0096183A">
        <w:rPr>
          <w:rFonts w:ascii="Times New Roman" w:hAnsi="Times New Roman" w:cs="Times New Roman"/>
          <w:sz w:val="24"/>
          <w:szCs w:val="24"/>
        </w:rPr>
        <w:instrText>ADDIN CSL_CITATION {"citationItems":[{"id":"ITEM-1","itemData":{"author":[{"dropping-particle":"","family":"Bandura","given":"Albert","non-dropping-particle":"","parse-names":false,"suffix":""}],"id":"ITEM-1","issued":{"date-parts":[["1986"]]},"publisher":"Englewood Cliffs, NJ: Prentice Hall.","title":"Social foundations of thought and action: A social cognitive theory.","type":"book"},"uris":["http://www.mendeley.com/documents/?uuid=0f13cf58-4be5-4391-88cb-0bcadb8316dd"]}],"mendeley":{"formattedCitation":"(Bandura, 1986)","manualFormatting":"(1986)","plainTextFormattedCitation":"(Bandura, 1986)","previouslyFormattedCitation":"(Bandura, 1986)"},"properties":{"noteIndex":0},"schema":"https://github.com/citation-style-language/schema/raw/master/csl-citation.json"}</w:instrText>
      </w:r>
      <w:r w:rsidR="00DF739E" w:rsidRPr="00FD4ACD">
        <w:rPr>
          <w:rFonts w:ascii="Times New Roman" w:hAnsi="Times New Roman" w:cs="Times New Roman"/>
          <w:sz w:val="24"/>
          <w:szCs w:val="24"/>
        </w:rPr>
        <w:fldChar w:fldCharType="separate"/>
      </w:r>
      <w:r w:rsidR="00DF739E" w:rsidRPr="00FD4ACD">
        <w:rPr>
          <w:rFonts w:ascii="Times New Roman" w:hAnsi="Times New Roman" w:cs="Times New Roman"/>
          <w:noProof/>
          <w:sz w:val="24"/>
          <w:szCs w:val="24"/>
        </w:rPr>
        <w:t>(1986)</w:t>
      </w:r>
      <w:r w:rsidR="00DF739E" w:rsidRPr="00FD4ACD">
        <w:rPr>
          <w:rFonts w:ascii="Times New Roman" w:hAnsi="Times New Roman" w:cs="Times New Roman"/>
          <w:sz w:val="24"/>
          <w:szCs w:val="24"/>
        </w:rPr>
        <w:fldChar w:fldCharType="end"/>
      </w:r>
      <w:r w:rsidR="00DF739E" w:rsidRPr="00FD4ACD">
        <w:rPr>
          <w:rFonts w:ascii="Times New Roman" w:hAnsi="Times New Roman" w:cs="Times New Roman"/>
          <w:sz w:val="24"/>
          <w:szCs w:val="24"/>
        </w:rPr>
        <w:t xml:space="preserve">. Esto </w:t>
      </w:r>
      <w:r w:rsidR="00352727" w:rsidRPr="00FD4ACD">
        <w:rPr>
          <w:rFonts w:ascii="Times New Roman" w:hAnsi="Times New Roman" w:cs="Times New Roman"/>
          <w:sz w:val="24"/>
          <w:szCs w:val="24"/>
        </w:rPr>
        <w:t xml:space="preserve">permitió </w:t>
      </w:r>
      <w:r w:rsidR="00061028" w:rsidRPr="00FD4ACD">
        <w:rPr>
          <w:rFonts w:ascii="Times New Roman" w:hAnsi="Times New Roman" w:cs="Times New Roman"/>
          <w:sz w:val="24"/>
          <w:szCs w:val="24"/>
        </w:rPr>
        <w:t xml:space="preserve">seleccionar las preguntas más relevantes y adecuadas de la encuesta para poder responder </w:t>
      </w:r>
      <w:r w:rsidR="004D2CDF" w:rsidRPr="00FD4ACD">
        <w:rPr>
          <w:rFonts w:ascii="Times New Roman" w:hAnsi="Times New Roman" w:cs="Times New Roman"/>
          <w:sz w:val="24"/>
          <w:szCs w:val="24"/>
        </w:rPr>
        <w:t xml:space="preserve">de mejor manera </w:t>
      </w:r>
      <w:r w:rsidR="00061028" w:rsidRPr="00FD4ACD">
        <w:rPr>
          <w:rFonts w:ascii="Times New Roman" w:hAnsi="Times New Roman" w:cs="Times New Roman"/>
          <w:sz w:val="24"/>
          <w:szCs w:val="24"/>
        </w:rPr>
        <w:t>la pregunta de investigación propuesta</w:t>
      </w:r>
      <w:r w:rsidR="00382EBF" w:rsidRPr="00FD4ACD">
        <w:rPr>
          <w:rFonts w:ascii="Times New Roman" w:hAnsi="Times New Roman" w:cs="Times New Roman"/>
          <w:sz w:val="24"/>
          <w:szCs w:val="24"/>
        </w:rPr>
        <w:t xml:space="preserve"> mediante el análisis estadístico</w:t>
      </w:r>
      <w:r w:rsidR="00061028" w:rsidRPr="00FD4ACD">
        <w:rPr>
          <w:rFonts w:ascii="Times New Roman" w:hAnsi="Times New Roman" w:cs="Times New Roman"/>
          <w:sz w:val="24"/>
          <w:szCs w:val="24"/>
        </w:rPr>
        <w:t xml:space="preserve">, </w:t>
      </w:r>
      <w:r w:rsidR="00D6192B">
        <w:rPr>
          <w:rFonts w:ascii="Times New Roman" w:hAnsi="Times New Roman" w:cs="Times New Roman"/>
          <w:sz w:val="24"/>
          <w:szCs w:val="24"/>
        </w:rPr>
        <w:t>y descartar</w:t>
      </w:r>
      <w:r w:rsidR="00D6192B" w:rsidRPr="00FD4ACD">
        <w:rPr>
          <w:rFonts w:ascii="Times New Roman" w:hAnsi="Times New Roman" w:cs="Times New Roman"/>
          <w:sz w:val="24"/>
          <w:szCs w:val="24"/>
        </w:rPr>
        <w:t xml:space="preserve"> </w:t>
      </w:r>
      <w:r w:rsidR="00061028" w:rsidRPr="00FD4ACD">
        <w:rPr>
          <w:rFonts w:ascii="Times New Roman" w:hAnsi="Times New Roman" w:cs="Times New Roman"/>
          <w:sz w:val="24"/>
          <w:szCs w:val="24"/>
        </w:rPr>
        <w:t>las preguntas que no aportaban nada al análisis debido a su falta de relación con las teorías establecidas como marco te</w:t>
      </w:r>
      <w:r w:rsidR="004D2CDF" w:rsidRPr="00FD4ACD">
        <w:rPr>
          <w:rFonts w:ascii="Times New Roman" w:hAnsi="Times New Roman" w:cs="Times New Roman"/>
          <w:sz w:val="24"/>
          <w:szCs w:val="24"/>
        </w:rPr>
        <w:t>ó</w:t>
      </w:r>
      <w:r w:rsidR="00061028" w:rsidRPr="00FD4ACD">
        <w:rPr>
          <w:rFonts w:ascii="Times New Roman" w:hAnsi="Times New Roman" w:cs="Times New Roman"/>
          <w:sz w:val="24"/>
          <w:szCs w:val="24"/>
        </w:rPr>
        <w:t xml:space="preserve">rico de esta investigación. </w:t>
      </w:r>
      <w:r w:rsidR="004D2CDF" w:rsidRPr="00FD4ACD">
        <w:rPr>
          <w:rFonts w:ascii="Times New Roman" w:hAnsi="Times New Roman" w:cs="Times New Roman"/>
          <w:sz w:val="24"/>
          <w:szCs w:val="24"/>
        </w:rPr>
        <w:t xml:space="preserve">Al final, </w:t>
      </w:r>
      <w:r w:rsidR="002718A9" w:rsidRPr="00FD4ACD">
        <w:rPr>
          <w:rFonts w:ascii="Times New Roman" w:hAnsi="Times New Roman" w:cs="Times New Roman"/>
          <w:sz w:val="24"/>
          <w:szCs w:val="24"/>
        </w:rPr>
        <w:t xml:space="preserve">se eliminaron </w:t>
      </w:r>
      <w:r w:rsidR="00D91270" w:rsidRPr="00FD4ACD">
        <w:rPr>
          <w:rFonts w:ascii="Times New Roman" w:hAnsi="Times New Roman" w:cs="Times New Roman"/>
          <w:sz w:val="24"/>
          <w:szCs w:val="24"/>
        </w:rPr>
        <w:t>2</w:t>
      </w:r>
      <w:r w:rsidR="00382EBF" w:rsidRPr="00FD4ACD">
        <w:rPr>
          <w:rFonts w:ascii="Times New Roman" w:hAnsi="Times New Roman" w:cs="Times New Roman"/>
          <w:sz w:val="24"/>
          <w:szCs w:val="24"/>
        </w:rPr>
        <w:t xml:space="preserve">6 preguntas que no estaban relacionadas con las </w:t>
      </w:r>
      <w:r w:rsidR="00352727" w:rsidRPr="00FD4ACD">
        <w:rPr>
          <w:rFonts w:ascii="Times New Roman" w:hAnsi="Times New Roman" w:cs="Times New Roman"/>
          <w:sz w:val="24"/>
          <w:szCs w:val="24"/>
        </w:rPr>
        <w:t xml:space="preserve">actividades </w:t>
      </w:r>
      <w:r w:rsidR="00382EBF" w:rsidRPr="00FD4ACD">
        <w:rPr>
          <w:rFonts w:ascii="Times New Roman" w:hAnsi="Times New Roman" w:cs="Times New Roman"/>
          <w:sz w:val="24"/>
          <w:szCs w:val="24"/>
        </w:rPr>
        <w:t>de formación</w:t>
      </w:r>
      <w:r w:rsidR="00352727" w:rsidRPr="00FD4ACD">
        <w:rPr>
          <w:rFonts w:ascii="Times New Roman" w:hAnsi="Times New Roman" w:cs="Times New Roman"/>
          <w:sz w:val="24"/>
          <w:szCs w:val="24"/>
        </w:rPr>
        <w:t xml:space="preserve"> preparatoria </w:t>
      </w:r>
      <w:r w:rsidR="00382EBF" w:rsidRPr="00FD4ACD">
        <w:rPr>
          <w:rFonts w:ascii="Times New Roman" w:hAnsi="Times New Roman" w:cs="Times New Roman"/>
          <w:sz w:val="24"/>
          <w:szCs w:val="24"/>
        </w:rPr>
        <w:t xml:space="preserve">que podían influenciar la decisión de </w:t>
      </w:r>
      <w:r w:rsidR="00352727" w:rsidRPr="00FD4ACD">
        <w:rPr>
          <w:rFonts w:ascii="Times New Roman" w:hAnsi="Times New Roman" w:cs="Times New Roman"/>
          <w:sz w:val="24"/>
          <w:szCs w:val="24"/>
        </w:rPr>
        <w:t>los estudiantes de</w:t>
      </w:r>
      <w:r w:rsidR="00382EBF" w:rsidRPr="00FD4ACD">
        <w:rPr>
          <w:rFonts w:ascii="Times New Roman" w:hAnsi="Times New Roman" w:cs="Times New Roman"/>
          <w:sz w:val="24"/>
          <w:szCs w:val="24"/>
        </w:rPr>
        <w:t xml:space="preserve"> inscribirse en una</w:t>
      </w:r>
      <w:r w:rsidR="00352727" w:rsidRPr="00FD4ACD">
        <w:rPr>
          <w:rFonts w:ascii="Times New Roman" w:hAnsi="Times New Roman" w:cs="Times New Roman"/>
          <w:sz w:val="24"/>
          <w:szCs w:val="24"/>
        </w:rPr>
        <w:t xml:space="preserve"> carrera </w:t>
      </w:r>
      <w:r w:rsidR="00382EBF" w:rsidRPr="00FD4ACD">
        <w:rPr>
          <w:rFonts w:ascii="Times New Roman" w:hAnsi="Times New Roman" w:cs="Times New Roman"/>
          <w:sz w:val="24"/>
          <w:szCs w:val="24"/>
        </w:rPr>
        <w:t>en específico de acuerdo con</w:t>
      </w:r>
      <w:r w:rsidR="00DF739E" w:rsidRPr="00FD4ACD">
        <w:rPr>
          <w:rFonts w:ascii="Times New Roman" w:hAnsi="Times New Roman" w:cs="Times New Roman"/>
          <w:sz w:val="24"/>
          <w:szCs w:val="24"/>
        </w:rPr>
        <w:t xml:space="preserve"> el marco teórico que </w:t>
      </w:r>
      <w:r w:rsidR="00791937" w:rsidRPr="00FD4ACD">
        <w:rPr>
          <w:rFonts w:ascii="Times New Roman" w:hAnsi="Times New Roman" w:cs="Times New Roman"/>
          <w:sz w:val="24"/>
          <w:szCs w:val="24"/>
        </w:rPr>
        <w:t>guio</w:t>
      </w:r>
      <w:r w:rsidR="00D6192B">
        <w:rPr>
          <w:rFonts w:ascii="Times New Roman" w:hAnsi="Times New Roman" w:cs="Times New Roman"/>
          <w:sz w:val="24"/>
          <w:szCs w:val="24"/>
        </w:rPr>
        <w:t xml:space="preserve"> a</w:t>
      </w:r>
      <w:r w:rsidR="00DF739E" w:rsidRPr="00FD4ACD">
        <w:rPr>
          <w:rFonts w:ascii="Times New Roman" w:hAnsi="Times New Roman" w:cs="Times New Roman"/>
          <w:sz w:val="24"/>
          <w:szCs w:val="24"/>
        </w:rPr>
        <w:t xml:space="preserve"> esta investigación</w:t>
      </w:r>
      <w:r w:rsidR="00382EBF" w:rsidRPr="00FD4ACD">
        <w:rPr>
          <w:rFonts w:ascii="Times New Roman" w:hAnsi="Times New Roman" w:cs="Times New Roman"/>
          <w:sz w:val="24"/>
          <w:szCs w:val="24"/>
        </w:rPr>
        <w:t xml:space="preserve"> (ejemplo: ¿</w:t>
      </w:r>
      <w:r w:rsidR="00791937" w:rsidRPr="00FD4ACD">
        <w:rPr>
          <w:rFonts w:ascii="Times New Roman" w:hAnsi="Times New Roman" w:cs="Times New Roman"/>
          <w:sz w:val="24"/>
          <w:szCs w:val="24"/>
        </w:rPr>
        <w:t>qué tipo de programas de televisión veías mientras estudiabas la preparatoria</w:t>
      </w:r>
      <w:r w:rsidR="00382EBF" w:rsidRPr="00FD4ACD">
        <w:rPr>
          <w:rFonts w:ascii="Times New Roman" w:hAnsi="Times New Roman" w:cs="Times New Roman"/>
          <w:sz w:val="24"/>
          <w:szCs w:val="24"/>
        </w:rPr>
        <w:t>?)</w:t>
      </w:r>
      <w:r w:rsidR="00352727" w:rsidRPr="00FD4ACD">
        <w:rPr>
          <w:rFonts w:ascii="Times New Roman" w:hAnsi="Times New Roman" w:cs="Times New Roman"/>
          <w:sz w:val="24"/>
          <w:szCs w:val="24"/>
        </w:rPr>
        <w:t xml:space="preserve">. </w:t>
      </w:r>
    </w:p>
    <w:p w14:paraId="6C1094FF" w14:textId="18AA56C1" w:rsidR="00857671" w:rsidRDefault="00D91270" w:rsidP="00514B68">
      <w:pPr>
        <w:spacing w:after="0" w:line="360" w:lineRule="auto"/>
        <w:ind w:firstLine="708"/>
        <w:jc w:val="both"/>
        <w:rPr>
          <w:rFonts w:ascii="Times New Roman" w:hAnsi="Times New Roman" w:cs="Times New Roman"/>
          <w:sz w:val="24"/>
          <w:szCs w:val="24"/>
        </w:rPr>
      </w:pPr>
      <w:r w:rsidRPr="00FD4ACD">
        <w:rPr>
          <w:rFonts w:ascii="Times New Roman" w:hAnsi="Times New Roman" w:cs="Times New Roman"/>
          <w:sz w:val="24"/>
          <w:szCs w:val="24"/>
        </w:rPr>
        <w:t>La</w:t>
      </w:r>
      <w:r w:rsidR="00382EBF" w:rsidRPr="00FD4ACD">
        <w:rPr>
          <w:rFonts w:ascii="Times New Roman" w:hAnsi="Times New Roman" w:cs="Times New Roman"/>
          <w:sz w:val="24"/>
          <w:szCs w:val="24"/>
        </w:rPr>
        <w:t xml:space="preserve"> encuesta fue distribuida en línea </w:t>
      </w:r>
      <w:r w:rsidR="00B036A5" w:rsidRPr="00FD4ACD">
        <w:rPr>
          <w:rFonts w:ascii="Times New Roman" w:hAnsi="Times New Roman" w:cs="Times New Roman"/>
          <w:sz w:val="24"/>
          <w:szCs w:val="24"/>
        </w:rPr>
        <w:t xml:space="preserve">en una universidad </w:t>
      </w:r>
      <w:r w:rsidR="0048512E" w:rsidRPr="00FD4ACD">
        <w:rPr>
          <w:rFonts w:ascii="Times New Roman" w:hAnsi="Times New Roman" w:cs="Times New Roman"/>
          <w:sz w:val="24"/>
          <w:szCs w:val="24"/>
        </w:rPr>
        <w:t xml:space="preserve">pública al sureste </w:t>
      </w:r>
      <w:r w:rsidR="00B036A5" w:rsidRPr="00FD4ACD">
        <w:rPr>
          <w:rFonts w:ascii="Times New Roman" w:hAnsi="Times New Roman" w:cs="Times New Roman"/>
          <w:sz w:val="24"/>
          <w:szCs w:val="24"/>
        </w:rPr>
        <w:t>de Estados Unidos</w:t>
      </w:r>
      <w:r w:rsidR="00D6192B">
        <w:rPr>
          <w:rFonts w:ascii="Times New Roman" w:hAnsi="Times New Roman" w:cs="Times New Roman"/>
          <w:sz w:val="24"/>
          <w:szCs w:val="24"/>
        </w:rPr>
        <w:t>:</w:t>
      </w:r>
      <w:r w:rsidR="00B036A5" w:rsidRPr="00FD4ACD">
        <w:rPr>
          <w:rFonts w:ascii="Times New Roman" w:hAnsi="Times New Roman" w:cs="Times New Roman"/>
          <w:sz w:val="24"/>
          <w:szCs w:val="24"/>
        </w:rPr>
        <w:t xml:space="preserve"> 560 participantes la respondieron </w:t>
      </w:r>
      <w:r w:rsidRPr="00FD4ACD">
        <w:rPr>
          <w:rFonts w:ascii="Times New Roman" w:hAnsi="Times New Roman" w:cs="Times New Roman"/>
          <w:sz w:val="24"/>
          <w:szCs w:val="24"/>
        </w:rPr>
        <w:t>de forma voluntaria</w:t>
      </w:r>
      <w:r w:rsidR="00B036A5" w:rsidRPr="00FD4ACD">
        <w:rPr>
          <w:rFonts w:ascii="Times New Roman" w:hAnsi="Times New Roman" w:cs="Times New Roman"/>
          <w:sz w:val="24"/>
          <w:szCs w:val="24"/>
        </w:rPr>
        <w:t xml:space="preserve">. Estos participantes estaban inscritos en </w:t>
      </w:r>
      <w:r w:rsidR="005B2CF4" w:rsidRPr="00FD4ACD">
        <w:rPr>
          <w:rFonts w:ascii="Times New Roman" w:hAnsi="Times New Roman" w:cs="Times New Roman"/>
          <w:sz w:val="24"/>
          <w:szCs w:val="24"/>
        </w:rPr>
        <w:t xml:space="preserve">el primer año de </w:t>
      </w:r>
      <w:r w:rsidR="00BD2797" w:rsidRPr="00FD4ACD">
        <w:rPr>
          <w:rFonts w:ascii="Times New Roman" w:hAnsi="Times New Roman" w:cs="Times New Roman"/>
          <w:sz w:val="24"/>
          <w:szCs w:val="24"/>
        </w:rPr>
        <w:t>diversas</w:t>
      </w:r>
      <w:r w:rsidR="005B2CF4" w:rsidRPr="00FD4ACD">
        <w:rPr>
          <w:rFonts w:ascii="Times New Roman" w:hAnsi="Times New Roman" w:cs="Times New Roman"/>
          <w:sz w:val="24"/>
          <w:szCs w:val="24"/>
        </w:rPr>
        <w:t xml:space="preserve"> </w:t>
      </w:r>
      <w:r w:rsidR="00B036A5" w:rsidRPr="00FD4ACD">
        <w:rPr>
          <w:rFonts w:ascii="Times New Roman" w:hAnsi="Times New Roman" w:cs="Times New Roman"/>
          <w:sz w:val="24"/>
          <w:szCs w:val="24"/>
        </w:rPr>
        <w:t xml:space="preserve">carreras </w:t>
      </w:r>
      <w:r w:rsidR="00BD2797" w:rsidRPr="00FD4ACD">
        <w:rPr>
          <w:rFonts w:ascii="Times New Roman" w:hAnsi="Times New Roman" w:cs="Times New Roman"/>
          <w:sz w:val="24"/>
          <w:szCs w:val="24"/>
        </w:rPr>
        <w:t>relacionadas con la</w:t>
      </w:r>
      <w:r w:rsidR="00B036A5" w:rsidRPr="00FD4ACD">
        <w:rPr>
          <w:rFonts w:ascii="Times New Roman" w:hAnsi="Times New Roman" w:cs="Times New Roman"/>
          <w:sz w:val="24"/>
          <w:szCs w:val="24"/>
        </w:rPr>
        <w:t xml:space="preserve"> </w:t>
      </w:r>
      <w:r w:rsidR="005B2CF4" w:rsidRPr="00FD4ACD">
        <w:rPr>
          <w:rFonts w:ascii="Times New Roman" w:hAnsi="Times New Roman" w:cs="Times New Roman"/>
          <w:sz w:val="24"/>
          <w:szCs w:val="24"/>
        </w:rPr>
        <w:t xml:space="preserve">ciencia, tecnología, ingeniería </w:t>
      </w:r>
      <w:r w:rsidR="00BD2797" w:rsidRPr="00FD4ACD">
        <w:rPr>
          <w:rFonts w:ascii="Times New Roman" w:hAnsi="Times New Roman" w:cs="Times New Roman"/>
          <w:sz w:val="24"/>
          <w:szCs w:val="24"/>
        </w:rPr>
        <w:t>y</w:t>
      </w:r>
      <w:r w:rsidR="005B2CF4" w:rsidRPr="00FD4ACD">
        <w:rPr>
          <w:rFonts w:ascii="Times New Roman" w:hAnsi="Times New Roman" w:cs="Times New Roman"/>
          <w:sz w:val="24"/>
          <w:szCs w:val="24"/>
        </w:rPr>
        <w:t xml:space="preserve"> matemáticas</w:t>
      </w:r>
      <w:r w:rsidR="00724ECC">
        <w:rPr>
          <w:rFonts w:ascii="Times New Roman" w:hAnsi="Times New Roman" w:cs="Times New Roman"/>
          <w:sz w:val="24"/>
          <w:szCs w:val="24"/>
        </w:rPr>
        <w:t xml:space="preserve">. Respecto a </w:t>
      </w:r>
      <w:r w:rsidR="00F03637">
        <w:rPr>
          <w:rFonts w:ascii="Times New Roman" w:hAnsi="Times New Roman" w:cs="Times New Roman"/>
          <w:sz w:val="24"/>
          <w:szCs w:val="24"/>
        </w:rPr>
        <w:t>cuestiones de género,</w:t>
      </w:r>
      <w:r w:rsidR="005B2CF4" w:rsidRPr="00FD4ACD">
        <w:rPr>
          <w:rFonts w:ascii="Times New Roman" w:hAnsi="Times New Roman" w:cs="Times New Roman"/>
          <w:sz w:val="24"/>
          <w:szCs w:val="24"/>
        </w:rPr>
        <w:t xml:space="preserve"> </w:t>
      </w:r>
      <w:r w:rsidR="00F03637">
        <w:rPr>
          <w:rFonts w:ascii="Times New Roman" w:hAnsi="Times New Roman" w:cs="Times New Roman"/>
          <w:sz w:val="24"/>
          <w:szCs w:val="24"/>
        </w:rPr>
        <w:t xml:space="preserve">la muestra estuvo conformado por </w:t>
      </w:r>
      <w:r w:rsidR="005B2CF4" w:rsidRPr="00FD4ACD">
        <w:rPr>
          <w:rFonts w:ascii="Times New Roman" w:hAnsi="Times New Roman" w:cs="Times New Roman"/>
          <w:sz w:val="24"/>
          <w:szCs w:val="24"/>
        </w:rPr>
        <w:t xml:space="preserve">322 hombres y 238 mujeres. </w:t>
      </w:r>
      <w:r w:rsidR="007322EE">
        <w:rPr>
          <w:rFonts w:ascii="Times New Roman" w:hAnsi="Times New Roman" w:cs="Times New Roman"/>
          <w:sz w:val="24"/>
          <w:szCs w:val="24"/>
        </w:rPr>
        <w:t>Ahora bien, la</w:t>
      </w:r>
      <w:r w:rsidR="007322EE" w:rsidRPr="00FD4ACD">
        <w:rPr>
          <w:rFonts w:ascii="Times New Roman" w:hAnsi="Times New Roman" w:cs="Times New Roman"/>
          <w:sz w:val="24"/>
          <w:szCs w:val="24"/>
        </w:rPr>
        <w:t xml:space="preserve"> </w:t>
      </w:r>
      <w:r w:rsidR="005B2CF4" w:rsidRPr="00FD4ACD">
        <w:rPr>
          <w:rFonts w:ascii="Times New Roman" w:hAnsi="Times New Roman" w:cs="Times New Roman"/>
          <w:sz w:val="24"/>
          <w:szCs w:val="24"/>
        </w:rPr>
        <w:t>mayoría de los participantes eran caucásicos, con</w:t>
      </w:r>
      <w:r w:rsidR="002027A4">
        <w:rPr>
          <w:rFonts w:ascii="Times New Roman" w:hAnsi="Times New Roman" w:cs="Times New Roman"/>
          <w:sz w:val="24"/>
          <w:szCs w:val="24"/>
        </w:rPr>
        <w:t xml:space="preserve"> </w:t>
      </w:r>
      <w:r w:rsidR="005B2CF4" w:rsidRPr="00FD4ACD">
        <w:rPr>
          <w:rFonts w:ascii="Times New Roman" w:hAnsi="Times New Roman" w:cs="Times New Roman"/>
          <w:sz w:val="24"/>
          <w:szCs w:val="24"/>
        </w:rPr>
        <w:t>86</w:t>
      </w:r>
      <w:r w:rsidR="00852709">
        <w:rPr>
          <w:rFonts w:ascii="Times New Roman" w:hAnsi="Times New Roman" w:cs="Times New Roman"/>
          <w:sz w:val="24"/>
          <w:szCs w:val="24"/>
        </w:rPr>
        <w:t xml:space="preserve"> </w:t>
      </w:r>
      <w:r w:rsidR="005B2CF4" w:rsidRPr="00FD4ACD">
        <w:rPr>
          <w:rFonts w:ascii="Times New Roman" w:hAnsi="Times New Roman" w:cs="Times New Roman"/>
          <w:sz w:val="24"/>
          <w:szCs w:val="24"/>
        </w:rPr>
        <w:t>% de la muestra perteneciendo a est</w:t>
      </w:r>
      <w:r w:rsidR="0048512E" w:rsidRPr="00FD4ACD">
        <w:rPr>
          <w:rFonts w:ascii="Times New Roman" w:hAnsi="Times New Roman" w:cs="Times New Roman"/>
          <w:sz w:val="24"/>
          <w:szCs w:val="24"/>
        </w:rPr>
        <w:t>e grupo étnico</w:t>
      </w:r>
      <w:r w:rsidR="005B2CF4" w:rsidRPr="00FD4ACD">
        <w:rPr>
          <w:rFonts w:ascii="Times New Roman" w:hAnsi="Times New Roman" w:cs="Times New Roman"/>
          <w:sz w:val="24"/>
          <w:szCs w:val="24"/>
        </w:rPr>
        <w:t xml:space="preserve"> y 14</w:t>
      </w:r>
      <w:r w:rsidR="00852709">
        <w:rPr>
          <w:rFonts w:ascii="Times New Roman" w:hAnsi="Times New Roman" w:cs="Times New Roman"/>
          <w:sz w:val="24"/>
          <w:szCs w:val="24"/>
        </w:rPr>
        <w:t xml:space="preserve"> </w:t>
      </w:r>
      <w:r w:rsidR="005B2CF4" w:rsidRPr="00FD4ACD">
        <w:rPr>
          <w:rFonts w:ascii="Times New Roman" w:hAnsi="Times New Roman" w:cs="Times New Roman"/>
          <w:sz w:val="24"/>
          <w:szCs w:val="24"/>
        </w:rPr>
        <w:t>% restante estaba compuesto por af</w:t>
      </w:r>
      <w:r w:rsidRPr="00FD4ACD">
        <w:rPr>
          <w:rFonts w:ascii="Times New Roman" w:hAnsi="Times New Roman" w:cs="Times New Roman"/>
          <w:sz w:val="24"/>
          <w:szCs w:val="24"/>
        </w:rPr>
        <w:t>ro</w:t>
      </w:r>
      <w:r w:rsidR="005B2CF4" w:rsidRPr="00FD4ACD">
        <w:rPr>
          <w:rFonts w:ascii="Times New Roman" w:hAnsi="Times New Roman" w:cs="Times New Roman"/>
          <w:sz w:val="24"/>
          <w:szCs w:val="24"/>
        </w:rPr>
        <w:t>americanos, latinos y asiáticos.</w:t>
      </w:r>
      <w:r w:rsidRPr="00FD4ACD">
        <w:rPr>
          <w:rFonts w:ascii="Times New Roman" w:hAnsi="Times New Roman" w:cs="Times New Roman"/>
          <w:sz w:val="24"/>
          <w:szCs w:val="24"/>
        </w:rPr>
        <w:t xml:space="preserve"> </w:t>
      </w:r>
      <w:r w:rsidR="00852709">
        <w:rPr>
          <w:rFonts w:ascii="Times New Roman" w:hAnsi="Times New Roman" w:cs="Times New Roman"/>
          <w:sz w:val="24"/>
          <w:szCs w:val="24"/>
        </w:rPr>
        <w:t>Cabe señalar que esta distribución</w:t>
      </w:r>
      <w:r w:rsidR="00425593">
        <w:rPr>
          <w:rFonts w:ascii="Times New Roman" w:hAnsi="Times New Roman" w:cs="Times New Roman"/>
          <w:sz w:val="24"/>
          <w:szCs w:val="24"/>
        </w:rPr>
        <w:t xml:space="preserve"> tanto étnica como de género</w:t>
      </w:r>
      <w:r w:rsidRPr="00FD4ACD">
        <w:rPr>
          <w:rFonts w:ascii="Times New Roman" w:hAnsi="Times New Roman" w:cs="Times New Roman"/>
          <w:sz w:val="24"/>
          <w:szCs w:val="24"/>
        </w:rPr>
        <w:t xml:space="preserve"> representa</w:t>
      </w:r>
      <w:r w:rsidR="00852709">
        <w:rPr>
          <w:rFonts w:ascii="Times New Roman" w:hAnsi="Times New Roman" w:cs="Times New Roman"/>
          <w:sz w:val="24"/>
          <w:szCs w:val="24"/>
        </w:rPr>
        <w:t>ba al momento de la recolección de la información</w:t>
      </w:r>
      <w:r w:rsidRPr="00FD4ACD">
        <w:rPr>
          <w:rFonts w:ascii="Times New Roman" w:hAnsi="Times New Roman" w:cs="Times New Roman"/>
          <w:sz w:val="24"/>
          <w:szCs w:val="24"/>
        </w:rPr>
        <w:t xml:space="preserve"> las características demográficas de toda la universidad de forma correcta, ya que la mayoría de la población total de dicha universidad esta</w:t>
      </w:r>
      <w:r w:rsidR="00884F0D" w:rsidRPr="00FD4ACD">
        <w:rPr>
          <w:rFonts w:ascii="Times New Roman" w:hAnsi="Times New Roman" w:cs="Times New Roman"/>
          <w:sz w:val="24"/>
          <w:szCs w:val="24"/>
        </w:rPr>
        <w:t>ba</w:t>
      </w:r>
      <w:r w:rsidRPr="00FD4ACD">
        <w:rPr>
          <w:rFonts w:ascii="Times New Roman" w:hAnsi="Times New Roman" w:cs="Times New Roman"/>
          <w:sz w:val="24"/>
          <w:szCs w:val="24"/>
        </w:rPr>
        <w:t xml:space="preserve"> compuesta por estudiantes caucásicos</w:t>
      </w:r>
      <w:r w:rsidR="00884F0D" w:rsidRPr="00FD4ACD">
        <w:rPr>
          <w:rFonts w:ascii="Times New Roman" w:hAnsi="Times New Roman" w:cs="Times New Roman"/>
          <w:sz w:val="24"/>
          <w:szCs w:val="24"/>
        </w:rPr>
        <w:t>,</w:t>
      </w:r>
      <w:r w:rsidRPr="00FD4ACD">
        <w:rPr>
          <w:rFonts w:ascii="Times New Roman" w:hAnsi="Times New Roman" w:cs="Times New Roman"/>
          <w:sz w:val="24"/>
          <w:szCs w:val="24"/>
        </w:rPr>
        <w:t xml:space="preserve"> y había mayoría de hombres en las carreras. </w:t>
      </w:r>
      <w:r w:rsidR="000807A6" w:rsidRPr="00FD4ACD">
        <w:rPr>
          <w:rFonts w:ascii="Times New Roman" w:hAnsi="Times New Roman" w:cs="Times New Roman"/>
          <w:sz w:val="24"/>
          <w:szCs w:val="24"/>
        </w:rPr>
        <w:t>Est</w:t>
      </w:r>
      <w:r w:rsidR="00921427" w:rsidRPr="00FD4ACD">
        <w:rPr>
          <w:rFonts w:ascii="Times New Roman" w:hAnsi="Times New Roman" w:cs="Times New Roman"/>
          <w:sz w:val="24"/>
          <w:szCs w:val="24"/>
        </w:rPr>
        <w:t xml:space="preserve">a diferencia tan marcada en el género de los estudiantes en las carreras de ciencia, tecnología, ingeniería y matemáticas está documentada en la literatura </w:t>
      </w:r>
      <w:r w:rsidR="00921427" w:rsidRPr="00FD4ACD">
        <w:rPr>
          <w:rFonts w:ascii="Times New Roman" w:hAnsi="Times New Roman" w:cs="Times New Roman"/>
          <w:sz w:val="24"/>
          <w:szCs w:val="24"/>
        </w:rPr>
        <w:fldChar w:fldCharType="begin" w:fldLock="1"/>
      </w:r>
      <w:r w:rsidR="0096183A">
        <w:rPr>
          <w:rFonts w:ascii="Times New Roman" w:hAnsi="Times New Roman" w:cs="Times New Roman"/>
          <w:sz w:val="24"/>
          <w:szCs w:val="24"/>
        </w:rPr>
        <w:instrText>ADDIN CSL_CITATION {"citationItems":[{"id":"ITEM-1","itemData":{"DOI":"10.1002/j.2168-9830.2007.tb00913.x","ISBN":"10694730","ISSN":"10694730","abstract":"This research examines demographic, academic, attitudinal, and experiential data from the Cooperative Institutional Research Program (CIRP) for over 12,000 students at two universities to test a methodology for identifying variables showing significant differences between students intending to major in science, technology, engineering, or mathematics (STEM) versus non-STEM subjects. The methodology utilizes basic statistical techniques to identify significant differences between STEM and non-STEM students within seven population subgroups based upon school attended, race/ethnicity, and gender. The value of individual variables is assessed by how consistently significant differences are found across the subgroups. The variables found to be most valuable in identifying STEM students reflect both quantitative and qualitative measures. Quantitative measures of academic ability such as SAT mathematics score, high school grade point average, and to a lesser extent SAT verbal score are all indicators. Qualitative measures including self-ratings of mathematical ability, computer skills, and academic ability are also good indicators. [ABSTRACT FROM AUTHOR]\\nCopyright of Journal of Engineering Education is the property of ASEE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Abstracts.)","author":[{"dropping-particle":"","family":"Nicholls","given":"Gillian M.","non-dropping-particle":"","parse-names":false,"suffix":""},{"dropping-particle":"","family":"Wolfe","given":"Harvey","non-dropping-particle":"","parse-names":false,"suffix":""},{"dropping-particle":"","family":"Besterfield-Sacre","given":"Mary","non-dropping-particle":"","parse-names":false,"suffix":""},{"dropping-particle":"","family":"Shuman","given":"Larry J.","non-dropping-particle":"","parse-names":false,"suffix":""},{"dropping-particle":"","family":"Larpkiattaworn","given":"Siripen","non-dropping-particle":"","parse-names":false,"suffix":""}],"container-title":"Journal of Engineering Education","id":"ITEM-1","issue":"January","issued":{"date-parts":[["2007"]]},"page":"33-44","title":"A Method for Identifying Variables for Predicting STEM Enrollment","type":"article-journal","volume":"96"},"uris":["http://www.mendeley.com/documents/?uuid=8a8cdb66-9af8-480e-99a5-f44c39c814ab"]},{"id":"ITEM-2","itemData":{"DOI":"10.1002/j.2168-9830.2011.tb00012.x","ISBN":"10694730","ISSN":"1069-4730","PMID":"62286539","abstract":"BACKGROUND Concern for workforce needs, social justice, and the diversification of the engineering profession make it critical to understand how different metrics may overestimate or underestimate the success of various race-gender populations in engineering. PURPOSE(HYPOTHESIS) While earlier work found that women in nearly all racial groups persist to the eighth semester at rates comparable to men, results vary in studies that use other measures of success, providing an incentive to compare multiple measures of success in the same population. DESIGN/METHOD The eight-semester persistence and six-year graduation rates are compared for various race-gender popu- lations using a longitudinal, comprehensive dataset of more than 75,000 students matriculating in engi- neering at nine universities from 1988–1998. RESULTS Gender differences in persistence of Asian, Black, Hispanic, Native American, and White students are far outweighed by institutional differences. Racial differences are more pronounced, however, revealing some patterns that transcend institutional differences. CONCLUSIONS Our work demonstrates that trajectories of persistence are non-linear, gendered, and racialized, and fur- ther that higher education has developed the way in which persistence is studied based on the behavior of the majority, specificallly the White, male population. Even if institutions were to treat all students equal- ly, the outcomes will not necessarily be the same because various populations respond differently to the same conditions. Using eight-semester persistence may result in a “systematic majority measurement bias.” Therefore, multiple measures may be needed to describe outcomes in diverse populations.","author":[{"dropping-particle":"","family":"Ohland","given":"Matthew W.","non-dropping-particle":"","parse-names":false,"suffix":""},{"dropping-particle":"","family":"Brawner","given":"Catherine E.","non-dropping-particle":"","parse-names":false,"suffix":""},{"dropping-particle":"","family":"Camacho","given":"Michelle M.","non-dropping-particle":"","parse-names":false,"suffix":""},{"dropping-particle":"","family":"Layton","given":"Richard a.","non-dropping-particle":"","parse-names":false,"suffix":""},{"dropping-particle":"","family":"Long","given":"Russel a.","non-dropping-particle":"","parse-names":false,"suffix":""},{"dropping-particle":"","family":"Lord","given":"Susan M.","non-dropping-particle":"","parse-names":false,"suffix":""},{"dropping-particle":"","family":"Wasburn","given":"Mara H.","non-dropping-particle":"","parse-names":false,"suffix":""}],"container-title":"Journal of Engineering Education","id":"ITEM-2","issue":"2","issued":{"date-parts":[["2011"]]},"page":"225-252","title":"Race, gender, and measures of success in engineering education","type":"article-journal","volume":"100"},"uris":["http://www.mendeley.com/documents/?uuid=91239005-9d38-4e3b-bde1-fd4155d51a25"]}],"mendeley":{"formattedCitation":"(Nicholls et al., 2007; Ohland et al., 2011)","plainTextFormattedCitation":"(Nicholls et al., 2007; Ohland et al., 2011)","previouslyFormattedCitation":"(Nicholls et al., 2007; Ohland et al., 2011)"},"properties":{"noteIndex":0},"schema":"https://github.com/citation-style-language/schema/raw/master/csl-citation.json"}</w:instrText>
      </w:r>
      <w:r w:rsidR="00921427" w:rsidRPr="00FD4ACD">
        <w:rPr>
          <w:rFonts w:ascii="Times New Roman" w:hAnsi="Times New Roman" w:cs="Times New Roman"/>
          <w:sz w:val="24"/>
          <w:szCs w:val="24"/>
        </w:rPr>
        <w:fldChar w:fldCharType="separate"/>
      </w:r>
      <w:r w:rsidR="00921427" w:rsidRPr="00FD4ACD">
        <w:rPr>
          <w:rFonts w:ascii="Times New Roman" w:hAnsi="Times New Roman" w:cs="Times New Roman"/>
          <w:noProof/>
          <w:sz w:val="24"/>
          <w:szCs w:val="24"/>
        </w:rPr>
        <w:t xml:space="preserve">(Nicholls </w:t>
      </w:r>
      <w:r w:rsidR="00921427" w:rsidRPr="00514B68">
        <w:rPr>
          <w:rFonts w:ascii="Times New Roman" w:hAnsi="Times New Roman" w:cs="Times New Roman"/>
          <w:i/>
          <w:noProof/>
          <w:sz w:val="24"/>
          <w:szCs w:val="24"/>
        </w:rPr>
        <w:t>et al.</w:t>
      </w:r>
      <w:r w:rsidR="00921427" w:rsidRPr="00FD4ACD">
        <w:rPr>
          <w:rFonts w:ascii="Times New Roman" w:hAnsi="Times New Roman" w:cs="Times New Roman"/>
          <w:noProof/>
          <w:sz w:val="24"/>
          <w:szCs w:val="24"/>
        </w:rPr>
        <w:t xml:space="preserve">, 2007; Ohland </w:t>
      </w:r>
      <w:r w:rsidR="00921427" w:rsidRPr="00514B68">
        <w:rPr>
          <w:rFonts w:ascii="Times New Roman" w:hAnsi="Times New Roman" w:cs="Times New Roman"/>
          <w:i/>
          <w:noProof/>
          <w:sz w:val="24"/>
          <w:szCs w:val="24"/>
        </w:rPr>
        <w:t>et al</w:t>
      </w:r>
      <w:r w:rsidR="00921427" w:rsidRPr="00FD4ACD">
        <w:rPr>
          <w:rFonts w:ascii="Times New Roman" w:hAnsi="Times New Roman" w:cs="Times New Roman"/>
          <w:noProof/>
          <w:sz w:val="24"/>
          <w:szCs w:val="24"/>
        </w:rPr>
        <w:t>., 2011)</w:t>
      </w:r>
      <w:r w:rsidR="00921427" w:rsidRPr="00FD4ACD">
        <w:rPr>
          <w:rFonts w:ascii="Times New Roman" w:hAnsi="Times New Roman" w:cs="Times New Roman"/>
          <w:sz w:val="24"/>
          <w:szCs w:val="24"/>
        </w:rPr>
        <w:fldChar w:fldCharType="end"/>
      </w:r>
      <w:r w:rsidR="00921427" w:rsidRPr="00FD4ACD">
        <w:rPr>
          <w:rFonts w:ascii="Times New Roman" w:hAnsi="Times New Roman" w:cs="Times New Roman"/>
          <w:sz w:val="24"/>
          <w:szCs w:val="24"/>
        </w:rPr>
        <w:t xml:space="preserve"> y</w:t>
      </w:r>
      <w:r w:rsidR="007322EE">
        <w:rPr>
          <w:rFonts w:ascii="Times New Roman" w:hAnsi="Times New Roman" w:cs="Times New Roman"/>
          <w:sz w:val="24"/>
          <w:szCs w:val="24"/>
        </w:rPr>
        <w:t>, por tanto,</w:t>
      </w:r>
      <w:r w:rsidR="00921427" w:rsidRPr="00FD4ACD">
        <w:rPr>
          <w:rFonts w:ascii="Times New Roman" w:hAnsi="Times New Roman" w:cs="Times New Roman"/>
          <w:sz w:val="24"/>
          <w:szCs w:val="24"/>
        </w:rPr>
        <w:t xml:space="preserve"> era una diferencia esperada en la muestra para este estudio.</w:t>
      </w:r>
      <w:r w:rsidR="00921427">
        <w:rPr>
          <w:rFonts w:ascii="Times New Roman" w:hAnsi="Times New Roman" w:cs="Times New Roman"/>
          <w:sz w:val="24"/>
          <w:szCs w:val="24"/>
        </w:rPr>
        <w:t xml:space="preserve">    </w:t>
      </w:r>
    </w:p>
    <w:p w14:paraId="5330DFA4" w14:textId="22D5EB82" w:rsidR="00D23142" w:rsidRDefault="009E32EE" w:rsidP="00514B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un mejor análisis que permitiera responder de forma clara </w:t>
      </w:r>
      <w:r w:rsidR="006F59DC">
        <w:rPr>
          <w:rFonts w:ascii="Times New Roman" w:hAnsi="Times New Roman" w:cs="Times New Roman"/>
          <w:sz w:val="24"/>
          <w:szCs w:val="24"/>
        </w:rPr>
        <w:t xml:space="preserve">a </w:t>
      </w:r>
      <w:r>
        <w:rPr>
          <w:rFonts w:ascii="Times New Roman" w:hAnsi="Times New Roman" w:cs="Times New Roman"/>
          <w:sz w:val="24"/>
          <w:szCs w:val="24"/>
        </w:rPr>
        <w:t xml:space="preserve">la pregunta de investigación, la información recolectada se clasificó en diferentes grupos </w:t>
      </w:r>
      <w:proofErr w:type="gramStart"/>
      <w:r>
        <w:rPr>
          <w:rFonts w:ascii="Times New Roman" w:hAnsi="Times New Roman" w:cs="Times New Roman"/>
          <w:sz w:val="24"/>
          <w:szCs w:val="24"/>
        </w:rPr>
        <w:t>d</w:t>
      </w:r>
      <w:r w:rsidR="00B55A2B">
        <w:rPr>
          <w:rFonts w:ascii="Times New Roman" w:hAnsi="Times New Roman" w:cs="Times New Roman"/>
          <w:sz w:val="24"/>
          <w:szCs w:val="24"/>
        </w:rPr>
        <w:t>e</w:t>
      </w:r>
      <w:r>
        <w:rPr>
          <w:rFonts w:ascii="Times New Roman" w:hAnsi="Times New Roman" w:cs="Times New Roman"/>
          <w:sz w:val="24"/>
          <w:szCs w:val="24"/>
        </w:rPr>
        <w:t xml:space="preserve"> acuerdo a</w:t>
      </w:r>
      <w:proofErr w:type="gramEnd"/>
      <w:r>
        <w:rPr>
          <w:rFonts w:ascii="Times New Roman" w:hAnsi="Times New Roman" w:cs="Times New Roman"/>
          <w:sz w:val="24"/>
          <w:szCs w:val="24"/>
        </w:rPr>
        <w:t xml:space="preserve"> los diferentes niveles de habilidades matemáticas de los participantes</w:t>
      </w:r>
      <w:r w:rsidR="00091568">
        <w:rPr>
          <w:rFonts w:ascii="Times New Roman" w:hAnsi="Times New Roman" w:cs="Times New Roman"/>
          <w:sz w:val="24"/>
          <w:szCs w:val="24"/>
        </w:rPr>
        <w:t xml:space="preserve"> (ver </w:t>
      </w:r>
      <w:r w:rsidR="006F59DC">
        <w:rPr>
          <w:rFonts w:ascii="Times New Roman" w:hAnsi="Times New Roman" w:cs="Times New Roman"/>
          <w:sz w:val="24"/>
          <w:szCs w:val="24"/>
        </w:rPr>
        <w:t xml:space="preserve">tabla </w:t>
      </w:r>
      <w:r w:rsidR="00091568">
        <w:rPr>
          <w:rFonts w:ascii="Times New Roman" w:hAnsi="Times New Roman" w:cs="Times New Roman"/>
          <w:sz w:val="24"/>
          <w:szCs w:val="24"/>
        </w:rPr>
        <w:t>1)</w:t>
      </w:r>
      <w:r>
        <w:rPr>
          <w:rFonts w:ascii="Times New Roman" w:hAnsi="Times New Roman" w:cs="Times New Roman"/>
          <w:sz w:val="24"/>
          <w:szCs w:val="24"/>
        </w:rPr>
        <w:t xml:space="preserve">. Estos grupos permitieron encontrar las diferencias entre participantes con habilidades matemáticas bajas y altas, </w:t>
      </w:r>
      <w:r w:rsidR="00DC599E">
        <w:rPr>
          <w:rFonts w:ascii="Times New Roman" w:hAnsi="Times New Roman" w:cs="Times New Roman"/>
          <w:sz w:val="24"/>
          <w:szCs w:val="24"/>
        </w:rPr>
        <w:t xml:space="preserve">y facilitaron </w:t>
      </w:r>
      <w:r>
        <w:rPr>
          <w:rFonts w:ascii="Times New Roman" w:hAnsi="Times New Roman" w:cs="Times New Roman"/>
          <w:sz w:val="24"/>
          <w:szCs w:val="24"/>
        </w:rPr>
        <w:t xml:space="preserve">el análisis de la información y la comparación de los resultados. </w:t>
      </w:r>
      <w:r w:rsidR="00DC599E">
        <w:rPr>
          <w:rFonts w:ascii="Times New Roman" w:hAnsi="Times New Roman" w:cs="Times New Roman"/>
          <w:sz w:val="24"/>
          <w:szCs w:val="24"/>
        </w:rPr>
        <w:lastRenderedPageBreak/>
        <w:t xml:space="preserve">Asimismo, se </w:t>
      </w:r>
      <w:r>
        <w:rPr>
          <w:rFonts w:ascii="Times New Roman" w:hAnsi="Times New Roman" w:cs="Times New Roman"/>
          <w:sz w:val="24"/>
          <w:szCs w:val="24"/>
        </w:rPr>
        <w:t xml:space="preserve">utilizó </w:t>
      </w:r>
      <w:r w:rsidR="00B55A2B">
        <w:rPr>
          <w:rFonts w:ascii="Times New Roman" w:hAnsi="Times New Roman" w:cs="Times New Roman"/>
          <w:sz w:val="24"/>
          <w:szCs w:val="24"/>
        </w:rPr>
        <w:t>el</w:t>
      </w:r>
      <w:r>
        <w:rPr>
          <w:rFonts w:ascii="Times New Roman" w:hAnsi="Times New Roman" w:cs="Times New Roman"/>
          <w:sz w:val="24"/>
          <w:szCs w:val="24"/>
        </w:rPr>
        <w:t xml:space="preserve"> Clemson Mathematics Placement Test (CMPT) para estimar las habilidades matemáticas de los participantes</w:t>
      </w:r>
      <w:r w:rsidR="00DC599E">
        <w:rPr>
          <w:rFonts w:ascii="Times New Roman" w:hAnsi="Times New Roman" w:cs="Times New Roman"/>
          <w:sz w:val="24"/>
          <w:szCs w:val="24"/>
        </w:rPr>
        <w:t>: se colocó</w:t>
      </w:r>
      <w:r>
        <w:rPr>
          <w:rFonts w:ascii="Times New Roman" w:hAnsi="Times New Roman" w:cs="Times New Roman"/>
          <w:sz w:val="24"/>
          <w:szCs w:val="24"/>
        </w:rPr>
        <w:t xml:space="preserve"> a los participantes con calificación menor de 80 en el grupo de habilidades matemáticas bajas y a los que </w:t>
      </w:r>
      <w:r w:rsidR="00741C3B">
        <w:rPr>
          <w:rFonts w:ascii="Times New Roman" w:hAnsi="Times New Roman" w:cs="Times New Roman"/>
          <w:sz w:val="24"/>
          <w:szCs w:val="24"/>
        </w:rPr>
        <w:t>obtuvieron un</w:t>
      </w:r>
      <w:r>
        <w:rPr>
          <w:rFonts w:ascii="Times New Roman" w:hAnsi="Times New Roman" w:cs="Times New Roman"/>
          <w:sz w:val="24"/>
          <w:szCs w:val="24"/>
        </w:rPr>
        <w:t xml:space="preserve"> 80 o mayor en el grupo de habilidades matemáticas altas. </w:t>
      </w:r>
    </w:p>
    <w:p w14:paraId="15006ABA" w14:textId="5E14D68A" w:rsidR="00561161" w:rsidRDefault="009E32EE" w:rsidP="00514B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CMPT es un examen diagn</w:t>
      </w:r>
      <w:r w:rsidR="00D23142">
        <w:rPr>
          <w:rFonts w:ascii="Times New Roman" w:hAnsi="Times New Roman" w:cs="Times New Roman"/>
          <w:sz w:val="24"/>
          <w:szCs w:val="24"/>
        </w:rPr>
        <w:t>ó</w:t>
      </w:r>
      <w:r>
        <w:rPr>
          <w:rFonts w:ascii="Times New Roman" w:hAnsi="Times New Roman" w:cs="Times New Roman"/>
          <w:sz w:val="24"/>
          <w:szCs w:val="24"/>
        </w:rPr>
        <w:t>stico obligatorio que ubica a los estudiantes de nuevo ingreso en el curso de matemáticas más adecuado según el nivel de sus habilidades matemáticas al ingresar a la universidad. El examen se toma en línea y evalúa las habilidades matemáticas de los estudiantes con una escala del 1 al 100 con incrementos de un punto.</w:t>
      </w:r>
      <w:r w:rsidR="00091568">
        <w:rPr>
          <w:rFonts w:ascii="Times New Roman" w:hAnsi="Times New Roman" w:cs="Times New Roman"/>
          <w:sz w:val="24"/>
          <w:szCs w:val="24"/>
        </w:rPr>
        <w:t xml:space="preserve"> </w:t>
      </w:r>
      <w:r w:rsidR="00D752FB">
        <w:rPr>
          <w:rFonts w:ascii="Times New Roman" w:hAnsi="Times New Roman" w:cs="Times New Roman"/>
          <w:sz w:val="24"/>
          <w:szCs w:val="24"/>
        </w:rPr>
        <w:t xml:space="preserve">Adicionalmente, se separaron los participantes en dos grupos dependiendo de su </w:t>
      </w:r>
      <w:r w:rsidR="0048512E">
        <w:rPr>
          <w:rFonts w:ascii="Times New Roman" w:hAnsi="Times New Roman" w:cs="Times New Roman"/>
          <w:sz w:val="24"/>
          <w:szCs w:val="24"/>
        </w:rPr>
        <w:t xml:space="preserve">género </w:t>
      </w:r>
      <w:r w:rsidR="00091568">
        <w:rPr>
          <w:rFonts w:ascii="Times New Roman" w:hAnsi="Times New Roman" w:cs="Times New Roman"/>
          <w:sz w:val="24"/>
          <w:szCs w:val="24"/>
        </w:rPr>
        <w:t>para</w:t>
      </w:r>
      <w:r w:rsidR="00D752FB">
        <w:rPr>
          <w:rFonts w:ascii="Times New Roman" w:hAnsi="Times New Roman" w:cs="Times New Roman"/>
          <w:sz w:val="24"/>
          <w:szCs w:val="24"/>
        </w:rPr>
        <w:t xml:space="preserve"> realizar un análisis más a fondo sobre las diferencias que pudieran existir entre mujeres y hombres al momento de seleccionar una ingeniería como su carrera profesional</w:t>
      </w:r>
      <w:r w:rsidR="00091568">
        <w:rPr>
          <w:rFonts w:ascii="Times New Roman" w:hAnsi="Times New Roman" w:cs="Times New Roman"/>
          <w:sz w:val="24"/>
          <w:szCs w:val="24"/>
        </w:rPr>
        <w:t xml:space="preserve"> (ver </w:t>
      </w:r>
      <w:r w:rsidR="00FB12F6">
        <w:rPr>
          <w:rFonts w:ascii="Times New Roman" w:hAnsi="Times New Roman" w:cs="Times New Roman"/>
          <w:sz w:val="24"/>
          <w:szCs w:val="24"/>
        </w:rPr>
        <w:t>t</w:t>
      </w:r>
      <w:r w:rsidR="00091568">
        <w:rPr>
          <w:rFonts w:ascii="Times New Roman" w:hAnsi="Times New Roman" w:cs="Times New Roman"/>
          <w:sz w:val="24"/>
          <w:szCs w:val="24"/>
        </w:rPr>
        <w:t>abla 1)</w:t>
      </w:r>
      <w:r w:rsidR="00D752FB">
        <w:rPr>
          <w:rFonts w:ascii="Times New Roman" w:hAnsi="Times New Roman" w:cs="Times New Roman"/>
          <w:sz w:val="24"/>
          <w:szCs w:val="24"/>
        </w:rPr>
        <w:t>.</w:t>
      </w:r>
    </w:p>
    <w:p w14:paraId="1816DBC8" w14:textId="77777777" w:rsidR="0006428E" w:rsidRDefault="0006428E" w:rsidP="0006428E">
      <w:pPr>
        <w:spacing w:after="0" w:line="360" w:lineRule="auto"/>
        <w:jc w:val="both"/>
        <w:rPr>
          <w:rFonts w:ascii="Times New Roman" w:hAnsi="Times New Roman" w:cs="Times New Roman"/>
          <w:sz w:val="24"/>
          <w:szCs w:val="24"/>
        </w:rPr>
      </w:pPr>
    </w:p>
    <w:p w14:paraId="4C0B145F" w14:textId="60774CB7" w:rsidR="00561161" w:rsidRPr="00010735" w:rsidRDefault="00561161" w:rsidP="00514B68">
      <w:pPr>
        <w:spacing w:after="0" w:line="360" w:lineRule="auto"/>
        <w:jc w:val="center"/>
        <w:rPr>
          <w:rFonts w:ascii="Times New Roman" w:hAnsi="Times New Roman" w:cs="Times New Roman"/>
          <w:b/>
          <w:sz w:val="24"/>
          <w:szCs w:val="24"/>
        </w:rPr>
      </w:pPr>
      <w:r w:rsidRPr="000F7B0F">
        <w:rPr>
          <w:rFonts w:ascii="Times New Roman" w:hAnsi="Times New Roman" w:cs="Times New Roman"/>
          <w:noProof/>
          <w:sz w:val="24"/>
          <w:szCs w:val="24"/>
          <w:lang w:val="es-ES_tradnl" w:eastAsia="es-ES_tradnl"/>
        </w:rPr>
        <mc:AlternateContent>
          <mc:Choice Requires="wps">
            <w:drawing>
              <wp:anchor distT="0" distB="0" distL="114300" distR="114300" simplePos="0" relativeHeight="251670528" behindDoc="0" locked="0" layoutInCell="1" allowOverlap="1" wp14:anchorId="7ABB1CC7" wp14:editId="774BEC23">
                <wp:simplePos x="0" y="0"/>
                <wp:positionH relativeFrom="column">
                  <wp:posOffset>-132715</wp:posOffset>
                </wp:positionH>
                <wp:positionV relativeFrom="paragraph">
                  <wp:posOffset>469265</wp:posOffset>
                </wp:positionV>
                <wp:extent cx="5600700" cy="7620"/>
                <wp:effectExtent l="0" t="0" r="19050" b="30480"/>
                <wp:wrapNone/>
                <wp:docPr id="5" name="Conector recto 5"/>
                <wp:cNvGraphicFramePr/>
                <a:graphic xmlns:a="http://schemas.openxmlformats.org/drawingml/2006/main">
                  <a:graphicData uri="http://schemas.microsoft.com/office/word/2010/wordprocessingShape">
                    <wps:wsp>
                      <wps:cNvCnPr/>
                      <wps:spPr>
                        <a:xfrm>
                          <a:off x="0" y="0"/>
                          <a:ext cx="5600700" cy="762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81F8BE" id="Conector recto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5pt,36.95pt" to="430.5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" strokecolor="black [3200]" strokeweight=".5pt">
                <v:stroke joinstyle="miter"/>
              </v:line>
            </w:pict>
          </mc:Fallback>
        </mc:AlternateContent>
      </w:r>
      <w:r w:rsidRPr="00010735">
        <w:rPr>
          <w:rFonts w:ascii="Times New Roman" w:hAnsi="Times New Roman" w:cs="Times New Roman"/>
          <w:b/>
          <w:sz w:val="24"/>
          <w:szCs w:val="24"/>
        </w:rPr>
        <w:t>T</w:t>
      </w:r>
      <w:r w:rsidR="0006428E" w:rsidRPr="00010735">
        <w:rPr>
          <w:rFonts w:ascii="Times New Roman" w:hAnsi="Times New Roman" w:cs="Times New Roman"/>
          <w:b/>
          <w:sz w:val="24"/>
          <w:szCs w:val="24"/>
        </w:rPr>
        <w:t>abla</w:t>
      </w:r>
      <w:r w:rsidRPr="00010735">
        <w:rPr>
          <w:rFonts w:ascii="Times New Roman" w:hAnsi="Times New Roman" w:cs="Times New Roman"/>
          <w:b/>
          <w:sz w:val="24"/>
          <w:szCs w:val="24"/>
        </w:rPr>
        <w:t xml:space="preserve"> 1</w:t>
      </w:r>
      <w:r w:rsidR="0006428E">
        <w:rPr>
          <w:rFonts w:ascii="Times New Roman" w:hAnsi="Times New Roman" w:cs="Times New Roman"/>
          <w:b/>
          <w:sz w:val="24"/>
          <w:szCs w:val="24"/>
        </w:rPr>
        <w:t xml:space="preserve">. </w:t>
      </w:r>
      <w:r>
        <w:rPr>
          <w:rFonts w:ascii="Times New Roman" w:hAnsi="Times New Roman" w:cs="Times New Roman"/>
          <w:sz w:val="24"/>
          <w:szCs w:val="24"/>
        </w:rPr>
        <w:t>Clasificación de los participantes según sus habilidades matemáticas</w:t>
      </w:r>
      <w:r w:rsidR="00D752FB">
        <w:rPr>
          <w:rFonts w:ascii="Times New Roman" w:hAnsi="Times New Roman" w:cs="Times New Roman"/>
          <w:sz w:val="24"/>
          <w:szCs w:val="24"/>
        </w:rPr>
        <w:t xml:space="preserve"> y </w:t>
      </w:r>
      <w:r w:rsidR="0048512E">
        <w:rPr>
          <w:rFonts w:ascii="Times New Roman" w:hAnsi="Times New Roman" w:cs="Times New Roman"/>
          <w:sz w:val="24"/>
          <w:szCs w:val="24"/>
        </w:rPr>
        <w:t>género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576"/>
        <w:gridCol w:w="2567"/>
        <w:gridCol w:w="1462"/>
      </w:tblGrid>
      <w:tr w:rsidR="00561161" w:rsidRPr="0006428E" w14:paraId="45831507" w14:textId="77777777" w:rsidTr="00D752FB">
        <w:trPr>
          <w:jc w:val="center"/>
        </w:trPr>
        <w:tc>
          <w:tcPr>
            <w:tcW w:w="2689" w:type="dxa"/>
          </w:tcPr>
          <w:p w14:paraId="60196032" w14:textId="77777777" w:rsidR="00561161" w:rsidRPr="00514B68" w:rsidRDefault="00561161" w:rsidP="0006428E">
            <w:pPr>
              <w:spacing w:line="360" w:lineRule="auto"/>
              <w:jc w:val="center"/>
              <w:rPr>
                <w:rFonts w:ascii="Times New Roman" w:hAnsi="Times New Roman" w:cs="Times New Roman"/>
                <w:sz w:val="24"/>
                <w:szCs w:val="24"/>
              </w:rPr>
            </w:pPr>
          </w:p>
        </w:tc>
        <w:tc>
          <w:tcPr>
            <w:tcW w:w="551" w:type="dxa"/>
          </w:tcPr>
          <w:p w14:paraId="488C3648" w14:textId="77777777" w:rsidR="00561161" w:rsidRPr="00514B68" w:rsidRDefault="00561161" w:rsidP="0006428E">
            <w:pPr>
              <w:spacing w:line="360" w:lineRule="auto"/>
              <w:jc w:val="center"/>
              <w:rPr>
                <w:rFonts w:ascii="Times New Roman" w:hAnsi="Times New Roman" w:cs="Times New Roman"/>
                <w:b/>
                <w:sz w:val="24"/>
                <w:szCs w:val="24"/>
                <w:lang w:val="en-US"/>
              </w:rPr>
            </w:pPr>
            <w:r w:rsidRPr="00514B68">
              <w:rPr>
                <w:rFonts w:ascii="Times New Roman" w:hAnsi="Times New Roman" w:cs="Times New Roman"/>
                <w:b/>
                <w:sz w:val="24"/>
                <w:szCs w:val="24"/>
                <w:lang w:val="en-US"/>
              </w:rPr>
              <w:t>N</w:t>
            </w:r>
          </w:p>
          <w:p w14:paraId="460B3302" w14:textId="77777777" w:rsidR="00561161" w:rsidRPr="00514B68" w:rsidRDefault="00561161" w:rsidP="0006428E">
            <w:pPr>
              <w:spacing w:line="360" w:lineRule="auto"/>
              <w:jc w:val="center"/>
              <w:rPr>
                <w:rFonts w:ascii="Times New Roman" w:hAnsi="Times New Roman" w:cs="Times New Roman"/>
                <w:b/>
                <w:sz w:val="24"/>
                <w:szCs w:val="24"/>
                <w:lang w:val="en-US"/>
              </w:rPr>
            </w:pPr>
          </w:p>
        </w:tc>
        <w:tc>
          <w:tcPr>
            <w:tcW w:w="2567" w:type="dxa"/>
          </w:tcPr>
          <w:p w14:paraId="36B0BF2D" w14:textId="77777777" w:rsidR="00561161" w:rsidRPr="00514B68" w:rsidRDefault="00561161" w:rsidP="0006428E">
            <w:pPr>
              <w:spacing w:line="360" w:lineRule="auto"/>
              <w:jc w:val="center"/>
              <w:rPr>
                <w:rFonts w:ascii="Times New Roman" w:hAnsi="Times New Roman" w:cs="Times New Roman"/>
                <w:b/>
                <w:sz w:val="24"/>
                <w:szCs w:val="24"/>
                <w:lang w:val="en-US"/>
              </w:rPr>
            </w:pPr>
            <w:r w:rsidRPr="00514B68">
              <w:rPr>
                <w:rFonts w:ascii="Times New Roman" w:hAnsi="Times New Roman" w:cs="Times New Roman"/>
                <w:b/>
                <w:sz w:val="24"/>
                <w:szCs w:val="24"/>
              </w:rPr>
              <w:t>Ingenierías</w:t>
            </w:r>
          </w:p>
        </w:tc>
        <w:tc>
          <w:tcPr>
            <w:tcW w:w="1462" w:type="dxa"/>
          </w:tcPr>
          <w:p w14:paraId="35A2E6F5" w14:textId="5BC6E77D" w:rsidR="00561161" w:rsidRPr="00514B68" w:rsidRDefault="00561161" w:rsidP="0006428E">
            <w:pPr>
              <w:spacing w:line="360" w:lineRule="auto"/>
              <w:jc w:val="center"/>
              <w:rPr>
                <w:rFonts w:ascii="Times New Roman" w:hAnsi="Times New Roman" w:cs="Times New Roman"/>
                <w:b/>
                <w:sz w:val="24"/>
                <w:szCs w:val="24"/>
                <w:lang w:val="en-US"/>
              </w:rPr>
            </w:pPr>
            <w:r w:rsidRPr="00514B68">
              <w:rPr>
                <w:rFonts w:ascii="Times New Roman" w:hAnsi="Times New Roman" w:cs="Times New Roman"/>
                <w:b/>
                <w:sz w:val="24"/>
                <w:szCs w:val="24"/>
              </w:rPr>
              <w:t>Otras</w:t>
            </w:r>
            <w:r w:rsidRPr="00514B68">
              <w:rPr>
                <w:rFonts w:ascii="Times New Roman" w:hAnsi="Times New Roman" w:cs="Times New Roman"/>
                <w:b/>
                <w:sz w:val="24"/>
                <w:szCs w:val="24"/>
                <w:lang w:val="en-US"/>
              </w:rPr>
              <w:t xml:space="preserve"> </w:t>
            </w:r>
            <w:proofErr w:type="spellStart"/>
            <w:r w:rsidR="0006428E">
              <w:rPr>
                <w:rFonts w:ascii="Times New Roman" w:hAnsi="Times New Roman" w:cs="Times New Roman"/>
                <w:b/>
                <w:sz w:val="24"/>
                <w:szCs w:val="24"/>
                <w:lang w:val="en-US"/>
              </w:rPr>
              <w:t>c</w:t>
            </w:r>
            <w:r w:rsidR="0006428E" w:rsidRPr="00514B68">
              <w:rPr>
                <w:rFonts w:ascii="Times New Roman" w:hAnsi="Times New Roman" w:cs="Times New Roman"/>
                <w:b/>
                <w:sz w:val="24"/>
                <w:szCs w:val="24"/>
                <w:lang w:val="en-US"/>
              </w:rPr>
              <w:t>arreras</w:t>
            </w:r>
            <w:proofErr w:type="spellEnd"/>
          </w:p>
        </w:tc>
      </w:tr>
      <w:tr w:rsidR="00561161" w:rsidRPr="0006428E" w14:paraId="44E1E63B" w14:textId="77777777" w:rsidTr="00D752FB">
        <w:trPr>
          <w:jc w:val="center"/>
        </w:trPr>
        <w:tc>
          <w:tcPr>
            <w:tcW w:w="2689" w:type="dxa"/>
          </w:tcPr>
          <w:p w14:paraId="50CA8715" w14:textId="78AB8C89" w:rsidR="00561161" w:rsidRPr="00514B68" w:rsidRDefault="00561161" w:rsidP="0006428E">
            <w:pPr>
              <w:spacing w:line="360" w:lineRule="auto"/>
              <w:rPr>
                <w:rFonts w:ascii="Times New Roman" w:hAnsi="Times New Roman" w:cs="Times New Roman"/>
                <w:b/>
                <w:sz w:val="24"/>
                <w:szCs w:val="24"/>
              </w:rPr>
            </w:pPr>
            <w:proofErr w:type="gramStart"/>
            <w:r w:rsidRPr="00514B68">
              <w:rPr>
                <w:rFonts w:ascii="Times New Roman" w:hAnsi="Times New Roman" w:cs="Times New Roman"/>
                <w:b/>
                <w:sz w:val="24"/>
                <w:szCs w:val="24"/>
              </w:rPr>
              <w:t>Total</w:t>
            </w:r>
            <w:proofErr w:type="gramEnd"/>
            <w:r w:rsidRPr="00514B68">
              <w:rPr>
                <w:rFonts w:ascii="Times New Roman" w:hAnsi="Times New Roman" w:cs="Times New Roman"/>
                <w:b/>
                <w:sz w:val="24"/>
                <w:szCs w:val="24"/>
              </w:rPr>
              <w:t xml:space="preserve"> de </w:t>
            </w:r>
            <w:r w:rsidR="007B0B4B">
              <w:rPr>
                <w:rFonts w:ascii="Times New Roman" w:hAnsi="Times New Roman" w:cs="Times New Roman"/>
                <w:b/>
                <w:sz w:val="24"/>
                <w:szCs w:val="24"/>
              </w:rPr>
              <w:t>p</w:t>
            </w:r>
            <w:r w:rsidR="007B0B4B" w:rsidRPr="00514B68">
              <w:rPr>
                <w:rFonts w:ascii="Times New Roman" w:hAnsi="Times New Roman" w:cs="Times New Roman"/>
                <w:b/>
                <w:sz w:val="24"/>
                <w:szCs w:val="24"/>
              </w:rPr>
              <w:t>articipantes</w:t>
            </w:r>
          </w:p>
        </w:tc>
        <w:tc>
          <w:tcPr>
            <w:tcW w:w="551" w:type="dxa"/>
          </w:tcPr>
          <w:p w14:paraId="04AD0CCB" w14:textId="77777777" w:rsidR="00561161" w:rsidRPr="00514B68" w:rsidRDefault="00561161" w:rsidP="0006428E">
            <w:pPr>
              <w:spacing w:line="360" w:lineRule="auto"/>
              <w:jc w:val="center"/>
              <w:rPr>
                <w:rFonts w:ascii="Times New Roman" w:hAnsi="Times New Roman" w:cs="Times New Roman"/>
                <w:sz w:val="24"/>
                <w:szCs w:val="24"/>
                <w:lang w:val="en-US"/>
              </w:rPr>
            </w:pPr>
            <w:r w:rsidRPr="00514B68">
              <w:rPr>
                <w:rFonts w:ascii="Times New Roman" w:hAnsi="Times New Roman" w:cs="Times New Roman"/>
                <w:sz w:val="24"/>
                <w:szCs w:val="24"/>
                <w:lang w:val="en-US"/>
              </w:rPr>
              <w:t>560</w:t>
            </w:r>
          </w:p>
        </w:tc>
        <w:tc>
          <w:tcPr>
            <w:tcW w:w="2567" w:type="dxa"/>
          </w:tcPr>
          <w:p w14:paraId="7DD08B41" w14:textId="77777777" w:rsidR="00561161" w:rsidRPr="00514B68" w:rsidRDefault="00561161" w:rsidP="0006428E">
            <w:pPr>
              <w:spacing w:line="360" w:lineRule="auto"/>
              <w:jc w:val="center"/>
              <w:rPr>
                <w:rFonts w:ascii="Times New Roman" w:hAnsi="Times New Roman" w:cs="Times New Roman"/>
                <w:sz w:val="24"/>
                <w:szCs w:val="24"/>
                <w:lang w:val="en-US"/>
              </w:rPr>
            </w:pPr>
            <w:r w:rsidRPr="00514B68">
              <w:rPr>
                <w:rFonts w:ascii="Times New Roman" w:hAnsi="Times New Roman" w:cs="Times New Roman"/>
                <w:sz w:val="24"/>
                <w:szCs w:val="24"/>
                <w:lang w:val="en-US"/>
              </w:rPr>
              <w:t>295</w:t>
            </w:r>
          </w:p>
        </w:tc>
        <w:tc>
          <w:tcPr>
            <w:tcW w:w="1462" w:type="dxa"/>
          </w:tcPr>
          <w:p w14:paraId="447B2FB4" w14:textId="77777777" w:rsidR="00561161" w:rsidRPr="00514B68" w:rsidRDefault="00561161" w:rsidP="0006428E">
            <w:pPr>
              <w:spacing w:line="360" w:lineRule="auto"/>
              <w:jc w:val="center"/>
              <w:rPr>
                <w:rFonts w:ascii="Times New Roman" w:hAnsi="Times New Roman" w:cs="Times New Roman"/>
                <w:sz w:val="24"/>
                <w:szCs w:val="24"/>
                <w:lang w:val="en-US"/>
              </w:rPr>
            </w:pPr>
            <w:r w:rsidRPr="00514B68">
              <w:rPr>
                <w:rFonts w:ascii="Times New Roman" w:hAnsi="Times New Roman" w:cs="Times New Roman"/>
                <w:sz w:val="24"/>
                <w:szCs w:val="24"/>
                <w:lang w:val="en-US"/>
              </w:rPr>
              <w:t>265</w:t>
            </w:r>
          </w:p>
        </w:tc>
      </w:tr>
      <w:tr w:rsidR="00561161" w:rsidRPr="0006428E" w14:paraId="132E3161" w14:textId="77777777" w:rsidTr="00D752FB">
        <w:trPr>
          <w:jc w:val="center"/>
        </w:trPr>
        <w:tc>
          <w:tcPr>
            <w:tcW w:w="2689" w:type="dxa"/>
          </w:tcPr>
          <w:p w14:paraId="294A371B" w14:textId="77777777" w:rsidR="00D752FB" w:rsidRPr="00514B68" w:rsidRDefault="00D752FB" w:rsidP="0006428E">
            <w:pPr>
              <w:spacing w:line="360" w:lineRule="auto"/>
              <w:rPr>
                <w:rFonts w:ascii="Times New Roman" w:hAnsi="Times New Roman" w:cs="Times New Roman"/>
                <w:b/>
                <w:sz w:val="24"/>
                <w:szCs w:val="24"/>
              </w:rPr>
            </w:pPr>
          </w:p>
          <w:p w14:paraId="1F30E033" w14:textId="47075558" w:rsidR="00561161" w:rsidRPr="00514B68" w:rsidRDefault="00561161" w:rsidP="0006428E">
            <w:pPr>
              <w:spacing w:line="360" w:lineRule="auto"/>
              <w:rPr>
                <w:rFonts w:ascii="Times New Roman" w:hAnsi="Times New Roman" w:cs="Times New Roman"/>
                <w:b/>
                <w:sz w:val="24"/>
                <w:szCs w:val="24"/>
              </w:rPr>
            </w:pPr>
            <w:r w:rsidRPr="00514B68">
              <w:rPr>
                <w:rFonts w:ascii="Times New Roman" w:hAnsi="Times New Roman" w:cs="Times New Roman"/>
                <w:b/>
                <w:sz w:val="24"/>
                <w:szCs w:val="24"/>
              </w:rPr>
              <w:t xml:space="preserve">Habilidades </w:t>
            </w:r>
            <w:r w:rsidR="007B0B4B">
              <w:rPr>
                <w:rFonts w:ascii="Times New Roman" w:hAnsi="Times New Roman" w:cs="Times New Roman"/>
                <w:b/>
                <w:sz w:val="24"/>
                <w:szCs w:val="24"/>
              </w:rPr>
              <w:t>m</w:t>
            </w:r>
            <w:r w:rsidR="007B0B4B" w:rsidRPr="00514B68">
              <w:rPr>
                <w:rFonts w:ascii="Times New Roman" w:hAnsi="Times New Roman" w:cs="Times New Roman"/>
                <w:b/>
                <w:sz w:val="24"/>
                <w:szCs w:val="24"/>
              </w:rPr>
              <w:t xml:space="preserve">atemáticas </w:t>
            </w:r>
            <w:r w:rsidR="007B0B4B">
              <w:rPr>
                <w:rFonts w:ascii="Times New Roman" w:hAnsi="Times New Roman" w:cs="Times New Roman"/>
                <w:b/>
                <w:sz w:val="24"/>
                <w:szCs w:val="24"/>
              </w:rPr>
              <w:t>b</w:t>
            </w:r>
            <w:r w:rsidR="007B0B4B" w:rsidRPr="00514B68">
              <w:rPr>
                <w:rFonts w:ascii="Times New Roman" w:hAnsi="Times New Roman" w:cs="Times New Roman"/>
                <w:b/>
                <w:sz w:val="24"/>
                <w:szCs w:val="24"/>
              </w:rPr>
              <w:t>ajas</w:t>
            </w:r>
          </w:p>
        </w:tc>
        <w:tc>
          <w:tcPr>
            <w:tcW w:w="551" w:type="dxa"/>
          </w:tcPr>
          <w:p w14:paraId="3115D2C1" w14:textId="77777777" w:rsidR="00D752FB" w:rsidRPr="00514B68" w:rsidRDefault="00D752FB" w:rsidP="0006428E">
            <w:pPr>
              <w:spacing w:line="360" w:lineRule="auto"/>
              <w:jc w:val="center"/>
              <w:rPr>
                <w:rFonts w:ascii="Times New Roman" w:hAnsi="Times New Roman" w:cs="Times New Roman"/>
                <w:sz w:val="24"/>
                <w:szCs w:val="24"/>
                <w:lang w:val="en-US"/>
              </w:rPr>
            </w:pPr>
          </w:p>
          <w:p w14:paraId="2D4301DE" w14:textId="77777777" w:rsidR="00561161" w:rsidRPr="00514B68" w:rsidRDefault="00561161" w:rsidP="0006428E">
            <w:pPr>
              <w:spacing w:line="360" w:lineRule="auto"/>
              <w:jc w:val="center"/>
              <w:rPr>
                <w:rFonts w:ascii="Times New Roman" w:hAnsi="Times New Roman" w:cs="Times New Roman"/>
                <w:sz w:val="24"/>
                <w:szCs w:val="24"/>
                <w:lang w:val="en-US"/>
              </w:rPr>
            </w:pPr>
            <w:r w:rsidRPr="00514B68">
              <w:rPr>
                <w:rFonts w:ascii="Times New Roman" w:hAnsi="Times New Roman" w:cs="Times New Roman"/>
                <w:sz w:val="24"/>
                <w:szCs w:val="24"/>
                <w:lang w:val="en-US"/>
              </w:rPr>
              <w:t>300</w:t>
            </w:r>
          </w:p>
        </w:tc>
        <w:tc>
          <w:tcPr>
            <w:tcW w:w="2567" w:type="dxa"/>
          </w:tcPr>
          <w:p w14:paraId="7EAB6D9F" w14:textId="77777777" w:rsidR="00D752FB" w:rsidRPr="00514B68" w:rsidRDefault="00D752FB" w:rsidP="0006428E">
            <w:pPr>
              <w:spacing w:line="360" w:lineRule="auto"/>
              <w:jc w:val="center"/>
              <w:rPr>
                <w:rFonts w:ascii="Times New Roman" w:hAnsi="Times New Roman" w:cs="Times New Roman"/>
                <w:sz w:val="24"/>
                <w:szCs w:val="24"/>
                <w:lang w:val="en-US"/>
              </w:rPr>
            </w:pPr>
          </w:p>
          <w:p w14:paraId="11997403" w14:textId="77777777" w:rsidR="00561161" w:rsidRPr="00514B68" w:rsidRDefault="00561161" w:rsidP="0006428E">
            <w:pPr>
              <w:spacing w:line="360" w:lineRule="auto"/>
              <w:jc w:val="center"/>
              <w:rPr>
                <w:rFonts w:ascii="Times New Roman" w:hAnsi="Times New Roman" w:cs="Times New Roman"/>
                <w:sz w:val="24"/>
                <w:szCs w:val="24"/>
                <w:lang w:val="en-US"/>
              </w:rPr>
            </w:pPr>
            <w:r w:rsidRPr="00514B68">
              <w:rPr>
                <w:rFonts w:ascii="Times New Roman" w:hAnsi="Times New Roman" w:cs="Times New Roman"/>
                <w:sz w:val="24"/>
                <w:szCs w:val="24"/>
                <w:lang w:val="en-US"/>
              </w:rPr>
              <w:t>93</w:t>
            </w:r>
          </w:p>
        </w:tc>
        <w:tc>
          <w:tcPr>
            <w:tcW w:w="1462" w:type="dxa"/>
          </w:tcPr>
          <w:p w14:paraId="47044552" w14:textId="77777777" w:rsidR="00D752FB" w:rsidRPr="00514B68" w:rsidRDefault="00D752FB" w:rsidP="0006428E">
            <w:pPr>
              <w:spacing w:line="360" w:lineRule="auto"/>
              <w:jc w:val="center"/>
              <w:rPr>
                <w:rFonts w:ascii="Times New Roman" w:hAnsi="Times New Roman" w:cs="Times New Roman"/>
                <w:sz w:val="24"/>
                <w:szCs w:val="24"/>
                <w:lang w:val="en-US"/>
              </w:rPr>
            </w:pPr>
          </w:p>
          <w:p w14:paraId="09E43767" w14:textId="77777777" w:rsidR="00561161" w:rsidRPr="00514B68" w:rsidRDefault="00561161" w:rsidP="0006428E">
            <w:pPr>
              <w:spacing w:line="360" w:lineRule="auto"/>
              <w:jc w:val="center"/>
              <w:rPr>
                <w:rFonts w:ascii="Times New Roman" w:hAnsi="Times New Roman" w:cs="Times New Roman"/>
                <w:sz w:val="24"/>
                <w:szCs w:val="24"/>
                <w:lang w:val="en-US"/>
              </w:rPr>
            </w:pPr>
            <w:r w:rsidRPr="00514B68">
              <w:rPr>
                <w:rFonts w:ascii="Times New Roman" w:hAnsi="Times New Roman" w:cs="Times New Roman"/>
                <w:sz w:val="24"/>
                <w:szCs w:val="24"/>
                <w:lang w:val="en-US"/>
              </w:rPr>
              <w:t>207</w:t>
            </w:r>
          </w:p>
        </w:tc>
      </w:tr>
      <w:tr w:rsidR="00561161" w:rsidRPr="0006428E" w14:paraId="4F62BB3A" w14:textId="77777777" w:rsidTr="00D752FB">
        <w:trPr>
          <w:jc w:val="center"/>
        </w:trPr>
        <w:tc>
          <w:tcPr>
            <w:tcW w:w="2689" w:type="dxa"/>
          </w:tcPr>
          <w:p w14:paraId="377AA23F" w14:textId="59EC2D64" w:rsidR="00D752FB" w:rsidRPr="00514B68" w:rsidRDefault="00561161" w:rsidP="0006428E">
            <w:pPr>
              <w:spacing w:line="360" w:lineRule="auto"/>
              <w:rPr>
                <w:rFonts w:ascii="Times New Roman" w:hAnsi="Times New Roman" w:cs="Times New Roman"/>
                <w:b/>
                <w:sz w:val="24"/>
                <w:szCs w:val="24"/>
              </w:rPr>
            </w:pPr>
            <w:r w:rsidRPr="00514B68">
              <w:rPr>
                <w:rFonts w:ascii="Times New Roman" w:hAnsi="Times New Roman" w:cs="Times New Roman"/>
                <w:b/>
                <w:sz w:val="24"/>
                <w:szCs w:val="24"/>
              </w:rPr>
              <w:t xml:space="preserve">Habilidades </w:t>
            </w:r>
            <w:r w:rsidR="007B0B4B">
              <w:rPr>
                <w:rFonts w:ascii="Times New Roman" w:hAnsi="Times New Roman" w:cs="Times New Roman"/>
                <w:b/>
                <w:sz w:val="24"/>
                <w:szCs w:val="24"/>
              </w:rPr>
              <w:t>m</w:t>
            </w:r>
            <w:r w:rsidR="007B0B4B" w:rsidRPr="00514B68">
              <w:rPr>
                <w:rFonts w:ascii="Times New Roman" w:hAnsi="Times New Roman" w:cs="Times New Roman"/>
                <w:b/>
                <w:sz w:val="24"/>
                <w:szCs w:val="24"/>
              </w:rPr>
              <w:t xml:space="preserve">atemáticas </w:t>
            </w:r>
            <w:r w:rsidR="007B0B4B">
              <w:rPr>
                <w:rFonts w:ascii="Times New Roman" w:hAnsi="Times New Roman" w:cs="Times New Roman"/>
                <w:b/>
                <w:sz w:val="24"/>
                <w:szCs w:val="24"/>
              </w:rPr>
              <w:t>a</w:t>
            </w:r>
            <w:r w:rsidR="007B0B4B" w:rsidRPr="00514B68">
              <w:rPr>
                <w:rFonts w:ascii="Times New Roman" w:hAnsi="Times New Roman" w:cs="Times New Roman"/>
                <w:b/>
                <w:sz w:val="24"/>
                <w:szCs w:val="24"/>
              </w:rPr>
              <w:t>ltas</w:t>
            </w:r>
          </w:p>
          <w:p w14:paraId="76AF2DDD" w14:textId="77777777" w:rsidR="00D752FB" w:rsidRPr="00514B68" w:rsidRDefault="00D752FB" w:rsidP="0006428E">
            <w:pPr>
              <w:spacing w:line="360" w:lineRule="auto"/>
              <w:rPr>
                <w:rFonts w:ascii="Times New Roman" w:hAnsi="Times New Roman" w:cs="Times New Roman"/>
                <w:b/>
                <w:sz w:val="24"/>
                <w:szCs w:val="24"/>
              </w:rPr>
            </w:pPr>
            <w:r w:rsidRPr="00514B68">
              <w:rPr>
                <w:rFonts w:ascii="Times New Roman" w:hAnsi="Times New Roman" w:cs="Times New Roman"/>
                <w:b/>
                <w:sz w:val="24"/>
                <w:szCs w:val="24"/>
              </w:rPr>
              <w:t>Hombre</w:t>
            </w:r>
          </w:p>
          <w:p w14:paraId="397F7577" w14:textId="77777777" w:rsidR="00D752FB" w:rsidRPr="00514B68" w:rsidRDefault="00D752FB" w:rsidP="0006428E">
            <w:pPr>
              <w:spacing w:line="360" w:lineRule="auto"/>
              <w:rPr>
                <w:rFonts w:ascii="Times New Roman" w:hAnsi="Times New Roman" w:cs="Times New Roman"/>
                <w:b/>
                <w:sz w:val="24"/>
                <w:szCs w:val="24"/>
              </w:rPr>
            </w:pPr>
            <w:r w:rsidRPr="00514B68">
              <w:rPr>
                <w:rFonts w:ascii="Times New Roman" w:hAnsi="Times New Roman" w:cs="Times New Roman"/>
                <w:b/>
                <w:sz w:val="24"/>
                <w:szCs w:val="24"/>
              </w:rPr>
              <w:t xml:space="preserve">Mujeres </w:t>
            </w:r>
          </w:p>
        </w:tc>
        <w:tc>
          <w:tcPr>
            <w:tcW w:w="551" w:type="dxa"/>
          </w:tcPr>
          <w:p w14:paraId="69CA2B92" w14:textId="77777777" w:rsidR="00561161" w:rsidRPr="00514B68" w:rsidRDefault="00561161" w:rsidP="0006428E">
            <w:pPr>
              <w:spacing w:line="360" w:lineRule="auto"/>
              <w:jc w:val="center"/>
              <w:rPr>
                <w:rFonts w:ascii="Times New Roman" w:hAnsi="Times New Roman" w:cs="Times New Roman"/>
                <w:sz w:val="24"/>
                <w:szCs w:val="24"/>
                <w:lang w:val="en-US"/>
              </w:rPr>
            </w:pPr>
            <w:r w:rsidRPr="00514B68">
              <w:rPr>
                <w:rFonts w:ascii="Times New Roman" w:hAnsi="Times New Roman" w:cs="Times New Roman"/>
                <w:sz w:val="24"/>
                <w:szCs w:val="24"/>
                <w:lang w:val="en-US"/>
              </w:rPr>
              <w:t>260</w:t>
            </w:r>
          </w:p>
          <w:p w14:paraId="174F2FD9" w14:textId="77777777" w:rsidR="007B0B4B" w:rsidRDefault="007B0B4B" w:rsidP="00514B68">
            <w:pPr>
              <w:spacing w:line="360" w:lineRule="auto"/>
              <w:rPr>
                <w:rFonts w:ascii="Times New Roman" w:hAnsi="Times New Roman" w:cs="Times New Roman"/>
                <w:sz w:val="24"/>
                <w:szCs w:val="24"/>
                <w:lang w:val="en-US"/>
              </w:rPr>
            </w:pPr>
          </w:p>
          <w:p w14:paraId="09FEC392" w14:textId="36CDFC27" w:rsidR="00D752FB" w:rsidRPr="00514B68" w:rsidRDefault="00D752FB" w:rsidP="0006428E">
            <w:pPr>
              <w:spacing w:line="360" w:lineRule="auto"/>
              <w:jc w:val="center"/>
              <w:rPr>
                <w:rFonts w:ascii="Times New Roman" w:hAnsi="Times New Roman" w:cs="Times New Roman"/>
                <w:sz w:val="24"/>
                <w:szCs w:val="24"/>
                <w:lang w:val="en-US"/>
              </w:rPr>
            </w:pPr>
            <w:r w:rsidRPr="00514B68">
              <w:rPr>
                <w:rFonts w:ascii="Times New Roman" w:hAnsi="Times New Roman" w:cs="Times New Roman"/>
                <w:sz w:val="24"/>
                <w:szCs w:val="24"/>
                <w:lang w:val="en-US"/>
              </w:rPr>
              <w:t>322</w:t>
            </w:r>
          </w:p>
          <w:p w14:paraId="0DA16FCA" w14:textId="77777777" w:rsidR="00D752FB" w:rsidRPr="00514B68" w:rsidRDefault="00D752FB" w:rsidP="0006428E">
            <w:pPr>
              <w:spacing w:line="360" w:lineRule="auto"/>
              <w:jc w:val="center"/>
              <w:rPr>
                <w:rFonts w:ascii="Times New Roman" w:hAnsi="Times New Roman" w:cs="Times New Roman"/>
                <w:sz w:val="24"/>
                <w:szCs w:val="24"/>
                <w:lang w:val="en-US"/>
              </w:rPr>
            </w:pPr>
            <w:r w:rsidRPr="00514B68">
              <w:rPr>
                <w:rFonts w:ascii="Times New Roman" w:hAnsi="Times New Roman" w:cs="Times New Roman"/>
                <w:sz w:val="24"/>
                <w:szCs w:val="24"/>
                <w:lang w:val="en-US"/>
              </w:rPr>
              <w:t>238</w:t>
            </w:r>
          </w:p>
        </w:tc>
        <w:tc>
          <w:tcPr>
            <w:tcW w:w="2567" w:type="dxa"/>
          </w:tcPr>
          <w:p w14:paraId="054A5142" w14:textId="77777777" w:rsidR="00561161" w:rsidRPr="00514B68" w:rsidRDefault="00561161" w:rsidP="0006428E">
            <w:pPr>
              <w:spacing w:line="360" w:lineRule="auto"/>
              <w:jc w:val="center"/>
              <w:rPr>
                <w:rFonts w:ascii="Times New Roman" w:hAnsi="Times New Roman" w:cs="Times New Roman"/>
                <w:sz w:val="24"/>
                <w:szCs w:val="24"/>
                <w:lang w:val="en-US"/>
              </w:rPr>
            </w:pPr>
            <w:r w:rsidRPr="00514B68">
              <w:rPr>
                <w:rFonts w:ascii="Times New Roman" w:hAnsi="Times New Roman" w:cs="Times New Roman"/>
                <w:sz w:val="24"/>
                <w:szCs w:val="24"/>
                <w:lang w:val="en-US"/>
              </w:rPr>
              <w:t>202</w:t>
            </w:r>
          </w:p>
          <w:p w14:paraId="0755891D" w14:textId="77777777" w:rsidR="007B0B4B" w:rsidRDefault="007B0B4B" w:rsidP="00514B68">
            <w:pPr>
              <w:spacing w:line="360" w:lineRule="auto"/>
              <w:rPr>
                <w:rFonts w:ascii="Times New Roman" w:hAnsi="Times New Roman" w:cs="Times New Roman"/>
                <w:sz w:val="24"/>
                <w:szCs w:val="24"/>
                <w:lang w:val="en-US"/>
              </w:rPr>
            </w:pPr>
          </w:p>
          <w:p w14:paraId="401D50BC" w14:textId="53EB5CD7" w:rsidR="00D752FB" w:rsidRPr="00514B68" w:rsidRDefault="00D752FB" w:rsidP="0006428E">
            <w:pPr>
              <w:spacing w:line="360" w:lineRule="auto"/>
              <w:jc w:val="center"/>
              <w:rPr>
                <w:rFonts w:ascii="Times New Roman" w:hAnsi="Times New Roman" w:cs="Times New Roman"/>
                <w:sz w:val="24"/>
                <w:szCs w:val="24"/>
                <w:lang w:val="en-US"/>
              </w:rPr>
            </w:pPr>
            <w:r w:rsidRPr="00514B68">
              <w:rPr>
                <w:rFonts w:ascii="Times New Roman" w:hAnsi="Times New Roman" w:cs="Times New Roman"/>
                <w:sz w:val="24"/>
                <w:szCs w:val="24"/>
                <w:lang w:val="en-US"/>
              </w:rPr>
              <w:t>216</w:t>
            </w:r>
          </w:p>
          <w:p w14:paraId="3FAF257F" w14:textId="77777777" w:rsidR="00D752FB" w:rsidRPr="00514B68" w:rsidRDefault="00D752FB" w:rsidP="0006428E">
            <w:pPr>
              <w:spacing w:line="360" w:lineRule="auto"/>
              <w:jc w:val="center"/>
              <w:rPr>
                <w:rFonts w:ascii="Times New Roman" w:hAnsi="Times New Roman" w:cs="Times New Roman"/>
                <w:sz w:val="24"/>
                <w:szCs w:val="24"/>
                <w:lang w:val="en-US"/>
              </w:rPr>
            </w:pPr>
            <w:r w:rsidRPr="00514B68">
              <w:rPr>
                <w:rFonts w:ascii="Times New Roman" w:hAnsi="Times New Roman" w:cs="Times New Roman"/>
                <w:sz w:val="24"/>
                <w:szCs w:val="24"/>
                <w:lang w:val="en-US"/>
              </w:rPr>
              <w:t>79</w:t>
            </w:r>
          </w:p>
        </w:tc>
        <w:tc>
          <w:tcPr>
            <w:tcW w:w="1462" w:type="dxa"/>
          </w:tcPr>
          <w:p w14:paraId="3D3E53E0" w14:textId="77777777" w:rsidR="00561161" w:rsidRPr="00514B68" w:rsidRDefault="00561161" w:rsidP="0006428E">
            <w:pPr>
              <w:spacing w:line="360" w:lineRule="auto"/>
              <w:jc w:val="center"/>
              <w:rPr>
                <w:rFonts w:ascii="Times New Roman" w:hAnsi="Times New Roman" w:cs="Times New Roman"/>
                <w:sz w:val="24"/>
                <w:szCs w:val="24"/>
                <w:lang w:val="en-US"/>
              </w:rPr>
            </w:pPr>
            <w:r w:rsidRPr="00514B68">
              <w:rPr>
                <w:rFonts w:ascii="Times New Roman" w:hAnsi="Times New Roman" w:cs="Times New Roman"/>
                <w:sz w:val="24"/>
                <w:szCs w:val="24"/>
                <w:lang w:val="en-US"/>
              </w:rPr>
              <w:t>5</w:t>
            </w:r>
            <w:r w:rsidR="00324656" w:rsidRPr="00514B68">
              <w:rPr>
                <w:rFonts w:ascii="Times New Roman" w:hAnsi="Times New Roman" w:cs="Times New Roman"/>
                <w:sz w:val="24"/>
                <w:szCs w:val="24"/>
                <w:lang w:val="en-US"/>
              </w:rPr>
              <w:t>8</w:t>
            </w:r>
          </w:p>
          <w:p w14:paraId="1B2490F1" w14:textId="77777777" w:rsidR="00D752FB" w:rsidRPr="00514B68" w:rsidRDefault="00D752FB" w:rsidP="0006428E">
            <w:pPr>
              <w:spacing w:line="360" w:lineRule="auto"/>
              <w:jc w:val="center"/>
              <w:rPr>
                <w:rFonts w:ascii="Times New Roman" w:hAnsi="Times New Roman" w:cs="Times New Roman"/>
                <w:sz w:val="24"/>
                <w:szCs w:val="24"/>
                <w:lang w:val="en-US"/>
              </w:rPr>
            </w:pPr>
          </w:p>
          <w:p w14:paraId="64D93BD9" w14:textId="77777777" w:rsidR="00D752FB" w:rsidRPr="00514B68" w:rsidRDefault="00D752FB" w:rsidP="0006428E">
            <w:pPr>
              <w:spacing w:line="360" w:lineRule="auto"/>
              <w:jc w:val="center"/>
              <w:rPr>
                <w:rFonts w:ascii="Times New Roman" w:hAnsi="Times New Roman" w:cs="Times New Roman"/>
                <w:sz w:val="24"/>
                <w:szCs w:val="24"/>
                <w:lang w:val="en-US"/>
              </w:rPr>
            </w:pPr>
            <w:r w:rsidRPr="00514B68">
              <w:rPr>
                <w:rFonts w:ascii="Times New Roman" w:hAnsi="Times New Roman" w:cs="Times New Roman"/>
                <w:sz w:val="24"/>
                <w:szCs w:val="24"/>
                <w:lang w:val="en-US"/>
              </w:rPr>
              <w:t>106</w:t>
            </w:r>
          </w:p>
          <w:p w14:paraId="7CD9ECEA" w14:textId="77777777" w:rsidR="00D752FB" w:rsidRPr="00514B68" w:rsidRDefault="00D752FB" w:rsidP="0006428E">
            <w:pPr>
              <w:spacing w:line="360" w:lineRule="auto"/>
              <w:jc w:val="center"/>
              <w:rPr>
                <w:rFonts w:ascii="Times New Roman" w:hAnsi="Times New Roman" w:cs="Times New Roman"/>
                <w:sz w:val="24"/>
                <w:szCs w:val="24"/>
                <w:lang w:val="en-US"/>
              </w:rPr>
            </w:pPr>
            <w:r w:rsidRPr="00514B68">
              <w:rPr>
                <w:rFonts w:ascii="Times New Roman" w:hAnsi="Times New Roman" w:cs="Times New Roman"/>
                <w:sz w:val="24"/>
                <w:szCs w:val="24"/>
                <w:lang w:val="en-US"/>
              </w:rPr>
              <w:t>159</w:t>
            </w:r>
          </w:p>
        </w:tc>
      </w:tr>
    </w:tbl>
    <w:p w14:paraId="19B58168" w14:textId="77777777" w:rsidR="00561161" w:rsidRPr="00514B68" w:rsidRDefault="00561161" w:rsidP="0006428E">
      <w:pPr>
        <w:spacing w:after="0" w:line="360" w:lineRule="auto"/>
        <w:rPr>
          <w:rFonts w:ascii="Times New Roman" w:hAnsi="Times New Roman" w:cs="Times New Roman"/>
          <w:sz w:val="24"/>
          <w:szCs w:val="24"/>
          <w:lang w:val="en-US"/>
        </w:rPr>
      </w:pPr>
      <w:r w:rsidRPr="00514B68">
        <w:rPr>
          <w:rFonts w:ascii="Times New Roman" w:hAnsi="Times New Roman" w:cs="Times New Roman"/>
          <w:noProof/>
          <w:sz w:val="24"/>
          <w:szCs w:val="24"/>
          <w:lang w:val="es-ES_tradnl" w:eastAsia="es-ES_tradnl"/>
        </w:rPr>
        <mc:AlternateContent>
          <mc:Choice Requires="wps">
            <w:drawing>
              <wp:anchor distT="0" distB="0" distL="114300" distR="114300" simplePos="0" relativeHeight="251671552" behindDoc="0" locked="0" layoutInCell="1" allowOverlap="1" wp14:anchorId="36AEDFA5" wp14:editId="6DC68A31">
                <wp:simplePos x="0" y="0"/>
                <wp:positionH relativeFrom="column">
                  <wp:posOffset>-104775</wp:posOffset>
                </wp:positionH>
                <wp:positionV relativeFrom="paragraph">
                  <wp:posOffset>78105</wp:posOffset>
                </wp:positionV>
                <wp:extent cx="5600700" cy="7620"/>
                <wp:effectExtent l="0" t="0" r="19050" b="30480"/>
                <wp:wrapNone/>
                <wp:docPr id="6" name="Conector recto 6"/>
                <wp:cNvGraphicFramePr/>
                <a:graphic xmlns:a="http://schemas.openxmlformats.org/drawingml/2006/main">
                  <a:graphicData uri="http://schemas.microsoft.com/office/word/2010/wordprocessingShape">
                    <wps:wsp>
                      <wps:cNvCnPr/>
                      <wps:spPr>
                        <a:xfrm>
                          <a:off x="0" y="0"/>
                          <a:ext cx="5600700" cy="762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638BFC" id="Conector recto 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8.25pt,6.15pt" to="432.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" strokecolor="black [3200]" strokeweight=".5pt">
                <v:stroke joinstyle="miter"/>
              </v:line>
            </w:pict>
          </mc:Fallback>
        </mc:AlternateContent>
      </w:r>
    </w:p>
    <w:p w14:paraId="63322462" w14:textId="10A863D7" w:rsidR="00D752FB" w:rsidRDefault="00A424AB" w:rsidP="0006428E">
      <w:pPr>
        <w:spacing w:after="0" w:line="360" w:lineRule="auto"/>
        <w:jc w:val="center"/>
        <w:rPr>
          <w:rFonts w:ascii="Times New Roman" w:hAnsi="Times New Roman" w:cs="Times New Roman"/>
          <w:sz w:val="20"/>
          <w:szCs w:val="20"/>
        </w:rPr>
      </w:pPr>
      <w:r w:rsidRPr="00514B68">
        <w:rPr>
          <w:rFonts w:ascii="Times New Roman" w:hAnsi="Times New Roman" w:cs="Times New Roman"/>
          <w:sz w:val="24"/>
          <w:szCs w:val="24"/>
        </w:rPr>
        <w:t>Fuente: Elaboración propia</w:t>
      </w:r>
    </w:p>
    <w:p w14:paraId="1CB25ACA" w14:textId="77777777" w:rsidR="0006428E" w:rsidRPr="00A424AB" w:rsidRDefault="0006428E" w:rsidP="00514B68">
      <w:pPr>
        <w:spacing w:after="0" w:line="360" w:lineRule="auto"/>
        <w:jc w:val="center"/>
        <w:rPr>
          <w:rFonts w:ascii="Times New Roman" w:hAnsi="Times New Roman" w:cs="Times New Roman"/>
          <w:sz w:val="20"/>
          <w:szCs w:val="20"/>
        </w:rPr>
      </w:pPr>
    </w:p>
    <w:p w14:paraId="7444EBDB" w14:textId="7D2214C8" w:rsidR="004438A0" w:rsidRDefault="00525E5D" w:rsidP="00514B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utilizó </w:t>
      </w:r>
      <w:r w:rsidR="00CA4485">
        <w:rPr>
          <w:rFonts w:ascii="Times New Roman" w:hAnsi="Times New Roman" w:cs="Times New Roman"/>
          <w:sz w:val="24"/>
          <w:szCs w:val="24"/>
        </w:rPr>
        <w:t xml:space="preserve">el </w:t>
      </w:r>
      <w:r w:rsidR="00CA4485" w:rsidRPr="00514B68">
        <w:rPr>
          <w:rFonts w:ascii="Times New Roman" w:hAnsi="Times New Roman" w:cs="Times New Roman"/>
          <w:i/>
          <w:sz w:val="24"/>
          <w:szCs w:val="24"/>
        </w:rPr>
        <w:t>software</w:t>
      </w:r>
      <w:r w:rsidR="00CA4485">
        <w:rPr>
          <w:rFonts w:ascii="Times New Roman" w:hAnsi="Times New Roman" w:cs="Times New Roman"/>
          <w:sz w:val="24"/>
          <w:szCs w:val="24"/>
        </w:rPr>
        <w:t xml:space="preserve"> R </w:t>
      </w:r>
      <w:r w:rsidR="00CA4485">
        <w:rPr>
          <w:rFonts w:ascii="Times New Roman" w:hAnsi="Times New Roman" w:cs="Times New Roman"/>
          <w:sz w:val="24"/>
          <w:szCs w:val="24"/>
        </w:rPr>
        <w:fldChar w:fldCharType="begin" w:fldLock="1"/>
      </w:r>
      <w:r w:rsidR="0096183A">
        <w:rPr>
          <w:rFonts w:ascii="Times New Roman" w:hAnsi="Times New Roman" w:cs="Times New Roman"/>
          <w:sz w:val="24"/>
          <w:szCs w:val="24"/>
        </w:rPr>
        <w:instrText>ADDIN CSL_CITATION {"citationItems":[{"id":"ITEM-1","itemData":{"author":[{"dropping-particle":"","family":"Team","given":"R. C.","non-dropping-particle":"","parse-names":false,"suffix":""}],"id":"ITEM-1","issued":{"date-parts":[["2012"]]},"publisher":"Vienna: R Foundation for Statistical Computing. Retrieved from http://www.r-project.org/","title":"R: A language and environment for statistical computing.","type":"book"},"uris":["http://www.mendeley.com/documents/?uuid=aeab114a-3c36-4ebf-81d8-9b4df138dcea"]}],"mendeley":{"formattedCitation":"(Team, 2012)","manualFormatting":"(R Development Core Team, 2012)","plainTextFormattedCitation":"(Team, 2012)","previouslyFormattedCitation":"(Team, 2012)"},"properties":{"noteIndex":0},"schema":"https://github.com/citation-style-language/schema/raw/master/csl-citation.json"}</w:instrText>
      </w:r>
      <w:r w:rsidR="00CA4485">
        <w:rPr>
          <w:rFonts w:ascii="Times New Roman" w:hAnsi="Times New Roman" w:cs="Times New Roman"/>
          <w:sz w:val="24"/>
          <w:szCs w:val="24"/>
        </w:rPr>
        <w:fldChar w:fldCharType="separate"/>
      </w:r>
      <w:r w:rsidR="00CA4485" w:rsidRPr="00CA4485">
        <w:rPr>
          <w:rFonts w:ascii="Times New Roman" w:hAnsi="Times New Roman" w:cs="Times New Roman"/>
          <w:noProof/>
          <w:sz w:val="24"/>
          <w:szCs w:val="24"/>
        </w:rPr>
        <w:t>(</w:t>
      </w:r>
      <w:r w:rsidR="00674B0C">
        <w:rPr>
          <w:rFonts w:ascii="Times New Roman" w:hAnsi="Times New Roman" w:cs="Times New Roman"/>
          <w:noProof/>
          <w:sz w:val="24"/>
          <w:szCs w:val="24"/>
        </w:rPr>
        <w:t xml:space="preserve">R Development Core </w:t>
      </w:r>
      <w:r w:rsidR="00CA4485" w:rsidRPr="00CA4485">
        <w:rPr>
          <w:rFonts w:ascii="Times New Roman" w:hAnsi="Times New Roman" w:cs="Times New Roman"/>
          <w:noProof/>
          <w:sz w:val="24"/>
          <w:szCs w:val="24"/>
        </w:rPr>
        <w:t>Team, 2012)</w:t>
      </w:r>
      <w:r w:rsidR="00CA4485">
        <w:rPr>
          <w:rFonts w:ascii="Times New Roman" w:hAnsi="Times New Roman" w:cs="Times New Roman"/>
          <w:sz w:val="24"/>
          <w:szCs w:val="24"/>
        </w:rPr>
        <w:fldChar w:fldCharType="end"/>
      </w:r>
      <w:r w:rsidR="00BD2797">
        <w:rPr>
          <w:rFonts w:ascii="Times New Roman" w:hAnsi="Times New Roman" w:cs="Times New Roman"/>
          <w:sz w:val="24"/>
          <w:szCs w:val="24"/>
        </w:rPr>
        <w:t xml:space="preserve"> para correr</w:t>
      </w:r>
      <w:r w:rsidR="00CA4485">
        <w:rPr>
          <w:rFonts w:ascii="Times New Roman" w:hAnsi="Times New Roman" w:cs="Times New Roman"/>
          <w:sz w:val="24"/>
          <w:szCs w:val="24"/>
        </w:rPr>
        <w:t xml:space="preserve"> pruebas  estadística</w:t>
      </w:r>
      <w:r w:rsidR="00BB4D6E">
        <w:rPr>
          <w:rFonts w:ascii="Times New Roman" w:hAnsi="Times New Roman" w:cs="Times New Roman"/>
          <w:sz w:val="24"/>
          <w:szCs w:val="24"/>
        </w:rPr>
        <w:t>s</w:t>
      </w:r>
      <w:r w:rsidR="00CA4485">
        <w:rPr>
          <w:rFonts w:ascii="Times New Roman" w:hAnsi="Times New Roman" w:cs="Times New Roman"/>
          <w:sz w:val="24"/>
          <w:szCs w:val="24"/>
        </w:rPr>
        <w:t xml:space="preserve"> </w:t>
      </w:r>
      <w:r w:rsidR="00BD2797">
        <w:rPr>
          <w:rFonts w:ascii="Times New Roman" w:hAnsi="Times New Roman" w:cs="Times New Roman"/>
          <w:sz w:val="24"/>
          <w:szCs w:val="24"/>
        </w:rPr>
        <w:t>con</w:t>
      </w:r>
      <w:r w:rsidR="00CA4485">
        <w:rPr>
          <w:rFonts w:ascii="Times New Roman" w:hAnsi="Times New Roman" w:cs="Times New Roman"/>
          <w:sz w:val="24"/>
          <w:szCs w:val="24"/>
        </w:rPr>
        <w:t xml:space="preserve"> los datos obtenidos mediante la encuesta</w:t>
      </w:r>
      <w:r>
        <w:rPr>
          <w:rFonts w:ascii="Times New Roman" w:hAnsi="Times New Roman" w:cs="Times New Roman"/>
          <w:sz w:val="24"/>
          <w:szCs w:val="24"/>
        </w:rPr>
        <w:t>,</w:t>
      </w:r>
      <w:r w:rsidR="00BD2797">
        <w:rPr>
          <w:rFonts w:ascii="Times New Roman" w:hAnsi="Times New Roman" w:cs="Times New Roman"/>
          <w:sz w:val="24"/>
          <w:szCs w:val="24"/>
        </w:rPr>
        <w:t xml:space="preserve"> </w:t>
      </w:r>
      <w:r w:rsidR="009E32EE">
        <w:rPr>
          <w:rFonts w:ascii="Times New Roman" w:hAnsi="Times New Roman" w:cs="Times New Roman"/>
          <w:sz w:val="24"/>
          <w:szCs w:val="24"/>
        </w:rPr>
        <w:t>utiliza</w:t>
      </w:r>
      <w:r>
        <w:rPr>
          <w:rFonts w:ascii="Times New Roman" w:hAnsi="Times New Roman" w:cs="Times New Roman"/>
          <w:sz w:val="24"/>
          <w:szCs w:val="24"/>
        </w:rPr>
        <w:t>ndo</w:t>
      </w:r>
      <w:r w:rsidR="00BD2797">
        <w:rPr>
          <w:rFonts w:ascii="Times New Roman" w:hAnsi="Times New Roman" w:cs="Times New Roman"/>
          <w:sz w:val="24"/>
          <w:szCs w:val="24"/>
        </w:rPr>
        <w:t xml:space="preserve"> </w:t>
      </w:r>
      <w:r w:rsidR="001B2AD2">
        <w:rPr>
          <w:rFonts w:ascii="Times New Roman" w:hAnsi="Times New Roman" w:cs="Times New Roman"/>
          <w:sz w:val="24"/>
          <w:szCs w:val="24"/>
        </w:rPr>
        <w:t xml:space="preserve">un modelo </w:t>
      </w:r>
      <w:r w:rsidR="003B16E8">
        <w:rPr>
          <w:rFonts w:ascii="Times New Roman" w:hAnsi="Times New Roman" w:cs="Times New Roman"/>
          <w:sz w:val="24"/>
          <w:szCs w:val="24"/>
        </w:rPr>
        <w:t xml:space="preserve">de </w:t>
      </w:r>
      <w:r w:rsidR="00BD2797">
        <w:rPr>
          <w:rFonts w:ascii="Times New Roman" w:hAnsi="Times New Roman" w:cs="Times New Roman"/>
          <w:sz w:val="24"/>
          <w:szCs w:val="24"/>
        </w:rPr>
        <w:t>regresi</w:t>
      </w:r>
      <w:r w:rsidR="003B16E8">
        <w:rPr>
          <w:rFonts w:ascii="Times New Roman" w:hAnsi="Times New Roman" w:cs="Times New Roman"/>
          <w:sz w:val="24"/>
          <w:szCs w:val="24"/>
        </w:rPr>
        <w:t>ó</w:t>
      </w:r>
      <w:r w:rsidR="00BD2797">
        <w:rPr>
          <w:rFonts w:ascii="Times New Roman" w:hAnsi="Times New Roman" w:cs="Times New Roman"/>
          <w:sz w:val="24"/>
          <w:szCs w:val="24"/>
        </w:rPr>
        <w:t>n logística binomial</w:t>
      </w:r>
      <w:r w:rsidR="003B16E8">
        <w:rPr>
          <w:rFonts w:ascii="Times New Roman" w:hAnsi="Times New Roman" w:cs="Times New Roman"/>
          <w:sz w:val="24"/>
          <w:szCs w:val="24"/>
        </w:rPr>
        <w:t xml:space="preserve"> múltiple</w:t>
      </w:r>
      <w:r w:rsidR="00BD2797">
        <w:rPr>
          <w:rFonts w:ascii="Times New Roman" w:hAnsi="Times New Roman" w:cs="Times New Roman"/>
          <w:sz w:val="24"/>
          <w:szCs w:val="24"/>
        </w:rPr>
        <w:t xml:space="preserve"> para determinar qu</w:t>
      </w:r>
      <w:r w:rsidR="00664FD2">
        <w:rPr>
          <w:rFonts w:ascii="Times New Roman" w:hAnsi="Times New Roman" w:cs="Times New Roman"/>
          <w:sz w:val="24"/>
          <w:szCs w:val="24"/>
        </w:rPr>
        <w:t>é</w:t>
      </w:r>
      <w:r w:rsidR="00BD2797">
        <w:rPr>
          <w:rFonts w:ascii="Times New Roman" w:hAnsi="Times New Roman" w:cs="Times New Roman"/>
          <w:sz w:val="24"/>
          <w:szCs w:val="24"/>
        </w:rPr>
        <w:t xml:space="preserve"> tipo de variables tenían un impacto significativo en la decisión de los participantes de seleccionar </w:t>
      </w:r>
      <w:r w:rsidR="00715F17">
        <w:rPr>
          <w:rFonts w:ascii="Times New Roman" w:hAnsi="Times New Roman" w:cs="Times New Roman"/>
          <w:sz w:val="24"/>
          <w:szCs w:val="24"/>
        </w:rPr>
        <w:t>ser ingenieros</w:t>
      </w:r>
      <w:r w:rsidR="00BD2797">
        <w:rPr>
          <w:rFonts w:ascii="Times New Roman" w:hAnsi="Times New Roman" w:cs="Times New Roman"/>
          <w:sz w:val="24"/>
          <w:szCs w:val="24"/>
        </w:rPr>
        <w:t>.</w:t>
      </w:r>
      <w:r w:rsidR="00B62DB8">
        <w:rPr>
          <w:rFonts w:ascii="Times New Roman" w:hAnsi="Times New Roman" w:cs="Times New Roman"/>
          <w:sz w:val="24"/>
          <w:szCs w:val="24"/>
        </w:rPr>
        <w:t xml:space="preserve"> </w:t>
      </w:r>
      <w:r w:rsidR="00A966E9">
        <w:rPr>
          <w:rFonts w:ascii="Times New Roman" w:hAnsi="Times New Roman" w:cs="Times New Roman"/>
          <w:sz w:val="24"/>
          <w:szCs w:val="24"/>
        </w:rPr>
        <w:t xml:space="preserve">No está de más </w:t>
      </w:r>
      <w:r w:rsidR="00A966E9">
        <w:rPr>
          <w:rFonts w:ascii="Times New Roman" w:hAnsi="Times New Roman" w:cs="Times New Roman"/>
          <w:sz w:val="24"/>
          <w:szCs w:val="24"/>
        </w:rPr>
        <w:lastRenderedPageBreak/>
        <w:t>especificar que se recurrió a</w:t>
      </w:r>
      <w:r w:rsidR="003B16E8">
        <w:rPr>
          <w:rFonts w:ascii="Times New Roman" w:hAnsi="Times New Roman" w:cs="Times New Roman"/>
          <w:sz w:val="24"/>
          <w:szCs w:val="24"/>
        </w:rPr>
        <w:t xml:space="preserve"> un modelo de regresión logística binomial </w:t>
      </w:r>
      <w:r w:rsidR="00095B1F">
        <w:rPr>
          <w:rFonts w:ascii="Times New Roman" w:hAnsi="Times New Roman" w:cs="Times New Roman"/>
          <w:sz w:val="24"/>
          <w:szCs w:val="24"/>
        </w:rPr>
        <w:t xml:space="preserve">debido a que la variable dependiente (estar inscrito en una carrera </w:t>
      </w:r>
      <w:r w:rsidR="00EC265E">
        <w:rPr>
          <w:rFonts w:ascii="Times New Roman" w:hAnsi="Times New Roman" w:cs="Times New Roman"/>
          <w:sz w:val="24"/>
          <w:szCs w:val="24"/>
        </w:rPr>
        <w:t>en el área de</w:t>
      </w:r>
      <w:r w:rsidR="00095B1F">
        <w:rPr>
          <w:rFonts w:ascii="Times New Roman" w:hAnsi="Times New Roman" w:cs="Times New Roman"/>
          <w:sz w:val="24"/>
          <w:szCs w:val="24"/>
        </w:rPr>
        <w:t xml:space="preserve"> ingeniería</w:t>
      </w:r>
      <w:r w:rsidR="00AC30E6">
        <w:rPr>
          <w:rFonts w:ascii="Times New Roman" w:hAnsi="Times New Roman" w:cs="Times New Roman"/>
          <w:sz w:val="24"/>
          <w:szCs w:val="24"/>
        </w:rPr>
        <w:t>,</w:t>
      </w:r>
      <w:r w:rsidR="00095B1F">
        <w:rPr>
          <w:rFonts w:ascii="Times New Roman" w:hAnsi="Times New Roman" w:cs="Times New Roman"/>
          <w:sz w:val="24"/>
          <w:szCs w:val="24"/>
        </w:rPr>
        <w:t xml:space="preserve"> o no) es una variable binaria</w:t>
      </w:r>
      <w:r w:rsidR="00371D93">
        <w:rPr>
          <w:rFonts w:ascii="Times New Roman" w:hAnsi="Times New Roman" w:cs="Times New Roman"/>
          <w:sz w:val="24"/>
          <w:szCs w:val="24"/>
        </w:rPr>
        <w:t xml:space="preserve"> </w:t>
      </w:r>
      <w:r w:rsidR="00B2584C">
        <w:rPr>
          <w:rFonts w:ascii="Times New Roman" w:hAnsi="Times New Roman" w:cs="Times New Roman"/>
          <w:sz w:val="24"/>
          <w:szCs w:val="24"/>
        </w:rPr>
        <w:fldChar w:fldCharType="begin" w:fldLock="1"/>
      </w:r>
      <w:r w:rsidR="0096183A">
        <w:rPr>
          <w:rFonts w:ascii="Times New Roman" w:hAnsi="Times New Roman" w:cs="Times New Roman"/>
          <w:sz w:val="24"/>
          <w:szCs w:val="24"/>
        </w:rPr>
        <w:instrText>ADDIN CSL_CITATION {"citationItems":[{"id":"ITEM-1","itemData":{"author":[{"dropping-particle":"","family":"Collett","given":"D.","non-dropping-particle":"","parse-names":false,"suffix":""}],"id":"ITEM-1","issued":{"date-parts":[["1991"]]},"publisher":"Chapman and Hall","publisher-place":"London","title":"Modelling Binary Data","type":"book"},"uris":["http://www.mendeley.com/documents/?uuid=a7722db1-29aa-4f86-8085-56e6a8edc5aa"]}],"mendeley":{"formattedCitation":"(Collett, 1991)","plainTextFormattedCitation":"(Collett, 1991)","previouslyFormattedCitation":"(Collett, 1991)"},"properties":{"noteIndex":0},"schema":"https://github.com/citation-style-language/schema/raw/master/csl-citation.json"}</w:instrText>
      </w:r>
      <w:r w:rsidR="00B2584C">
        <w:rPr>
          <w:rFonts w:ascii="Times New Roman" w:hAnsi="Times New Roman" w:cs="Times New Roman"/>
          <w:sz w:val="24"/>
          <w:szCs w:val="24"/>
        </w:rPr>
        <w:fldChar w:fldCharType="separate"/>
      </w:r>
      <w:r w:rsidR="00B2584C" w:rsidRPr="00B2584C">
        <w:rPr>
          <w:rFonts w:ascii="Times New Roman" w:hAnsi="Times New Roman" w:cs="Times New Roman"/>
          <w:noProof/>
          <w:sz w:val="24"/>
          <w:szCs w:val="24"/>
        </w:rPr>
        <w:t>(Collett, 1991)</w:t>
      </w:r>
      <w:r w:rsidR="00B2584C">
        <w:rPr>
          <w:rFonts w:ascii="Times New Roman" w:hAnsi="Times New Roman" w:cs="Times New Roman"/>
          <w:sz w:val="24"/>
          <w:szCs w:val="24"/>
        </w:rPr>
        <w:fldChar w:fldCharType="end"/>
      </w:r>
      <w:r w:rsidR="00095B1F">
        <w:rPr>
          <w:rFonts w:ascii="Times New Roman" w:hAnsi="Times New Roman" w:cs="Times New Roman"/>
          <w:sz w:val="24"/>
          <w:szCs w:val="24"/>
        </w:rPr>
        <w:t>. E</w:t>
      </w:r>
      <w:r w:rsidR="00583FD0">
        <w:rPr>
          <w:rFonts w:ascii="Times New Roman" w:hAnsi="Times New Roman" w:cs="Times New Roman"/>
          <w:sz w:val="24"/>
          <w:szCs w:val="24"/>
        </w:rPr>
        <w:t>l análisis de la información siguió un modelo de</w:t>
      </w:r>
      <w:r w:rsidR="00095B1F">
        <w:rPr>
          <w:rFonts w:ascii="Times New Roman" w:hAnsi="Times New Roman" w:cs="Times New Roman"/>
          <w:sz w:val="24"/>
          <w:szCs w:val="24"/>
        </w:rPr>
        <w:t xml:space="preserve"> regresión múltiple </w:t>
      </w:r>
      <w:r w:rsidR="00583FD0">
        <w:rPr>
          <w:rFonts w:ascii="Times New Roman" w:hAnsi="Times New Roman" w:cs="Times New Roman"/>
          <w:sz w:val="24"/>
          <w:szCs w:val="24"/>
        </w:rPr>
        <w:t>para poder trabajar con</w:t>
      </w:r>
      <w:r w:rsidR="00095B1F">
        <w:rPr>
          <w:rFonts w:ascii="Times New Roman" w:hAnsi="Times New Roman" w:cs="Times New Roman"/>
          <w:sz w:val="24"/>
          <w:szCs w:val="24"/>
        </w:rPr>
        <w:t xml:space="preserve"> varias variables independientes</w:t>
      </w:r>
      <w:r w:rsidR="00583FD0">
        <w:rPr>
          <w:rFonts w:ascii="Times New Roman" w:hAnsi="Times New Roman" w:cs="Times New Roman"/>
          <w:sz w:val="24"/>
          <w:szCs w:val="24"/>
        </w:rPr>
        <w:t xml:space="preserve">, las cuales </w:t>
      </w:r>
      <w:r w:rsidR="00095B1F">
        <w:rPr>
          <w:rFonts w:ascii="Times New Roman" w:hAnsi="Times New Roman" w:cs="Times New Roman"/>
          <w:sz w:val="24"/>
          <w:szCs w:val="24"/>
        </w:rPr>
        <w:t xml:space="preserve">podían </w:t>
      </w:r>
      <w:r w:rsidR="00EC265E">
        <w:rPr>
          <w:rFonts w:ascii="Times New Roman" w:hAnsi="Times New Roman" w:cs="Times New Roman"/>
          <w:sz w:val="24"/>
          <w:szCs w:val="24"/>
        </w:rPr>
        <w:t>tener alguna relación con la selección de</w:t>
      </w:r>
      <w:r w:rsidR="00095B1F">
        <w:rPr>
          <w:rFonts w:ascii="Times New Roman" w:hAnsi="Times New Roman" w:cs="Times New Roman"/>
          <w:sz w:val="24"/>
          <w:szCs w:val="24"/>
        </w:rPr>
        <w:t xml:space="preserve"> </w:t>
      </w:r>
      <w:r w:rsidR="00EC265E">
        <w:rPr>
          <w:rFonts w:ascii="Times New Roman" w:hAnsi="Times New Roman" w:cs="Times New Roman"/>
          <w:sz w:val="24"/>
          <w:szCs w:val="24"/>
        </w:rPr>
        <w:t>una carrera en el área de ingeniería</w:t>
      </w:r>
      <w:r w:rsidR="00583FD0">
        <w:rPr>
          <w:rFonts w:ascii="Times New Roman" w:hAnsi="Times New Roman" w:cs="Times New Roman"/>
          <w:sz w:val="24"/>
          <w:szCs w:val="24"/>
        </w:rPr>
        <w:t xml:space="preserve"> por parte de los </w:t>
      </w:r>
      <w:r w:rsidR="007D340C">
        <w:rPr>
          <w:rFonts w:ascii="Times New Roman" w:hAnsi="Times New Roman" w:cs="Times New Roman"/>
          <w:sz w:val="24"/>
          <w:szCs w:val="24"/>
        </w:rPr>
        <w:t>participantes</w:t>
      </w:r>
      <w:r w:rsidR="00B2584C">
        <w:rPr>
          <w:rFonts w:ascii="Times New Roman" w:hAnsi="Times New Roman" w:cs="Times New Roman"/>
          <w:sz w:val="24"/>
          <w:szCs w:val="24"/>
        </w:rPr>
        <w:t xml:space="preserve"> </w:t>
      </w:r>
      <w:r w:rsidR="00B2584C">
        <w:rPr>
          <w:rFonts w:ascii="Times New Roman" w:hAnsi="Times New Roman" w:cs="Times New Roman"/>
          <w:sz w:val="24"/>
          <w:szCs w:val="24"/>
        </w:rPr>
        <w:fldChar w:fldCharType="begin" w:fldLock="1"/>
      </w:r>
      <w:r w:rsidR="0096183A">
        <w:rPr>
          <w:rFonts w:ascii="Times New Roman" w:hAnsi="Times New Roman" w:cs="Times New Roman"/>
          <w:sz w:val="24"/>
          <w:szCs w:val="24"/>
        </w:rPr>
        <w:instrText>ADDIN CSL_CITATION {"citationItems":[{"id":"ITEM-1","itemData":{"author":[{"dropping-particle":"","family":"Hayes","given":"A. F.","non-dropping-particle":"","parse-names":false,"suffix":""}],"id":"ITEM-1","issued":{"date-parts":[["2013"]]},"publisher":"Guilford Press","publisher-place":"New York, NY, US","title":"Methodology in the social sciences. Introduction to mediation, moderation, and conditional process analysis: A regression-based approach","type":"book"},"uris":["http://www.mendeley.com/documents/?uuid=d9bd4a22-c815-422b-93b5-0249daf4cc5d"]}],"mendeley":{"formattedCitation":"(Hayes, 2013)","plainTextFormattedCitation":"(Hayes, 2013)","previouslyFormattedCitation":"(Hayes, 2013)"},"properties":{"noteIndex":0},"schema":"https://github.com/citation-style-language/schema/raw/master/csl-citation.json"}</w:instrText>
      </w:r>
      <w:r w:rsidR="00B2584C">
        <w:rPr>
          <w:rFonts w:ascii="Times New Roman" w:hAnsi="Times New Roman" w:cs="Times New Roman"/>
          <w:sz w:val="24"/>
          <w:szCs w:val="24"/>
        </w:rPr>
        <w:fldChar w:fldCharType="separate"/>
      </w:r>
      <w:r w:rsidR="00B2584C" w:rsidRPr="00B2584C">
        <w:rPr>
          <w:rFonts w:ascii="Times New Roman" w:hAnsi="Times New Roman" w:cs="Times New Roman"/>
          <w:noProof/>
          <w:sz w:val="24"/>
          <w:szCs w:val="24"/>
        </w:rPr>
        <w:t>(Hayes, 2013)</w:t>
      </w:r>
      <w:r w:rsidR="00B2584C">
        <w:rPr>
          <w:rFonts w:ascii="Times New Roman" w:hAnsi="Times New Roman" w:cs="Times New Roman"/>
          <w:sz w:val="24"/>
          <w:szCs w:val="24"/>
        </w:rPr>
        <w:fldChar w:fldCharType="end"/>
      </w:r>
      <w:r w:rsidR="00EC265E">
        <w:rPr>
          <w:rFonts w:ascii="Times New Roman" w:hAnsi="Times New Roman" w:cs="Times New Roman"/>
          <w:sz w:val="24"/>
          <w:szCs w:val="24"/>
        </w:rPr>
        <w:t>.</w:t>
      </w:r>
      <w:r w:rsidR="008B227C">
        <w:rPr>
          <w:rFonts w:ascii="Times New Roman" w:hAnsi="Times New Roman" w:cs="Times New Roman"/>
          <w:sz w:val="24"/>
          <w:szCs w:val="24"/>
        </w:rPr>
        <w:t xml:space="preserve"> </w:t>
      </w:r>
    </w:p>
    <w:p w14:paraId="69FBE077" w14:textId="7A607ECF" w:rsidR="00433A82" w:rsidRPr="00FD4ACD" w:rsidRDefault="0005380A" w:rsidP="00514B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Igualmente es </w:t>
      </w:r>
      <w:r w:rsidR="00114DA7">
        <w:rPr>
          <w:rFonts w:ascii="Times New Roman" w:hAnsi="Times New Roman" w:cs="Times New Roman"/>
          <w:sz w:val="24"/>
          <w:szCs w:val="24"/>
        </w:rPr>
        <w:t>importante</w:t>
      </w:r>
      <w:r>
        <w:rPr>
          <w:rFonts w:ascii="Times New Roman" w:hAnsi="Times New Roman" w:cs="Times New Roman"/>
          <w:sz w:val="24"/>
          <w:szCs w:val="24"/>
        </w:rPr>
        <w:t xml:space="preserve"> mencionar que se</w:t>
      </w:r>
      <w:r w:rsidRPr="00FD4ACD">
        <w:rPr>
          <w:rFonts w:ascii="Times New Roman" w:hAnsi="Times New Roman" w:cs="Times New Roman"/>
          <w:sz w:val="24"/>
          <w:szCs w:val="24"/>
        </w:rPr>
        <w:t xml:space="preserve"> </w:t>
      </w:r>
      <w:r w:rsidR="008B227C" w:rsidRPr="00FD4ACD">
        <w:rPr>
          <w:rFonts w:ascii="Times New Roman" w:hAnsi="Times New Roman" w:cs="Times New Roman"/>
          <w:sz w:val="24"/>
          <w:szCs w:val="24"/>
        </w:rPr>
        <w:t>utilizó solo una parte de la información recopilada mediante la encuesta en el análisis</w:t>
      </w:r>
      <w:r w:rsidR="00433A82" w:rsidRPr="00FD4ACD">
        <w:rPr>
          <w:rFonts w:ascii="Times New Roman" w:hAnsi="Times New Roman" w:cs="Times New Roman"/>
          <w:sz w:val="24"/>
          <w:szCs w:val="24"/>
        </w:rPr>
        <w:t xml:space="preserve"> cuantitativo</w:t>
      </w:r>
      <w:r w:rsidR="008B227C" w:rsidRPr="00FD4ACD">
        <w:rPr>
          <w:rFonts w:ascii="Times New Roman" w:hAnsi="Times New Roman" w:cs="Times New Roman"/>
          <w:sz w:val="24"/>
          <w:szCs w:val="24"/>
        </w:rPr>
        <w:t xml:space="preserve"> por medio de la regresión, ya que se habían eliminado 26 preguntas con anterioridad, y otras </w:t>
      </w:r>
      <w:r w:rsidR="00715F17">
        <w:rPr>
          <w:rFonts w:ascii="Times New Roman" w:hAnsi="Times New Roman" w:cs="Times New Roman"/>
          <w:sz w:val="24"/>
          <w:szCs w:val="24"/>
        </w:rPr>
        <w:t>8</w:t>
      </w:r>
      <w:r w:rsidR="00715F17" w:rsidRPr="00FD4ACD">
        <w:rPr>
          <w:rFonts w:ascii="Times New Roman" w:hAnsi="Times New Roman" w:cs="Times New Roman"/>
          <w:sz w:val="24"/>
          <w:szCs w:val="24"/>
        </w:rPr>
        <w:t xml:space="preserve"> </w:t>
      </w:r>
      <w:r w:rsidR="008B227C" w:rsidRPr="00FD4ACD">
        <w:rPr>
          <w:rFonts w:ascii="Times New Roman" w:hAnsi="Times New Roman" w:cs="Times New Roman"/>
          <w:sz w:val="24"/>
          <w:szCs w:val="24"/>
        </w:rPr>
        <w:t>se separaron para ser utilizadas en el análisis cualitativo debido a que eran preguntas abiertas que no se podían categorizar para su análisis cuantitativo. Esto dejó un total de 30 ítems para el análisis estadístico por medio de la regresión.</w:t>
      </w:r>
      <w:r w:rsidR="00572B86" w:rsidRPr="00FD4ACD">
        <w:rPr>
          <w:rFonts w:ascii="Times New Roman" w:hAnsi="Times New Roman" w:cs="Times New Roman"/>
          <w:sz w:val="24"/>
          <w:szCs w:val="24"/>
        </w:rPr>
        <w:t xml:space="preserve"> Las variables que se consideraron para este modelo contenían preguntas sobre los cursos de matemáticas tomados en preparatoria (álgebra, geometría, trigonometría, precálculo y cálculo), cursos de ciencia tomados en preparatoria (química, biología, física y educación física), actividades extraescolares tomadas en preparatoria (idiomas, visitas académicas, clases avanzadas y computación), promedio académico en preparatoria, calificaciones en sus exámenes de ingreso a la universidad </w:t>
      </w:r>
      <w:r w:rsidR="00D34BC7">
        <w:rPr>
          <w:rFonts w:ascii="Times New Roman" w:hAnsi="Times New Roman" w:cs="Times New Roman"/>
          <w:sz w:val="24"/>
          <w:szCs w:val="24"/>
        </w:rPr>
        <w:t>(</w:t>
      </w:r>
      <w:r w:rsidR="00572B86" w:rsidRPr="00FD4ACD">
        <w:rPr>
          <w:rFonts w:ascii="Times New Roman" w:hAnsi="Times New Roman" w:cs="Times New Roman"/>
          <w:sz w:val="24"/>
          <w:szCs w:val="24"/>
        </w:rPr>
        <w:t>ACT</w:t>
      </w:r>
      <w:r w:rsidR="00433A82" w:rsidRPr="00FD4ACD">
        <w:rPr>
          <w:rFonts w:ascii="Times New Roman" w:hAnsi="Times New Roman" w:cs="Times New Roman"/>
          <w:sz w:val="24"/>
          <w:szCs w:val="24"/>
        </w:rPr>
        <w:t>m</w:t>
      </w:r>
      <w:r w:rsidR="00D34BC7">
        <w:rPr>
          <w:rFonts w:ascii="Times New Roman" w:hAnsi="Times New Roman" w:cs="Times New Roman"/>
          <w:sz w:val="24"/>
          <w:szCs w:val="24"/>
        </w:rPr>
        <w:t xml:space="preserve">, </w:t>
      </w:r>
      <w:r w:rsidR="00572B86" w:rsidRPr="00FD4ACD">
        <w:rPr>
          <w:rFonts w:ascii="Times New Roman" w:hAnsi="Times New Roman" w:cs="Times New Roman"/>
          <w:sz w:val="24"/>
          <w:szCs w:val="24"/>
        </w:rPr>
        <w:t xml:space="preserve">prueba estandarizada de conocimiento para ser aceptados en las universidad de Estados Unidos similar al examen </w:t>
      </w:r>
      <w:r w:rsidR="009C5CEE">
        <w:rPr>
          <w:rFonts w:ascii="Times New Roman" w:hAnsi="Times New Roman" w:cs="Times New Roman"/>
          <w:sz w:val="24"/>
          <w:szCs w:val="24"/>
        </w:rPr>
        <w:t xml:space="preserve">del </w:t>
      </w:r>
      <w:r w:rsidR="009C5CEE" w:rsidRPr="009C5CEE">
        <w:rPr>
          <w:rFonts w:ascii="Times New Roman" w:hAnsi="Times New Roman" w:cs="Times New Roman"/>
          <w:sz w:val="24"/>
          <w:szCs w:val="24"/>
        </w:rPr>
        <w:t xml:space="preserve">Centro Nacional de Evaluación para la Educación Superior </w:t>
      </w:r>
      <w:r w:rsidR="009C5CEE">
        <w:rPr>
          <w:rFonts w:ascii="Times New Roman" w:hAnsi="Times New Roman" w:cs="Times New Roman"/>
          <w:sz w:val="24"/>
          <w:szCs w:val="24"/>
        </w:rPr>
        <w:t>[</w:t>
      </w:r>
      <w:r w:rsidR="009C5CEE" w:rsidRPr="009C5CEE">
        <w:rPr>
          <w:rFonts w:ascii="Times New Roman" w:hAnsi="Times New Roman" w:cs="Times New Roman"/>
          <w:sz w:val="24"/>
          <w:szCs w:val="24"/>
        </w:rPr>
        <w:t>Ceneval</w:t>
      </w:r>
      <w:r w:rsidR="009C5CEE">
        <w:rPr>
          <w:rFonts w:ascii="Times New Roman" w:hAnsi="Times New Roman" w:cs="Times New Roman"/>
          <w:sz w:val="24"/>
          <w:szCs w:val="24"/>
        </w:rPr>
        <w:t>]</w:t>
      </w:r>
      <w:r w:rsidR="00572B86" w:rsidRPr="00FD4ACD">
        <w:rPr>
          <w:rFonts w:ascii="Times New Roman" w:hAnsi="Times New Roman" w:cs="Times New Roman"/>
          <w:sz w:val="24"/>
          <w:szCs w:val="24"/>
        </w:rPr>
        <w:t xml:space="preserve">), resultados del CMPT, participación en proyectos de investigación o campamentos de ciencia, autoeficacia matemática y solucionando problemas y familiares tituladas en alguna ingeniería. </w:t>
      </w:r>
    </w:p>
    <w:p w14:paraId="00F5E88A" w14:textId="5AEF3D5C" w:rsidR="0007427B" w:rsidRDefault="008B227C" w:rsidP="0006428E">
      <w:pPr>
        <w:spacing w:after="0" w:line="360" w:lineRule="auto"/>
        <w:ind w:firstLine="708"/>
        <w:jc w:val="both"/>
        <w:rPr>
          <w:rFonts w:ascii="Times New Roman" w:hAnsi="Times New Roman" w:cs="Times New Roman"/>
          <w:sz w:val="24"/>
          <w:szCs w:val="24"/>
        </w:rPr>
      </w:pPr>
      <w:r w:rsidRPr="00FD4ACD">
        <w:rPr>
          <w:rFonts w:ascii="Times New Roman" w:hAnsi="Times New Roman" w:cs="Times New Roman"/>
          <w:sz w:val="24"/>
          <w:szCs w:val="24"/>
        </w:rPr>
        <w:t xml:space="preserve">Después de correr el modelo </w:t>
      </w:r>
      <w:r w:rsidR="00DF3F92" w:rsidRPr="00FD4ACD">
        <w:rPr>
          <w:rFonts w:ascii="Times New Roman" w:hAnsi="Times New Roman" w:cs="Times New Roman"/>
          <w:sz w:val="24"/>
          <w:szCs w:val="24"/>
        </w:rPr>
        <w:t>de la regresión logística binomial múltiple</w:t>
      </w:r>
      <w:r w:rsidRPr="00FD4ACD">
        <w:rPr>
          <w:rFonts w:ascii="Times New Roman" w:hAnsi="Times New Roman" w:cs="Times New Roman"/>
          <w:sz w:val="24"/>
          <w:szCs w:val="24"/>
        </w:rPr>
        <w:t xml:space="preserve"> con </w:t>
      </w:r>
      <w:r w:rsidR="00DF3F92" w:rsidRPr="00FD4ACD">
        <w:rPr>
          <w:rFonts w:ascii="Times New Roman" w:hAnsi="Times New Roman" w:cs="Times New Roman"/>
          <w:sz w:val="24"/>
          <w:szCs w:val="24"/>
        </w:rPr>
        <w:t xml:space="preserve">30 variables independientes, se decidió eliminar aquellas variables que </w:t>
      </w:r>
      <w:r w:rsidR="004438A0" w:rsidRPr="00FD4ACD">
        <w:rPr>
          <w:rFonts w:ascii="Times New Roman" w:hAnsi="Times New Roman" w:cs="Times New Roman"/>
          <w:sz w:val="24"/>
          <w:szCs w:val="24"/>
        </w:rPr>
        <w:t xml:space="preserve">resultaron </w:t>
      </w:r>
      <w:r w:rsidR="00DF3F92" w:rsidRPr="00FD4ACD">
        <w:rPr>
          <w:rFonts w:ascii="Times New Roman" w:hAnsi="Times New Roman" w:cs="Times New Roman"/>
          <w:sz w:val="24"/>
          <w:szCs w:val="24"/>
        </w:rPr>
        <w:t xml:space="preserve">no </w:t>
      </w:r>
      <w:r w:rsidR="00572B86" w:rsidRPr="00FD4ACD">
        <w:rPr>
          <w:rFonts w:ascii="Times New Roman" w:hAnsi="Times New Roman" w:cs="Times New Roman"/>
          <w:sz w:val="24"/>
          <w:szCs w:val="24"/>
        </w:rPr>
        <w:t>tener una correlación significativa con la variable independiente</w:t>
      </w:r>
      <w:r w:rsidR="00DF3F92" w:rsidRPr="00FD4ACD">
        <w:rPr>
          <w:rFonts w:ascii="Times New Roman" w:hAnsi="Times New Roman" w:cs="Times New Roman"/>
          <w:sz w:val="24"/>
          <w:szCs w:val="24"/>
        </w:rPr>
        <w:t xml:space="preserve"> </w:t>
      </w:r>
      <w:r w:rsidR="004438A0" w:rsidRPr="00FD4ACD">
        <w:rPr>
          <w:rFonts w:ascii="Times New Roman" w:hAnsi="Times New Roman" w:cs="Times New Roman"/>
          <w:sz w:val="24"/>
          <w:szCs w:val="24"/>
        </w:rPr>
        <w:t>(ejemplo: ¿</w:t>
      </w:r>
      <w:r w:rsidR="0007427B">
        <w:rPr>
          <w:rFonts w:ascii="Times New Roman" w:hAnsi="Times New Roman" w:cs="Times New Roman"/>
          <w:sz w:val="24"/>
          <w:szCs w:val="24"/>
        </w:rPr>
        <w:t>c</w:t>
      </w:r>
      <w:r w:rsidR="0007427B" w:rsidRPr="00FD4ACD">
        <w:rPr>
          <w:rFonts w:ascii="Times New Roman" w:hAnsi="Times New Roman" w:cs="Times New Roman"/>
          <w:sz w:val="24"/>
          <w:szCs w:val="24"/>
        </w:rPr>
        <w:t xml:space="preserve">uántas </w:t>
      </w:r>
      <w:r w:rsidR="004438A0" w:rsidRPr="00FD4ACD">
        <w:rPr>
          <w:rFonts w:ascii="Times New Roman" w:hAnsi="Times New Roman" w:cs="Times New Roman"/>
          <w:sz w:val="24"/>
          <w:szCs w:val="24"/>
        </w:rPr>
        <w:t xml:space="preserve">veces visitaste algún museo de ciencia o ingeniería mientras estudiabas la preparatoria?). De esta forma, se decidió correr un modelo que tuviera únicamente las </w:t>
      </w:r>
      <w:r w:rsidR="00184848" w:rsidRPr="00FD4ACD">
        <w:rPr>
          <w:rFonts w:ascii="Times New Roman" w:hAnsi="Times New Roman" w:cs="Times New Roman"/>
          <w:sz w:val="24"/>
          <w:szCs w:val="24"/>
        </w:rPr>
        <w:t xml:space="preserve">seis </w:t>
      </w:r>
      <w:r w:rsidR="004438A0" w:rsidRPr="00FD4ACD">
        <w:rPr>
          <w:rFonts w:ascii="Times New Roman" w:hAnsi="Times New Roman" w:cs="Times New Roman"/>
          <w:sz w:val="24"/>
          <w:szCs w:val="24"/>
        </w:rPr>
        <w:t>variables significativas que podían relacionarse con la decisión de seleccionar una carrera de ingeniería para analizar su nivel de correlación</w:t>
      </w:r>
      <w:r w:rsidR="00572B86" w:rsidRPr="00FD4ACD">
        <w:rPr>
          <w:rFonts w:ascii="Times New Roman" w:hAnsi="Times New Roman" w:cs="Times New Roman"/>
          <w:sz w:val="24"/>
          <w:szCs w:val="24"/>
        </w:rPr>
        <w:t xml:space="preserve"> de una manera más precisa</w:t>
      </w:r>
      <w:r w:rsidR="004438A0" w:rsidRPr="00FD4ACD">
        <w:rPr>
          <w:rFonts w:ascii="Times New Roman" w:hAnsi="Times New Roman" w:cs="Times New Roman"/>
          <w:sz w:val="24"/>
          <w:szCs w:val="24"/>
        </w:rPr>
        <w:t xml:space="preserve">. </w:t>
      </w:r>
      <w:r w:rsidR="00EC265E" w:rsidRPr="00FD4ACD">
        <w:rPr>
          <w:rFonts w:ascii="Times New Roman" w:hAnsi="Times New Roman" w:cs="Times New Roman"/>
          <w:sz w:val="24"/>
          <w:szCs w:val="24"/>
        </w:rPr>
        <w:t xml:space="preserve">Las </w:t>
      </w:r>
      <w:r w:rsidR="00184848" w:rsidRPr="00FD4ACD">
        <w:rPr>
          <w:rFonts w:ascii="Times New Roman" w:hAnsi="Times New Roman" w:cs="Times New Roman"/>
          <w:sz w:val="24"/>
          <w:szCs w:val="24"/>
        </w:rPr>
        <w:t xml:space="preserve">seis </w:t>
      </w:r>
      <w:r w:rsidR="00EC265E" w:rsidRPr="00FD4ACD">
        <w:rPr>
          <w:rFonts w:ascii="Times New Roman" w:hAnsi="Times New Roman" w:cs="Times New Roman"/>
          <w:sz w:val="24"/>
          <w:szCs w:val="24"/>
        </w:rPr>
        <w:t>variables independientes que se usaron en</w:t>
      </w:r>
      <w:r w:rsidR="004438A0" w:rsidRPr="00FD4ACD">
        <w:rPr>
          <w:rFonts w:ascii="Times New Roman" w:hAnsi="Times New Roman" w:cs="Times New Roman"/>
          <w:sz w:val="24"/>
          <w:szCs w:val="24"/>
        </w:rPr>
        <w:t xml:space="preserve"> este último</w:t>
      </w:r>
      <w:r w:rsidR="00EC265E" w:rsidRPr="00FD4ACD">
        <w:rPr>
          <w:rFonts w:ascii="Times New Roman" w:hAnsi="Times New Roman" w:cs="Times New Roman"/>
          <w:sz w:val="24"/>
          <w:szCs w:val="24"/>
        </w:rPr>
        <w:t xml:space="preserve"> modelo de regresión fueron las siguientes:</w:t>
      </w:r>
      <w:r w:rsidR="0021493E" w:rsidRPr="00FD4ACD">
        <w:rPr>
          <w:rFonts w:ascii="Times New Roman" w:hAnsi="Times New Roman" w:cs="Times New Roman"/>
          <w:sz w:val="24"/>
          <w:szCs w:val="24"/>
        </w:rPr>
        <w:t xml:space="preserve"> </w:t>
      </w:r>
      <w:r w:rsidR="00184848" w:rsidRPr="00514B68">
        <w:rPr>
          <w:rFonts w:ascii="Times New Roman" w:hAnsi="Times New Roman" w:cs="Times New Roman"/>
          <w:i/>
          <w:sz w:val="24"/>
          <w:szCs w:val="24"/>
        </w:rPr>
        <w:t>1)</w:t>
      </w:r>
      <w:r w:rsidR="00184848" w:rsidRPr="00FD4ACD">
        <w:rPr>
          <w:rFonts w:ascii="Times New Roman" w:hAnsi="Times New Roman" w:cs="Times New Roman"/>
          <w:sz w:val="24"/>
          <w:szCs w:val="24"/>
        </w:rPr>
        <w:t xml:space="preserve"> tomar clases de cálculo</w:t>
      </w:r>
      <w:r w:rsidR="002B3569" w:rsidRPr="00FD4ACD">
        <w:rPr>
          <w:rFonts w:ascii="Times New Roman" w:hAnsi="Times New Roman" w:cs="Times New Roman"/>
          <w:sz w:val="24"/>
          <w:szCs w:val="24"/>
        </w:rPr>
        <w:t xml:space="preserve"> (X</w:t>
      </w:r>
      <w:r w:rsidR="002B3569" w:rsidRPr="00FD4ACD">
        <w:rPr>
          <w:rFonts w:ascii="Times New Roman" w:hAnsi="Times New Roman" w:cs="Times New Roman"/>
          <w:sz w:val="24"/>
          <w:szCs w:val="24"/>
          <w:vertAlign w:val="subscript"/>
        </w:rPr>
        <w:t>1</w:t>
      </w:r>
      <w:r w:rsidR="002B3569" w:rsidRPr="00FD4ACD">
        <w:rPr>
          <w:rFonts w:ascii="Times New Roman" w:hAnsi="Times New Roman" w:cs="Times New Roman"/>
          <w:sz w:val="24"/>
          <w:szCs w:val="24"/>
        </w:rPr>
        <w:t>)</w:t>
      </w:r>
      <w:r w:rsidR="00184848" w:rsidRPr="00FD4ACD">
        <w:rPr>
          <w:rFonts w:ascii="Times New Roman" w:hAnsi="Times New Roman" w:cs="Times New Roman"/>
          <w:sz w:val="24"/>
          <w:szCs w:val="24"/>
        </w:rPr>
        <w:t xml:space="preserve">, </w:t>
      </w:r>
      <w:r w:rsidR="00184848" w:rsidRPr="00514B68">
        <w:rPr>
          <w:rFonts w:ascii="Times New Roman" w:hAnsi="Times New Roman" w:cs="Times New Roman"/>
          <w:i/>
          <w:sz w:val="24"/>
          <w:szCs w:val="24"/>
        </w:rPr>
        <w:t>2)</w:t>
      </w:r>
      <w:r w:rsidR="00184848" w:rsidRPr="00FD4ACD">
        <w:rPr>
          <w:rFonts w:ascii="Times New Roman" w:hAnsi="Times New Roman" w:cs="Times New Roman"/>
          <w:sz w:val="24"/>
          <w:szCs w:val="24"/>
        </w:rPr>
        <w:t xml:space="preserve"> </w:t>
      </w:r>
      <w:r w:rsidR="00184848" w:rsidRPr="00FD4ACD">
        <w:rPr>
          <w:rFonts w:ascii="Times New Roman" w:hAnsi="Times New Roman" w:cs="Times New Roman"/>
          <w:sz w:val="24"/>
          <w:szCs w:val="24"/>
        </w:rPr>
        <w:lastRenderedPageBreak/>
        <w:t xml:space="preserve">género de los </w:t>
      </w:r>
      <w:r w:rsidR="00FD4ACD">
        <w:rPr>
          <w:rFonts w:ascii="Times New Roman" w:hAnsi="Times New Roman" w:cs="Times New Roman"/>
          <w:sz w:val="24"/>
          <w:szCs w:val="24"/>
        </w:rPr>
        <w:t>estudiante</w:t>
      </w:r>
      <w:r w:rsidR="00184848" w:rsidRPr="00FD4ACD">
        <w:rPr>
          <w:rFonts w:ascii="Times New Roman" w:hAnsi="Times New Roman" w:cs="Times New Roman"/>
          <w:sz w:val="24"/>
          <w:szCs w:val="24"/>
        </w:rPr>
        <w:t>s</w:t>
      </w:r>
      <w:r w:rsidR="002B3569" w:rsidRPr="00FD4ACD">
        <w:rPr>
          <w:rFonts w:ascii="Times New Roman" w:hAnsi="Times New Roman" w:cs="Times New Roman"/>
          <w:sz w:val="24"/>
          <w:szCs w:val="24"/>
        </w:rPr>
        <w:t xml:space="preserve"> (X</w:t>
      </w:r>
      <w:r w:rsidR="002B3569" w:rsidRPr="00FD4ACD">
        <w:rPr>
          <w:rFonts w:ascii="Times New Roman" w:hAnsi="Times New Roman" w:cs="Times New Roman"/>
          <w:sz w:val="24"/>
          <w:szCs w:val="24"/>
          <w:vertAlign w:val="subscript"/>
        </w:rPr>
        <w:t>2</w:t>
      </w:r>
      <w:r w:rsidR="002B3569" w:rsidRPr="00FD4ACD">
        <w:rPr>
          <w:rFonts w:ascii="Times New Roman" w:hAnsi="Times New Roman" w:cs="Times New Roman"/>
          <w:sz w:val="24"/>
          <w:szCs w:val="24"/>
        </w:rPr>
        <w:t>)</w:t>
      </w:r>
      <w:r w:rsidR="00184848" w:rsidRPr="00FD4ACD">
        <w:rPr>
          <w:rFonts w:ascii="Times New Roman" w:hAnsi="Times New Roman" w:cs="Times New Roman"/>
          <w:sz w:val="24"/>
          <w:szCs w:val="24"/>
        </w:rPr>
        <w:t xml:space="preserve">, </w:t>
      </w:r>
      <w:r w:rsidR="00184848" w:rsidRPr="00514B68">
        <w:rPr>
          <w:rFonts w:ascii="Times New Roman" w:hAnsi="Times New Roman" w:cs="Times New Roman"/>
          <w:i/>
          <w:sz w:val="24"/>
          <w:szCs w:val="24"/>
        </w:rPr>
        <w:t>3)</w:t>
      </w:r>
      <w:r w:rsidR="00184848" w:rsidRPr="00FD4ACD">
        <w:rPr>
          <w:rFonts w:ascii="Times New Roman" w:hAnsi="Times New Roman" w:cs="Times New Roman"/>
          <w:sz w:val="24"/>
          <w:szCs w:val="24"/>
        </w:rPr>
        <w:t xml:space="preserve"> </w:t>
      </w:r>
      <w:r w:rsidR="00433A82" w:rsidRPr="00FD4ACD">
        <w:rPr>
          <w:rFonts w:ascii="Times New Roman" w:hAnsi="Times New Roman" w:cs="Times New Roman"/>
          <w:sz w:val="24"/>
          <w:szCs w:val="24"/>
        </w:rPr>
        <w:t>resultados</w:t>
      </w:r>
      <w:r w:rsidR="00184848" w:rsidRPr="00FD4ACD">
        <w:rPr>
          <w:rFonts w:ascii="Times New Roman" w:hAnsi="Times New Roman" w:cs="Times New Roman"/>
          <w:sz w:val="24"/>
          <w:szCs w:val="24"/>
        </w:rPr>
        <w:t xml:space="preserve"> del CMPT</w:t>
      </w:r>
      <w:r w:rsidR="002B3569" w:rsidRPr="00FD4ACD">
        <w:rPr>
          <w:rFonts w:ascii="Times New Roman" w:hAnsi="Times New Roman" w:cs="Times New Roman"/>
          <w:sz w:val="24"/>
          <w:szCs w:val="24"/>
        </w:rPr>
        <w:t xml:space="preserve"> (X</w:t>
      </w:r>
      <w:r w:rsidR="002B3569" w:rsidRPr="00FD4ACD">
        <w:rPr>
          <w:rFonts w:ascii="Times New Roman" w:hAnsi="Times New Roman" w:cs="Times New Roman"/>
          <w:sz w:val="24"/>
          <w:szCs w:val="24"/>
          <w:vertAlign w:val="subscript"/>
        </w:rPr>
        <w:t>3</w:t>
      </w:r>
      <w:r w:rsidR="002B3569" w:rsidRPr="00FD4ACD">
        <w:rPr>
          <w:rFonts w:ascii="Times New Roman" w:hAnsi="Times New Roman" w:cs="Times New Roman"/>
          <w:sz w:val="24"/>
          <w:szCs w:val="24"/>
        </w:rPr>
        <w:t>)</w:t>
      </w:r>
      <w:r w:rsidR="00184848" w:rsidRPr="00FD4ACD">
        <w:rPr>
          <w:rFonts w:ascii="Times New Roman" w:hAnsi="Times New Roman" w:cs="Times New Roman"/>
          <w:sz w:val="24"/>
          <w:szCs w:val="24"/>
        </w:rPr>
        <w:t xml:space="preserve">, </w:t>
      </w:r>
      <w:r w:rsidR="00184848" w:rsidRPr="00514B68">
        <w:rPr>
          <w:rFonts w:ascii="Times New Roman" w:hAnsi="Times New Roman" w:cs="Times New Roman"/>
          <w:i/>
          <w:sz w:val="24"/>
          <w:szCs w:val="24"/>
        </w:rPr>
        <w:t>4)</w:t>
      </w:r>
      <w:r w:rsidR="00184848" w:rsidRPr="00FD4ACD">
        <w:rPr>
          <w:rFonts w:ascii="Times New Roman" w:hAnsi="Times New Roman" w:cs="Times New Roman"/>
          <w:sz w:val="24"/>
          <w:szCs w:val="24"/>
        </w:rPr>
        <w:t xml:space="preserve"> calificación del ACTm</w:t>
      </w:r>
      <w:r w:rsidR="002B3569" w:rsidRPr="00FD4ACD">
        <w:rPr>
          <w:rFonts w:ascii="Times New Roman" w:hAnsi="Times New Roman" w:cs="Times New Roman"/>
          <w:sz w:val="24"/>
          <w:szCs w:val="24"/>
        </w:rPr>
        <w:t xml:space="preserve"> (X</w:t>
      </w:r>
      <w:r w:rsidR="002B3569" w:rsidRPr="00FD4ACD">
        <w:rPr>
          <w:rFonts w:ascii="Times New Roman" w:hAnsi="Times New Roman" w:cs="Times New Roman"/>
          <w:sz w:val="24"/>
          <w:szCs w:val="24"/>
          <w:vertAlign w:val="subscript"/>
        </w:rPr>
        <w:t>4</w:t>
      </w:r>
      <w:r w:rsidR="002B3569" w:rsidRPr="00FD4ACD">
        <w:rPr>
          <w:rFonts w:ascii="Times New Roman" w:hAnsi="Times New Roman" w:cs="Times New Roman"/>
          <w:sz w:val="24"/>
          <w:szCs w:val="24"/>
        </w:rPr>
        <w:t>)</w:t>
      </w:r>
      <w:r w:rsidR="00184848" w:rsidRPr="00FD4ACD">
        <w:rPr>
          <w:rFonts w:ascii="Times New Roman" w:hAnsi="Times New Roman" w:cs="Times New Roman"/>
          <w:sz w:val="24"/>
          <w:szCs w:val="24"/>
        </w:rPr>
        <w:t xml:space="preserve">, </w:t>
      </w:r>
      <w:r w:rsidR="00184848" w:rsidRPr="00514B68">
        <w:rPr>
          <w:rFonts w:ascii="Times New Roman" w:hAnsi="Times New Roman" w:cs="Times New Roman"/>
          <w:i/>
          <w:sz w:val="24"/>
          <w:szCs w:val="24"/>
        </w:rPr>
        <w:t>5)</w:t>
      </w:r>
      <w:r w:rsidR="00184848" w:rsidRPr="00FD4ACD">
        <w:rPr>
          <w:rFonts w:ascii="Times New Roman" w:hAnsi="Times New Roman" w:cs="Times New Roman"/>
          <w:sz w:val="24"/>
          <w:szCs w:val="24"/>
        </w:rPr>
        <w:t xml:space="preserve"> tomar clases de biología</w:t>
      </w:r>
      <w:r w:rsidR="002B3569" w:rsidRPr="00FD4ACD">
        <w:rPr>
          <w:rFonts w:ascii="Times New Roman" w:hAnsi="Times New Roman" w:cs="Times New Roman"/>
          <w:sz w:val="24"/>
          <w:szCs w:val="24"/>
        </w:rPr>
        <w:t xml:space="preserve"> (X</w:t>
      </w:r>
      <w:r w:rsidR="002B3569" w:rsidRPr="00FD4ACD">
        <w:rPr>
          <w:rFonts w:ascii="Times New Roman" w:hAnsi="Times New Roman" w:cs="Times New Roman"/>
          <w:sz w:val="24"/>
          <w:szCs w:val="24"/>
          <w:vertAlign w:val="subscript"/>
        </w:rPr>
        <w:t>5</w:t>
      </w:r>
      <w:r w:rsidR="002B3569" w:rsidRPr="00FD4ACD">
        <w:rPr>
          <w:rFonts w:ascii="Times New Roman" w:hAnsi="Times New Roman" w:cs="Times New Roman"/>
          <w:sz w:val="24"/>
          <w:szCs w:val="24"/>
        </w:rPr>
        <w:t>)</w:t>
      </w:r>
      <w:r w:rsidR="00184848" w:rsidRPr="00FD4ACD">
        <w:rPr>
          <w:rFonts w:ascii="Times New Roman" w:hAnsi="Times New Roman" w:cs="Times New Roman"/>
          <w:sz w:val="24"/>
          <w:szCs w:val="24"/>
        </w:rPr>
        <w:t xml:space="preserve"> y </w:t>
      </w:r>
      <w:r w:rsidR="00184848" w:rsidRPr="00514B68">
        <w:rPr>
          <w:rFonts w:ascii="Times New Roman" w:hAnsi="Times New Roman" w:cs="Times New Roman"/>
          <w:i/>
          <w:sz w:val="24"/>
          <w:szCs w:val="24"/>
        </w:rPr>
        <w:t>6)</w:t>
      </w:r>
      <w:r w:rsidR="00184848" w:rsidRPr="00FD4ACD">
        <w:rPr>
          <w:rFonts w:ascii="Times New Roman" w:hAnsi="Times New Roman" w:cs="Times New Roman"/>
          <w:sz w:val="24"/>
          <w:szCs w:val="24"/>
        </w:rPr>
        <w:t xml:space="preserve"> tomar clases de ciencias en general</w:t>
      </w:r>
      <w:r w:rsidR="002B3569" w:rsidRPr="00FD4ACD">
        <w:rPr>
          <w:rFonts w:ascii="Times New Roman" w:hAnsi="Times New Roman" w:cs="Times New Roman"/>
          <w:sz w:val="24"/>
          <w:szCs w:val="24"/>
        </w:rPr>
        <w:t xml:space="preserve"> (X</w:t>
      </w:r>
      <w:r w:rsidR="002B3569" w:rsidRPr="00FD4ACD">
        <w:rPr>
          <w:rFonts w:ascii="Times New Roman" w:hAnsi="Times New Roman" w:cs="Times New Roman"/>
          <w:sz w:val="24"/>
          <w:szCs w:val="24"/>
          <w:vertAlign w:val="subscript"/>
        </w:rPr>
        <w:t>6</w:t>
      </w:r>
      <w:r w:rsidR="0007427B" w:rsidRPr="00FD4ACD">
        <w:rPr>
          <w:rFonts w:ascii="Times New Roman" w:hAnsi="Times New Roman" w:cs="Times New Roman"/>
          <w:sz w:val="24"/>
          <w:szCs w:val="24"/>
        </w:rPr>
        <w:t>)</w:t>
      </w:r>
      <w:r w:rsidR="0007427B">
        <w:rPr>
          <w:rFonts w:ascii="Times New Roman" w:hAnsi="Times New Roman" w:cs="Times New Roman"/>
          <w:sz w:val="24"/>
          <w:szCs w:val="24"/>
        </w:rPr>
        <w:t>.</w:t>
      </w:r>
      <w:r w:rsidR="0007427B" w:rsidRPr="00FD4ACD">
        <w:rPr>
          <w:rFonts w:ascii="Times New Roman" w:hAnsi="Times New Roman" w:cs="Times New Roman"/>
          <w:sz w:val="24"/>
          <w:szCs w:val="24"/>
        </w:rPr>
        <w:t xml:space="preserve"> </w:t>
      </w:r>
      <w:r w:rsidR="0007427B">
        <w:rPr>
          <w:rFonts w:ascii="Times New Roman" w:hAnsi="Times New Roman" w:cs="Times New Roman"/>
          <w:sz w:val="24"/>
          <w:szCs w:val="24"/>
        </w:rPr>
        <w:t>Y</w:t>
      </w:r>
      <w:r w:rsidR="0007427B" w:rsidRPr="00FD4ACD">
        <w:rPr>
          <w:rFonts w:ascii="Times New Roman" w:hAnsi="Times New Roman" w:cs="Times New Roman"/>
          <w:sz w:val="24"/>
          <w:szCs w:val="24"/>
        </w:rPr>
        <w:t xml:space="preserve"> </w:t>
      </w:r>
      <w:r w:rsidR="002B3569" w:rsidRPr="00FD4ACD">
        <w:rPr>
          <w:rFonts w:ascii="Times New Roman" w:hAnsi="Times New Roman" w:cs="Times New Roman"/>
          <w:sz w:val="24"/>
          <w:szCs w:val="24"/>
        </w:rPr>
        <w:t>e</w:t>
      </w:r>
      <w:r w:rsidR="00184848" w:rsidRPr="00FD4ACD">
        <w:rPr>
          <w:rFonts w:ascii="Times New Roman" w:hAnsi="Times New Roman" w:cs="Times New Roman"/>
          <w:sz w:val="24"/>
          <w:szCs w:val="24"/>
        </w:rPr>
        <w:t>l modelo seguido para la regresión se present</w:t>
      </w:r>
      <w:r w:rsidR="002B3569" w:rsidRPr="00FD4ACD">
        <w:rPr>
          <w:rFonts w:ascii="Times New Roman" w:hAnsi="Times New Roman" w:cs="Times New Roman"/>
          <w:sz w:val="24"/>
          <w:szCs w:val="24"/>
        </w:rPr>
        <w:t>ó de la siguiente manera</w:t>
      </w:r>
      <w:r w:rsidR="00184848" w:rsidRPr="00FD4ACD">
        <w:rPr>
          <w:rFonts w:ascii="Times New Roman" w:hAnsi="Times New Roman" w:cs="Times New Roman"/>
          <w:sz w:val="24"/>
          <w:szCs w:val="24"/>
        </w:rPr>
        <w:t xml:space="preserve">: </w:t>
      </w:r>
    </w:p>
    <w:p w14:paraId="7F055478" w14:textId="77777777" w:rsidR="00123C12" w:rsidRDefault="00123C12" w:rsidP="00123C12">
      <w:pPr>
        <w:spacing w:after="0" w:line="360" w:lineRule="auto"/>
        <w:jc w:val="center"/>
        <w:rPr>
          <w:rFonts w:ascii="Times New Roman" w:hAnsi="Times New Roman" w:cs="Times New Roman"/>
          <w:sz w:val="24"/>
          <w:szCs w:val="24"/>
        </w:rPr>
      </w:pPr>
    </w:p>
    <w:p w14:paraId="4D22D895" w14:textId="63722EF2" w:rsidR="0007427B" w:rsidRDefault="00433A82" w:rsidP="00514B68">
      <w:pPr>
        <w:spacing w:after="0" w:line="360" w:lineRule="auto"/>
        <w:jc w:val="center"/>
        <w:rPr>
          <w:rFonts w:ascii="Times New Roman" w:hAnsi="Times New Roman" w:cs="Times New Roman"/>
          <w:sz w:val="24"/>
          <w:szCs w:val="24"/>
        </w:rPr>
      </w:pPr>
      <w:r w:rsidRPr="00514B68">
        <w:rPr>
          <w:rFonts w:ascii="Times New Roman" w:hAnsi="Times New Roman" w:cs="Times New Roman"/>
          <w:i/>
          <w:sz w:val="24"/>
          <w:szCs w:val="24"/>
        </w:rPr>
        <w:t>Ŷ</w:t>
      </w:r>
      <w:r w:rsidR="00695060" w:rsidRPr="00FD4ACD">
        <w:rPr>
          <w:rFonts w:ascii="Times New Roman" w:hAnsi="Times New Roman" w:cs="Times New Roman"/>
          <w:sz w:val="24"/>
          <w:szCs w:val="24"/>
        </w:rPr>
        <w:t xml:space="preserve"> = -5.810 + 0.739X</w:t>
      </w:r>
      <w:r w:rsidR="00695060" w:rsidRPr="00FD4ACD">
        <w:rPr>
          <w:rFonts w:ascii="Times New Roman" w:hAnsi="Times New Roman" w:cs="Times New Roman"/>
          <w:sz w:val="24"/>
          <w:szCs w:val="24"/>
          <w:vertAlign w:val="subscript"/>
        </w:rPr>
        <w:t>1</w:t>
      </w:r>
      <w:r w:rsidR="00695060" w:rsidRPr="00FD4ACD">
        <w:rPr>
          <w:rFonts w:ascii="Times New Roman" w:hAnsi="Times New Roman" w:cs="Times New Roman"/>
          <w:sz w:val="24"/>
          <w:szCs w:val="24"/>
        </w:rPr>
        <w:t xml:space="preserve"> + 1.194X</w:t>
      </w:r>
      <w:r w:rsidR="00695060" w:rsidRPr="00FD4ACD">
        <w:rPr>
          <w:rFonts w:ascii="Times New Roman" w:hAnsi="Times New Roman" w:cs="Times New Roman"/>
          <w:sz w:val="24"/>
          <w:szCs w:val="24"/>
          <w:vertAlign w:val="subscript"/>
        </w:rPr>
        <w:t>2</w:t>
      </w:r>
      <w:r w:rsidR="00695060" w:rsidRPr="00FD4ACD">
        <w:rPr>
          <w:rFonts w:ascii="Times New Roman" w:hAnsi="Times New Roman" w:cs="Times New Roman"/>
          <w:sz w:val="24"/>
          <w:szCs w:val="24"/>
        </w:rPr>
        <w:t xml:space="preserve"> + 0.050X</w:t>
      </w:r>
      <w:r w:rsidR="00695060" w:rsidRPr="00FD4ACD">
        <w:rPr>
          <w:rFonts w:ascii="Times New Roman" w:hAnsi="Times New Roman" w:cs="Times New Roman"/>
          <w:sz w:val="24"/>
          <w:szCs w:val="24"/>
          <w:vertAlign w:val="subscript"/>
        </w:rPr>
        <w:t>3</w:t>
      </w:r>
      <w:r w:rsidR="00695060" w:rsidRPr="00FD4ACD">
        <w:rPr>
          <w:rFonts w:ascii="Times New Roman" w:hAnsi="Times New Roman" w:cs="Times New Roman"/>
          <w:sz w:val="24"/>
          <w:szCs w:val="24"/>
        </w:rPr>
        <w:t xml:space="preserve"> + 0.055X</w:t>
      </w:r>
      <w:r w:rsidR="00695060" w:rsidRPr="00FD4ACD">
        <w:rPr>
          <w:rFonts w:ascii="Times New Roman" w:hAnsi="Times New Roman" w:cs="Times New Roman"/>
          <w:sz w:val="24"/>
          <w:szCs w:val="24"/>
          <w:vertAlign w:val="subscript"/>
        </w:rPr>
        <w:t xml:space="preserve">4 </w:t>
      </w:r>
      <w:r w:rsidR="00695060" w:rsidRPr="00FD4ACD">
        <w:rPr>
          <w:rFonts w:ascii="Times New Roman" w:hAnsi="Times New Roman" w:cs="Times New Roman"/>
          <w:sz w:val="24"/>
          <w:szCs w:val="24"/>
        </w:rPr>
        <w:t>-</w:t>
      </w:r>
      <w:r w:rsidR="002B3569" w:rsidRPr="00FD4ACD">
        <w:rPr>
          <w:rFonts w:ascii="Times New Roman" w:hAnsi="Times New Roman" w:cs="Times New Roman"/>
          <w:sz w:val="24"/>
          <w:szCs w:val="24"/>
        </w:rPr>
        <w:t xml:space="preserve"> </w:t>
      </w:r>
      <w:r w:rsidR="00695060" w:rsidRPr="00FD4ACD">
        <w:rPr>
          <w:rFonts w:ascii="Times New Roman" w:hAnsi="Times New Roman" w:cs="Times New Roman"/>
          <w:sz w:val="24"/>
          <w:szCs w:val="24"/>
        </w:rPr>
        <w:t>0.539X</w:t>
      </w:r>
      <w:r w:rsidR="00695060" w:rsidRPr="00FD4ACD">
        <w:rPr>
          <w:rFonts w:ascii="Times New Roman" w:hAnsi="Times New Roman" w:cs="Times New Roman"/>
          <w:sz w:val="24"/>
          <w:szCs w:val="24"/>
          <w:vertAlign w:val="subscript"/>
        </w:rPr>
        <w:t>5</w:t>
      </w:r>
      <w:r w:rsidR="00695060" w:rsidRPr="00FD4ACD">
        <w:rPr>
          <w:rFonts w:ascii="Times New Roman" w:hAnsi="Times New Roman" w:cs="Times New Roman"/>
          <w:sz w:val="24"/>
          <w:szCs w:val="24"/>
        </w:rPr>
        <w:t xml:space="preserve"> -</w:t>
      </w:r>
      <w:r w:rsidR="002B3569" w:rsidRPr="00FD4ACD">
        <w:rPr>
          <w:rFonts w:ascii="Times New Roman" w:hAnsi="Times New Roman" w:cs="Times New Roman"/>
          <w:sz w:val="24"/>
          <w:szCs w:val="24"/>
        </w:rPr>
        <w:t xml:space="preserve"> </w:t>
      </w:r>
      <w:r w:rsidR="00695060" w:rsidRPr="00FD4ACD">
        <w:rPr>
          <w:rFonts w:ascii="Times New Roman" w:hAnsi="Times New Roman" w:cs="Times New Roman"/>
          <w:sz w:val="24"/>
          <w:szCs w:val="24"/>
        </w:rPr>
        <w:t>0.597X</w:t>
      </w:r>
      <w:r w:rsidR="00695060" w:rsidRPr="00FD4ACD">
        <w:rPr>
          <w:rFonts w:ascii="Times New Roman" w:hAnsi="Times New Roman" w:cs="Times New Roman"/>
          <w:sz w:val="24"/>
          <w:szCs w:val="24"/>
          <w:vertAlign w:val="subscript"/>
        </w:rPr>
        <w:t>6</w:t>
      </w:r>
    </w:p>
    <w:p w14:paraId="5F80C44C" w14:textId="77777777" w:rsidR="00123C12" w:rsidRDefault="00123C12" w:rsidP="0006428E">
      <w:pPr>
        <w:spacing w:after="0" w:line="360" w:lineRule="auto"/>
        <w:ind w:firstLine="708"/>
        <w:jc w:val="both"/>
        <w:rPr>
          <w:rFonts w:ascii="Times New Roman" w:hAnsi="Times New Roman" w:cs="Times New Roman"/>
          <w:sz w:val="24"/>
          <w:szCs w:val="24"/>
        </w:rPr>
      </w:pPr>
    </w:p>
    <w:p w14:paraId="54CBE76C" w14:textId="33C43D3B" w:rsidR="00C945BB" w:rsidRDefault="002B3569" w:rsidP="00514B68">
      <w:pPr>
        <w:spacing w:after="0" w:line="360" w:lineRule="auto"/>
        <w:ind w:firstLine="708"/>
        <w:jc w:val="both"/>
        <w:rPr>
          <w:rFonts w:ascii="Times New Roman" w:hAnsi="Times New Roman" w:cs="Times New Roman"/>
          <w:sz w:val="24"/>
          <w:szCs w:val="24"/>
        </w:rPr>
      </w:pPr>
      <w:r w:rsidRPr="00FD4ACD">
        <w:rPr>
          <w:rFonts w:ascii="Times New Roman" w:hAnsi="Times New Roman" w:cs="Times New Roman"/>
          <w:sz w:val="24"/>
          <w:szCs w:val="24"/>
        </w:rPr>
        <w:t>Además de seleccionar estas</w:t>
      </w:r>
      <w:r w:rsidR="00583FD0" w:rsidRPr="00FD4ACD">
        <w:rPr>
          <w:rFonts w:ascii="Times New Roman" w:hAnsi="Times New Roman" w:cs="Times New Roman"/>
          <w:sz w:val="24"/>
          <w:szCs w:val="24"/>
        </w:rPr>
        <w:t xml:space="preserve"> variables</w:t>
      </w:r>
      <w:r w:rsidRPr="00FD4ACD">
        <w:rPr>
          <w:rFonts w:ascii="Times New Roman" w:hAnsi="Times New Roman" w:cs="Times New Roman"/>
          <w:sz w:val="24"/>
          <w:szCs w:val="24"/>
        </w:rPr>
        <w:t xml:space="preserve"> siguiendo los resultados</w:t>
      </w:r>
      <w:r w:rsidR="004F09B1" w:rsidRPr="00FD4ACD">
        <w:rPr>
          <w:rFonts w:ascii="Times New Roman" w:hAnsi="Times New Roman" w:cs="Times New Roman"/>
          <w:sz w:val="24"/>
          <w:szCs w:val="24"/>
        </w:rPr>
        <w:t xml:space="preserve"> del análisis estadístico,</w:t>
      </w:r>
      <w:r w:rsidR="009D785C" w:rsidRPr="00FD4ACD">
        <w:rPr>
          <w:rFonts w:ascii="Times New Roman" w:hAnsi="Times New Roman" w:cs="Times New Roman"/>
          <w:sz w:val="24"/>
          <w:szCs w:val="24"/>
        </w:rPr>
        <w:t xml:space="preserve"> se utilizó este modelo específico siguiendo</w:t>
      </w:r>
      <w:r w:rsidR="00583FD0" w:rsidRPr="00FD4ACD">
        <w:rPr>
          <w:rFonts w:ascii="Times New Roman" w:hAnsi="Times New Roman" w:cs="Times New Roman"/>
          <w:sz w:val="24"/>
          <w:szCs w:val="24"/>
        </w:rPr>
        <w:t xml:space="preserve"> la </w:t>
      </w:r>
      <w:r w:rsidR="00123C12">
        <w:rPr>
          <w:rFonts w:ascii="Times New Roman" w:hAnsi="Times New Roman" w:cs="Times New Roman"/>
          <w:sz w:val="24"/>
          <w:szCs w:val="24"/>
        </w:rPr>
        <w:t>SCCT</w:t>
      </w:r>
      <w:r w:rsidR="00123C12" w:rsidRPr="00FD4ACD">
        <w:rPr>
          <w:rFonts w:ascii="Times New Roman" w:hAnsi="Times New Roman" w:cs="Times New Roman"/>
          <w:sz w:val="24"/>
          <w:szCs w:val="24"/>
        </w:rPr>
        <w:t xml:space="preserve"> y la teoría del aprendizaje social</w:t>
      </w:r>
      <w:r w:rsidR="009D785C" w:rsidRPr="00FD4ACD">
        <w:rPr>
          <w:rFonts w:ascii="Times New Roman" w:hAnsi="Times New Roman" w:cs="Times New Roman"/>
          <w:sz w:val="24"/>
          <w:szCs w:val="24"/>
        </w:rPr>
        <w:t xml:space="preserve"> para fortalecer los resultados con el análisis cualitativo de forma adecuada </w:t>
      </w:r>
      <w:r w:rsidR="009D785C" w:rsidRPr="00FD4ACD">
        <w:rPr>
          <w:rFonts w:ascii="Times New Roman" w:hAnsi="Times New Roman" w:cs="Times New Roman"/>
          <w:sz w:val="24"/>
          <w:szCs w:val="24"/>
        </w:rPr>
        <w:fldChar w:fldCharType="begin" w:fldLock="1"/>
      </w:r>
      <w:r w:rsidR="0096183A">
        <w:rPr>
          <w:rFonts w:ascii="Times New Roman" w:hAnsi="Times New Roman" w:cs="Times New Roman"/>
          <w:sz w:val="24"/>
          <w:szCs w:val="24"/>
        </w:rPr>
        <w:instrText>ADDIN CSL_CITATION {"citationItems":[{"id":"ITEM-1","itemData":{"author":[{"dropping-particle":"","family":"Creswell","given":"J. W.","non-dropping-particle":"","parse-names":false,"suffix":""},{"dropping-particle":"","family":"Clark","given":"V.","non-dropping-particle":"","parse-names":false,"suffix":""}],"edition":"2nd ed.","id":"ITEM-1","issued":{"date-parts":[["2011"]]},"publisher":"Thousand Oaks, CA: Sage Publications, Inc.","title":"Designing and Conducting Mixed Methods Research","type":"book"},"uris":["http://www.mendeley.com/documents/?uuid=189bc559-f102-4675-bd96-76f583feae17"]}],"mendeley":{"formattedCitation":"(Creswell &amp; Clark, 2011)","plainTextFormattedCitation":"(Creswell &amp; Clark, 2011)","previouslyFormattedCitation":"(Creswell &amp; Clark, 2011)"},"properties":{"noteIndex":0},"schema":"https://github.com/citation-style-language/schema/raw/master/csl-citation.json"}</w:instrText>
      </w:r>
      <w:r w:rsidR="009D785C" w:rsidRPr="00FD4ACD">
        <w:rPr>
          <w:rFonts w:ascii="Times New Roman" w:hAnsi="Times New Roman" w:cs="Times New Roman"/>
          <w:sz w:val="24"/>
          <w:szCs w:val="24"/>
        </w:rPr>
        <w:fldChar w:fldCharType="separate"/>
      </w:r>
      <w:r w:rsidR="009D785C" w:rsidRPr="00FD4ACD">
        <w:rPr>
          <w:rFonts w:ascii="Times New Roman" w:hAnsi="Times New Roman" w:cs="Times New Roman"/>
          <w:noProof/>
          <w:sz w:val="24"/>
          <w:szCs w:val="24"/>
        </w:rPr>
        <w:t xml:space="preserve">(Creswell </w:t>
      </w:r>
      <w:r w:rsidR="00CF0EE4">
        <w:rPr>
          <w:rFonts w:ascii="Times New Roman" w:hAnsi="Times New Roman" w:cs="Times New Roman"/>
          <w:noProof/>
          <w:sz w:val="24"/>
          <w:szCs w:val="24"/>
        </w:rPr>
        <w:t>y</w:t>
      </w:r>
      <w:r w:rsidR="00CF0EE4" w:rsidRPr="00FD4ACD">
        <w:rPr>
          <w:rFonts w:ascii="Times New Roman" w:hAnsi="Times New Roman" w:cs="Times New Roman"/>
          <w:noProof/>
          <w:sz w:val="24"/>
          <w:szCs w:val="24"/>
        </w:rPr>
        <w:t xml:space="preserve"> </w:t>
      </w:r>
      <w:r w:rsidR="009D785C" w:rsidRPr="00FD4ACD">
        <w:rPr>
          <w:rFonts w:ascii="Times New Roman" w:hAnsi="Times New Roman" w:cs="Times New Roman"/>
          <w:noProof/>
          <w:sz w:val="24"/>
          <w:szCs w:val="24"/>
        </w:rPr>
        <w:t>Clark, 2011)</w:t>
      </w:r>
      <w:r w:rsidR="009D785C" w:rsidRPr="00FD4ACD">
        <w:rPr>
          <w:rFonts w:ascii="Times New Roman" w:hAnsi="Times New Roman" w:cs="Times New Roman"/>
          <w:sz w:val="24"/>
          <w:szCs w:val="24"/>
        </w:rPr>
        <w:fldChar w:fldCharType="end"/>
      </w:r>
      <w:r w:rsidR="00CF0EE4">
        <w:rPr>
          <w:rFonts w:ascii="Times New Roman" w:hAnsi="Times New Roman" w:cs="Times New Roman"/>
          <w:sz w:val="24"/>
          <w:szCs w:val="24"/>
        </w:rPr>
        <w:t>, como ya se mencionó líneas arriba</w:t>
      </w:r>
      <w:r w:rsidR="00123C12">
        <w:rPr>
          <w:rFonts w:ascii="Times New Roman" w:hAnsi="Times New Roman" w:cs="Times New Roman"/>
          <w:sz w:val="24"/>
          <w:szCs w:val="24"/>
        </w:rPr>
        <w:t>.</w:t>
      </w:r>
      <w:r w:rsidR="009D785C" w:rsidDel="009D785C">
        <w:rPr>
          <w:rFonts w:ascii="Times New Roman" w:hAnsi="Times New Roman" w:cs="Times New Roman"/>
          <w:sz w:val="24"/>
          <w:szCs w:val="24"/>
        </w:rPr>
        <w:t xml:space="preserve"> </w:t>
      </w:r>
      <w:r w:rsidR="00583FD0">
        <w:rPr>
          <w:rFonts w:ascii="Times New Roman" w:hAnsi="Times New Roman" w:cs="Times New Roman"/>
          <w:sz w:val="24"/>
          <w:szCs w:val="24"/>
        </w:rPr>
        <w:t xml:space="preserve"> </w:t>
      </w:r>
    </w:p>
    <w:p w14:paraId="31059AF1" w14:textId="550A795A" w:rsidR="00247427" w:rsidRDefault="007D340C" w:rsidP="00514B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un análisis más detallado de la información recolectada con la encuesta, s</w:t>
      </w:r>
      <w:r w:rsidR="00B62DB8">
        <w:rPr>
          <w:rFonts w:ascii="Times New Roman" w:hAnsi="Times New Roman" w:cs="Times New Roman"/>
          <w:sz w:val="24"/>
          <w:szCs w:val="24"/>
        </w:rPr>
        <w:t xml:space="preserve">e corrieron </w:t>
      </w:r>
      <w:r w:rsidR="001262D3">
        <w:rPr>
          <w:rFonts w:ascii="Times New Roman" w:hAnsi="Times New Roman" w:cs="Times New Roman"/>
          <w:sz w:val="24"/>
          <w:szCs w:val="24"/>
        </w:rPr>
        <w:t xml:space="preserve">tres </w:t>
      </w:r>
      <w:r w:rsidR="00B62DB8">
        <w:rPr>
          <w:rFonts w:ascii="Times New Roman" w:hAnsi="Times New Roman" w:cs="Times New Roman"/>
          <w:sz w:val="24"/>
          <w:szCs w:val="24"/>
        </w:rPr>
        <w:t xml:space="preserve">pruebas estadísticas </w:t>
      </w:r>
      <w:r w:rsidR="00424CFD">
        <w:rPr>
          <w:rFonts w:ascii="Times New Roman" w:hAnsi="Times New Roman" w:cs="Times New Roman"/>
          <w:sz w:val="24"/>
          <w:szCs w:val="24"/>
        </w:rPr>
        <w:t xml:space="preserve">diferentes </w:t>
      </w:r>
      <w:r w:rsidR="00B62DB8">
        <w:rPr>
          <w:rFonts w:ascii="Times New Roman" w:hAnsi="Times New Roman" w:cs="Times New Roman"/>
          <w:sz w:val="24"/>
          <w:szCs w:val="24"/>
        </w:rPr>
        <w:t xml:space="preserve">para analizar los grupos establecidos mediante el nivel matemático de los </w:t>
      </w:r>
      <w:r w:rsidR="00525E5D">
        <w:rPr>
          <w:rFonts w:ascii="Times New Roman" w:hAnsi="Times New Roman" w:cs="Times New Roman"/>
          <w:sz w:val="24"/>
          <w:szCs w:val="24"/>
        </w:rPr>
        <w:t>participantes</w:t>
      </w:r>
      <w:r w:rsidR="00B62DB8">
        <w:rPr>
          <w:rFonts w:ascii="Times New Roman" w:hAnsi="Times New Roman" w:cs="Times New Roman"/>
          <w:sz w:val="24"/>
          <w:szCs w:val="24"/>
        </w:rPr>
        <w:t xml:space="preserve">, </w:t>
      </w:r>
      <w:r w:rsidR="00A96636">
        <w:rPr>
          <w:rFonts w:ascii="Times New Roman" w:hAnsi="Times New Roman" w:cs="Times New Roman"/>
          <w:sz w:val="24"/>
          <w:szCs w:val="24"/>
        </w:rPr>
        <w:t>utilizando</w:t>
      </w:r>
      <w:r w:rsidR="00B62DB8">
        <w:rPr>
          <w:rFonts w:ascii="Times New Roman" w:hAnsi="Times New Roman" w:cs="Times New Roman"/>
          <w:sz w:val="24"/>
          <w:szCs w:val="24"/>
        </w:rPr>
        <w:t xml:space="preserve"> los grupos de habilidades matemáticas bajas y altas de forma separada</w:t>
      </w:r>
      <w:r>
        <w:rPr>
          <w:rFonts w:ascii="Times New Roman" w:hAnsi="Times New Roman" w:cs="Times New Roman"/>
          <w:sz w:val="24"/>
          <w:szCs w:val="24"/>
        </w:rPr>
        <w:t>,</w:t>
      </w:r>
      <w:r w:rsidR="00B62DB8">
        <w:rPr>
          <w:rFonts w:ascii="Times New Roman" w:hAnsi="Times New Roman" w:cs="Times New Roman"/>
          <w:sz w:val="24"/>
          <w:szCs w:val="24"/>
        </w:rPr>
        <w:t xml:space="preserve"> y </w:t>
      </w:r>
      <w:r w:rsidR="00424CFD">
        <w:rPr>
          <w:rFonts w:ascii="Times New Roman" w:hAnsi="Times New Roman" w:cs="Times New Roman"/>
          <w:sz w:val="24"/>
          <w:szCs w:val="24"/>
        </w:rPr>
        <w:t xml:space="preserve">una </w:t>
      </w:r>
      <w:r w:rsidR="00B62DB8">
        <w:rPr>
          <w:rFonts w:ascii="Times New Roman" w:hAnsi="Times New Roman" w:cs="Times New Roman"/>
          <w:sz w:val="24"/>
          <w:szCs w:val="24"/>
        </w:rPr>
        <w:t xml:space="preserve">prueba adicional </w:t>
      </w:r>
      <w:r w:rsidR="00424CFD">
        <w:rPr>
          <w:rFonts w:ascii="Times New Roman" w:hAnsi="Times New Roman" w:cs="Times New Roman"/>
          <w:sz w:val="24"/>
          <w:szCs w:val="24"/>
        </w:rPr>
        <w:t xml:space="preserve">con el total de la muestra </w:t>
      </w:r>
      <w:r w:rsidR="00B62DB8">
        <w:rPr>
          <w:rFonts w:ascii="Times New Roman" w:hAnsi="Times New Roman" w:cs="Times New Roman"/>
          <w:sz w:val="24"/>
          <w:szCs w:val="24"/>
        </w:rPr>
        <w:t>(</w:t>
      </w:r>
      <w:r w:rsidR="00B62DB8" w:rsidRPr="00514B68">
        <w:rPr>
          <w:rFonts w:ascii="Times New Roman" w:hAnsi="Times New Roman" w:cs="Times New Roman"/>
          <w:i/>
          <w:sz w:val="24"/>
          <w:szCs w:val="24"/>
        </w:rPr>
        <w:t>n</w:t>
      </w:r>
      <w:r w:rsidR="00CF0EE4">
        <w:rPr>
          <w:rFonts w:ascii="Times New Roman" w:hAnsi="Times New Roman" w:cs="Times New Roman"/>
          <w:sz w:val="24"/>
          <w:szCs w:val="24"/>
        </w:rPr>
        <w:t xml:space="preserve"> </w:t>
      </w:r>
      <w:r w:rsidR="00B62DB8">
        <w:rPr>
          <w:rFonts w:ascii="Times New Roman" w:hAnsi="Times New Roman" w:cs="Times New Roman"/>
          <w:sz w:val="24"/>
          <w:szCs w:val="24"/>
        </w:rPr>
        <w:t>=</w:t>
      </w:r>
      <w:r w:rsidR="00CF0EE4">
        <w:rPr>
          <w:rFonts w:ascii="Times New Roman" w:hAnsi="Times New Roman" w:cs="Times New Roman"/>
          <w:sz w:val="24"/>
          <w:szCs w:val="24"/>
        </w:rPr>
        <w:t xml:space="preserve"> </w:t>
      </w:r>
      <w:r w:rsidR="00B62DB8">
        <w:rPr>
          <w:rFonts w:ascii="Times New Roman" w:hAnsi="Times New Roman" w:cs="Times New Roman"/>
          <w:sz w:val="24"/>
          <w:szCs w:val="24"/>
        </w:rPr>
        <w:t>560)</w:t>
      </w:r>
      <w:r w:rsidR="00640E91">
        <w:rPr>
          <w:rFonts w:ascii="Times New Roman" w:hAnsi="Times New Roman" w:cs="Times New Roman"/>
          <w:sz w:val="24"/>
          <w:szCs w:val="24"/>
        </w:rPr>
        <w:t xml:space="preserve">. Este análisis </w:t>
      </w:r>
      <w:r w:rsidR="00A96636">
        <w:rPr>
          <w:rFonts w:ascii="Times New Roman" w:hAnsi="Times New Roman" w:cs="Times New Roman"/>
          <w:sz w:val="24"/>
          <w:szCs w:val="24"/>
        </w:rPr>
        <w:t>por g</w:t>
      </w:r>
      <w:r w:rsidR="00640E91">
        <w:rPr>
          <w:rFonts w:ascii="Times New Roman" w:hAnsi="Times New Roman" w:cs="Times New Roman"/>
          <w:sz w:val="24"/>
          <w:szCs w:val="24"/>
        </w:rPr>
        <w:t xml:space="preserve">rupos permitió encontrar los factores más significativos al momento de seleccionar </w:t>
      </w:r>
      <w:r w:rsidR="00EB3262">
        <w:rPr>
          <w:rFonts w:ascii="Times New Roman" w:hAnsi="Times New Roman" w:cs="Times New Roman"/>
          <w:sz w:val="24"/>
          <w:szCs w:val="24"/>
        </w:rPr>
        <w:t xml:space="preserve">una </w:t>
      </w:r>
      <w:r w:rsidR="00640E91">
        <w:rPr>
          <w:rFonts w:ascii="Times New Roman" w:hAnsi="Times New Roman" w:cs="Times New Roman"/>
          <w:sz w:val="24"/>
          <w:szCs w:val="24"/>
        </w:rPr>
        <w:t>ingeniería como carrera dependiendo de las habilidades matemáticas de los participantes.</w:t>
      </w:r>
      <w:r w:rsidR="00247427">
        <w:rPr>
          <w:rFonts w:ascii="Times New Roman" w:hAnsi="Times New Roman" w:cs="Times New Roman"/>
          <w:sz w:val="24"/>
          <w:szCs w:val="24"/>
        </w:rPr>
        <w:t xml:space="preserve"> </w:t>
      </w:r>
    </w:p>
    <w:p w14:paraId="15AAA6E2" w14:textId="74E9B8D1" w:rsidR="005D13B0" w:rsidRDefault="00574286" w:rsidP="00514B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9725ED">
        <w:rPr>
          <w:rFonts w:ascii="Times New Roman" w:hAnsi="Times New Roman" w:cs="Times New Roman"/>
          <w:sz w:val="24"/>
          <w:szCs w:val="24"/>
        </w:rPr>
        <w:t xml:space="preserve">os resultados que se </w:t>
      </w:r>
      <w:r w:rsidR="00CF0EE4">
        <w:rPr>
          <w:rFonts w:ascii="Times New Roman" w:hAnsi="Times New Roman" w:cs="Times New Roman"/>
          <w:sz w:val="24"/>
          <w:szCs w:val="24"/>
        </w:rPr>
        <w:t xml:space="preserve">observan </w:t>
      </w:r>
      <w:r w:rsidR="009725ED">
        <w:rPr>
          <w:rFonts w:ascii="Times New Roman" w:hAnsi="Times New Roman" w:cs="Times New Roman"/>
          <w:sz w:val="24"/>
          <w:szCs w:val="24"/>
        </w:rPr>
        <w:t xml:space="preserve">en la </w:t>
      </w:r>
      <w:r w:rsidR="00CF0EE4">
        <w:rPr>
          <w:rFonts w:ascii="Times New Roman" w:hAnsi="Times New Roman" w:cs="Times New Roman"/>
          <w:sz w:val="24"/>
          <w:szCs w:val="24"/>
        </w:rPr>
        <w:t xml:space="preserve">tabla </w:t>
      </w:r>
      <w:r>
        <w:rPr>
          <w:rFonts w:ascii="Times New Roman" w:hAnsi="Times New Roman" w:cs="Times New Roman"/>
          <w:sz w:val="24"/>
          <w:szCs w:val="24"/>
        </w:rPr>
        <w:t xml:space="preserve">2 </w:t>
      </w:r>
      <w:r w:rsidR="009725ED">
        <w:rPr>
          <w:rFonts w:ascii="Times New Roman" w:hAnsi="Times New Roman" w:cs="Times New Roman"/>
          <w:sz w:val="24"/>
          <w:szCs w:val="24"/>
        </w:rPr>
        <w:t xml:space="preserve">son únicamente de las variables que mostraron tener un nivel de significancia de </w:t>
      </w:r>
      <w:r w:rsidR="009725ED" w:rsidRPr="00514B68">
        <w:rPr>
          <w:rFonts w:ascii="Times New Roman" w:hAnsi="Times New Roman" w:cs="Times New Roman"/>
          <w:i/>
          <w:sz w:val="24"/>
          <w:szCs w:val="24"/>
        </w:rPr>
        <w:t xml:space="preserve">p </w:t>
      </w:r>
      <w:r w:rsidR="009725ED" w:rsidRPr="00AE6459">
        <w:rPr>
          <w:rFonts w:ascii="Times New Roman" w:hAnsi="Times New Roman" w:cs="Times New Roman"/>
          <w:sz w:val="24"/>
          <w:szCs w:val="24"/>
        </w:rPr>
        <w:t>&lt;</w:t>
      </w:r>
      <w:r w:rsidR="009725ED">
        <w:rPr>
          <w:rFonts w:ascii="Times New Roman" w:hAnsi="Times New Roman" w:cs="Times New Roman"/>
          <w:sz w:val="24"/>
          <w:szCs w:val="24"/>
        </w:rPr>
        <w:t xml:space="preserve"> 0.05,</w:t>
      </w:r>
      <w:r>
        <w:rPr>
          <w:rFonts w:ascii="Times New Roman" w:hAnsi="Times New Roman" w:cs="Times New Roman"/>
          <w:sz w:val="24"/>
          <w:szCs w:val="24"/>
        </w:rPr>
        <w:t xml:space="preserve"> </w:t>
      </w:r>
      <w:r w:rsidR="007D340C">
        <w:rPr>
          <w:rFonts w:ascii="Times New Roman" w:hAnsi="Times New Roman" w:cs="Times New Roman"/>
          <w:sz w:val="24"/>
          <w:szCs w:val="24"/>
        </w:rPr>
        <w:t>utiliz</w:t>
      </w:r>
      <w:r w:rsidR="009725ED">
        <w:rPr>
          <w:rFonts w:ascii="Times New Roman" w:hAnsi="Times New Roman" w:cs="Times New Roman"/>
          <w:sz w:val="24"/>
          <w:szCs w:val="24"/>
        </w:rPr>
        <w:t>ando</w:t>
      </w:r>
      <w:r w:rsidR="007D340C">
        <w:rPr>
          <w:rFonts w:ascii="Times New Roman" w:hAnsi="Times New Roman" w:cs="Times New Roman"/>
          <w:sz w:val="24"/>
          <w:szCs w:val="24"/>
        </w:rPr>
        <w:t xml:space="preserve"> </w:t>
      </w:r>
      <w:r w:rsidR="00EC2A2F">
        <w:rPr>
          <w:rFonts w:ascii="Times New Roman" w:hAnsi="Times New Roman" w:cs="Times New Roman"/>
          <w:sz w:val="24"/>
          <w:szCs w:val="24"/>
        </w:rPr>
        <w:t xml:space="preserve">el coeficiente de estimación </w:t>
      </w:r>
      <w:r w:rsidR="00EC2A2F" w:rsidRPr="00514B68">
        <w:rPr>
          <w:rFonts w:ascii="Times New Roman" w:hAnsi="Times New Roman" w:cs="Times New Roman"/>
          <w:i/>
          <w:sz w:val="24"/>
          <w:szCs w:val="24"/>
        </w:rPr>
        <w:t>B</w:t>
      </w:r>
      <w:r w:rsidR="00EC2A2F">
        <w:rPr>
          <w:rFonts w:ascii="Times New Roman" w:hAnsi="Times New Roman" w:cs="Times New Roman"/>
          <w:sz w:val="24"/>
          <w:szCs w:val="24"/>
        </w:rPr>
        <w:t xml:space="preserve"> para determinar una posible correlación </w:t>
      </w:r>
      <w:r w:rsidR="00436108">
        <w:rPr>
          <w:rFonts w:ascii="Times New Roman" w:hAnsi="Times New Roman" w:cs="Times New Roman"/>
          <w:sz w:val="24"/>
          <w:szCs w:val="24"/>
        </w:rPr>
        <w:t xml:space="preserve">entre </w:t>
      </w:r>
      <w:r w:rsidR="00EC2A2F">
        <w:rPr>
          <w:rFonts w:ascii="Times New Roman" w:hAnsi="Times New Roman" w:cs="Times New Roman"/>
          <w:sz w:val="24"/>
          <w:szCs w:val="24"/>
        </w:rPr>
        <w:t>las variables independientes y la variable dependiente</w:t>
      </w:r>
      <w:r w:rsidR="00537121">
        <w:rPr>
          <w:rFonts w:ascii="Times New Roman" w:hAnsi="Times New Roman" w:cs="Times New Roman"/>
          <w:sz w:val="24"/>
          <w:szCs w:val="24"/>
        </w:rPr>
        <w:t xml:space="preserve"> </w:t>
      </w:r>
      <w:r w:rsidR="00537121">
        <w:rPr>
          <w:rFonts w:ascii="Times New Roman" w:hAnsi="Times New Roman" w:cs="Times New Roman"/>
          <w:sz w:val="24"/>
          <w:szCs w:val="24"/>
        </w:rPr>
        <w:fldChar w:fldCharType="begin" w:fldLock="1"/>
      </w:r>
      <w:r w:rsidR="0096183A">
        <w:rPr>
          <w:rFonts w:ascii="Times New Roman" w:hAnsi="Times New Roman" w:cs="Times New Roman"/>
          <w:sz w:val="24"/>
          <w:szCs w:val="24"/>
        </w:rPr>
        <w:instrText>ADDIN CSL_CITATION {"citationItems":[{"id":"ITEM-1","itemData":{"author":[{"dropping-particle":"","family":"Falk","given":"R.","non-dropping-particle":"","parse-names":false,"suffix":""},{"dropping-particle":"V.","family":"Well","given":"A.","non-dropping-particle":"","parse-names":false,"suffix":""}],"container-title":"Journal of Statistics Education","id":"ITEM-1","issued":{"date-parts":[["1997"]]},"title":"Many Faces of the Correlation Coefficient","type":"article-journal","volume":"5"},"uris":["http://www.mendeley.com/documents/?uuid=1fc0ea2a-3e3f-4f31-b767-6a6ed06cd96d"]}],"mendeley":{"formattedCitation":"(Falk &amp; Well, 1997)","plainTextFormattedCitation":"(Falk &amp; Well, 1997)","previouslyFormattedCitation":"(Falk &amp; Well, 1997)"},"properties":{"noteIndex":0},"schema":"https://github.com/citation-style-language/schema/raw/master/csl-citation.json"}</w:instrText>
      </w:r>
      <w:r w:rsidR="00537121">
        <w:rPr>
          <w:rFonts w:ascii="Times New Roman" w:hAnsi="Times New Roman" w:cs="Times New Roman"/>
          <w:sz w:val="24"/>
          <w:szCs w:val="24"/>
        </w:rPr>
        <w:fldChar w:fldCharType="separate"/>
      </w:r>
      <w:r w:rsidR="00537121" w:rsidRPr="00537121">
        <w:rPr>
          <w:rFonts w:ascii="Times New Roman" w:hAnsi="Times New Roman" w:cs="Times New Roman"/>
          <w:noProof/>
          <w:sz w:val="24"/>
          <w:szCs w:val="24"/>
        </w:rPr>
        <w:t xml:space="preserve">(Falk </w:t>
      </w:r>
      <w:r w:rsidR="00CF0EE4">
        <w:rPr>
          <w:rFonts w:ascii="Times New Roman" w:hAnsi="Times New Roman" w:cs="Times New Roman"/>
          <w:noProof/>
          <w:sz w:val="24"/>
          <w:szCs w:val="24"/>
        </w:rPr>
        <w:t>y</w:t>
      </w:r>
      <w:r w:rsidR="00CF0EE4" w:rsidRPr="00537121">
        <w:rPr>
          <w:rFonts w:ascii="Times New Roman" w:hAnsi="Times New Roman" w:cs="Times New Roman"/>
          <w:noProof/>
          <w:sz w:val="24"/>
          <w:szCs w:val="24"/>
        </w:rPr>
        <w:t xml:space="preserve"> </w:t>
      </w:r>
      <w:r w:rsidR="00537121" w:rsidRPr="00537121">
        <w:rPr>
          <w:rFonts w:ascii="Times New Roman" w:hAnsi="Times New Roman" w:cs="Times New Roman"/>
          <w:noProof/>
          <w:sz w:val="24"/>
          <w:szCs w:val="24"/>
        </w:rPr>
        <w:t>Well, 1997)</w:t>
      </w:r>
      <w:r w:rsidR="00537121">
        <w:rPr>
          <w:rFonts w:ascii="Times New Roman" w:hAnsi="Times New Roman" w:cs="Times New Roman"/>
          <w:sz w:val="24"/>
          <w:szCs w:val="24"/>
        </w:rPr>
        <w:fldChar w:fldCharType="end"/>
      </w:r>
      <w:r w:rsidR="009725ED">
        <w:rPr>
          <w:rFonts w:ascii="Times New Roman" w:hAnsi="Times New Roman" w:cs="Times New Roman"/>
          <w:sz w:val="24"/>
          <w:szCs w:val="24"/>
        </w:rPr>
        <w:t>.</w:t>
      </w:r>
      <w:r w:rsidR="00743085">
        <w:rPr>
          <w:rFonts w:ascii="Times New Roman" w:hAnsi="Times New Roman" w:cs="Times New Roman"/>
          <w:sz w:val="24"/>
          <w:szCs w:val="24"/>
        </w:rPr>
        <w:t xml:space="preserve"> </w:t>
      </w:r>
      <w:r w:rsidR="009725ED">
        <w:rPr>
          <w:rFonts w:ascii="Times New Roman" w:hAnsi="Times New Roman" w:cs="Times New Roman"/>
          <w:sz w:val="24"/>
          <w:szCs w:val="24"/>
        </w:rPr>
        <w:t xml:space="preserve">Se </w:t>
      </w:r>
      <w:r w:rsidR="00743085">
        <w:rPr>
          <w:rFonts w:ascii="Times New Roman" w:hAnsi="Times New Roman" w:cs="Times New Roman"/>
          <w:sz w:val="24"/>
          <w:szCs w:val="24"/>
        </w:rPr>
        <w:t>considera</w:t>
      </w:r>
      <w:r w:rsidR="009725ED">
        <w:rPr>
          <w:rFonts w:ascii="Times New Roman" w:hAnsi="Times New Roman" w:cs="Times New Roman"/>
          <w:sz w:val="24"/>
          <w:szCs w:val="24"/>
        </w:rPr>
        <w:t xml:space="preserve"> que</w:t>
      </w:r>
      <w:r w:rsidR="00743085">
        <w:rPr>
          <w:rFonts w:ascii="Times New Roman" w:hAnsi="Times New Roman" w:cs="Times New Roman"/>
          <w:sz w:val="24"/>
          <w:szCs w:val="24"/>
        </w:rPr>
        <w:t xml:space="preserve"> un valor positivo </w:t>
      </w:r>
      <w:r w:rsidR="009725ED">
        <w:rPr>
          <w:rFonts w:ascii="Times New Roman" w:hAnsi="Times New Roman" w:cs="Times New Roman"/>
          <w:sz w:val="24"/>
          <w:szCs w:val="24"/>
        </w:rPr>
        <w:t xml:space="preserve">del </w:t>
      </w:r>
      <w:r w:rsidR="00743085">
        <w:rPr>
          <w:rFonts w:ascii="Times New Roman" w:hAnsi="Times New Roman" w:cs="Times New Roman"/>
          <w:sz w:val="24"/>
          <w:szCs w:val="24"/>
        </w:rPr>
        <w:t>coeficiente</w:t>
      </w:r>
      <w:r w:rsidR="009725ED">
        <w:rPr>
          <w:rFonts w:ascii="Times New Roman" w:hAnsi="Times New Roman" w:cs="Times New Roman"/>
          <w:sz w:val="24"/>
          <w:szCs w:val="24"/>
        </w:rPr>
        <w:t xml:space="preserve"> de estimación</w:t>
      </w:r>
      <w:r w:rsidR="00743085">
        <w:rPr>
          <w:rFonts w:ascii="Times New Roman" w:hAnsi="Times New Roman" w:cs="Times New Roman"/>
          <w:sz w:val="24"/>
          <w:szCs w:val="24"/>
        </w:rPr>
        <w:t xml:space="preserve"> </w:t>
      </w:r>
      <w:r w:rsidR="009725ED">
        <w:rPr>
          <w:rFonts w:ascii="Times New Roman" w:hAnsi="Times New Roman" w:cs="Times New Roman"/>
          <w:sz w:val="24"/>
          <w:szCs w:val="24"/>
        </w:rPr>
        <w:t>sugiere</w:t>
      </w:r>
      <w:r w:rsidR="00743085">
        <w:rPr>
          <w:rFonts w:ascii="Times New Roman" w:hAnsi="Times New Roman" w:cs="Times New Roman"/>
          <w:sz w:val="24"/>
          <w:szCs w:val="24"/>
        </w:rPr>
        <w:t xml:space="preserve"> una probabilidad mayor de que un estudiante seleccione una carrera en el área de ingeniería. Por otro lado, una variable con un coeficiente de estimación negativo </w:t>
      </w:r>
      <w:r w:rsidR="00371D93">
        <w:rPr>
          <w:rFonts w:ascii="Times New Roman" w:hAnsi="Times New Roman" w:cs="Times New Roman"/>
          <w:sz w:val="24"/>
          <w:szCs w:val="24"/>
        </w:rPr>
        <w:t>indica una</w:t>
      </w:r>
      <w:r w:rsidR="00743085">
        <w:rPr>
          <w:rFonts w:ascii="Times New Roman" w:hAnsi="Times New Roman" w:cs="Times New Roman"/>
          <w:sz w:val="24"/>
          <w:szCs w:val="24"/>
        </w:rPr>
        <w:t xml:space="preserve"> meno</w:t>
      </w:r>
      <w:r w:rsidR="00371D93">
        <w:rPr>
          <w:rFonts w:ascii="Times New Roman" w:hAnsi="Times New Roman" w:cs="Times New Roman"/>
          <w:sz w:val="24"/>
          <w:szCs w:val="24"/>
        </w:rPr>
        <w:t>r</w:t>
      </w:r>
      <w:r w:rsidR="00743085">
        <w:rPr>
          <w:rFonts w:ascii="Times New Roman" w:hAnsi="Times New Roman" w:cs="Times New Roman"/>
          <w:sz w:val="24"/>
          <w:szCs w:val="24"/>
        </w:rPr>
        <w:t xml:space="preserve"> probab</w:t>
      </w:r>
      <w:r w:rsidR="00371D93">
        <w:rPr>
          <w:rFonts w:ascii="Times New Roman" w:hAnsi="Times New Roman" w:cs="Times New Roman"/>
          <w:sz w:val="24"/>
          <w:szCs w:val="24"/>
        </w:rPr>
        <w:t>ilidad de</w:t>
      </w:r>
      <w:r w:rsidR="00743085">
        <w:rPr>
          <w:rFonts w:ascii="Times New Roman" w:hAnsi="Times New Roman" w:cs="Times New Roman"/>
          <w:sz w:val="24"/>
          <w:szCs w:val="24"/>
        </w:rPr>
        <w:t xml:space="preserve"> que un estudiante seleccione una ingeniería. </w:t>
      </w:r>
      <w:r w:rsidR="00743085" w:rsidRPr="00FD4ACD">
        <w:rPr>
          <w:rFonts w:ascii="Times New Roman" w:hAnsi="Times New Roman" w:cs="Times New Roman"/>
          <w:sz w:val="24"/>
          <w:szCs w:val="24"/>
        </w:rPr>
        <w:t>A</w:t>
      </w:r>
      <w:r w:rsidR="00640E91" w:rsidRPr="00FD4ACD">
        <w:rPr>
          <w:rFonts w:ascii="Times New Roman" w:hAnsi="Times New Roman" w:cs="Times New Roman"/>
          <w:sz w:val="24"/>
          <w:szCs w:val="24"/>
        </w:rPr>
        <w:t xml:space="preserve">dicionalmente, se </w:t>
      </w:r>
      <w:r w:rsidR="00CC3464" w:rsidRPr="00FD4ACD">
        <w:rPr>
          <w:rFonts w:ascii="Times New Roman" w:hAnsi="Times New Roman" w:cs="Times New Roman"/>
          <w:sz w:val="24"/>
          <w:szCs w:val="24"/>
        </w:rPr>
        <w:t xml:space="preserve">hizo el </w:t>
      </w:r>
      <w:r w:rsidR="00640E91" w:rsidRPr="00FD4ACD">
        <w:rPr>
          <w:rFonts w:ascii="Times New Roman" w:hAnsi="Times New Roman" w:cs="Times New Roman"/>
          <w:sz w:val="24"/>
          <w:szCs w:val="24"/>
        </w:rPr>
        <w:t>c</w:t>
      </w:r>
      <w:r w:rsidR="00CC3464" w:rsidRPr="00FD4ACD">
        <w:rPr>
          <w:rFonts w:ascii="Times New Roman" w:hAnsi="Times New Roman" w:cs="Times New Roman"/>
          <w:sz w:val="24"/>
          <w:szCs w:val="24"/>
        </w:rPr>
        <w:t>á</w:t>
      </w:r>
      <w:r w:rsidR="00640E91" w:rsidRPr="00FD4ACD">
        <w:rPr>
          <w:rFonts w:ascii="Times New Roman" w:hAnsi="Times New Roman" w:cs="Times New Roman"/>
          <w:sz w:val="24"/>
          <w:szCs w:val="24"/>
        </w:rPr>
        <w:t>lcul</w:t>
      </w:r>
      <w:r w:rsidR="00CC3464" w:rsidRPr="00FD4ACD">
        <w:rPr>
          <w:rFonts w:ascii="Times New Roman" w:hAnsi="Times New Roman" w:cs="Times New Roman"/>
          <w:sz w:val="24"/>
          <w:szCs w:val="24"/>
        </w:rPr>
        <w:t>o manual de</w:t>
      </w:r>
      <w:r w:rsidR="00640E91" w:rsidRPr="00FD4ACD">
        <w:rPr>
          <w:rFonts w:ascii="Times New Roman" w:hAnsi="Times New Roman" w:cs="Times New Roman"/>
          <w:sz w:val="24"/>
          <w:szCs w:val="24"/>
        </w:rPr>
        <w:t xml:space="preserve"> l</w:t>
      </w:r>
      <w:r w:rsidR="00D1214E" w:rsidRPr="00FD4ACD">
        <w:rPr>
          <w:rFonts w:ascii="Times New Roman" w:hAnsi="Times New Roman" w:cs="Times New Roman"/>
          <w:sz w:val="24"/>
          <w:szCs w:val="24"/>
        </w:rPr>
        <w:t>a</w:t>
      </w:r>
      <w:r w:rsidR="00CC3464" w:rsidRPr="00FD4ACD">
        <w:rPr>
          <w:rFonts w:ascii="Times New Roman" w:hAnsi="Times New Roman" w:cs="Times New Roman"/>
          <w:sz w:val="24"/>
          <w:szCs w:val="24"/>
        </w:rPr>
        <w:t xml:space="preserve"> </w:t>
      </w:r>
      <w:r w:rsidR="00D1214E" w:rsidRPr="00FD4ACD">
        <w:rPr>
          <w:rFonts w:ascii="Times New Roman" w:hAnsi="Times New Roman" w:cs="Times New Roman"/>
          <w:sz w:val="24"/>
          <w:szCs w:val="24"/>
        </w:rPr>
        <w:t xml:space="preserve">fortaleza de la relación </w:t>
      </w:r>
      <w:r w:rsidR="00CC3464" w:rsidRPr="00FD4ACD">
        <w:rPr>
          <w:rFonts w:ascii="Times New Roman" w:hAnsi="Times New Roman" w:cs="Times New Roman"/>
          <w:sz w:val="24"/>
          <w:szCs w:val="24"/>
        </w:rPr>
        <w:t>de todos los factores que mostraron tener una influencia significativa en la selección de ingeniería por parte de los participantes. Para esto, se siguió la f</w:t>
      </w:r>
      <w:r w:rsidR="005F3DF9" w:rsidRPr="00FD4ACD">
        <w:rPr>
          <w:rFonts w:ascii="Times New Roman" w:hAnsi="Times New Roman" w:cs="Times New Roman"/>
          <w:sz w:val="24"/>
          <w:szCs w:val="24"/>
        </w:rPr>
        <w:t>ó</w:t>
      </w:r>
      <w:r w:rsidR="00CC3464" w:rsidRPr="00FD4ACD">
        <w:rPr>
          <w:rFonts w:ascii="Times New Roman" w:hAnsi="Times New Roman" w:cs="Times New Roman"/>
          <w:sz w:val="24"/>
          <w:szCs w:val="24"/>
        </w:rPr>
        <w:t>rmula</w:t>
      </w:r>
      <w:r w:rsidR="009D18EC">
        <w:rPr>
          <w:rFonts w:ascii="Times New Roman" w:hAnsi="Times New Roman" w:cs="Times New Roman"/>
          <w:sz w:val="24"/>
          <w:szCs w:val="24"/>
        </w:rPr>
        <w:t xml:space="preserve"> de </w:t>
      </w:r>
      <w:r w:rsidR="00CC3464" w:rsidRPr="00514B68">
        <w:rPr>
          <w:rFonts w:ascii="Times New Roman" w:hAnsi="Times New Roman" w:cs="Times New Roman"/>
          <w:i/>
          <w:sz w:val="24"/>
          <w:szCs w:val="24"/>
        </w:rPr>
        <w:t>f</w:t>
      </w:r>
      <w:r w:rsidR="00CC3464" w:rsidRPr="00FD4ACD">
        <w:rPr>
          <w:rFonts w:ascii="Times New Roman" w:hAnsi="Times New Roman" w:cs="Times New Roman"/>
          <w:sz w:val="24"/>
          <w:szCs w:val="24"/>
        </w:rPr>
        <w:t>(</w:t>
      </w:r>
      <w:r w:rsidR="00CC3464" w:rsidRPr="00514B68">
        <w:rPr>
          <w:rFonts w:ascii="Times New Roman" w:hAnsi="Times New Roman" w:cs="Times New Roman"/>
          <w:i/>
          <w:sz w:val="24"/>
          <w:szCs w:val="24"/>
        </w:rPr>
        <w:t>x</w:t>
      </w:r>
      <w:r w:rsidR="00CC3464" w:rsidRPr="00FD4ACD">
        <w:rPr>
          <w:rFonts w:ascii="Times New Roman" w:hAnsi="Times New Roman" w:cs="Times New Roman"/>
          <w:sz w:val="24"/>
          <w:szCs w:val="24"/>
        </w:rPr>
        <w:t>) =</w:t>
      </w:r>
      <w:r w:rsidR="00640E91" w:rsidRPr="00FD4ACD">
        <w:rPr>
          <w:rFonts w:ascii="Times New Roman" w:hAnsi="Times New Roman" w:cs="Times New Roman"/>
          <w:sz w:val="24"/>
          <w:szCs w:val="24"/>
        </w:rPr>
        <w:t xml:space="preserve"> </w:t>
      </w:r>
      <w:r w:rsidR="00CC3464" w:rsidRPr="00FD4ACD">
        <w:rPr>
          <w:rFonts w:ascii="Times New Roman" w:hAnsi="Times New Roman" w:cs="Times New Roman"/>
          <w:i/>
          <w:sz w:val="24"/>
          <w:szCs w:val="24"/>
        </w:rPr>
        <w:t>e</w:t>
      </w:r>
      <w:r w:rsidR="00CC3464" w:rsidRPr="00FD4ACD">
        <w:rPr>
          <w:rFonts w:ascii="Times New Roman" w:hAnsi="Times New Roman" w:cs="Times New Roman"/>
          <w:sz w:val="24"/>
          <w:szCs w:val="24"/>
          <w:vertAlign w:val="superscript"/>
        </w:rPr>
        <w:t>x</w:t>
      </w:r>
      <w:r w:rsidR="00CC3464" w:rsidRPr="00FD4ACD">
        <w:rPr>
          <w:rFonts w:ascii="Times New Roman" w:hAnsi="Times New Roman" w:cs="Times New Roman"/>
          <w:sz w:val="24"/>
          <w:szCs w:val="24"/>
        </w:rPr>
        <w:t xml:space="preserve">, donde la variable </w:t>
      </w:r>
      <w:r w:rsidR="00CC3464" w:rsidRPr="00514B68">
        <w:rPr>
          <w:rFonts w:ascii="Times New Roman" w:hAnsi="Times New Roman" w:cs="Times New Roman"/>
          <w:i/>
          <w:sz w:val="24"/>
          <w:szCs w:val="24"/>
        </w:rPr>
        <w:t>x</w:t>
      </w:r>
      <w:r w:rsidR="00CC3464" w:rsidRPr="00FD4ACD">
        <w:rPr>
          <w:rFonts w:ascii="Times New Roman" w:hAnsi="Times New Roman" w:cs="Times New Roman"/>
          <w:sz w:val="24"/>
          <w:szCs w:val="24"/>
        </w:rPr>
        <w:t xml:space="preserve"> tom</w:t>
      </w:r>
      <w:r w:rsidR="00A96636" w:rsidRPr="00FD4ACD">
        <w:rPr>
          <w:rFonts w:ascii="Times New Roman" w:hAnsi="Times New Roman" w:cs="Times New Roman"/>
          <w:sz w:val="24"/>
          <w:szCs w:val="24"/>
        </w:rPr>
        <w:t>ó</w:t>
      </w:r>
      <w:r w:rsidR="00CC3464" w:rsidRPr="00FD4ACD">
        <w:rPr>
          <w:rFonts w:ascii="Times New Roman" w:hAnsi="Times New Roman" w:cs="Times New Roman"/>
          <w:sz w:val="24"/>
          <w:szCs w:val="24"/>
        </w:rPr>
        <w:t xml:space="preserve"> el valor del</w:t>
      </w:r>
      <w:r w:rsidR="00640E91" w:rsidRPr="00FD4ACD">
        <w:rPr>
          <w:rFonts w:ascii="Times New Roman" w:hAnsi="Times New Roman" w:cs="Times New Roman"/>
          <w:sz w:val="24"/>
          <w:szCs w:val="24"/>
        </w:rPr>
        <w:t xml:space="preserve"> </w:t>
      </w:r>
      <w:r w:rsidR="00CC3464" w:rsidRPr="00FD4ACD">
        <w:rPr>
          <w:rFonts w:ascii="Times New Roman" w:hAnsi="Times New Roman" w:cs="Times New Roman"/>
          <w:sz w:val="24"/>
          <w:szCs w:val="24"/>
        </w:rPr>
        <w:t xml:space="preserve">coeficiente de estimación </w:t>
      </w:r>
      <w:r w:rsidR="00CC3464" w:rsidRPr="00514B68">
        <w:rPr>
          <w:rFonts w:ascii="Times New Roman" w:hAnsi="Times New Roman" w:cs="Times New Roman"/>
          <w:i/>
          <w:sz w:val="24"/>
          <w:szCs w:val="24"/>
        </w:rPr>
        <w:t>B</w:t>
      </w:r>
      <w:r w:rsidR="00287835" w:rsidRPr="00FD4ACD">
        <w:rPr>
          <w:rFonts w:ascii="Times New Roman" w:hAnsi="Times New Roman" w:cs="Times New Roman"/>
          <w:sz w:val="24"/>
          <w:szCs w:val="24"/>
        </w:rPr>
        <w:t xml:space="preserve">. Se considera que un </w:t>
      </w:r>
      <w:r w:rsidR="00D1214E" w:rsidRPr="00FD4ACD">
        <w:rPr>
          <w:rFonts w:ascii="Times New Roman" w:hAnsi="Times New Roman" w:cs="Times New Roman"/>
          <w:sz w:val="24"/>
          <w:szCs w:val="24"/>
        </w:rPr>
        <w:t>nivel de fortaleza de la correlación</w:t>
      </w:r>
      <w:r w:rsidR="00287835" w:rsidRPr="00FD4ACD">
        <w:rPr>
          <w:rFonts w:ascii="Times New Roman" w:hAnsi="Times New Roman" w:cs="Times New Roman"/>
          <w:sz w:val="24"/>
          <w:szCs w:val="24"/>
        </w:rPr>
        <w:t xml:space="preserve"> &gt; 1 establece que el factor que se está analizando incrementa las posibilidades de que un estudiante seleccione una carrera de ingeniería, y estas posibilidades </w:t>
      </w:r>
      <w:r w:rsidR="005D79D2" w:rsidRPr="00FD4ACD">
        <w:rPr>
          <w:rFonts w:ascii="Times New Roman" w:hAnsi="Times New Roman" w:cs="Times New Roman"/>
          <w:sz w:val="24"/>
          <w:szCs w:val="24"/>
        </w:rPr>
        <w:t>se elevan conforme e</w:t>
      </w:r>
      <w:r w:rsidR="00D1214E" w:rsidRPr="00FD4ACD">
        <w:rPr>
          <w:rFonts w:ascii="Times New Roman" w:hAnsi="Times New Roman" w:cs="Times New Roman"/>
          <w:sz w:val="24"/>
          <w:szCs w:val="24"/>
        </w:rPr>
        <w:t xml:space="preserve">ste </w:t>
      </w:r>
      <w:r w:rsidR="00D1214E" w:rsidRPr="00FD4ACD">
        <w:rPr>
          <w:rFonts w:ascii="Times New Roman" w:hAnsi="Times New Roman" w:cs="Times New Roman"/>
          <w:sz w:val="24"/>
          <w:szCs w:val="24"/>
        </w:rPr>
        <w:lastRenderedPageBreak/>
        <w:t>nivel de fortaleza</w:t>
      </w:r>
      <w:r w:rsidR="005D79D2" w:rsidRPr="00FD4ACD">
        <w:rPr>
          <w:rFonts w:ascii="Times New Roman" w:hAnsi="Times New Roman" w:cs="Times New Roman"/>
          <w:sz w:val="24"/>
          <w:szCs w:val="24"/>
        </w:rPr>
        <w:t xml:space="preserve"> aumenta. Por otro lado, un </w:t>
      </w:r>
      <w:r w:rsidR="00D1214E" w:rsidRPr="00FD4ACD">
        <w:rPr>
          <w:rFonts w:ascii="Times New Roman" w:hAnsi="Times New Roman" w:cs="Times New Roman"/>
          <w:sz w:val="24"/>
          <w:szCs w:val="24"/>
        </w:rPr>
        <w:t>nivel de fortaleza de la correlación</w:t>
      </w:r>
      <w:r w:rsidR="005D79D2" w:rsidRPr="00FD4ACD">
        <w:rPr>
          <w:rFonts w:ascii="Times New Roman" w:hAnsi="Times New Roman" w:cs="Times New Roman"/>
          <w:sz w:val="24"/>
          <w:szCs w:val="24"/>
        </w:rPr>
        <w:t xml:space="preserve"> &lt; 1 disminuye las posibilidades del estudiante de seleccionar una ingeniería</w:t>
      </w:r>
      <w:r w:rsidR="00537121" w:rsidRPr="00FD4ACD">
        <w:rPr>
          <w:rFonts w:ascii="Times New Roman" w:hAnsi="Times New Roman" w:cs="Times New Roman"/>
          <w:sz w:val="24"/>
          <w:szCs w:val="24"/>
        </w:rPr>
        <w:t xml:space="preserve"> </w:t>
      </w:r>
      <w:r w:rsidR="00537121" w:rsidRPr="00FD4ACD">
        <w:rPr>
          <w:rFonts w:ascii="Times New Roman" w:hAnsi="Times New Roman" w:cs="Times New Roman"/>
          <w:sz w:val="24"/>
          <w:szCs w:val="24"/>
        </w:rPr>
        <w:fldChar w:fldCharType="begin" w:fldLock="1"/>
      </w:r>
      <w:r w:rsidR="0096183A">
        <w:rPr>
          <w:rFonts w:ascii="Times New Roman" w:hAnsi="Times New Roman" w:cs="Times New Roman"/>
          <w:sz w:val="24"/>
          <w:szCs w:val="24"/>
        </w:rPr>
        <w:instrText>ADDIN CSL_CITATION {"citationItems":[{"id":"ITEM-1","itemData":{"author":[{"dropping-particle":"","family":"Falk","given":"R.","non-dropping-particle":"","parse-names":false,"suffix":""},{"dropping-particle":"V.","family":"Well","given":"A.","non-dropping-particle":"","parse-names":false,"suffix":""}],"container-title":"Journal of Statistics Education","id":"ITEM-1","issued":{"date-parts":[["1997"]]},"title":"Many Faces of the Correlation Coefficient","type":"article-journal","volume":"5"},"uris":["http://www.mendeley.com/documents/?uuid=1fc0ea2a-3e3f-4f31-b767-6a6ed06cd96d"]}],"mendeley":{"formattedCitation":"(Falk &amp; Well, 1997)","plainTextFormattedCitation":"(Falk &amp; Well, 1997)","previouslyFormattedCitation":"(Falk &amp; Well, 1997)"},"properties":{"noteIndex":0},"schema":"https://github.com/citation-style-language/schema/raw/master/csl-citation.json"}</w:instrText>
      </w:r>
      <w:r w:rsidR="00537121" w:rsidRPr="00FD4ACD">
        <w:rPr>
          <w:rFonts w:ascii="Times New Roman" w:hAnsi="Times New Roman" w:cs="Times New Roman"/>
          <w:sz w:val="24"/>
          <w:szCs w:val="24"/>
        </w:rPr>
        <w:fldChar w:fldCharType="separate"/>
      </w:r>
      <w:r w:rsidR="00537121" w:rsidRPr="00FD4ACD">
        <w:rPr>
          <w:rFonts w:ascii="Times New Roman" w:hAnsi="Times New Roman" w:cs="Times New Roman"/>
          <w:noProof/>
          <w:sz w:val="24"/>
          <w:szCs w:val="24"/>
        </w:rPr>
        <w:t xml:space="preserve">(Falk </w:t>
      </w:r>
      <w:r w:rsidR="00173894">
        <w:rPr>
          <w:rFonts w:ascii="Times New Roman" w:hAnsi="Times New Roman" w:cs="Times New Roman"/>
          <w:noProof/>
          <w:sz w:val="24"/>
          <w:szCs w:val="24"/>
        </w:rPr>
        <w:t>y</w:t>
      </w:r>
      <w:r w:rsidR="00173894" w:rsidRPr="00FD4ACD">
        <w:rPr>
          <w:rFonts w:ascii="Times New Roman" w:hAnsi="Times New Roman" w:cs="Times New Roman"/>
          <w:noProof/>
          <w:sz w:val="24"/>
          <w:szCs w:val="24"/>
        </w:rPr>
        <w:t xml:space="preserve"> </w:t>
      </w:r>
      <w:r w:rsidR="00537121" w:rsidRPr="00FD4ACD">
        <w:rPr>
          <w:rFonts w:ascii="Times New Roman" w:hAnsi="Times New Roman" w:cs="Times New Roman"/>
          <w:noProof/>
          <w:sz w:val="24"/>
          <w:szCs w:val="24"/>
        </w:rPr>
        <w:t>Well, 1997)</w:t>
      </w:r>
      <w:r w:rsidR="00537121" w:rsidRPr="00FD4ACD">
        <w:rPr>
          <w:rFonts w:ascii="Times New Roman" w:hAnsi="Times New Roman" w:cs="Times New Roman"/>
          <w:sz w:val="24"/>
          <w:szCs w:val="24"/>
        </w:rPr>
        <w:fldChar w:fldCharType="end"/>
      </w:r>
      <w:r w:rsidR="00CC3464" w:rsidRPr="00FD4ACD">
        <w:rPr>
          <w:rFonts w:ascii="Times New Roman" w:hAnsi="Times New Roman" w:cs="Times New Roman"/>
          <w:sz w:val="24"/>
          <w:szCs w:val="24"/>
        </w:rPr>
        <w:t>.</w:t>
      </w:r>
    </w:p>
    <w:p w14:paraId="4ED0F96D" w14:textId="7DAC4EAD" w:rsidR="00734BB6" w:rsidRDefault="00C50AA2" w:rsidP="00514B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información recopilada mediante las </w:t>
      </w:r>
      <w:r w:rsidR="00262DC6">
        <w:rPr>
          <w:rFonts w:ascii="Times New Roman" w:hAnsi="Times New Roman" w:cs="Times New Roman"/>
          <w:sz w:val="24"/>
          <w:szCs w:val="24"/>
        </w:rPr>
        <w:t xml:space="preserve">ocho </w:t>
      </w:r>
      <w:r>
        <w:rPr>
          <w:rFonts w:ascii="Times New Roman" w:hAnsi="Times New Roman" w:cs="Times New Roman"/>
          <w:sz w:val="24"/>
          <w:szCs w:val="24"/>
        </w:rPr>
        <w:t xml:space="preserve">preguntas abiertas se analizó utilizando códigos basados en la </w:t>
      </w:r>
      <w:r w:rsidR="00717DC0">
        <w:rPr>
          <w:rFonts w:ascii="Times New Roman" w:hAnsi="Times New Roman" w:cs="Times New Roman"/>
          <w:sz w:val="24"/>
          <w:szCs w:val="24"/>
        </w:rPr>
        <w:t>SCCT</w:t>
      </w:r>
      <w:r w:rsidR="00734BB6">
        <w:rPr>
          <w:rFonts w:ascii="Times New Roman" w:hAnsi="Times New Roman" w:cs="Times New Roman"/>
          <w:sz w:val="24"/>
          <w:szCs w:val="24"/>
        </w:rPr>
        <w:t>. Estos</w:t>
      </w:r>
      <w:r>
        <w:rPr>
          <w:rFonts w:ascii="Times New Roman" w:hAnsi="Times New Roman" w:cs="Times New Roman"/>
          <w:sz w:val="24"/>
          <w:szCs w:val="24"/>
        </w:rPr>
        <w:t xml:space="preserve"> códigos previamente establecidos </w:t>
      </w:r>
      <w:r w:rsidR="00734BB6">
        <w:rPr>
          <w:rFonts w:ascii="Times New Roman" w:hAnsi="Times New Roman" w:cs="Times New Roman"/>
          <w:sz w:val="24"/>
          <w:szCs w:val="24"/>
        </w:rPr>
        <w:t>ayudaron</w:t>
      </w:r>
      <w:r>
        <w:rPr>
          <w:rFonts w:ascii="Times New Roman" w:hAnsi="Times New Roman" w:cs="Times New Roman"/>
          <w:sz w:val="24"/>
          <w:szCs w:val="24"/>
        </w:rPr>
        <w:t xml:space="preserve"> </w:t>
      </w:r>
      <w:r w:rsidR="00734BB6">
        <w:rPr>
          <w:rFonts w:ascii="Times New Roman" w:hAnsi="Times New Roman" w:cs="Times New Roman"/>
          <w:sz w:val="24"/>
          <w:szCs w:val="24"/>
        </w:rPr>
        <w:t xml:space="preserve">a </w:t>
      </w:r>
      <w:r>
        <w:rPr>
          <w:rFonts w:ascii="Times New Roman" w:hAnsi="Times New Roman" w:cs="Times New Roman"/>
          <w:sz w:val="24"/>
          <w:szCs w:val="24"/>
        </w:rPr>
        <w:t xml:space="preserve">conectar las respuestas de los participantes con la teoría existente sobre los factores que pueden afectar la selección de carrera profesional </w:t>
      </w:r>
      <w:r>
        <w:rPr>
          <w:rFonts w:ascii="Times New Roman" w:hAnsi="Times New Roman" w:cs="Times New Roman"/>
          <w:sz w:val="24"/>
          <w:szCs w:val="24"/>
        </w:rPr>
        <w:fldChar w:fldCharType="begin" w:fldLock="1"/>
      </w:r>
      <w:r w:rsidR="0096183A">
        <w:rPr>
          <w:rFonts w:ascii="Times New Roman" w:hAnsi="Times New Roman" w:cs="Times New Roman"/>
          <w:sz w:val="24"/>
          <w:szCs w:val="24"/>
        </w:rPr>
        <w:instrText>ADDIN CSL_CITATION {"citationItems":[{"id":"ITEM-1","itemData":{"ISBN":"9781412986274 (ebook) :","abstract":"8 This text provides a solid intellectual grounding in the area of qualitative research. It examines theoretical underpinnings, methodological perspectives and empirical approaches.","author":[{"dropping-particle":"","family":"Saldaña","given":"Johnny","non-dropping-particle":"","parse-names":false,"suffix":""}],"id":"ITEM-1","issued":{"date-parts":[["2009"]]},"number-of-pages":"xii, 410 p. ; 23 cm.","publisher":"SAGE Publications, Inc.","title":"The Coding Manual for Qualitative Researchers","type":"book"},"uris":["http://www.mendeley.com/documents/?uuid=687b57ff-5b7d-4f21-9f91-5c2d6fede224"]}],"mendeley":{"formattedCitation":"(Saldaña, 2009)","plainTextFormattedCitation":"(Saldaña, 2009)","previouslyFormattedCitation":"(Saldaña, 2009)"},"properties":{"noteIndex":0},"schema":"https://github.com/citation-style-language/schema/raw/master/csl-citation.json"}</w:instrText>
      </w:r>
      <w:r>
        <w:rPr>
          <w:rFonts w:ascii="Times New Roman" w:hAnsi="Times New Roman" w:cs="Times New Roman"/>
          <w:sz w:val="24"/>
          <w:szCs w:val="24"/>
        </w:rPr>
        <w:fldChar w:fldCharType="separate"/>
      </w:r>
      <w:r w:rsidRPr="00C50AA2">
        <w:rPr>
          <w:rFonts w:ascii="Times New Roman" w:hAnsi="Times New Roman" w:cs="Times New Roman"/>
          <w:noProof/>
          <w:sz w:val="24"/>
          <w:szCs w:val="24"/>
        </w:rPr>
        <w:t>(Saldaña, 2009)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266821">
        <w:rPr>
          <w:rFonts w:ascii="Times New Roman" w:hAnsi="Times New Roman" w:cs="Times New Roman"/>
          <w:sz w:val="24"/>
          <w:szCs w:val="24"/>
        </w:rPr>
        <w:t xml:space="preserve">Se </w:t>
      </w:r>
      <w:r w:rsidR="00E815C6">
        <w:rPr>
          <w:rFonts w:ascii="Times New Roman" w:hAnsi="Times New Roman" w:cs="Times New Roman"/>
          <w:sz w:val="24"/>
          <w:szCs w:val="24"/>
        </w:rPr>
        <w:t>puso</w:t>
      </w:r>
      <w:r w:rsidR="00266821">
        <w:rPr>
          <w:rFonts w:ascii="Times New Roman" w:hAnsi="Times New Roman" w:cs="Times New Roman"/>
          <w:sz w:val="24"/>
          <w:szCs w:val="24"/>
        </w:rPr>
        <w:t xml:space="preserve"> especial </w:t>
      </w:r>
      <w:r w:rsidR="00E815C6">
        <w:rPr>
          <w:rFonts w:ascii="Times New Roman" w:hAnsi="Times New Roman" w:cs="Times New Roman"/>
          <w:sz w:val="24"/>
          <w:szCs w:val="24"/>
        </w:rPr>
        <w:t xml:space="preserve">atención en </w:t>
      </w:r>
      <w:r w:rsidR="00266821">
        <w:rPr>
          <w:rFonts w:ascii="Times New Roman" w:hAnsi="Times New Roman" w:cs="Times New Roman"/>
          <w:sz w:val="24"/>
          <w:szCs w:val="24"/>
        </w:rPr>
        <w:t>la pregunta</w:t>
      </w:r>
      <w:r w:rsidR="00565AC3">
        <w:rPr>
          <w:rFonts w:ascii="Times New Roman" w:hAnsi="Times New Roman" w:cs="Times New Roman"/>
          <w:sz w:val="24"/>
          <w:szCs w:val="24"/>
        </w:rPr>
        <w:t xml:space="preserve"> siguiente</w:t>
      </w:r>
      <w:r w:rsidR="00266821">
        <w:rPr>
          <w:rFonts w:ascii="Times New Roman" w:hAnsi="Times New Roman" w:cs="Times New Roman"/>
          <w:sz w:val="24"/>
          <w:szCs w:val="24"/>
        </w:rPr>
        <w:t>: ¿</w:t>
      </w:r>
      <w:r w:rsidR="00AE6459">
        <w:rPr>
          <w:rFonts w:ascii="Times New Roman" w:hAnsi="Times New Roman" w:cs="Times New Roman"/>
          <w:sz w:val="24"/>
          <w:szCs w:val="24"/>
        </w:rPr>
        <w:t>c</w:t>
      </w:r>
      <w:r w:rsidR="00266821">
        <w:rPr>
          <w:rFonts w:ascii="Times New Roman" w:hAnsi="Times New Roman" w:cs="Times New Roman"/>
          <w:sz w:val="24"/>
          <w:szCs w:val="24"/>
        </w:rPr>
        <w:t>uál fue la influencia más grande que tuviste para escoger la carrera profesional que deseabas estudiar?</w:t>
      </w:r>
      <w:r w:rsidR="00262DC6">
        <w:rPr>
          <w:rFonts w:ascii="Times New Roman" w:hAnsi="Times New Roman" w:cs="Times New Roman"/>
          <w:sz w:val="24"/>
          <w:szCs w:val="24"/>
        </w:rPr>
        <w:t xml:space="preserve"> </w:t>
      </w:r>
      <w:r w:rsidR="00262DC6" w:rsidRPr="006C2CC8">
        <w:rPr>
          <w:rFonts w:ascii="Times New Roman" w:hAnsi="Times New Roman" w:cs="Times New Roman"/>
          <w:sz w:val="24"/>
          <w:szCs w:val="24"/>
        </w:rPr>
        <w:t>Esta se seleccionó debido a que estaba directamente relacionada con la pregunta de investigación,</w:t>
      </w:r>
      <w:r w:rsidR="00266821" w:rsidRPr="006C2CC8">
        <w:rPr>
          <w:rFonts w:ascii="Times New Roman" w:hAnsi="Times New Roman" w:cs="Times New Roman"/>
          <w:sz w:val="24"/>
          <w:szCs w:val="24"/>
        </w:rPr>
        <w:t xml:space="preserve"> </w:t>
      </w:r>
      <w:r w:rsidR="00262DC6" w:rsidRPr="006C2CC8">
        <w:rPr>
          <w:rFonts w:ascii="Times New Roman" w:hAnsi="Times New Roman" w:cs="Times New Roman"/>
          <w:sz w:val="24"/>
          <w:szCs w:val="24"/>
        </w:rPr>
        <w:t xml:space="preserve">y </w:t>
      </w:r>
      <w:r w:rsidR="00E815C6" w:rsidRPr="006C2CC8">
        <w:rPr>
          <w:rFonts w:ascii="Times New Roman" w:hAnsi="Times New Roman" w:cs="Times New Roman"/>
          <w:sz w:val="24"/>
          <w:szCs w:val="24"/>
        </w:rPr>
        <w:t>l</w:t>
      </w:r>
      <w:r w:rsidR="00266821" w:rsidRPr="006C2CC8">
        <w:rPr>
          <w:rFonts w:ascii="Times New Roman" w:hAnsi="Times New Roman" w:cs="Times New Roman"/>
          <w:sz w:val="24"/>
          <w:szCs w:val="24"/>
        </w:rPr>
        <w:t xml:space="preserve">a información recopilada </w:t>
      </w:r>
      <w:r w:rsidR="006C1322">
        <w:rPr>
          <w:rFonts w:ascii="Times New Roman" w:hAnsi="Times New Roman" w:cs="Times New Roman"/>
          <w:sz w:val="24"/>
          <w:szCs w:val="24"/>
        </w:rPr>
        <w:t>a partir de</w:t>
      </w:r>
      <w:r w:rsidR="006C1322" w:rsidRPr="006C2CC8">
        <w:rPr>
          <w:rFonts w:ascii="Times New Roman" w:hAnsi="Times New Roman" w:cs="Times New Roman"/>
          <w:sz w:val="24"/>
          <w:szCs w:val="24"/>
        </w:rPr>
        <w:t xml:space="preserve"> </w:t>
      </w:r>
      <w:r w:rsidR="00266821" w:rsidRPr="006C2CC8">
        <w:rPr>
          <w:rFonts w:ascii="Times New Roman" w:hAnsi="Times New Roman" w:cs="Times New Roman"/>
          <w:sz w:val="24"/>
          <w:szCs w:val="24"/>
        </w:rPr>
        <w:t>est</w:t>
      </w:r>
      <w:r w:rsidR="00565AC3">
        <w:rPr>
          <w:rFonts w:ascii="Times New Roman" w:hAnsi="Times New Roman" w:cs="Times New Roman"/>
          <w:sz w:val="24"/>
          <w:szCs w:val="24"/>
        </w:rPr>
        <w:t>e cuestionamiento</w:t>
      </w:r>
      <w:r w:rsidR="00262DC6" w:rsidRPr="006C2CC8">
        <w:rPr>
          <w:rFonts w:ascii="Times New Roman" w:hAnsi="Times New Roman" w:cs="Times New Roman"/>
          <w:sz w:val="24"/>
          <w:szCs w:val="24"/>
        </w:rPr>
        <w:t xml:space="preserve"> </w:t>
      </w:r>
      <w:r w:rsidR="00565AC3" w:rsidRPr="006C2CC8">
        <w:rPr>
          <w:rFonts w:ascii="Times New Roman" w:hAnsi="Times New Roman" w:cs="Times New Roman"/>
          <w:sz w:val="24"/>
          <w:szCs w:val="24"/>
        </w:rPr>
        <w:t>abiert</w:t>
      </w:r>
      <w:r w:rsidR="00565AC3">
        <w:rPr>
          <w:rFonts w:ascii="Times New Roman" w:hAnsi="Times New Roman" w:cs="Times New Roman"/>
          <w:sz w:val="24"/>
          <w:szCs w:val="24"/>
        </w:rPr>
        <w:t>o</w:t>
      </w:r>
      <w:r w:rsidR="00565AC3" w:rsidRPr="006C2CC8">
        <w:rPr>
          <w:rFonts w:ascii="Times New Roman" w:hAnsi="Times New Roman" w:cs="Times New Roman"/>
          <w:sz w:val="24"/>
          <w:szCs w:val="24"/>
        </w:rPr>
        <w:t xml:space="preserve"> </w:t>
      </w:r>
      <w:r w:rsidR="00262DC6" w:rsidRPr="006C2CC8">
        <w:rPr>
          <w:rFonts w:ascii="Times New Roman" w:hAnsi="Times New Roman" w:cs="Times New Roman"/>
          <w:sz w:val="24"/>
          <w:szCs w:val="24"/>
        </w:rPr>
        <w:t>facilitó a los investigadores</w:t>
      </w:r>
      <w:r w:rsidR="00E815C6" w:rsidRPr="006C2CC8">
        <w:rPr>
          <w:rFonts w:ascii="Times New Roman" w:hAnsi="Times New Roman" w:cs="Times New Roman"/>
          <w:sz w:val="24"/>
          <w:szCs w:val="24"/>
        </w:rPr>
        <w:t xml:space="preserve"> </w:t>
      </w:r>
      <w:r w:rsidR="00266821" w:rsidRPr="006C2CC8">
        <w:rPr>
          <w:rFonts w:ascii="Times New Roman" w:hAnsi="Times New Roman" w:cs="Times New Roman"/>
          <w:sz w:val="24"/>
          <w:szCs w:val="24"/>
        </w:rPr>
        <w:t>establec</w:t>
      </w:r>
      <w:r w:rsidR="00262DC6" w:rsidRPr="006C2CC8">
        <w:rPr>
          <w:rFonts w:ascii="Times New Roman" w:hAnsi="Times New Roman" w:cs="Times New Roman"/>
          <w:sz w:val="24"/>
          <w:szCs w:val="24"/>
        </w:rPr>
        <w:t>er</w:t>
      </w:r>
      <w:r w:rsidR="00266821" w:rsidRPr="006C2CC8">
        <w:rPr>
          <w:rFonts w:ascii="Times New Roman" w:hAnsi="Times New Roman" w:cs="Times New Roman"/>
          <w:sz w:val="24"/>
          <w:szCs w:val="24"/>
        </w:rPr>
        <w:t xml:space="preserve"> unidades significativas de texto que podían compar</w:t>
      </w:r>
      <w:r w:rsidR="00262DC6" w:rsidRPr="006C2CC8">
        <w:rPr>
          <w:rFonts w:ascii="Times New Roman" w:hAnsi="Times New Roman" w:cs="Times New Roman"/>
          <w:sz w:val="24"/>
          <w:szCs w:val="24"/>
        </w:rPr>
        <w:t>ar</w:t>
      </w:r>
      <w:r w:rsidR="00266821" w:rsidRPr="006C2CC8">
        <w:rPr>
          <w:rFonts w:ascii="Times New Roman" w:hAnsi="Times New Roman" w:cs="Times New Roman"/>
          <w:sz w:val="24"/>
          <w:szCs w:val="24"/>
        </w:rPr>
        <w:t>se con los códigos previamente establecidos</w:t>
      </w:r>
      <w:r w:rsidR="00E815C6" w:rsidRPr="006C2CC8">
        <w:rPr>
          <w:rFonts w:ascii="Times New Roman" w:hAnsi="Times New Roman" w:cs="Times New Roman"/>
          <w:sz w:val="24"/>
          <w:szCs w:val="24"/>
        </w:rPr>
        <w:t xml:space="preserve"> </w:t>
      </w:r>
      <w:r w:rsidR="00E815C6" w:rsidRPr="006C2CC8">
        <w:rPr>
          <w:rFonts w:ascii="Times New Roman" w:hAnsi="Times New Roman" w:cs="Times New Roman"/>
          <w:sz w:val="24"/>
          <w:szCs w:val="24"/>
        </w:rPr>
        <w:fldChar w:fldCharType="begin" w:fldLock="1"/>
      </w:r>
      <w:r w:rsidR="0096183A">
        <w:rPr>
          <w:rFonts w:ascii="Times New Roman" w:hAnsi="Times New Roman" w:cs="Times New Roman"/>
          <w:sz w:val="24"/>
          <w:szCs w:val="24"/>
        </w:rPr>
        <w:instrText>ADDIN CSL_CITATION {"citationItems":[{"id":"ITEM-1","itemData":{"author":[{"dropping-particle":"","family":"Creswell","given":"J.W.","non-dropping-particle":"","parse-names":false,"suffix":""}],"id":"ITEM-1","issued":{"date-parts":[["2009"]]},"publisher":"Thousand Oaks, CA: Sage Publications, Inc.","title":"Research Design: Qualitative, Quantitative and Mixed Methods Research","type":"book"},"uris":["http://www.mendeley.com/documents/?uuid=aea66fa1-bb2b-4c0a-9c68-d754123c1f4d"]}],"mendeley":{"formattedCitation":"(Creswell, 2009)","plainTextFormattedCitation":"(Creswell, 2009)","previouslyFormattedCitation":"(Creswell, 2009)"},"properties":{"noteIndex":0},"schema":"https://github.com/citation-style-language/schema/raw/master/csl-citation.json"}</w:instrText>
      </w:r>
      <w:r w:rsidR="00E815C6" w:rsidRPr="006C2CC8">
        <w:rPr>
          <w:rFonts w:ascii="Times New Roman" w:hAnsi="Times New Roman" w:cs="Times New Roman"/>
          <w:sz w:val="24"/>
          <w:szCs w:val="24"/>
        </w:rPr>
        <w:fldChar w:fldCharType="separate"/>
      </w:r>
      <w:r w:rsidR="00E815C6" w:rsidRPr="006C2CC8">
        <w:rPr>
          <w:rFonts w:ascii="Times New Roman" w:hAnsi="Times New Roman" w:cs="Times New Roman"/>
          <w:noProof/>
          <w:sz w:val="24"/>
          <w:szCs w:val="24"/>
        </w:rPr>
        <w:t>(Creswell, 2009)</w:t>
      </w:r>
      <w:r w:rsidR="00E815C6" w:rsidRPr="006C2CC8">
        <w:rPr>
          <w:rFonts w:ascii="Times New Roman" w:hAnsi="Times New Roman" w:cs="Times New Roman"/>
          <w:sz w:val="24"/>
          <w:szCs w:val="24"/>
        </w:rPr>
        <w:fldChar w:fldCharType="end"/>
      </w:r>
      <w:r w:rsidR="00266821" w:rsidRPr="006C2CC8">
        <w:rPr>
          <w:rFonts w:ascii="Times New Roman" w:hAnsi="Times New Roman" w:cs="Times New Roman"/>
          <w:sz w:val="24"/>
          <w:szCs w:val="24"/>
        </w:rPr>
        <w:t>.</w:t>
      </w:r>
      <w:r w:rsidR="00266821">
        <w:rPr>
          <w:rFonts w:ascii="Times New Roman" w:hAnsi="Times New Roman" w:cs="Times New Roman"/>
          <w:sz w:val="24"/>
          <w:szCs w:val="24"/>
        </w:rPr>
        <w:t xml:space="preserve"> </w:t>
      </w:r>
      <w:r>
        <w:rPr>
          <w:rFonts w:ascii="Times New Roman" w:hAnsi="Times New Roman" w:cs="Times New Roman"/>
          <w:sz w:val="24"/>
          <w:szCs w:val="24"/>
        </w:rPr>
        <w:t xml:space="preserve">Al codificar la información cualitativa utilizando la </w:t>
      </w:r>
      <w:r w:rsidR="006C1322">
        <w:rPr>
          <w:rFonts w:ascii="Times New Roman" w:hAnsi="Times New Roman" w:cs="Times New Roman"/>
          <w:sz w:val="24"/>
          <w:szCs w:val="24"/>
        </w:rPr>
        <w:t>SCCT</w:t>
      </w:r>
      <w:r>
        <w:rPr>
          <w:rFonts w:ascii="Times New Roman" w:hAnsi="Times New Roman" w:cs="Times New Roman"/>
          <w:sz w:val="24"/>
          <w:szCs w:val="24"/>
        </w:rPr>
        <w:t xml:space="preserve"> como base previamente establecida</w:t>
      </w:r>
      <w:r w:rsidR="00036213">
        <w:rPr>
          <w:rFonts w:ascii="Times New Roman" w:hAnsi="Times New Roman" w:cs="Times New Roman"/>
          <w:sz w:val="24"/>
          <w:szCs w:val="24"/>
        </w:rPr>
        <w:t>,</w:t>
      </w:r>
      <w:r>
        <w:rPr>
          <w:rFonts w:ascii="Times New Roman" w:hAnsi="Times New Roman" w:cs="Times New Roman"/>
          <w:sz w:val="24"/>
          <w:szCs w:val="24"/>
        </w:rPr>
        <w:t xml:space="preserve"> se facilitó la interpretación de los factores más determinantes y comunes en la selección de ingeniería como carrera profesional, lo cual ayudó a complementar el análisis estadístico para poder responder de forma adecuada la pregunta de investigación. </w:t>
      </w:r>
    </w:p>
    <w:p w14:paraId="41FDB5D2" w14:textId="5892AA66" w:rsidR="00C50AA2" w:rsidRDefault="00C50AA2" w:rsidP="00514B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 utilizaron cinco códigos para el análisis cualitativo</w:t>
      </w:r>
      <w:r w:rsidR="00734BB6">
        <w:rPr>
          <w:rFonts w:ascii="Times New Roman" w:hAnsi="Times New Roman" w:cs="Times New Roman"/>
          <w:sz w:val="24"/>
          <w:szCs w:val="24"/>
        </w:rPr>
        <w:t xml:space="preserve"> de la información recopilada con las preguntas abiertas</w:t>
      </w:r>
      <w:r>
        <w:rPr>
          <w:rFonts w:ascii="Times New Roman" w:hAnsi="Times New Roman" w:cs="Times New Roman"/>
          <w:sz w:val="24"/>
          <w:szCs w:val="24"/>
        </w:rPr>
        <w:t>, los cuales se describe</w:t>
      </w:r>
      <w:r w:rsidR="00036213">
        <w:rPr>
          <w:rFonts w:ascii="Times New Roman" w:hAnsi="Times New Roman" w:cs="Times New Roman"/>
          <w:sz w:val="24"/>
          <w:szCs w:val="24"/>
        </w:rPr>
        <w:t>n</w:t>
      </w:r>
      <w:r>
        <w:rPr>
          <w:rFonts w:ascii="Times New Roman" w:hAnsi="Times New Roman" w:cs="Times New Roman"/>
          <w:sz w:val="24"/>
          <w:szCs w:val="24"/>
        </w:rPr>
        <w:t xml:space="preserve"> a continuación: </w:t>
      </w:r>
      <w:r w:rsidR="00D23142" w:rsidRPr="00514B68">
        <w:rPr>
          <w:rFonts w:ascii="Times New Roman" w:hAnsi="Times New Roman" w:cs="Times New Roman"/>
          <w:i/>
          <w:sz w:val="24"/>
          <w:szCs w:val="24"/>
        </w:rPr>
        <w:t>1)</w:t>
      </w:r>
      <w:r w:rsidR="00D23142">
        <w:rPr>
          <w:rFonts w:ascii="Times New Roman" w:hAnsi="Times New Roman" w:cs="Times New Roman"/>
          <w:sz w:val="24"/>
          <w:szCs w:val="24"/>
        </w:rPr>
        <w:t xml:space="preserve"> </w:t>
      </w:r>
      <w:r w:rsidR="00D23142" w:rsidRPr="00D23142">
        <w:rPr>
          <w:rFonts w:ascii="Times New Roman" w:hAnsi="Times New Roman" w:cs="Times New Roman"/>
          <w:sz w:val="24"/>
          <w:szCs w:val="24"/>
        </w:rPr>
        <w:t>I</w:t>
      </w:r>
      <w:r w:rsidRPr="00D23142">
        <w:rPr>
          <w:rFonts w:ascii="Times New Roman" w:hAnsi="Times New Roman" w:cs="Times New Roman"/>
          <w:sz w:val="24"/>
          <w:szCs w:val="24"/>
        </w:rPr>
        <w:t>nterés</w:t>
      </w:r>
      <w:r>
        <w:rPr>
          <w:rFonts w:ascii="Times New Roman" w:hAnsi="Times New Roman" w:cs="Times New Roman"/>
          <w:sz w:val="24"/>
          <w:szCs w:val="24"/>
        </w:rPr>
        <w:t xml:space="preserve"> (interés personal o satisfacción al realizar actividades relacionadas con la ingeniería</w:t>
      </w:r>
      <w:r w:rsidR="006C1322">
        <w:rPr>
          <w:rFonts w:ascii="Times New Roman" w:hAnsi="Times New Roman" w:cs="Times New Roman"/>
          <w:sz w:val="24"/>
          <w:szCs w:val="24"/>
        </w:rPr>
        <w:t xml:space="preserve">); </w:t>
      </w:r>
      <w:r w:rsidR="00D23142" w:rsidRPr="00514B68">
        <w:rPr>
          <w:rFonts w:ascii="Times New Roman" w:hAnsi="Times New Roman" w:cs="Times New Roman"/>
          <w:i/>
          <w:sz w:val="24"/>
          <w:szCs w:val="24"/>
        </w:rPr>
        <w:t>2</w:t>
      </w:r>
      <w:r w:rsidR="00D23142">
        <w:rPr>
          <w:rFonts w:ascii="Times New Roman" w:hAnsi="Times New Roman" w:cs="Times New Roman"/>
          <w:sz w:val="24"/>
          <w:szCs w:val="24"/>
        </w:rPr>
        <w:t xml:space="preserve">) </w:t>
      </w:r>
      <w:r w:rsidR="00D23142" w:rsidRPr="00D23142">
        <w:rPr>
          <w:rFonts w:ascii="Times New Roman" w:hAnsi="Times New Roman" w:cs="Times New Roman"/>
          <w:sz w:val="24"/>
          <w:szCs w:val="24"/>
        </w:rPr>
        <w:t>A</w:t>
      </w:r>
      <w:r w:rsidRPr="00D23142">
        <w:rPr>
          <w:rFonts w:ascii="Times New Roman" w:hAnsi="Times New Roman" w:cs="Times New Roman"/>
          <w:sz w:val="24"/>
          <w:szCs w:val="24"/>
        </w:rPr>
        <w:t>utoeficacia matemática</w:t>
      </w:r>
      <w:r>
        <w:rPr>
          <w:rFonts w:ascii="Times New Roman" w:hAnsi="Times New Roman" w:cs="Times New Roman"/>
          <w:b/>
          <w:sz w:val="24"/>
          <w:szCs w:val="24"/>
        </w:rPr>
        <w:t xml:space="preserve"> </w:t>
      </w:r>
      <w:r>
        <w:rPr>
          <w:rFonts w:ascii="Times New Roman" w:hAnsi="Times New Roman" w:cs="Times New Roman"/>
          <w:sz w:val="24"/>
          <w:szCs w:val="24"/>
        </w:rPr>
        <w:t>(confianza en sus habilidades para resolver</w:t>
      </w:r>
      <w:r w:rsidR="00734BB6">
        <w:rPr>
          <w:rFonts w:ascii="Times New Roman" w:hAnsi="Times New Roman" w:cs="Times New Roman"/>
          <w:sz w:val="24"/>
          <w:szCs w:val="24"/>
        </w:rPr>
        <w:t xml:space="preserve"> problemas</w:t>
      </w:r>
      <w:r>
        <w:rPr>
          <w:rFonts w:ascii="Times New Roman" w:hAnsi="Times New Roman" w:cs="Times New Roman"/>
          <w:sz w:val="24"/>
          <w:szCs w:val="24"/>
        </w:rPr>
        <w:t xml:space="preserve"> matemáticos</w:t>
      </w:r>
      <w:r w:rsidR="006C1322">
        <w:rPr>
          <w:rFonts w:ascii="Times New Roman" w:hAnsi="Times New Roman" w:cs="Times New Roman"/>
          <w:sz w:val="24"/>
          <w:szCs w:val="24"/>
        </w:rPr>
        <w:t xml:space="preserve">); </w:t>
      </w:r>
      <w:r w:rsidR="00D23142" w:rsidRPr="00514B68">
        <w:rPr>
          <w:rFonts w:ascii="Times New Roman" w:hAnsi="Times New Roman" w:cs="Times New Roman"/>
          <w:i/>
          <w:sz w:val="24"/>
          <w:szCs w:val="24"/>
        </w:rPr>
        <w:t>3)</w:t>
      </w:r>
      <w:r w:rsidR="00D23142">
        <w:rPr>
          <w:rFonts w:ascii="Times New Roman" w:hAnsi="Times New Roman" w:cs="Times New Roman"/>
          <w:sz w:val="24"/>
          <w:szCs w:val="24"/>
        </w:rPr>
        <w:t xml:space="preserve"> </w:t>
      </w:r>
      <w:r w:rsidR="00D23142" w:rsidRPr="00D23142">
        <w:rPr>
          <w:rFonts w:ascii="Times New Roman" w:hAnsi="Times New Roman" w:cs="Times New Roman"/>
          <w:sz w:val="24"/>
          <w:szCs w:val="24"/>
        </w:rPr>
        <w:t>E</w:t>
      </w:r>
      <w:r w:rsidRPr="00D23142">
        <w:rPr>
          <w:rFonts w:ascii="Times New Roman" w:hAnsi="Times New Roman" w:cs="Times New Roman"/>
          <w:sz w:val="24"/>
          <w:szCs w:val="24"/>
        </w:rPr>
        <w:t>xpectativas de resultados</w:t>
      </w:r>
      <w:r>
        <w:rPr>
          <w:rFonts w:ascii="Times New Roman" w:hAnsi="Times New Roman" w:cs="Times New Roman"/>
          <w:sz w:val="24"/>
          <w:szCs w:val="24"/>
        </w:rPr>
        <w:t xml:space="preserve"> (tipos de trabajo, remuneración o cualquier tipo de recompensa que </w:t>
      </w:r>
      <w:r w:rsidR="00734BB6">
        <w:rPr>
          <w:rFonts w:ascii="Times New Roman" w:hAnsi="Times New Roman" w:cs="Times New Roman"/>
          <w:sz w:val="24"/>
          <w:szCs w:val="24"/>
        </w:rPr>
        <w:t xml:space="preserve">los </w:t>
      </w:r>
      <w:r w:rsidR="00C550C4">
        <w:rPr>
          <w:rFonts w:ascii="Times New Roman" w:hAnsi="Times New Roman" w:cs="Times New Roman"/>
          <w:sz w:val="24"/>
          <w:szCs w:val="24"/>
        </w:rPr>
        <w:t xml:space="preserve">alumnos </w:t>
      </w:r>
      <w:r>
        <w:rPr>
          <w:rFonts w:ascii="Times New Roman" w:hAnsi="Times New Roman" w:cs="Times New Roman"/>
          <w:sz w:val="24"/>
          <w:szCs w:val="24"/>
        </w:rPr>
        <w:t>esperan obtener al convertirse en ingenieros</w:t>
      </w:r>
      <w:r w:rsidR="006C1322">
        <w:rPr>
          <w:rFonts w:ascii="Times New Roman" w:hAnsi="Times New Roman" w:cs="Times New Roman"/>
          <w:sz w:val="24"/>
          <w:szCs w:val="24"/>
        </w:rPr>
        <w:t xml:space="preserve">); </w:t>
      </w:r>
      <w:r w:rsidR="00D23142" w:rsidRPr="00514B68">
        <w:rPr>
          <w:rFonts w:ascii="Times New Roman" w:hAnsi="Times New Roman" w:cs="Times New Roman"/>
          <w:i/>
          <w:sz w:val="24"/>
          <w:szCs w:val="24"/>
        </w:rPr>
        <w:t>4)</w:t>
      </w:r>
      <w:r>
        <w:rPr>
          <w:rFonts w:ascii="Times New Roman" w:hAnsi="Times New Roman" w:cs="Times New Roman"/>
          <w:sz w:val="24"/>
          <w:szCs w:val="24"/>
        </w:rPr>
        <w:t xml:space="preserve"> </w:t>
      </w:r>
      <w:r w:rsidR="00D23142" w:rsidRPr="00D23142">
        <w:rPr>
          <w:rFonts w:ascii="Times New Roman" w:hAnsi="Times New Roman" w:cs="Times New Roman"/>
          <w:sz w:val="24"/>
          <w:szCs w:val="24"/>
        </w:rPr>
        <w:t>S</w:t>
      </w:r>
      <w:r w:rsidRPr="00D23142">
        <w:rPr>
          <w:rFonts w:ascii="Times New Roman" w:hAnsi="Times New Roman" w:cs="Times New Roman"/>
          <w:sz w:val="24"/>
          <w:szCs w:val="24"/>
        </w:rPr>
        <w:t>oportes sociales cercanos</w:t>
      </w:r>
      <w:r>
        <w:rPr>
          <w:rFonts w:ascii="Times New Roman" w:hAnsi="Times New Roman" w:cs="Times New Roman"/>
          <w:sz w:val="24"/>
          <w:szCs w:val="24"/>
        </w:rPr>
        <w:t xml:space="preserve"> (familiares, amigos cercanos o antiguos profesores)</w:t>
      </w:r>
      <w:r w:rsidR="00D23142">
        <w:rPr>
          <w:rFonts w:ascii="Times New Roman" w:hAnsi="Times New Roman" w:cs="Times New Roman"/>
          <w:sz w:val="24"/>
          <w:szCs w:val="24"/>
        </w:rPr>
        <w:t>,</w:t>
      </w:r>
      <w:r>
        <w:rPr>
          <w:rFonts w:ascii="Times New Roman" w:hAnsi="Times New Roman" w:cs="Times New Roman"/>
          <w:sz w:val="24"/>
          <w:szCs w:val="24"/>
        </w:rPr>
        <w:t xml:space="preserve"> y </w:t>
      </w:r>
      <w:r w:rsidR="00D23142" w:rsidRPr="00514B68">
        <w:rPr>
          <w:rFonts w:ascii="Times New Roman" w:hAnsi="Times New Roman" w:cs="Times New Roman"/>
          <w:i/>
          <w:sz w:val="24"/>
          <w:szCs w:val="24"/>
        </w:rPr>
        <w:t>5)</w:t>
      </w:r>
      <w:r w:rsidR="00D23142">
        <w:rPr>
          <w:rFonts w:ascii="Times New Roman" w:hAnsi="Times New Roman" w:cs="Times New Roman"/>
          <w:sz w:val="24"/>
          <w:szCs w:val="24"/>
        </w:rPr>
        <w:t xml:space="preserve"> </w:t>
      </w:r>
      <w:r w:rsidR="00D23142" w:rsidRPr="00D23142">
        <w:rPr>
          <w:rFonts w:ascii="Times New Roman" w:hAnsi="Times New Roman" w:cs="Times New Roman"/>
          <w:sz w:val="24"/>
          <w:szCs w:val="24"/>
        </w:rPr>
        <w:t>O</w:t>
      </w:r>
      <w:r w:rsidRPr="00D23142">
        <w:rPr>
          <w:rFonts w:ascii="Times New Roman" w:hAnsi="Times New Roman" w:cs="Times New Roman"/>
          <w:sz w:val="24"/>
          <w:szCs w:val="24"/>
        </w:rPr>
        <w:t>tros soportes</w:t>
      </w:r>
      <w:r>
        <w:rPr>
          <w:rFonts w:ascii="Times New Roman" w:hAnsi="Times New Roman" w:cs="Times New Roman"/>
          <w:b/>
          <w:sz w:val="24"/>
          <w:szCs w:val="24"/>
        </w:rPr>
        <w:t xml:space="preserve"> </w:t>
      </w:r>
      <w:r>
        <w:rPr>
          <w:rFonts w:ascii="Times New Roman" w:hAnsi="Times New Roman" w:cs="Times New Roman"/>
          <w:sz w:val="24"/>
          <w:szCs w:val="24"/>
        </w:rPr>
        <w:t xml:space="preserve">(experiencias en actividades extraescolares o tomando determinados cursos).    </w:t>
      </w:r>
    </w:p>
    <w:p w14:paraId="3D35105B" w14:textId="4C72DBF7" w:rsidR="00C50AA2" w:rsidRDefault="00C50AA2" w:rsidP="00514B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el análisis de las preguntas abiertas se utilizó solo la información recolectada de los participantes que estaban estudiando alguna ingeniería (</w:t>
      </w:r>
      <w:r w:rsidRPr="00514B68">
        <w:rPr>
          <w:rFonts w:ascii="Times New Roman" w:hAnsi="Times New Roman" w:cs="Times New Roman"/>
          <w:i/>
          <w:sz w:val="24"/>
          <w:szCs w:val="24"/>
        </w:rPr>
        <w:t>N</w:t>
      </w:r>
      <w:r w:rsidR="003868A9">
        <w:rPr>
          <w:rFonts w:ascii="Times New Roman" w:hAnsi="Times New Roman" w:cs="Times New Roman"/>
          <w:sz w:val="24"/>
          <w:szCs w:val="24"/>
        </w:rPr>
        <w:t xml:space="preserve"> </w:t>
      </w:r>
      <w:r>
        <w:rPr>
          <w:rFonts w:ascii="Times New Roman" w:hAnsi="Times New Roman" w:cs="Times New Roman"/>
          <w:sz w:val="24"/>
          <w:szCs w:val="24"/>
        </w:rPr>
        <w:t>=</w:t>
      </w:r>
      <w:r w:rsidR="003868A9">
        <w:rPr>
          <w:rFonts w:ascii="Times New Roman" w:hAnsi="Times New Roman" w:cs="Times New Roman"/>
          <w:sz w:val="24"/>
          <w:szCs w:val="24"/>
        </w:rPr>
        <w:t xml:space="preserve"> </w:t>
      </w:r>
      <w:r>
        <w:rPr>
          <w:rFonts w:ascii="Times New Roman" w:hAnsi="Times New Roman" w:cs="Times New Roman"/>
          <w:sz w:val="24"/>
          <w:szCs w:val="24"/>
        </w:rPr>
        <w:t>295)</w:t>
      </w:r>
      <w:r w:rsidR="005F3DF9">
        <w:rPr>
          <w:rFonts w:ascii="Times New Roman" w:hAnsi="Times New Roman" w:cs="Times New Roman"/>
          <w:sz w:val="24"/>
          <w:szCs w:val="24"/>
        </w:rPr>
        <w:t>.</w:t>
      </w:r>
      <w:r w:rsidR="00001A86">
        <w:rPr>
          <w:rFonts w:ascii="Times New Roman" w:hAnsi="Times New Roman" w:cs="Times New Roman"/>
          <w:sz w:val="24"/>
          <w:szCs w:val="24"/>
        </w:rPr>
        <w:t xml:space="preserve"> Para facilitar la comparación entre participantes estudiando ingeniería con habilidades matemáticas bajas y altas, se separó a estos participantes en dos grupos utilizando el mismo criterio que en el análisis cua</w:t>
      </w:r>
      <w:r w:rsidR="00C70E78">
        <w:rPr>
          <w:rFonts w:ascii="Times New Roman" w:hAnsi="Times New Roman" w:cs="Times New Roman"/>
          <w:sz w:val="24"/>
          <w:szCs w:val="24"/>
        </w:rPr>
        <w:t>nti</w:t>
      </w:r>
      <w:r w:rsidR="00001A86">
        <w:rPr>
          <w:rFonts w:ascii="Times New Roman" w:hAnsi="Times New Roman" w:cs="Times New Roman"/>
          <w:sz w:val="24"/>
          <w:szCs w:val="24"/>
        </w:rPr>
        <w:t xml:space="preserve">tativo. Esto </w:t>
      </w:r>
      <w:r w:rsidR="00B021A3">
        <w:rPr>
          <w:rFonts w:ascii="Times New Roman" w:hAnsi="Times New Roman" w:cs="Times New Roman"/>
          <w:sz w:val="24"/>
          <w:szCs w:val="24"/>
        </w:rPr>
        <w:t xml:space="preserve">distribuyó </w:t>
      </w:r>
      <w:r w:rsidR="00001A86">
        <w:rPr>
          <w:rFonts w:ascii="Times New Roman" w:hAnsi="Times New Roman" w:cs="Times New Roman"/>
          <w:sz w:val="24"/>
          <w:szCs w:val="24"/>
        </w:rPr>
        <w:t xml:space="preserve">a los participantes del análisis cualitativo en 93 participantes en el grupo de habilidades matemáticas bajas (CMPT </w:t>
      </w:r>
      <w:r w:rsidR="00C70E78" w:rsidRPr="00C70E78">
        <w:rPr>
          <w:rFonts w:ascii="Times New Roman" w:hAnsi="Times New Roman" w:cs="Times New Roman"/>
          <w:sz w:val="24"/>
          <w:szCs w:val="24"/>
        </w:rPr>
        <w:t>&lt;</w:t>
      </w:r>
      <w:r w:rsidR="00001A86">
        <w:rPr>
          <w:rFonts w:ascii="Times New Roman" w:hAnsi="Times New Roman" w:cs="Times New Roman"/>
          <w:sz w:val="24"/>
          <w:szCs w:val="24"/>
        </w:rPr>
        <w:t xml:space="preserve"> 80) y 202 en el grupo de habilidades matemáticas altas (CMPT </w:t>
      </w:r>
      <w:r w:rsidR="00C70E78">
        <w:rPr>
          <w:rFonts w:ascii="Times New Roman" w:hAnsi="Times New Roman" w:cs="Times New Roman"/>
          <w:sz w:val="24"/>
          <w:szCs w:val="24"/>
        </w:rPr>
        <w:t>≥</w:t>
      </w:r>
      <w:r w:rsidR="00001A86" w:rsidRPr="00001A86">
        <w:rPr>
          <w:rFonts w:ascii="Times New Roman" w:hAnsi="Times New Roman" w:cs="Times New Roman"/>
          <w:sz w:val="24"/>
          <w:szCs w:val="24"/>
        </w:rPr>
        <w:t xml:space="preserve"> </w:t>
      </w:r>
      <w:r w:rsidR="00001A86">
        <w:rPr>
          <w:rFonts w:ascii="Times New Roman" w:hAnsi="Times New Roman" w:cs="Times New Roman"/>
          <w:sz w:val="24"/>
          <w:szCs w:val="24"/>
        </w:rPr>
        <w:t>80).</w:t>
      </w:r>
      <w:r w:rsidR="009F2409">
        <w:rPr>
          <w:rFonts w:ascii="Times New Roman" w:hAnsi="Times New Roman" w:cs="Times New Roman"/>
          <w:sz w:val="24"/>
          <w:szCs w:val="24"/>
        </w:rPr>
        <w:t xml:space="preserve"> </w:t>
      </w:r>
      <w:r w:rsidR="001000A0">
        <w:rPr>
          <w:rFonts w:ascii="Times New Roman" w:hAnsi="Times New Roman" w:cs="Times New Roman"/>
          <w:sz w:val="24"/>
          <w:szCs w:val="24"/>
        </w:rPr>
        <w:t xml:space="preserve">La información cualitativa se presentó en </w:t>
      </w:r>
      <w:r w:rsidR="001000A0">
        <w:rPr>
          <w:rFonts w:ascii="Times New Roman" w:hAnsi="Times New Roman" w:cs="Times New Roman"/>
          <w:sz w:val="24"/>
          <w:szCs w:val="24"/>
        </w:rPr>
        <w:lastRenderedPageBreak/>
        <w:t xml:space="preserve">una forma cuantificada mediante el uso de una tabla </w:t>
      </w:r>
      <w:r w:rsidR="001000A0">
        <w:rPr>
          <w:rFonts w:ascii="Times New Roman" w:hAnsi="Times New Roman" w:cs="Times New Roman"/>
          <w:sz w:val="24"/>
          <w:szCs w:val="24"/>
        </w:rPr>
        <w:fldChar w:fldCharType="begin" w:fldLock="1"/>
      </w:r>
      <w:r w:rsidR="0096183A">
        <w:rPr>
          <w:rFonts w:ascii="Times New Roman" w:hAnsi="Times New Roman" w:cs="Times New Roman"/>
          <w:sz w:val="24"/>
          <w:szCs w:val="24"/>
        </w:rPr>
        <w:instrText>ADDIN CSL_CITATION {"citationItems":[{"id":"ITEM-1","itemData":{"DOI":"10.1177/1558689809334210","ISSN":"1558-6898","author":[{"dropping-particle":"","family":"Sandelowski","given":"M.","non-dropping-particle":"","parse-names":false,"suffix":""},{"dropping-particle":"","family":"Voils","given":"C. I.","non-dropping-particle":"","parse-names":false,"suffix":""},{"dropping-particle":"","family":"Knafl","given":"G.","non-dropping-particle":"","parse-names":false,"suffix":""}],"container-title":"Journal of Mixed Methods Research","id":"ITEM-1","issue":"3","issued":{"date-parts":[["2009"]]},"page":"208-222","title":"On Quantitizing","type":"article-journal","volume":"3"},"uris":["http://www.mendeley.com/documents/?uuid=08e49ec1-2713-4445-aab2-2b70a020ecd4"]}],"mendeley":{"formattedCitation":"(Sandelowski, Voils, &amp; Knafl, 2009)","plainTextFormattedCitation":"(Sandelowski, Voils, &amp; Knafl, 2009)","previouslyFormattedCitation":"(Sandelowski, Voils, &amp; Knafl, 2009)"},"properties":{"noteIndex":0},"schema":"https://github.com/citation-style-language/schema/raw/master/csl-citation.json"}</w:instrText>
      </w:r>
      <w:r w:rsidR="001000A0">
        <w:rPr>
          <w:rFonts w:ascii="Times New Roman" w:hAnsi="Times New Roman" w:cs="Times New Roman"/>
          <w:sz w:val="24"/>
          <w:szCs w:val="24"/>
        </w:rPr>
        <w:fldChar w:fldCharType="separate"/>
      </w:r>
      <w:r w:rsidR="001000A0" w:rsidRPr="001000A0">
        <w:rPr>
          <w:rFonts w:ascii="Times New Roman" w:hAnsi="Times New Roman" w:cs="Times New Roman"/>
          <w:noProof/>
          <w:sz w:val="24"/>
          <w:szCs w:val="24"/>
        </w:rPr>
        <w:t>(Sandelowski, Voils</w:t>
      </w:r>
      <w:r w:rsidR="006C1322">
        <w:rPr>
          <w:rFonts w:ascii="Times New Roman" w:hAnsi="Times New Roman" w:cs="Times New Roman"/>
          <w:noProof/>
          <w:sz w:val="24"/>
          <w:szCs w:val="24"/>
        </w:rPr>
        <w:t xml:space="preserve"> y</w:t>
      </w:r>
      <w:r w:rsidR="001000A0" w:rsidRPr="001000A0">
        <w:rPr>
          <w:rFonts w:ascii="Times New Roman" w:hAnsi="Times New Roman" w:cs="Times New Roman"/>
          <w:noProof/>
          <w:sz w:val="24"/>
          <w:szCs w:val="24"/>
        </w:rPr>
        <w:t xml:space="preserve"> Knafl, 2009)</w:t>
      </w:r>
      <w:r w:rsidR="001000A0">
        <w:rPr>
          <w:rFonts w:ascii="Times New Roman" w:hAnsi="Times New Roman" w:cs="Times New Roman"/>
          <w:sz w:val="24"/>
          <w:szCs w:val="24"/>
        </w:rPr>
        <w:fldChar w:fldCharType="end"/>
      </w:r>
      <w:r w:rsidR="001000A0">
        <w:rPr>
          <w:rFonts w:ascii="Times New Roman" w:hAnsi="Times New Roman" w:cs="Times New Roman"/>
          <w:sz w:val="24"/>
          <w:szCs w:val="24"/>
        </w:rPr>
        <w:t xml:space="preserve">. Esta forma de presentar la información cualitativa ayudó a analizar los códigos y llegar a una conclusión que pudiera contestar la pregunta de investigación de una forma más completa (ver </w:t>
      </w:r>
      <w:r w:rsidR="006C1322">
        <w:rPr>
          <w:rFonts w:ascii="Times New Roman" w:hAnsi="Times New Roman" w:cs="Times New Roman"/>
          <w:sz w:val="24"/>
          <w:szCs w:val="24"/>
        </w:rPr>
        <w:t xml:space="preserve">tabla </w:t>
      </w:r>
      <w:r w:rsidR="001000A0">
        <w:rPr>
          <w:rFonts w:ascii="Times New Roman" w:hAnsi="Times New Roman" w:cs="Times New Roman"/>
          <w:sz w:val="24"/>
          <w:szCs w:val="24"/>
        </w:rPr>
        <w:t xml:space="preserve">4).  </w:t>
      </w:r>
    </w:p>
    <w:p w14:paraId="3AD8C20C" w14:textId="77777777" w:rsidR="00A424AB" w:rsidRDefault="00A424AB" w:rsidP="0006428E">
      <w:pPr>
        <w:spacing w:after="0" w:line="360" w:lineRule="auto"/>
        <w:rPr>
          <w:rFonts w:ascii="Times New Roman" w:hAnsi="Times New Roman" w:cs="Times New Roman"/>
          <w:b/>
          <w:sz w:val="24"/>
          <w:szCs w:val="24"/>
        </w:rPr>
      </w:pPr>
    </w:p>
    <w:p w14:paraId="37C14F72" w14:textId="35DB5857" w:rsidR="00001A86" w:rsidRPr="00737371" w:rsidRDefault="00001A86" w:rsidP="0006428E">
      <w:pPr>
        <w:spacing w:after="0" w:line="360" w:lineRule="auto"/>
        <w:rPr>
          <w:rFonts w:ascii="Calibri" w:eastAsia="Times New Roman" w:hAnsi="Calibri" w:cs="Calibri"/>
          <w:b/>
          <w:color w:val="000000" w:themeColor="text1"/>
          <w:sz w:val="28"/>
          <w:szCs w:val="28"/>
          <w:lang w:val="es-ES_tradnl" w:eastAsia="es-MX"/>
        </w:rPr>
      </w:pPr>
      <w:r w:rsidRPr="00737371">
        <w:rPr>
          <w:rFonts w:ascii="Calibri" w:eastAsia="Times New Roman" w:hAnsi="Calibri" w:cs="Calibri"/>
          <w:b/>
          <w:color w:val="000000" w:themeColor="text1"/>
          <w:sz w:val="28"/>
          <w:szCs w:val="28"/>
          <w:lang w:val="es-ES_tradnl" w:eastAsia="es-MX"/>
        </w:rPr>
        <w:t xml:space="preserve">Resultados </w:t>
      </w:r>
    </w:p>
    <w:p w14:paraId="0E11A0D5" w14:textId="45F96686" w:rsidR="0005775B" w:rsidRDefault="00BF3CE2" w:rsidP="00514B68">
      <w:pPr>
        <w:spacing w:after="0" w:line="360" w:lineRule="auto"/>
        <w:ind w:firstLine="708"/>
        <w:jc w:val="both"/>
        <w:rPr>
          <w:rFonts w:ascii="Times New Roman" w:hAnsi="Times New Roman" w:cs="Times New Roman"/>
          <w:sz w:val="24"/>
          <w:szCs w:val="24"/>
        </w:rPr>
      </w:pPr>
      <w:bookmarkStart w:id="3" w:name="_Hlk513805165"/>
      <w:r>
        <w:rPr>
          <w:rFonts w:ascii="Times New Roman" w:hAnsi="Times New Roman" w:cs="Times New Roman"/>
          <w:sz w:val="24"/>
          <w:szCs w:val="24"/>
        </w:rPr>
        <w:t xml:space="preserve">La única variable </w:t>
      </w:r>
      <w:r w:rsidR="00424CFD">
        <w:rPr>
          <w:rFonts w:ascii="Times New Roman" w:hAnsi="Times New Roman" w:cs="Times New Roman"/>
          <w:sz w:val="24"/>
          <w:szCs w:val="24"/>
        </w:rPr>
        <w:t xml:space="preserve">que mostró ser una influencia significativa en la selección de ingeniería como carrera profesional en todos los grupos que se analizaron cuantitativamente fue el </w:t>
      </w:r>
      <w:r w:rsidR="00B021A3">
        <w:rPr>
          <w:rFonts w:ascii="Times New Roman" w:hAnsi="Times New Roman" w:cs="Times New Roman"/>
          <w:sz w:val="24"/>
          <w:szCs w:val="24"/>
        </w:rPr>
        <w:t xml:space="preserve">género </w:t>
      </w:r>
      <w:r w:rsidR="00C70E78">
        <w:rPr>
          <w:rFonts w:ascii="Times New Roman" w:hAnsi="Times New Roman" w:cs="Times New Roman"/>
          <w:sz w:val="24"/>
          <w:szCs w:val="24"/>
        </w:rPr>
        <w:t>de los participantes</w:t>
      </w:r>
      <w:r w:rsidR="00424CFD">
        <w:rPr>
          <w:rFonts w:ascii="Times New Roman" w:hAnsi="Times New Roman" w:cs="Times New Roman"/>
          <w:sz w:val="24"/>
          <w:szCs w:val="24"/>
        </w:rPr>
        <w:t xml:space="preserve"> (ver </w:t>
      </w:r>
      <w:r w:rsidR="006135EE">
        <w:rPr>
          <w:rFonts w:ascii="Times New Roman" w:hAnsi="Times New Roman" w:cs="Times New Roman"/>
          <w:sz w:val="24"/>
          <w:szCs w:val="24"/>
        </w:rPr>
        <w:t xml:space="preserve">tabla </w:t>
      </w:r>
      <w:r w:rsidR="00424CFD">
        <w:rPr>
          <w:rFonts w:ascii="Times New Roman" w:hAnsi="Times New Roman" w:cs="Times New Roman"/>
          <w:sz w:val="24"/>
          <w:szCs w:val="24"/>
        </w:rPr>
        <w:t>2). Según los resul</w:t>
      </w:r>
      <w:r w:rsidR="00475E25">
        <w:rPr>
          <w:rFonts w:ascii="Times New Roman" w:hAnsi="Times New Roman" w:cs="Times New Roman"/>
          <w:sz w:val="24"/>
          <w:szCs w:val="24"/>
        </w:rPr>
        <w:t xml:space="preserve">tados de la regresión logística binomial, </w:t>
      </w:r>
      <w:r w:rsidR="008C716C">
        <w:rPr>
          <w:rFonts w:ascii="Times New Roman" w:hAnsi="Times New Roman" w:cs="Times New Roman"/>
          <w:sz w:val="24"/>
          <w:szCs w:val="24"/>
        </w:rPr>
        <w:t xml:space="preserve">los </w:t>
      </w:r>
      <w:r w:rsidR="000B7292">
        <w:rPr>
          <w:rFonts w:ascii="Times New Roman" w:hAnsi="Times New Roman" w:cs="Times New Roman"/>
          <w:sz w:val="24"/>
          <w:szCs w:val="24"/>
        </w:rPr>
        <w:t xml:space="preserve">hombres tienen 3.3 veces más probabilidades de seleccionar una carrera de ingeniería que las mujeres basándose solo en el </w:t>
      </w:r>
      <w:r w:rsidR="00B021A3">
        <w:rPr>
          <w:rFonts w:ascii="Times New Roman" w:hAnsi="Times New Roman" w:cs="Times New Roman"/>
          <w:sz w:val="24"/>
          <w:szCs w:val="24"/>
        </w:rPr>
        <w:t xml:space="preserve">género </w:t>
      </w:r>
      <w:r w:rsidR="000B7292">
        <w:rPr>
          <w:rFonts w:ascii="Times New Roman" w:hAnsi="Times New Roman" w:cs="Times New Roman"/>
          <w:sz w:val="24"/>
          <w:szCs w:val="24"/>
        </w:rPr>
        <w:t>de las personas.</w:t>
      </w:r>
      <w:bookmarkEnd w:id="3"/>
      <w:r w:rsidR="000B7292">
        <w:rPr>
          <w:rFonts w:ascii="Times New Roman" w:hAnsi="Times New Roman" w:cs="Times New Roman"/>
          <w:sz w:val="24"/>
          <w:szCs w:val="24"/>
        </w:rPr>
        <w:t xml:space="preserve"> </w:t>
      </w:r>
      <w:r w:rsidR="00B766A3">
        <w:rPr>
          <w:rFonts w:ascii="Times New Roman" w:hAnsi="Times New Roman" w:cs="Times New Roman"/>
          <w:sz w:val="24"/>
          <w:szCs w:val="24"/>
        </w:rPr>
        <w:t>Esta brecha al momento de seleccionar alguna ingeniería fue más evidente en los resultados arrojados por la regresión logística binomial del grupo con habilidades matemáticas bajas (</w:t>
      </w:r>
      <w:r w:rsidR="00AB67FC">
        <w:rPr>
          <w:rFonts w:ascii="Times New Roman" w:hAnsi="Times New Roman" w:cs="Times New Roman"/>
          <w:sz w:val="24"/>
          <w:szCs w:val="24"/>
        </w:rPr>
        <w:t xml:space="preserve">véase tabla </w:t>
      </w:r>
      <w:r w:rsidR="00B766A3">
        <w:rPr>
          <w:rFonts w:ascii="Times New Roman" w:hAnsi="Times New Roman" w:cs="Times New Roman"/>
          <w:sz w:val="24"/>
          <w:szCs w:val="24"/>
        </w:rPr>
        <w:t xml:space="preserve">2), donde los hombres resultaron tener 4.6 veces más probabilidades de seleccionar </w:t>
      </w:r>
      <w:r w:rsidR="00AB67FC">
        <w:rPr>
          <w:rFonts w:ascii="Times New Roman" w:hAnsi="Times New Roman" w:cs="Times New Roman"/>
          <w:sz w:val="24"/>
          <w:szCs w:val="24"/>
        </w:rPr>
        <w:t xml:space="preserve">un programa </w:t>
      </w:r>
      <w:r w:rsidR="008A62DC">
        <w:rPr>
          <w:rFonts w:ascii="Times New Roman" w:hAnsi="Times New Roman" w:cs="Times New Roman"/>
          <w:sz w:val="24"/>
          <w:szCs w:val="24"/>
        </w:rPr>
        <w:t>ingenieril</w:t>
      </w:r>
      <w:r w:rsidR="00AB67FC">
        <w:rPr>
          <w:rFonts w:ascii="Times New Roman" w:hAnsi="Times New Roman" w:cs="Times New Roman"/>
          <w:sz w:val="24"/>
          <w:szCs w:val="24"/>
        </w:rPr>
        <w:t xml:space="preserve"> </w:t>
      </w:r>
      <w:r w:rsidR="00B766A3">
        <w:rPr>
          <w:rFonts w:ascii="Times New Roman" w:hAnsi="Times New Roman" w:cs="Times New Roman"/>
          <w:sz w:val="24"/>
          <w:szCs w:val="24"/>
        </w:rPr>
        <w:t xml:space="preserve">en comparación con las mujeres. Aunque </w:t>
      </w:r>
      <w:r w:rsidR="009F1E66">
        <w:rPr>
          <w:rFonts w:ascii="Times New Roman" w:hAnsi="Times New Roman" w:cs="Times New Roman"/>
          <w:sz w:val="24"/>
          <w:szCs w:val="24"/>
        </w:rPr>
        <w:t>este margen</w:t>
      </w:r>
      <w:r w:rsidR="00B766A3">
        <w:rPr>
          <w:rFonts w:ascii="Times New Roman" w:hAnsi="Times New Roman" w:cs="Times New Roman"/>
          <w:sz w:val="24"/>
          <w:szCs w:val="24"/>
        </w:rPr>
        <w:t xml:space="preserve"> de g</w:t>
      </w:r>
      <w:r w:rsidR="00D23142">
        <w:rPr>
          <w:rFonts w:ascii="Times New Roman" w:hAnsi="Times New Roman" w:cs="Times New Roman"/>
          <w:sz w:val="24"/>
          <w:szCs w:val="24"/>
        </w:rPr>
        <w:t>é</w:t>
      </w:r>
      <w:r w:rsidR="00B766A3">
        <w:rPr>
          <w:rFonts w:ascii="Times New Roman" w:hAnsi="Times New Roman" w:cs="Times New Roman"/>
          <w:sz w:val="24"/>
          <w:szCs w:val="24"/>
        </w:rPr>
        <w:t xml:space="preserve">nero fue menor al analizar el grupo con habilidades matemáticas altas, los hombres seguían </w:t>
      </w:r>
      <w:r w:rsidR="00A558C1">
        <w:rPr>
          <w:rFonts w:ascii="Times New Roman" w:hAnsi="Times New Roman" w:cs="Times New Roman"/>
          <w:sz w:val="24"/>
          <w:szCs w:val="24"/>
        </w:rPr>
        <w:t>s</w:t>
      </w:r>
      <w:r w:rsidR="00B766A3">
        <w:rPr>
          <w:rFonts w:ascii="Times New Roman" w:hAnsi="Times New Roman" w:cs="Times New Roman"/>
          <w:sz w:val="24"/>
          <w:szCs w:val="24"/>
        </w:rPr>
        <w:t>elecciona</w:t>
      </w:r>
      <w:r w:rsidR="00A558C1">
        <w:rPr>
          <w:rFonts w:ascii="Times New Roman" w:hAnsi="Times New Roman" w:cs="Times New Roman"/>
          <w:sz w:val="24"/>
          <w:szCs w:val="24"/>
        </w:rPr>
        <w:t>ndo</w:t>
      </w:r>
      <w:r w:rsidR="00B766A3">
        <w:rPr>
          <w:rFonts w:ascii="Times New Roman" w:hAnsi="Times New Roman" w:cs="Times New Roman"/>
          <w:sz w:val="24"/>
          <w:szCs w:val="24"/>
        </w:rPr>
        <w:t xml:space="preserve"> ingeniería como su carrera profesional</w:t>
      </w:r>
      <w:r w:rsidR="00A558C1">
        <w:rPr>
          <w:rFonts w:ascii="Times New Roman" w:hAnsi="Times New Roman" w:cs="Times New Roman"/>
          <w:sz w:val="24"/>
          <w:szCs w:val="24"/>
        </w:rPr>
        <w:t xml:space="preserve"> con mayor frecuencia</w:t>
      </w:r>
      <w:r w:rsidR="00110CB0">
        <w:rPr>
          <w:rFonts w:ascii="Times New Roman" w:hAnsi="Times New Roman" w:cs="Times New Roman"/>
          <w:sz w:val="24"/>
          <w:szCs w:val="24"/>
        </w:rPr>
        <w:t>:</w:t>
      </w:r>
      <w:r w:rsidR="00A558C1">
        <w:rPr>
          <w:rFonts w:ascii="Times New Roman" w:hAnsi="Times New Roman" w:cs="Times New Roman"/>
          <w:sz w:val="24"/>
          <w:szCs w:val="24"/>
        </w:rPr>
        <w:t xml:space="preserve"> </w:t>
      </w:r>
      <w:r w:rsidR="00110CB0">
        <w:rPr>
          <w:rFonts w:ascii="Times New Roman" w:hAnsi="Times New Roman" w:cs="Times New Roman"/>
          <w:sz w:val="24"/>
          <w:szCs w:val="24"/>
        </w:rPr>
        <w:t xml:space="preserve">dos </w:t>
      </w:r>
      <w:r w:rsidR="00A558C1">
        <w:rPr>
          <w:rFonts w:ascii="Times New Roman" w:hAnsi="Times New Roman" w:cs="Times New Roman"/>
          <w:sz w:val="24"/>
          <w:szCs w:val="24"/>
        </w:rPr>
        <w:t>veces más probabilidades de seleccionar esta carrera que las mujeres de este grupo.</w:t>
      </w:r>
    </w:p>
    <w:p w14:paraId="091793ED" w14:textId="55619A02" w:rsidR="0006428E" w:rsidRDefault="0006428E" w:rsidP="0006428E">
      <w:pPr>
        <w:spacing w:after="0" w:line="360" w:lineRule="auto"/>
        <w:rPr>
          <w:rFonts w:ascii="Times New Roman" w:hAnsi="Times New Roman" w:cs="Times New Roman"/>
          <w:b/>
          <w:sz w:val="24"/>
          <w:szCs w:val="24"/>
        </w:rPr>
      </w:pPr>
    </w:p>
    <w:p w14:paraId="1C5E2515" w14:textId="62C14EC0" w:rsidR="00586E48" w:rsidRDefault="00586E48" w:rsidP="0006428E">
      <w:pPr>
        <w:spacing w:after="0" w:line="360" w:lineRule="auto"/>
        <w:rPr>
          <w:rFonts w:ascii="Times New Roman" w:hAnsi="Times New Roman" w:cs="Times New Roman"/>
          <w:b/>
          <w:sz w:val="24"/>
          <w:szCs w:val="24"/>
        </w:rPr>
      </w:pPr>
    </w:p>
    <w:p w14:paraId="2CF6F777" w14:textId="1980504C" w:rsidR="00586E48" w:rsidRDefault="00586E48" w:rsidP="0006428E">
      <w:pPr>
        <w:spacing w:after="0" w:line="360" w:lineRule="auto"/>
        <w:rPr>
          <w:rFonts w:ascii="Times New Roman" w:hAnsi="Times New Roman" w:cs="Times New Roman"/>
          <w:b/>
          <w:sz w:val="24"/>
          <w:szCs w:val="24"/>
        </w:rPr>
      </w:pPr>
    </w:p>
    <w:p w14:paraId="6A9532B2" w14:textId="78C6D49E" w:rsidR="00586E48" w:rsidRDefault="00586E48" w:rsidP="0006428E">
      <w:pPr>
        <w:spacing w:after="0" w:line="360" w:lineRule="auto"/>
        <w:rPr>
          <w:rFonts w:ascii="Times New Roman" w:hAnsi="Times New Roman" w:cs="Times New Roman"/>
          <w:b/>
          <w:sz w:val="24"/>
          <w:szCs w:val="24"/>
        </w:rPr>
      </w:pPr>
    </w:p>
    <w:p w14:paraId="7ED79832" w14:textId="2FF6BE76" w:rsidR="00586E48" w:rsidRDefault="00586E48" w:rsidP="0006428E">
      <w:pPr>
        <w:spacing w:after="0" w:line="360" w:lineRule="auto"/>
        <w:rPr>
          <w:rFonts w:ascii="Times New Roman" w:hAnsi="Times New Roman" w:cs="Times New Roman"/>
          <w:b/>
          <w:sz w:val="24"/>
          <w:szCs w:val="24"/>
        </w:rPr>
      </w:pPr>
    </w:p>
    <w:p w14:paraId="27F577EE" w14:textId="0F06AEBE" w:rsidR="00586E48" w:rsidRDefault="00586E48" w:rsidP="0006428E">
      <w:pPr>
        <w:spacing w:after="0" w:line="360" w:lineRule="auto"/>
        <w:rPr>
          <w:rFonts w:ascii="Times New Roman" w:hAnsi="Times New Roman" w:cs="Times New Roman"/>
          <w:b/>
          <w:sz w:val="24"/>
          <w:szCs w:val="24"/>
        </w:rPr>
      </w:pPr>
    </w:p>
    <w:p w14:paraId="0E6A7B3B" w14:textId="26062F7F" w:rsidR="00586E48" w:rsidRDefault="00586E48" w:rsidP="0006428E">
      <w:pPr>
        <w:spacing w:after="0" w:line="360" w:lineRule="auto"/>
        <w:rPr>
          <w:rFonts w:ascii="Times New Roman" w:hAnsi="Times New Roman" w:cs="Times New Roman"/>
          <w:b/>
          <w:sz w:val="24"/>
          <w:szCs w:val="24"/>
        </w:rPr>
      </w:pPr>
    </w:p>
    <w:p w14:paraId="5658E34B" w14:textId="2B148B04" w:rsidR="00586E48" w:rsidRDefault="00586E48" w:rsidP="0006428E">
      <w:pPr>
        <w:spacing w:after="0" w:line="360" w:lineRule="auto"/>
        <w:rPr>
          <w:rFonts w:ascii="Times New Roman" w:hAnsi="Times New Roman" w:cs="Times New Roman"/>
          <w:b/>
          <w:sz w:val="24"/>
          <w:szCs w:val="24"/>
        </w:rPr>
      </w:pPr>
    </w:p>
    <w:p w14:paraId="4E25D8F7" w14:textId="1D0164A2" w:rsidR="00586E48" w:rsidRDefault="00586E48" w:rsidP="0006428E">
      <w:pPr>
        <w:spacing w:after="0" w:line="360" w:lineRule="auto"/>
        <w:rPr>
          <w:rFonts w:ascii="Times New Roman" w:hAnsi="Times New Roman" w:cs="Times New Roman"/>
          <w:b/>
          <w:sz w:val="24"/>
          <w:szCs w:val="24"/>
        </w:rPr>
      </w:pPr>
    </w:p>
    <w:p w14:paraId="597E59B7" w14:textId="5F44AA87" w:rsidR="00586E48" w:rsidRDefault="00586E48" w:rsidP="0006428E">
      <w:pPr>
        <w:spacing w:after="0" w:line="360" w:lineRule="auto"/>
        <w:rPr>
          <w:rFonts w:ascii="Times New Roman" w:hAnsi="Times New Roman" w:cs="Times New Roman"/>
          <w:b/>
          <w:sz w:val="24"/>
          <w:szCs w:val="24"/>
        </w:rPr>
      </w:pPr>
    </w:p>
    <w:p w14:paraId="684EF035" w14:textId="77777777" w:rsidR="00586E48" w:rsidRDefault="00586E48" w:rsidP="0006428E">
      <w:pPr>
        <w:spacing w:after="0" w:line="360" w:lineRule="auto"/>
        <w:rPr>
          <w:rFonts w:ascii="Times New Roman" w:hAnsi="Times New Roman" w:cs="Times New Roman"/>
          <w:b/>
          <w:sz w:val="24"/>
          <w:szCs w:val="24"/>
        </w:rPr>
      </w:pPr>
    </w:p>
    <w:p w14:paraId="0ABC12FD" w14:textId="2DB3CAE6" w:rsidR="00A558C1" w:rsidRPr="00A558C1" w:rsidRDefault="00A558C1" w:rsidP="00514B68">
      <w:pPr>
        <w:spacing w:after="0" w:line="360" w:lineRule="auto"/>
        <w:jc w:val="center"/>
        <w:rPr>
          <w:shd w:val="clear" w:color="auto" w:fill="E1E2E5"/>
        </w:rPr>
      </w:pPr>
      <w:r w:rsidRPr="00A558C1">
        <w:rPr>
          <w:rFonts w:ascii="Times New Roman" w:hAnsi="Times New Roman" w:cs="Times New Roman"/>
          <w:b/>
          <w:sz w:val="24"/>
          <w:szCs w:val="24"/>
        </w:rPr>
        <w:lastRenderedPageBreak/>
        <w:t>T</w:t>
      </w:r>
      <w:r w:rsidR="0006428E" w:rsidRPr="00A558C1">
        <w:rPr>
          <w:rFonts w:ascii="Times New Roman" w:hAnsi="Times New Roman" w:cs="Times New Roman"/>
          <w:b/>
          <w:sz w:val="24"/>
          <w:szCs w:val="24"/>
        </w:rPr>
        <w:t>abla</w:t>
      </w:r>
      <w:r w:rsidRPr="00A558C1">
        <w:rPr>
          <w:rFonts w:ascii="Times New Roman" w:hAnsi="Times New Roman" w:cs="Times New Roman"/>
          <w:b/>
          <w:sz w:val="24"/>
          <w:szCs w:val="24"/>
        </w:rPr>
        <w:t xml:space="preserve"> 2</w:t>
      </w:r>
      <w:r w:rsidR="0006428E">
        <w:rPr>
          <w:rFonts w:ascii="Times New Roman" w:hAnsi="Times New Roman" w:cs="Times New Roman"/>
          <w:sz w:val="24"/>
          <w:szCs w:val="24"/>
        </w:rPr>
        <w:t xml:space="preserve">. </w:t>
      </w:r>
      <w:r w:rsidRPr="0005775B">
        <w:rPr>
          <w:rFonts w:ascii="Times New Roman" w:hAnsi="Times New Roman" w:cs="Times New Roman"/>
          <w:sz w:val="24"/>
          <w:szCs w:val="24"/>
        </w:rPr>
        <w:t>Resultados de la regresión logística binomial para determinar las probabilidades de seleccionar ingeniería</w:t>
      </w:r>
      <w:r w:rsidR="003969BB" w:rsidRPr="0005775B">
        <w:rPr>
          <w:rFonts w:ascii="Times New Roman" w:hAnsi="Times New Roman" w:cs="Times New Roman"/>
          <w:sz w:val="24"/>
          <w:szCs w:val="24"/>
        </w:rPr>
        <w:t xml:space="preserve"> separados por habilidades matemáticas</w:t>
      </w:r>
    </w:p>
    <w:tbl>
      <w:tblPr>
        <w:tblStyle w:val="Tablaconcuadrcula"/>
        <w:tblW w:w="0" w:type="auto"/>
        <w:jc w:val="center"/>
        <w:tblLayout w:type="fixed"/>
        <w:tblLook w:val="04A0" w:firstRow="1" w:lastRow="0" w:firstColumn="1" w:lastColumn="0" w:noHBand="0" w:noVBand="1"/>
      </w:tblPr>
      <w:tblGrid>
        <w:gridCol w:w="1165"/>
        <w:gridCol w:w="721"/>
        <w:gridCol w:w="636"/>
        <w:gridCol w:w="576"/>
        <w:gridCol w:w="636"/>
        <w:gridCol w:w="719"/>
        <w:gridCol w:w="636"/>
        <w:gridCol w:w="599"/>
        <w:gridCol w:w="636"/>
        <w:gridCol w:w="691"/>
        <w:gridCol w:w="630"/>
        <w:gridCol w:w="540"/>
        <w:gridCol w:w="643"/>
      </w:tblGrid>
      <w:tr w:rsidR="00E15EEA" w:rsidRPr="0006428E" w14:paraId="20BC9926" w14:textId="77777777" w:rsidTr="00674F69">
        <w:trPr>
          <w:trHeight w:val="198"/>
          <w:jc w:val="center"/>
        </w:trPr>
        <w:tc>
          <w:tcPr>
            <w:tcW w:w="1165" w:type="dxa"/>
          </w:tcPr>
          <w:p w14:paraId="6C313B04" w14:textId="77777777" w:rsidR="00A558C1" w:rsidRPr="00514B68" w:rsidRDefault="00A558C1" w:rsidP="0006428E">
            <w:pPr>
              <w:spacing w:line="360" w:lineRule="auto"/>
              <w:rPr>
                <w:rFonts w:ascii="Times New Roman" w:hAnsi="Times New Roman" w:cs="Times New Roman"/>
                <w:sz w:val="24"/>
                <w:szCs w:val="24"/>
              </w:rPr>
            </w:pPr>
          </w:p>
        </w:tc>
        <w:tc>
          <w:tcPr>
            <w:tcW w:w="2569" w:type="dxa"/>
            <w:gridSpan w:val="4"/>
          </w:tcPr>
          <w:p w14:paraId="37B1F0C1" w14:textId="77777777" w:rsidR="00A558C1" w:rsidRPr="00514B68" w:rsidRDefault="003969BB" w:rsidP="0006428E">
            <w:pPr>
              <w:spacing w:line="360" w:lineRule="auto"/>
              <w:jc w:val="center"/>
              <w:rPr>
                <w:rFonts w:ascii="Times New Roman" w:hAnsi="Times New Roman" w:cs="Times New Roman"/>
                <w:b/>
                <w:sz w:val="24"/>
                <w:szCs w:val="24"/>
              </w:rPr>
            </w:pPr>
            <w:r w:rsidRPr="00514B68">
              <w:rPr>
                <w:rFonts w:ascii="Times New Roman" w:hAnsi="Times New Roman" w:cs="Times New Roman"/>
                <w:b/>
                <w:sz w:val="24"/>
                <w:szCs w:val="24"/>
              </w:rPr>
              <w:t>Todos los participantes</w:t>
            </w:r>
          </w:p>
          <w:p w14:paraId="406DEFF5" w14:textId="77777777" w:rsidR="00E15EEA" w:rsidRPr="00514B68" w:rsidRDefault="00E15EEA" w:rsidP="0006428E">
            <w:pPr>
              <w:spacing w:line="360" w:lineRule="auto"/>
              <w:jc w:val="center"/>
              <w:rPr>
                <w:rFonts w:ascii="Times New Roman" w:hAnsi="Times New Roman" w:cs="Times New Roman"/>
                <w:b/>
                <w:sz w:val="24"/>
                <w:szCs w:val="24"/>
              </w:rPr>
            </w:pPr>
          </w:p>
        </w:tc>
        <w:tc>
          <w:tcPr>
            <w:tcW w:w="2590" w:type="dxa"/>
            <w:gridSpan w:val="4"/>
          </w:tcPr>
          <w:p w14:paraId="549B6DA8" w14:textId="77777777" w:rsidR="00A558C1" w:rsidRPr="00514B68" w:rsidRDefault="003969BB" w:rsidP="0006428E">
            <w:pPr>
              <w:spacing w:line="360" w:lineRule="auto"/>
              <w:jc w:val="center"/>
              <w:rPr>
                <w:rFonts w:ascii="Times New Roman" w:hAnsi="Times New Roman" w:cs="Times New Roman"/>
                <w:b/>
                <w:sz w:val="24"/>
                <w:szCs w:val="24"/>
              </w:rPr>
            </w:pPr>
            <w:r w:rsidRPr="00514B68">
              <w:rPr>
                <w:rFonts w:ascii="Times New Roman" w:hAnsi="Times New Roman" w:cs="Times New Roman"/>
                <w:b/>
                <w:sz w:val="24"/>
                <w:szCs w:val="24"/>
              </w:rPr>
              <w:t>Habilidades matemáticas bajas</w:t>
            </w:r>
          </w:p>
        </w:tc>
        <w:tc>
          <w:tcPr>
            <w:tcW w:w="2504" w:type="dxa"/>
            <w:gridSpan w:val="4"/>
          </w:tcPr>
          <w:p w14:paraId="69CAB632" w14:textId="77777777" w:rsidR="00A558C1" w:rsidRPr="00514B68" w:rsidRDefault="003969BB" w:rsidP="0006428E">
            <w:pPr>
              <w:spacing w:line="360" w:lineRule="auto"/>
              <w:jc w:val="center"/>
              <w:rPr>
                <w:rFonts w:ascii="Times New Roman" w:hAnsi="Times New Roman" w:cs="Times New Roman"/>
                <w:b/>
                <w:sz w:val="24"/>
                <w:szCs w:val="24"/>
                <w:lang w:val="en-US"/>
              </w:rPr>
            </w:pPr>
            <w:r w:rsidRPr="00514B68">
              <w:rPr>
                <w:rFonts w:ascii="Times New Roman" w:hAnsi="Times New Roman" w:cs="Times New Roman"/>
                <w:b/>
                <w:sz w:val="24"/>
                <w:szCs w:val="24"/>
              </w:rPr>
              <w:t>Habilidades matemáticas altas</w:t>
            </w:r>
          </w:p>
        </w:tc>
      </w:tr>
      <w:tr w:rsidR="00E15EEA" w:rsidRPr="0006428E" w14:paraId="19E4FC87" w14:textId="77777777" w:rsidTr="00674F69">
        <w:trPr>
          <w:jc w:val="center"/>
        </w:trPr>
        <w:tc>
          <w:tcPr>
            <w:tcW w:w="1165" w:type="dxa"/>
          </w:tcPr>
          <w:p w14:paraId="7E4BF961" w14:textId="77777777" w:rsidR="00A558C1" w:rsidRPr="00514B68" w:rsidRDefault="00A558C1" w:rsidP="0006428E">
            <w:pPr>
              <w:spacing w:line="360" w:lineRule="auto"/>
              <w:jc w:val="center"/>
              <w:rPr>
                <w:rFonts w:ascii="Times New Roman" w:hAnsi="Times New Roman" w:cs="Times New Roman"/>
                <w:sz w:val="24"/>
                <w:szCs w:val="24"/>
                <w:lang w:val="en-US"/>
              </w:rPr>
            </w:pPr>
          </w:p>
        </w:tc>
        <w:tc>
          <w:tcPr>
            <w:tcW w:w="721" w:type="dxa"/>
          </w:tcPr>
          <w:p w14:paraId="43AAEF61" w14:textId="77777777" w:rsidR="00A558C1" w:rsidRPr="00514B68" w:rsidRDefault="00A558C1" w:rsidP="0006428E">
            <w:pPr>
              <w:spacing w:line="360" w:lineRule="auto"/>
              <w:jc w:val="center"/>
              <w:rPr>
                <w:rFonts w:ascii="Times New Roman" w:hAnsi="Times New Roman" w:cs="Times New Roman"/>
                <w:b/>
                <w:sz w:val="24"/>
                <w:szCs w:val="24"/>
                <w:lang w:val="en-US"/>
              </w:rPr>
            </w:pPr>
            <w:r w:rsidRPr="00514B68">
              <w:rPr>
                <w:rFonts w:ascii="Times New Roman" w:hAnsi="Times New Roman" w:cs="Times New Roman"/>
                <w:b/>
                <w:sz w:val="24"/>
                <w:szCs w:val="24"/>
                <w:lang w:val="en-US"/>
              </w:rPr>
              <w:t>B</w:t>
            </w:r>
          </w:p>
        </w:tc>
        <w:tc>
          <w:tcPr>
            <w:tcW w:w="636" w:type="dxa"/>
          </w:tcPr>
          <w:p w14:paraId="0FAE40DF" w14:textId="77777777" w:rsidR="00A558C1" w:rsidRPr="00514B68" w:rsidRDefault="00A558C1" w:rsidP="0006428E">
            <w:pPr>
              <w:spacing w:line="360" w:lineRule="auto"/>
              <w:jc w:val="center"/>
              <w:rPr>
                <w:rFonts w:ascii="Times New Roman" w:hAnsi="Times New Roman" w:cs="Times New Roman"/>
                <w:b/>
                <w:sz w:val="24"/>
                <w:szCs w:val="24"/>
                <w:lang w:val="en-US"/>
              </w:rPr>
            </w:pPr>
            <w:r w:rsidRPr="00514B68">
              <w:rPr>
                <w:rFonts w:ascii="Times New Roman" w:hAnsi="Times New Roman" w:cs="Times New Roman"/>
                <w:b/>
                <w:sz w:val="24"/>
                <w:szCs w:val="24"/>
                <w:lang w:val="en-US"/>
              </w:rPr>
              <w:t>SE</w:t>
            </w:r>
          </w:p>
        </w:tc>
        <w:tc>
          <w:tcPr>
            <w:tcW w:w="576" w:type="dxa"/>
          </w:tcPr>
          <w:p w14:paraId="2AFB5C51" w14:textId="77777777" w:rsidR="00A558C1" w:rsidRPr="00514B68" w:rsidRDefault="00E15EEA" w:rsidP="0006428E">
            <w:pPr>
              <w:spacing w:line="360" w:lineRule="auto"/>
              <w:jc w:val="center"/>
              <w:rPr>
                <w:rFonts w:ascii="Times New Roman" w:hAnsi="Times New Roman" w:cs="Times New Roman"/>
                <w:b/>
                <w:sz w:val="24"/>
                <w:szCs w:val="24"/>
                <w:lang w:val="en-US"/>
              </w:rPr>
            </w:pPr>
            <w:r w:rsidRPr="00514B68">
              <w:rPr>
                <w:rFonts w:ascii="Times New Roman" w:hAnsi="Times New Roman" w:cs="Times New Roman"/>
                <w:b/>
                <w:sz w:val="24"/>
                <w:szCs w:val="24"/>
                <w:lang w:val="en-US"/>
              </w:rPr>
              <w:t>P</w:t>
            </w:r>
          </w:p>
        </w:tc>
        <w:tc>
          <w:tcPr>
            <w:tcW w:w="636" w:type="dxa"/>
          </w:tcPr>
          <w:p w14:paraId="081156D6" w14:textId="77777777" w:rsidR="00A558C1" w:rsidRPr="00514B68" w:rsidRDefault="00E15EEA" w:rsidP="0006428E">
            <w:pPr>
              <w:spacing w:line="360" w:lineRule="auto"/>
              <w:jc w:val="center"/>
              <w:rPr>
                <w:rFonts w:ascii="Times New Roman" w:hAnsi="Times New Roman" w:cs="Times New Roman"/>
                <w:b/>
                <w:sz w:val="24"/>
                <w:szCs w:val="24"/>
                <w:lang w:val="en-US"/>
              </w:rPr>
            </w:pPr>
            <w:r w:rsidRPr="00514B68">
              <w:rPr>
                <w:rFonts w:ascii="Times New Roman" w:hAnsi="Times New Roman" w:cs="Times New Roman"/>
                <w:b/>
                <w:sz w:val="24"/>
                <w:szCs w:val="24"/>
                <w:lang w:val="en-US"/>
              </w:rPr>
              <w:t>RP</w:t>
            </w:r>
          </w:p>
          <w:p w14:paraId="1C3D0731" w14:textId="77777777" w:rsidR="00E15EEA" w:rsidRPr="00514B68" w:rsidRDefault="00E15EEA" w:rsidP="0006428E">
            <w:pPr>
              <w:spacing w:line="360" w:lineRule="auto"/>
              <w:jc w:val="center"/>
              <w:rPr>
                <w:rFonts w:ascii="Times New Roman" w:hAnsi="Times New Roman" w:cs="Times New Roman"/>
                <w:b/>
                <w:sz w:val="24"/>
                <w:szCs w:val="24"/>
                <w:lang w:val="en-US"/>
              </w:rPr>
            </w:pPr>
          </w:p>
        </w:tc>
        <w:tc>
          <w:tcPr>
            <w:tcW w:w="719" w:type="dxa"/>
          </w:tcPr>
          <w:p w14:paraId="6C49A629" w14:textId="77777777" w:rsidR="00A558C1" w:rsidRPr="00514B68" w:rsidRDefault="00A558C1" w:rsidP="0006428E">
            <w:pPr>
              <w:spacing w:line="360" w:lineRule="auto"/>
              <w:jc w:val="center"/>
              <w:rPr>
                <w:rFonts w:ascii="Times New Roman" w:hAnsi="Times New Roman" w:cs="Times New Roman"/>
                <w:b/>
                <w:sz w:val="24"/>
                <w:szCs w:val="24"/>
                <w:lang w:val="en-US"/>
              </w:rPr>
            </w:pPr>
            <w:r w:rsidRPr="00514B68">
              <w:rPr>
                <w:rFonts w:ascii="Times New Roman" w:hAnsi="Times New Roman" w:cs="Times New Roman"/>
                <w:b/>
                <w:sz w:val="24"/>
                <w:szCs w:val="24"/>
                <w:lang w:val="en-US"/>
              </w:rPr>
              <w:t>B</w:t>
            </w:r>
          </w:p>
        </w:tc>
        <w:tc>
          <w:tcPr>
            <w:tcW w:w="636" w:type="dxa"/>
          </w:tcPr>
          <w:p w14:paraId="6078580C" w14:textId="77777777" w:rsidR="00A558C1" w:rsidRPr="00514B68" w:rsidRDefault="00A558C1" w:rsidP="0006428E">
            <w:pPr>
              <w:spacing w:line="360" w:lineRule="auto"/>
              <w:jc w:val="center"/>
              <w:rPr>
                <w:rFonts w:ascii="Times New Roman" w:hAnsi="Times New Roman" w:cs="Times New Roman"/>
                <w:b/>
                <w:sz w:val="24"/>
                <w:szCs w:val="24"/>
                <w:lang w:val="en-US"/>
              </w:rPr>
            </w:pPr>
            <w:r w:rsidRPr="00514B68">
              <w:rPr>
                <w:rFonts w:ascii="Times New Roman" w:hAnsi="Times New Roman" w:cs="Times New Roman"/>
                <w:b/>
                <w:sz w:val="24"/>
                <w:szCs w:val="24"/>
                <w:lang w:val="en-US"/>
              </w:rPr>
              <w:t>SE</w:t>
            </w:r>
          </w:p>
        </w:tc>
        <w:tc>
          <w:tcPr>
            <w:tcW w:w="599" w:type="dxa"/>
          </w:tcPr>
          <w:p w14:paraId="03D6A698" w14:textId="77777777" w:rsidR="00A558C1" w:rsidRPr="00514B68" w:rsidRDefault="00E15EEA" w:rsidP="0006428E">
            <w:pPr>
              <w:spacing w:line="360" w:lineRule="auto"/>
              <w:jc w:val="center"/>
              <w:rPr>
                <w:rFonts w:ascii="Times New Roman" w:hAnsi="Times New Roman" w:cs="Times New Roman"/>
                <w:b/>
                <w:sz w:val="24"/>
                <w:szCs w:val="24"/>
                <w:lang w:val="en-US"/>
              </w:rPr>
            </w:pPr>
            <w:r w:rsidRPr="00514B68">
              <w:rPr>
                <w:rFonts w:ascii="Times New Roman" w:hAnsi="Times New Roman" w:cs="Times New Roman"/>
                <w:b/>
                <w:sz w:val="24"/>
                <w:szCs w:val="24"/>
                <w:lang w:val="en-US"/>
              </w:rPr>
              <w:t>P</w:t>
            </w:r>
          </w:p>
        </w:tc>
        <w:tc>
          <w:tcPr>
            <w:tcW w:w="636" w:type="dxa"/>
          </w:tcPr>
          <w:p w14:paraId="5CC1CDB7" w14:textId="77777777" w:rsidR="00A558C1" w:rsidRPr="00514B68" w:rsidRDefault="00E15EEA" w:rsidP="0006428E">
            <w:pPr>
              <w:spacing w:line="360" w:lineRule="auto"/>
              <w:jc w:val="center"/>
              <w:rPr>
                <w:rFonts w:ascii="Times New Roman" w:hAnsi="Times New Roman" w:cs="Times New Roman"/>
                <w:b/>
                <w:sz w:val="24"/>
                <w:szCs w:val="24"/>
                <w:lang w:val="en-US"/>
              </w:rPr>
            </w:pPr>
            <w:r w:rsidRPr="00514B68">
              <w:rPr>
                <w:rFonts w:ascii="Times New Roman" w:hAnsi="Times New Roman" w:cs="Times New Roman"/>
                <w:b/>
                <w:sz w:val="24"/>
                <w:szCs w:val="24"/>
                <w:lang w:val="en-US"/>
              </w:rPr>
              <w:t>RP</w:t>
            </w:r>
          </w:p>
        </w:tc>
        <w:tc>
          <w:tcPr>
            <w:tcW w:w="691" w:type="dxa"/>
          </w:tcPr>
          <w:p w14:paraId="11FDBDAD" w14:textId="77777777" w:rsidR="00A558C1" w:rsidRPr="00514B68" w:rsidRDefault="00A558C1" w:rsidP="0006428E">
            <w:pPr>
              <w:spacing w:line="360" w:lineRule="auto"/>
              <w:jc w:val="center"/>
              <w:rPr>
                <w:rFonts w:ascii="Times New Roman" w:hAnsi="Times New Roman" w:cs="Times New Roman"/>
                <w:b/>
                <w:sz w:val="24"/>
                <w:szCs w:val="24"/>
                <w:lang w:val="en-US"/>
              </w:rPr>
            </w:pPr>
            <w:r w:rsidRPr="00514B68">
              <w:rPr>
                <w:rFonts w:ascii="Times New Roman" w:hAnsi="Times New Roman" w:cs="Times New Roman"/>
                <w:b/>
                <w:sz w:val="24"/>
                <w:szCs w:val="24"/>
                <w:lang w:val="en-US"/>
              </w:rPr>
              <w:t>B</w:t>
            </w:r>
          </w:p>
        </w:tc>
        <w:tc>
          <w:tcPr>
            <w:tcW w:w="630" w:type="dxa"/>
          </w:tcPr>
          <w:p w14:paraId="4E62414E" w14:textId="77777777" w:rsidR="00A558C1" w:rsidRPr="00514B68" w:rsidRDefault="00A558C1" w:rsidP="0006428E">
            <w:pPr>
              <w:spacing w:line="360" w:lineRule="auto"/>
              <w:jc w:val="center"/>
              <w:rPr>
                <w:rFonts w:ascii="Times New Roman" w:hAnsi="Times New Roman" w:cs="Times New Roman"/>
                <w:b/>
                <w:sz w:val="24"/>
                <w:szCs w:val="24"/>
                <w:lang w:val="en-US"/>
              </w:rPr>
            </w:pPr>
            <w:r w:rsidRPr="00514B68">
              <w:rPr>
                <w:rFonts w:ascii="Times New Roman" w:hAnsi="Times New Roman" w:cs="Times New Roman"/>
                <w:b/>
                <w:sz w:val="24"/>
                <w:szCs w:val="24"/>
                <w:lang w:val="en-US"/>
              </w:rPr>
              <w:t>SE</w:t>
            </w:r>
          </w:p>
        </w:tc>
        <w:tc>
          <w:tcPr>
            <w:tcW w:w="540" w:type="dxa"/>
          </w:tcPr>
          <w:p w14:paraId="2A7034AA" w14:textId="77777777" w:rsidR="00A558C1" w:rsidRPr="00514B68" w:rsidRDefault="00A558C1" w:rsidP="0006428E">
            <w:pPr>
              <w:spacing w:line="360" w:lineRule="auto"/>
              <w:jc w:val="center"/>
              <w:rPr>
                <w:rFonts w:ascii="Times New Roman" w:hAnsi="Times New Roman" w:cs="Times New Roman"/>
                <w:b/>
                <w:sz w:val="24"/>
                <w:szCs w:val="24"/>
                <w:lang w:val="en-US"/>
              </w:rPr>
            </w:pPr>
            <w:r w:rsidRPr="00514B68">
              <w:rPr>
                <w:rFonts w:ascii="Times New Roman" w:hAnsi="Times New Roman" w:cs="Times New Roman"/>
                <w:b/>
                <w:sz w:val="24"/>
                <w:szCs w:val="24"/>
                <w:lang w:val="en-US"/>
              </w:rPr>
              <w:t>P</w:t>
            </w:r>
          </w:p>
        </w:tc>
        <w:tc>
          <w:tcPr>
            <w:tcW w:w="643" w:type="dxa"/>
          </w:tcPr>
          <w:p w14:paraId="2DA123BE" w14:textId="77777777" w:rsidR="00A558C1" w:rsidRPr="00514B68" w:rsidRDefault="00E15EEA" w:rsidP="0006428E">
            <w:pPr>
              <w:spacing w:line="360" w:lineRule="auto"/>
              <w:jc w:val="center"/>
              <w:rPr>
                <w:rFonts w:ascii="Times New Roman" w:hAnsi="Times New Roman" w:cs="Times New Roman"/>
                <w:b/>
                <w:sz w:val="24"/>
                <w:szCs w:val="24"/>
                <w:lang w:val="en-US"/>
              </w:rPr>
            </w:pPr>
            <w:r w:rsidRPr="00514B68">
              <w:rPr>
                <w:rFonts w:ascii="Times New Roman" w:hAnsi="Times New Roman" w:cs="Times New Roman"/>
                <w:b/>
                <w:sz w:val="24"/>
                <w:szCs w:val="24"/>
                <w:lang w:val="en-US"/>
              </w:rPr>
              <w:t>RP</w:t>
            </w:r>
          </w:p>
        </w:tc>
      </w:tr>
      <w:tr w:rsidR="00E15EEA" w:rsidRPr="0006428E" w14:paraId="6A1ECD52" w14:textId="77777777" w:rsidTr="00674F69">
        <w:trPr>
          <w:jc w:val="center"/>
        </w:trPr>
        <w:tc>
          <w:tcPr>
            <w:tcW w:w="1165" w:type="dxa"/>
          </w:tcPr>
          <w:p w14:paraId="00B88BFB" w14:textId="77777777" w:rsidR="00A558C1" w:rsidRPr="00514B68" w:rsidRDefault="003969BB" w:rsidP="0006428E">
            <w:pPr>
              <w:spacing w:line="360" w:lineRule="auto"/>
              <w:rPr>
                <w:rFonts w:ascii="Times New Roman" w:hAnsi="Times New Roman" w:cs="Times New Roman"/>
                <w:b/>
                <w:sz w:val="24"/>
                <w:szCs w:val="24"/>
                <w:lang w:val="en-US"/>
              </w:rPr>
            </w:pPr>
            <w:r w:rsidRPr="00514B68">
              <w:rPr>
                <w:rFonts w:ascii="Times New Roman" w:hAnsi="Times New Roman" w:cs="Times New Roman"/>
                <w:b/>
                <w:sz w:val="24"/>
                <w:szCs w:val="24"/>
              </w:rPr>
              <w:t>Cálculo</w:t>
            </w:r>
            <w:r w:rsidRPr="00514B68">
              <w:rPr>
                <w:rFonts w:ascii="Times New Roman" w:hAnsi="Times New Roman" w:cs="Times New Roman"/>
                <w:b/>
                <w:sz w:val="24"/>
                <w:szCs w:val="24"/>
                <w:lang w:val="en-US"/>
              </w:rPr>
              <w:t xml:space="preserve"> </w:t>
            </w:r>
          </w:p>
        </w:tc>
        <w:tc>
          <w:tcPr>
            <w:tcW w:w="721" w:type="dxa"/>
          </w:tcPr>
          <w:p w14:paraId="42DED3DB"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0.73</w:t>
            </w:r>
          </w:p>
        </w:tc>
        <w:tc>
          <w:tcPr>
            <w:tcW w:w="636" w:type="dxa"/>
          </w:tcPr>
          <w:p w14:paraId="797250D2"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0.21</w:t>
            </w:r>
          </w:p>
        </w:tc>
        <w:tc>
          <w:tcPr>
            <w:tcW w:w="576" w:type="dxa"/>
          </w:tcPr>
          <w:p w14:paraId="319392E8"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w:t>
            </w:r>
          </w:p>
        </w:tc>
        <w:tc>
          <w:tcPr>
            <w:tcW w:w="636" w:type="dxa"/>
          </w:tcPr>
          <w:p w14:paraId="0577A99F"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2.09</w:t>
            </w:r>
          </w:p>
        </w:tc>
        <w:tc>
          <w:tcPr>
            <w:tcW w:w="719" w:type="dxa"/>
          </w:tcPr>
          <w:p w14:paraId="5AB2FC59"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0.19</w:t>
            </w:r>
          </w:p>
        </w:tc>
        <w:tc>
          <w:tcPr>
            <w:tcW w:w="636" w:type="dxa"/>
          </w:tcPr>
          <w:p w14:paraId="1F87B607"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0.36</w:t>
            </w:r>
          </w:p>
        </w:tc>
        <w:tc>
          <w:tcPr>
            <w:tcW w:w="599" w:type="dxa"/>
          </w:tcPr>
          <w:p w14:paraId="345F0043"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NS</w:t>
            </w:r>
          </w:p>
        </w:tc>
        <w:tc>
          <w:tcPr>
            <w:tcW w:w="636" w:type="dxa"/>
          </w:tcPr>
          <w:p w14:paraId="3B99DC63"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1.21</w:t>
            </w:r>
          </w:p>
        </w:tc>
        <w:tc>
          <w:tcPr>
            <w:tcW w:w="691" w:type="dxa"/>
          </w:tcPr>
          <w:p w14:paraId="18A897D6"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0.45</w:t>
            </w:r>
          </w:p>
        </w:tc>
        <w:tc>
          <w:tcPr>
            <w:tcW w:w="630" w:type="dxa"/>
          </w:tcPr>
          <w:p w14:paraId="16D5A65D"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0.31</w:t>
            </w:r>
          </w:p>
        </w:tc>
        <w:tc>
          <w:tcPr>
            <w:tcW w:w="540" w:type="dxa"/>
          </w:tcPr>
          <w:p w14:paraId="1D5C0B6A"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NS</w:t>
            </w:r>
          </w:p>
        </w:tc>
        <w:tc>
          <w:tcPr>
            <w:tcW w:w="643" w:type="dxa"/>
          </w:tcPr>
          <w:p w14:paraId="6F2E9BE0"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1.56</w:t>
            </w:r>
          </w:p>
        </w:tc>
      </w:tr>
      <w:tr w:rsidR="00E15EEA" w:rsidRPr="0006428E" w14:paraId="7A4E35B6" w14:textId="77777777" w:rsidTr="00674F69">
        <w:trPr>
          <w:jc w:val="center"/>
        </w:trPr>
        <w:tc>
          <w:tcPr>
            <w:tcW w:w="1165" w:type="dxa"/>
          </w:tcPr>
          <w:p w14:paraId="3AB7A0D3" w14:textId="31CA8F67" w:rsidR="00A558C1" w:rsidRPr="00514B68" w:rsidRDefault="00B021A3" w:rsidP="0006428E">
            <w:pPr>
              <w:spacing w:line="360" w:lineRule="auto"/>
              <w:rPr>
                <w:rFonts w:ascii="Times New Roman" w:hAnsi="Times New Roman" w:cs="Times New Roman"/>
                <w:b/>
                <w:sz w:val="24"/>
                <w:szCs w:val="24"/>
                <w:lang w:val="en-US"/>
              </w:rPr>
            </w:pPr>
            <w:r w:rsidRPr="00514B68">
              <w:rPr>
                <w:rFonts w:ascii="Times New Roman" w:hAnsi="Times New Roman" w:cs="Times New Roman"/>
                <w:b/>
                <w:sz w:val="24"/>
                <w:szCs w:val="24"/>
              </w:rPr>
              <w:t>Género</w:t>
            </w:r>
          </w:p>
        </w:tc>
        <w:tc>
          <w:tcPr>
            <w:tcW w:w="721" w:type="dxa"/>
          </w:tcPr>
          <w:p w14:paraId="31A196EB"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1.19</w:t>
            </w:r>
          </w:p>
        </w:tc>
        <w:tc>
          <w:tcPr>
            <w:tcW w:w="636" w:type="dxa"/>
          </w:tcPr>
          <w:p w14:paraId="1F278E2A"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0.20</w:t>
            </w:r>
          </w:p>
        </w:tc>
        <w:tc>
          <w:tcPr>
            <w:tcW w:w="576" w:type="dxa"/>
          </w:tcPr>
          <w:p w14:paraId="4B859E19"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w:t>
            </w:r>
          </w:p>
        </w:tc>
        <w:tc>
          <w:tcPr>
            <w:tcW w:w="636" w:type="dxa"/>
          </w:tcPr>
          <w:p w14:paraId="600F11CD"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3.30</w:t>
            </w:r>
          </w:p>
        </w:tc>
        <w:tc>
          <w:tcPr>
            <w:tcW w:w="719" w:type="dxa"/>
          </w:tcPr>
          <w:p w14:paraId="3D2AD4D1"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1.53</w:t>
            </w:r>
          </w:p>
        </w:tc>
        <w:tc>
          <w:tcPr>
            <w:tcW w:w="636" w:type="dxa"/>
          </w:tcPr>
          <w:p w14:paraId="2F332C9F"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0.29</w:t>
            </w:r>
          </w:p>
        </w:tc>
        <w:tc>
          <w:tcPr>
            <w:tcW w:w="599" w:type="dxa"/>
          </w:tcPr>
          <w:p w14:paraId="5943894E"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w:t>
            </w:r>
          </w:p>
        </w:tc>
        <w:tc>
          <w:tcPr>
            <w:tcW w:w="636" w:type="dxa"/>
          </w:tcPr>
          <w:p w14:paraId="0EF7625C"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4.61</w:t>
            </w:r>
          </w:p>
        </w:tc>
        <w:tc>
          <w:tcPr>
            <w:tcW w:w="691" w:type="dxa"/>
          </w:tcPr>
          <w:p w14:paraId="438521EA"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0.70</w:t>
            </w:r>
          </w:p>
        </w:tc>
        <w:tc>
          <w:tcPr>
            <w:tcW w:w="630" w:type="dxa"/>
          </w:tcPr>
          <w:p w14:paraId="6572D437"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0.31</w:t>
            </w:r>
          </w:p>
        </w:tc>
        <w:tc>
          <w:tcPr>
            <w:tcW w:w="540" w:type="dxa"/>
          </w:tcPr>
          <w:p w14:paraId="01442364"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w:t>
            </w:r>
          </w:p>
        </w:tc>
        <w:tc>
          <w:tcPr>
            <w:tcW w:w="643" w:type="dxa"/>
          </w:tcPr>
          <w:p w14:paraId="2E0E6BE7"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2.03</w:t>
            </w:r>
          </w:p>
        </w:tc>
      </w:tr>
      <w:tr w:rsidR="00E15EEA" w:rsidRPr="0006428E" w14:paraId="5DEFB177" w14:textId="77777777" w:rsidTr="00674F69">
        <w:trPr>
          <w:jc w:val="center"/>
        </w:trPr>
        <w:tc>
          <w:tcPr>
            <w:tcW w:w="1165" w:type="dxa"/>
          </w:tcPr>
          <w:p w14:paraId="256F86AF" w14:textId="77777777" w:rsidR="00A558C1" w:rsidRPr="00514B68" w:rsidRDefault="003969BB" w:rsidP="0006428E">
            <w:pPr>
              <w:spacing w:line="360" w:lineRule="auto"/>
              <w:rPr>
                <w:rFonts w:ascii="Times New Roman" w:hAnsi="Times New Roman" w:cs="Times New Roman"/>
                <w:b/>
                <w:sz w:val="24"/>
                <w:szCs w:val="24"/>
                <w:lang w:val="en-US"/>
              </w:rPr>
            </w:pPr>
            <w:r w:rsidRPr="00514B68">
              <w:rPr>
                <w:rFonts w:ascii="Times New Roman" w:hAnsi="Times New Roman" w:cs="Times New Roman"/>
                <w:b/>
                <w:sz w:val="24"/>
                <w:szCs w:val="24"/>
                <w:lang w:val="en-US"/>
              </w:rPr>
              <w:t>C</w:t>
            </w:r>
            <w:r w:rsidR="00A558C1" w:rsidRPr="00514B68">
              <w:rPr>
                <w:rFonts w:ascii="Times New Roman" w:hAnsi="Times New Roman" w:cs="Times New Roman"/>
                <w:b/>
                <w:sz w:val="24"/>
                <w:szCs w:val="24"/>
                <w:lang w:val="en-US"/>
              </w:rPr>
              <w:t>MPT</w:t>
            </w:r>
          </w:p>
        </w:tc>
        <w:tc>
          <w:tcPr>
            <w:tcW w:w="721" w:type="dxa"/>
          </w:tcPr>
          <w:p w14:paraId="428EB7AC"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0.05</w:t>
            </w:r>
          </w:p>
        </w:tc>
        <w:tc>
          <w:tcPr>
            <w:tcW w:w="636" w:type="dxa"/>
          </w:tcPr>
          <w:p w14:paraId="782921FD"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0.01</w:t>
            </w:r>
          </w:p>
        </w:tc>
        <w:tc>
          <w:tcPr>
            <w:tcW w:w="576" w:type="dxa"/>
          </w:tcPr>
          <w:p w14:paraId="5D09E550"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w:t>
            </w:r>
          </w:p>
        </w:tc>
        <w:tc>
          <w:tcPr>
            <w:tcW w:w="636" w:type="dxa"/>
          </w:tcPr>
          <w:p w14:paraId="5FAF1862"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1.05</w:t>
            </w:r>
          </w:p>
        </w:tc>
        <w:tc>
          <w:tcPr>
            <w:tcW w:w="719" w:type="dxa"/>
          </w:tcPr>
          <w:p w14:paraId="5B475E23"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0.01</w:t>
            </w:r>
          </w:p>
        </w:tc>
        <w:tc>
          <w:tcPr>
            <w:tcW w:w="636" w:type="dxa"/>
          </w:tcPr>
          <w:p w14:paraId="5BF34C30"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0.01</w:t>
            </w:r>
          </w:p>
        </w:tc>
        <w:tc>
          <w:tcPr>
            <w:tcW w:w="599" w:type="dxa"/>
          </w:tcPr>
          <w:p w14:paraId="1FBEC7B9"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NS</w:t>
            </w:r>
          </w:p>
        </w:tc>
        <w:tc>
          <w:tcPr>
            <w:tcW w:w="636" w:type="dxa"/>
          </w:tcPr>
          <w:p w14:paraId="7500C877"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1.01</w:t>
            </w:r>
          </w:p>
        </w:tc>
        <w:tc>
          <w:tcPr>
            <w:tcW w:w="691" w:type="dxa"/>
          </w:tcPr>
          <w:p w14:paraId="3A176947"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0.04</w:t>
            </w:r>
          </w:p>
        </w:tc>
        <w:tc>
          <w:tcPr>
            <w:tcW w:w="630" w:type="dxa"/>
          </w:tcPr>
          <w:p w14:paraId="2F2E9FF0"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0.01</w:t>
            </w:r>
          </w:p>
        </w:tc>
        <w:tc>
          <w:tcPr>
            <w:tcW w:w="540" w:type="dxa"/>
          </w:tcPr>
          <w:p w14:paraId="2ABA772E"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w:t>
            </w:r>
          </w:p>
        </w:tc>
        <w:tc>
          <w:tcPr>
            <w:tcW w:w="643" w:type="dxa"/>
          </w:tcPr>
          <w:p w14:paraId="4E7AF401"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1.04</w:t>
            </w:r>
          </w:p>
        </w:tc>
      </w:tr>
      <w:tr w:rsidR="00E15EEA" w:rsidRPr="0006428E" w14:paraId="4A00981D" w14:textId="77777777" w:rsidTr="00674F69">
        <w:trPr>
          <w:jc w:val="center"/>
        </w:trPr>
        <w:tc>
          <w:tcPr>
            <w:tcW w:w="1165" w:type="dxa"/>
          </w:tcPr>
          <w:p w14:paraId="4F77F9AC" w14:textId="77777777" w:rsidR="00A558C1" w:rsidRPr="00514B68" w:rsidRDefault="003969BB" w:rsidP="0006428E">
            <w:pPr>
              <w:spacing w:line="360" w:lineRule="auto"/>
              <w:rPr>
                <w:rFonts w:ascii="Times New Roman" w:hAnsi="Times New Roman" w:cs="Times New Roman"/>
                <w:b/>
                <w:sz w:val="24"/>
                <w:szCs w:val="24"/>
                <w:lang w:val="en-US"/>
              </w:rPr>
            </w:pPr>
            <w:r w:rsidRPr="00514B68">
              <w:rPr>
                <w:rFonts w:ascii="Times New Roman" w:hAnsi="Times New Roman" w:cs="Times New Roman"/>
                <w:b/>
                <w:sz w:val="24"/>
                <w:szCs w:val="24"/>
              </w:rPr>
              <w:t>Biología</w:t>
            </w:r>
          </w:p>
        </w:tc>
        <w:tc>
          <w:tcPr>
            <w:tcW w:w="721" w:type="dxa"/>
          </w:tcPr>
          <w:p w14:paraId="48B21459"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-0.53</w:t>
            </w:r>
          </w:p>
        </w:tc>
        <w:tc>
          <w:tcPr>
            <w:tcW w:w="636" w:type="dxa"/>
          </w:tcPr>
          <w:p w14:paraId="72C38481"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0.22</w:t>
            </w:r>
          </w:p>
        </w:tc>
        <w:tc>
          <w:tcPr>
            <w:tcW w:w="576" w:type="dxa"/>
          </w:tcPr>
          <w:p w14:paraId="51BF3176"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w:t>
            </w:r>
          </w:p>
        </w:tc>
        <w:tc>
          <w:tcPr>
            <w:tcW w:w="636" w:type="dxa"/>
          </w:tcPr>
          <w:p w14:paraId="2ED96B96"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0.58</w:t>
            </w:r>
          </w:p>
        </w:tc>
        <w:tc>
          <w:tcPr>
            <w:tcW w:w="719" w:type="dxa"/>
          </w:tcPr>
          <w:p w14:paraId="66012CA9"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-0.56</w:t>
            </w:r>
          </w:p>
        </w:tc>
        <w:tc>
          <w:tcPr>
            <w:tcW w:w="636" w:type="dxa"/>
          </w:tcPr>
          <w:p w14:paraId="561B410F"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0.33</w:t>
            </w:r>
          </w:p>
        </w:tc>
        <w:tc>
          <w:tcPr>
            <w:tcW w:w="599" w:type="dxa"/>
          </w:tcPr>
          <w:p w14:paraId="6E9BCB57"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NS</w:t>
            </w:r>
          </w:p>
        </w:tc>
        <w:tc>
          <w:tcPr>
            <w:tcW w:w="636" w:type="dxa"/>
          </w:tcPr>
          <w:p w14:paraId="69D4C236"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0.56</w:t>
            </w:r>
          </w:p>
        </w:tc>
        <w:tc>
          <w:tcPr>
            <w:tcW w:w="691" w:type="dxa"/>
          </w:tcPr>
          <w:p w14:paraId="222B8A54"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-0.54</w:t>
            </w:r>
          </w:p>
        </w:tc>
        <w:tc>
          <w:tcPr>
            <w:tcW w:w="630" w:type="dxa"/>
          </w:tcPr>
          <w:p w14:paraId="7B6683E4"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0.34</w:t>
            </w:r>
          </w:p>
        </w:tc>
        <w:tc>
          <w:tcPr>
            <w:tcW w:w="540" w:type="dxa"/>
          </w:tcPr>
          <w:p w14:paraId="26DEB7B1"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NS</w:t>
            </w:r>
          </w:p>
        </w:tc>
        <w:tc>
          <w:tcPr>
            <w:tcW w:w="643" w:type="dxa"/>
          </w:tcPr>
          <w:p w14:paraId="4939D080"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0.57</w:t>
            </w:r>
          </w:p>
        </w:tc>
      </w:tr>
      <w:tr w:rsidR="00E15EEA" w:rsidRPr="0006428E" w14:paraId="251246F9" w14:textId="77777777" w:rsidTr="00674F69">
        <w:trPr>
          <w:trHeight w:val="193"/>
          <w:jc w:val="center"/>
        </w:trPr>
        <w:tc>
          <w:tcPr>
            <w:tcW w:w="1165" w:type="dxa"/>
          </w:tcPr>
          <w:p w14:paraId="13D873AB" w14:textId="77777777" w:rsidR="00A558C1" w:rsidRPr="00514B68" w:rsidRDefault="00A558C1" w:rsidP="00674F69">
            <w:pPr>
              <w:rPr>
                <w:rFonts w:ascii="Times New Roman" w:hAnsi="Times New Roman" w:cs="Times New Roman"/>
                <w:b/>
                <w:sz w:val="24"/>
                <w:szCs w:val="24"/>
                <w:lang w:val="en-US"/>
              </w:rPr>
            </w:pPr>
            <w:r w:rsidRPr="00514B68">
              <w:rPr>
                <w:rFonts w:ascii="Times New Roman" w:hAnsi="Times New Roman" w:cs="Times New Roman"/>
                <w:b/>
                <w:sz w:val="24"/>
                <w:szCs w:val="24"/>
              </w:rPr>
              <w:t>Ot</w:t>
            </w:r>
            <w:r w:rsidR="003969BB" w:rsidRPr="00514B68">
              <w:rPr>
                <w:rFonts w:ascii="Times New Roman" w:hAnsi="Times New Roman" w:cs="Times New Roman"/>
                <w:b/>
                <w:sz w:val="24"/>
                <w:szCs w:val="24"/>
              </w:rPr>
              <w:t>ras</w:t>
            </w:r>
            <w:r w:rsidR="003969BB" w:rsidRPr="00514B68">
              <w:rPr>
                <w:rFonts w:ascii="Times New Roman" w:hAnsi="Times New Roman" w:cs="Times New Roman"/>
                <w:b/>
                <w:sz w:val="24"/>
                <w:szCs w:val="24"/>
                <w:lang w:val="en-US"/>
              </w:rPr>
              <w:t xml:space="preserve"> </w:t>
            </w:r>
            <w:r w:rsidR="003969BB" w:rsidRPr="00514B68">
              <w:rPr>
                <w:rFonts w:ascii="Times New Roman" w:hAnsi="Times New Roman" w:cs="Times New Roman"/>
                <w:b/>
                <w:sz w:val="24"/>
                <w:szCs w:val="24"/>
              </w:rPr>
              <w:t>ciencias</w:t>
            </w:r>
          </w:p>
        </w:tc>
        <w:tc>
          <w:tcPr>
            <w:tcW w:w="721" w:type="dxa"/>
          </w:tcPr>
          <w:p w14:paraId="71DA2682"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-0.59</w:t>
            </w:r>
          </w:p>
        </w:tc>
        <w:tc>
          <w:tcPr>
            <w:tcW w:w="636" w:type="dxa"/>
          </w:tcPr>
          <w:p w14:paraId="59043CB1"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0.23</w:t>
            </w:r>
          </w:p>
        </w:tc>
        <w:tc>
          <w:tcPr>
            <w:tcW w:w="576" w:type="dxa"/>
          </w:tcPr>
          <w:p w14:paraId="129928B2"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w:t>
            </w:r>
          </w:p>
        </w:tc>
        <w:tc>
          <w:tcPr>
            <w:tcW w:w="636" w:type="dxa"/>
          </w:tcPr>
          <w:p w14:paraId="18BAF8B4"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0.55</w:t>
            </w:r>
          </w:p>
        </w:tc>
        <w:tc>
          <w:tcPr>
            <w:tcW w:w="719" w:type="dxa"/>
          </w:tcPr>
          <w:p w14:paraId="57E3C22B"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-0.29</w:t>
            </w:r>
          </w:p>
        </w:tc>
        <w:tc>
          <w:tcPr>
            <w:tcW w:w="636" w:type="dxa"/>
          </w:tcPr>
          <w:p w14:paraId="579CCEFA"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0.31</w:t>
            </w:r>
          </w:p>
        </w:tc>
        <w:tc>
          <w:tcPr>
            <w:tcW w:w="599" w:type="dxa"/>
          </w:tcPr>
          <w:p w14:paraId="35BD211E"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NS</w:t>
            </w:r>
          </w:p>
        </w:tc>
        <w:tc>
          <w:tcPr>
            <w:tcW w:w="636" w:type="dxa"/>
          </w:tcPr>
          <w:p w14:paraId="33AC3CA3"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0.74</w:t>
            </w:r>
          </w:p>
        </w:tc>
        <w:tc>
          <w:tcPr>
            <w:tcW w:w="691" w:type="dxa"/>
          </w:tcPr>
          <w:p w14:paraId="719F10A7"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-0.59</w:t>
            </w:r>
          </w:p>
        </w:tc>
        <w:tc>
          <w:tcPr>
            <w:tcW w:w="630" w:type="dxa"/>
          </w:tcPr>
          <w:p w14:paraId="7E4ED5E5"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0.42</w:t>
            </w:r>
          </w:p>
        </w:tc>
        <w:tc>
          <w:tcPr>
            <w:tcW w:w="540" w:type="dxa"/>
          </w:tcPr>
          <w:p w14:paraId="31709C84"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NS</w:t>
            </w:r>
          </w:p>
        </w:tc>
        <w:tc>
          <w:tcPr>
            <w:tcW w:w="643" w:type="dxa"/>
          </w:tcPr>
          <w:p w14:paraId="48314433" w14:textId="77777777" w:rsidR="00A558C1" w:rsidRPr="00674F69" w:rsidRDefault="00A558C1"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0.55</w:t>
            </w:r>
          </w:p>
        </w:tc>
      </w:tr>
    </w:tbl>
    <w:p w14:paraId="40133E9C" w14:textId="7FF91933" w:rsidR="0005775B" w:rsidRPr="00514B68" w:rsidRDefault="00A558C1" w:rsidP="0006428E">
      <w:pPr>
        <w:spacing w:after="0" w:line="360" w:lineRule="auto"/>
        <w:rPr>
          <w:rFonts w:ascii="Times New Roman" w:hAnsi="Times New Roman" w:cs="Times New Roman"/>
          <w:sz w:val="20"/>
          <w:szCs w:val="24"/>
        </w:rPr>
      </w:pPr>
      <w:r w:rsidRPr="00514B68">
        <w:rPr>
          <w:rFonts w:ascii="Times New Roman" w:hAnsi="Times New Roman" w:cs="Times New Roman"/>
          <w:sz w:val="20"/>
          <w:szCs w:val="24"/>
        </w:rPr>
        <w:t xml:space="preserve">***: </w:t>
      </w:r>
      <w:r w:rsidR="00E15EEA" w:rsidRPr="00514B68">
        <w:rPr>
          <w:rFonts w:ascii="Times New Roman" w:hAnsi="Times New Roman" w:cs="Times New Roman"/>
          <w:sz w:val="20"/>
          <w:szCs w:val="24"/>
        </w:rPr>
        <w:t>P</w:t>
      </w:r>
      <w:r w:rsidRPr="00514B68">
        <w:rPr>
          <w:rFonts w:ascii="Times New Roman" w:hAnsi="Times New Roman" w:cs="Times New Roman"/>
          <w:sz w:val="20"/>
          <w:szCs w:val="24"/>
        </w:rPr>
        <w:t xml:space="preserve"> &lt; </w:t>
      </w:r>
      <w:r w:rsidR="00403EA4" w:rsidRPr="00514B68">
        <w:rPr>
          <w:rFonts w:ascii="Times New Roman" w:hAnsi="Times New Roman" w:cs="Times New Roman"/>
          <w:sz w:val="20"/>
          <w:szCs w:val="24"/>
        </w:rPr>
        <w:t>0</w:t>
      </w:r>
      <w:r w:rsidRPr="00514B68">
        <w:rPr>
          <w:rFonts w:ascii="Times New Roman" w:hAnsi="Times New Roman" w:cs="Times New Roman"/>
          <w:sz w:val="20"/>
          <w:szCs w:val="24"/>
        </w:rPr>
        <w:t>.</w:t>
      </w:r>
      <w:r w:rsidR="00E15EEA" w:rsidRPr="00514B68">
        <w:rPr>
          <w:rFonts w:ascii="Times New Roman" w:hAnsi="Times New Roman" w:cs="Times New Roman"/>
          <w:sz w:val="20"/>
          <w:szCs w:val="24"/>
        </w:rPr>
        <w:t xml:space="preserve">001; </w:t>
      </w:r>
      <w:r w:rsidRPr="00514B68">
        <w:rPr>
          <w:rFonts w:ascii="Times New Roman" w:hAnsi="Times New Roman" w:cs="Times New Roman"/>
          <w:sz w:val="20"/>
          <w:szCs w:val="24"/>
        </w:rPr>
        <w:t xml:space="preserve">**: </w:t>
      </w:r>
      <w:r w:rsidR="00E15EEA" w:rsidRPr="00514B68">
        <w:rPr>
          <w:rFonts w:ascii="Times New Roman" w:hAnsi="Times New Roman" w:cs="Times New Roman"/>
          <w:sz w:val="20"/>
          <w:szCs w:val="24"/>
        </w:rPr>
        <w:t>P</w:t>
      </w:r>
      <w:r w:rsidRPr="00514B68">
        <w:rPr>
          <w:rFonts w:ascii="Times New Roman" w:hAnsi="Times New Roman" w:cs="Times New Roman"/>
          <w:sz w:val="20"/>
          <w:szCs w:val="24"/>
        </w:rPr>
        <w:t xml:space="preserve"> &lt; </w:t>
      </w:r>
      <w:r w:rsidR="00403EA4" w:rsidRPr="00514B68">
        <w:rPr>
          <w:rFonts w:ascii="Times New Roman" w:hAnsi="Times New Roman" w:cs="Times New Roman"/>
          <w:sz w:val="20"/>
          <w:szCs w:val="24"/>
        </w:rPr>
        <w:t>0</w:t>
      </w:r>
      <w:r w:rsidRPr="00514B68">
        <w:rPr>
          <w:rFonts w:ascii="Times New Roman" w:hAnsi="Times New Roman" w:cs="Times New Roman"/>
          <w:sz w:val="20"/>
          <w:szCs w:val="24"/>
        </w:rPr>
        <w:t xml:space="preserve">.01; *: </w:t>
      </w:r>
      <w:r w:rsidR="00E15EEA" w:rsidRPr="00514B68">
        <w:rPr>
          <w:rFonts w:ascii="Times New Roman" w:hAnsi="Times New Roman" w:cs="Times New Roman"/>
          <w:sz w:val="20"/>
          <w:szCs w:val="24"/>
        </w:rPr>
        <w:t>P</w:t>
      </w:r>
      <w:r w:rsidRPr="00514B68">
        <w:rPr>
          <w:rFonts w:ascii="Times New Roman" w:hAnsi="Times New Roman" w:cs="Times New Roman"/>
          <w:sz w:val="20"/>
          <w:szCs w:val="24"/>
        </w:rPr>
        <w:t xml:space="preserve"> &lt; </w:t>
      </w:r>
      <w:r w:rsidR="00403EA4" w:rsidRPr="00514B68">
        <w:rPr>
          <w:rFonts w:ascii="Times New Roman" w:hAnsi="Times New Roman" w:cs="Times New Roman"/>
          <w:sz w:val="20"/>
          <w:szCs w:val="24"/>
        </w:rPr>
        <w:t>0.</w:t>
      </w:r>
      <w:r w:rsidRPr="00514B68">
        <w:rPr>
          <w:rFonts w:ascii="Times New Roman" w:hAnsi="Times New Roman" w:cs="Times New Roman"/>
          <w:sz w:val="20"/>
          <w:szCs w:val="24"/>
        </w:rPr>
        <w:t xml:space="preserve">05; NS: No </w:t>
      </w:r>
      <w:r w:rsidR="0006428E">
        <w:rPr>
          <w:rFonts w:ascii="Times New Roman" w:hAnsi="Times New Roman" w:cs="Times New Roman"/>
          <w:sz w:val="20"/>
          <w:szCs w:val="24"/>
        </w:rPr>
        <w:t>s</w:t>
      </w:r>
      <w:r w:rsidRPr="00514B68">
        <w:rPr>
          <w:rFonts w:ascii="Times New Roman" w:hAnsi="Times New Roman" w:cs="Times New Roman"/>
          <w:sz w:val="20"/>
          <w:szCs w:val="24"/>
        </w:rPr>
        <w:t>ignifica</w:t>
      </w:r>
      <w:r w:rsidR="00E15EEA" w:rsidRPr="00514B68">
        <w:rPr>
          <w:rFonts w:ascii="Times New Roman" w:hAnsi="Times New Roman" w:cs="Times New Roman"/>
          <w:sz w:val="20"/>
          <w:szCs w:val="24"/>
        </w:rPr>
        <w:t>tivo;</w:t>
      </w:r>
      <w:r w:rsidR="0006428E" w:rsidRPr="0006428E" w:rsidDel="0006428E">
        <w:rPr>
          <w:rFonts w:ascii="Times New Roman" w:hAnsi="Times New Roman" w:cs="Times New Roman"/>
          <w:sz w:val="20"/>
          <w:szCs w:val="24"/>
        </w:rPr>
        <w:t xml:space="preserve"> </w:t>
      </w:r>
      <w:r w:rsidR="00E15EEA" w:rsidRPr="00514B68">
        <w:rPr>
          <w:rFonts w:ascii="Times New Roman" w:hAnsi="Times New Roman" w:cs="Times New Roman"/>
          <w:sz w:val="20"/>
          <w:szCs w:val="24"/>
        </w:rPr>
        <w:t xml:space="preserve">RP: Radio de </w:t>
      </w:r>
      <w:r w:rsidR="0006428E">
        <w:rPr>
          <w:rFonts w:ascii="Times New Roman" w:hAnsi="Times New Roman" w:cs="Times New Roman"/>
          <w:sz w:val="20"/>
          <w:szCs w:val="24"/>
        </w:rPr>
        <w:t>p</w:t>
      </w:r>
      <w:r w:rsidR="0006428E" w:rsidRPr="00514B68">
        <w:rPr>
          <w:rFonts w:ascii="Times New Roman" w:hAnsi="Times New Roman" w:cs="Times New Roman"/>
          <w:sz w:val="20"/>
          <w:szCs w:val="24"/>
        </w:rPr>
        <w:t>robabilidad</w:t>
      </w:r>
      <w:r w:rsidR="0005775B" w:rsidRPr="00514B68">
        <w:rPr>
          <w:rFonts w:ascii="Times New Roman" w:hAnsi="Times New Roman" w:cs="Times New Roman"/>
          <w:sz w:val="20"/>
          <w:szCs w:val="24"/>
        </w:rPr>
        <w:t>.</w:t>
      </w:r>
    </w:p>
    <w:p w14:paraId="664BC383" w14:textId="1248B071" w:rsidR="00A424AB" w:rsidRPr="00514B68" w:rsidRDefault="00A424AB" w:rsidP="00514B68">
      <w:pPr>
        <w:spacing w:after="0" w:line="360" w:lineRule="auto"/>
        <w:jc w:val="center"/>
        <w:rPr>
          <w:rFonts w:ascii="Times New Roman" w:hAnsi="Times New Roman" w:cs="Times New Roman"/>
          <w:sz w:val="24"/>
          <w:szCs w:val="24"/>
        </w:rPr>
      </w:pPr>
      <w:r w:rsidRPr="00514B68">
        <w:rPr>
          <w:rFonts w:ascii="Times New Roman" w:hAnsi="Times New Roman" w:cs="Times New Roman"/>
          <w:sz w:val="24"/>
          <w:szCs w:val="24"/>
        </w:rPr>
        <w:t>Fuente: Elaboración propia</w:t>
      </w:r>
    </w:p>
    <w:p w14:paraId="74087380" w14:textId="77777777" w:rsidR="0006428E" w:rsidRDefault="0006428E" w:rsidP="0006428E">
      <w:pPr>
        <w:spacing w:after="0" w:line="360" w:lineRule="auto"/>
        <w:ind w:firstLine="708"/>
        <w:jc w:val="both"/>
        <w:rPr>
          <w:rFonts w:ascii="Times New Roman" w:hAnsi="Times New Roman" w:cs="Times New Roman"/>
          <w:sz w:val="24"/>
          <w:szCs w:val="24"/>
        </w:rPr>
      </w:pPr>
    </w:p>
    <w:p w14:paraId="3D55CF33" w14:textId="7F90B905" w:rsidR="008509A6" w:rsidRDefault="0001081D" w:rsidP="00514B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Aunque no hubo otra variable</w:t>
      </w:r>
      <w:r w:rsidR="00A72F35">
        <w:rPr>
          <w:rFonts w:ascii="Times New Roman" w:hAnsi="Times New Roman" w:cs="Times New Roman"/>
          <w:sz w:val="24"/>
          <w:szCs w:val="24"/>
        </w:rPr>
        <w:t xml:space="preserve">, además del </w:t>
      </w:r>
      <w:r w:rsidR="00B021A3">
        <w:rPr>
          <w:rFonts w:ascii="Times New Roman" w:hAnsi="Times New Roman" w:cs="Times New Roman"/>
          <w:sz w:val="24"/>
          <w:szCs w:val="24"/>
        </w:rPr>
        <w:t>género</w:t>
      </w:r>
      <w:r w:rsidR="00A72F35">
        <w:rPr>
          <w:rFonts w:ascii="Times New Roman" w:hAnsi="Times New Roman" w:cs="Times New Roman"/>
          <w:sz w:val="24"/>
          <w:szCs w:val="24"/>
        </w:rPr>
        <w:t>,</w:t>
      </w:r>
      <w:r>
        <w:rPr>
          <w:rFonts w:ascii="Times New Roman" w:hAnsi="Times New Roman" w:cs="Times New Roman"/>
          <w:sz w:val="24"/>
          <w:szCs w:val="24"/>
        </w:rPr>
        <w:t xml:space="preserve"> que fuera significativa para seleccionar </w:t>
      </w:r>
      <w:r w:rsidR="00A7097F">
        <w:rPr>
          <w:rFonts w:ascii="Times New Roman" w:hAnsi="Times New Roman" w:cs="Times New Roman"/>
          <w:sz w:val="24"/>
          <w:szCs w:val="24"/>
        </w:rPr>
        <w:t xml:space="preserve">una </w:t>
      </w:r>
      <w:r>
        <w:rPr>
          <w:rFonts w:ascii="Times New Roman" w:hAnsi="Times New Roman" w:cs="Times New Roman"/>
          <w:sz w:val="24"/>
          <w:szCs w:val="24"/>
        </w:rPr>
        <w:t xml:space="preserve">ingeniería </w:t>
      </w:r>
      <w:r w:rsidR="00A72F35">
        <w:rPr>
          <w:rFonts w:ascii="Times New Roman" w:hAnsi="Times New Roman" w:cs="Times New Roman"/>
          <w:sz w:val="24"/>
          <w:szCs w:val="24"/>
        </w:rPr>
        <w:t>en todos los grupos analizados con la regresión logística binomial</w:t>
      </w:r>
      <w:r>
        <w:rPr>
          <w:rFonts w:ascii="Times New Roman" w:hAnsi="Times New Roman" w:cs="Times New Roman"/>
          <w:sz w:val="24"/>
          <w:szCs w:val="24"/>
        </w:rPr>
        <w:t>, el análisis de todos los participantes mostr</w:t>
      </w:r>
      <w:r w:rsidR="00601428">
        <w:rPr>
          <w:rFonts w:ascii="Times New Roman" w:hAnsi="Times New Roman" w:cs="Times New Roman"/>
          <w:sz w:val="24"/>
          <w:szCs w:val="24"/>
        </w:rPr>
        <w:t>ó</w:t>
      </w:r>
      <w:r>
        <w:rPr>
          <w:rFonts w:ascii="Times New Roman" w:hAnsi="Times New Roman" w:cs="Times New Roman"/>
          <w:sz w:val="24"/>
          <w:szCs w:val="24"/>
        </w:rPr>
        <w:t xml:space="preserve"> que tener una calificación alta en el CMPT y haber tomado un curso de cálculo en la preparatoria era</w:t>
      </w:r>
      <w:r w:rsidR="00E20AE5">
        <w:rPr>
          <w:rFonts w:ascii="Times New Roman" w:hAnsi="Times New Roman" w:cs="Times New Roman"/>
          <w:sz w:val="24"/>
          <w:szCs w:val="24"/>
        </w:rPr>
        <w:t>n</w:t>
      </w:r>
      <w:r>
        <w:rPr>
          <w:rFonts w:ascii="Times New Roman" w:hAnsi="Times New Roman" w:cs="Times New Roman"/>
          <w:sz w:val="24"/>
          <w:szCs w:val="24"/>
        </w:rPr>
        <w:t xml:space="preserve"> factores significativos </w:t>
      </w:r>
      <w:r w:rsidR="008509A6">
        <w:rPr>
          <w:rFonts w:ascii="Times New Roman" w:hAnsi="Times New Roman" w:cs="Times New Roman"/>
          <w:sz w:val="24"/>
          <w:szCs w:val="24"/>
        </w:rPr>
        <w:t xml:space="preserve">(ver </w:t>
      </w:r>
      <w:r w:rsidR="003C2A90">
        <w:rPr>
          <w:rFonts w:ascii="Times New Roman" w:hAnsi="Times New Roman" w:cs="Times New Roman"/>
          <w:sz w:val="24"/>
          <w:szCs w:val="24"/>
        </w:rPr>
        <w:t xml:space="preserve">tabla </w:t>
      </w:r>
      <w:r w:rsidR="008509A6">
        <w:rPr>
          <w:rFonts w:ascii="Times New Roman" w:hAnsi="Times New Roman" w:cs="Times New Roman"/>
          <w:sz w:val="24"/>
          <w:szCs w:val="24"/>
        </w:rPr>
        <w:t>2)</w:t>
      </w:r>
      <w:r>
        <w:rPr>
          <w:rFonts w:ascii="Times New Roman" w:hAnsi="Times New Roman" w:cs="Times New Roman"/>
          <w:sz w:val="24"/>
          <w:szCs w:val="24"/>
        </w:rPr>
        <w:t>.</w:t>
      </w:r>
      <w:r w:rsidR="00A72F35">
        <w:rPr>
          <w:rFonts w:ascii="Times New Roman" w:hAnsi="Times New Roman" w:cs="Times New Roman"/>
          <w:sz w:val="24"/>
          <w:szCs w:val="24"/>
        </w:rPr>
        <w:t xml:space="preserve"> Estos resultados sugieren que</w:t>
      </w:r>
      <w:r w:rsidR="00601428">
        <w:rPr>
          <w:rFonts w:ascii="Times New Roman" w:hAnsi="Times New Roman" w:cs="Times New Roman"/>
          <w:sz w:val="24"/>
          <w:szCs w:val="24"/>
        </w:rPr>
        <w:t>, en general,</w:t>
      </w:r>
      <w:r w:rsidR="00A72F35">
        <w:rPr>
          <w:rFonts w:ascii="Times New Roman" w:hAnsi="Times New Roman" w:cs="Times New Roman"/>
          <w:sz w:val="24"/>
          <w:szCs w:val="24"/>
        </w:rPr>
        <w:t xml:space="preserve"> la preparación matemática de los estudiantes es un factor determinante en la selección de</w:t>
      </w:r>
      <w:r w:rsidR="003C2A90">
        <w:rPr>
          <w:rFonts w:ascii="Times New Roman" w:hAnsi="Times New Roman" w:cs="Times New Roman"/>
          <w:sz w:val="24"/>
          <w:szCs w:val="24"/>
        </w:rPr>
        <w:t xml:space="preserve"> </w:t>
      </w:r>
      <w:r w:rsidR="00907362">
        <w:rPr>
          <w:rFonts w:ascii="Times New Roman" w:hAnsi="Times New Roman" w:cs="Times New Roman"/>
          <w:sz w:val="24"/>
          <w:szCs w:val="24"/>
        </w:rPr>
        <w:t>un programa universi</w:t>
      </w:r>
      <w:r w:rsidR="00DE4E8F">
        <w:rPr>
          <w:rFonts w:ascii="Times New Roman" w:hAnsi="Times New Roman" w:cs="Times New Roman"/>
          <w:sz w:val="24"/>
          <w:szCs w:val="24"/>
        </w:rPr>
        <w:t xml:space="preserve">tario </w:t>
      </w:r>
      <w:r w:rsidR="00041734">
        <w:rPr>
          <w:rFonts w:ascii="Times New Roman" w:hAnsi="Times New Roman" w:cs="Times New Roman"/>
          <w:sz w:val="24"/>
          <w:szCs w:val="24"/>
        </w:rPr>
        <w:t>de la rama en cuestión</w:t>
      </w:r>
      <w:r w:rsidR="00601428">
        <w:rPr>
          <w:rFonts w:ascii="Times New Roman" w:hAnsi="Times New Roman" w:cs="Times New Roman"/>
          <w:sz w:val="24"/>
          <w:szCs w:val="24"/>
        </w:rPr>
        <w:t>. Además</w:t>
      </w:r>
      <w:r w:rsidR="00F27A40">
        <w:rPr>
          <w:rFonts w:ascii="Times New Roman" w:hAnsi="Times New Roman" w:cs="Times New Roman"/>
          <w:sz w:val="24"/>
          <w:szCs w:val="24"/>
        </w:rPr>
        <w:t>,</w:t>
      </w:r>
      <w:r w:rsidR="00601428">
        <w:rPr>
          <w:rFonts w:ascii="Times New Roman" w:hAnsi="Times New Roman" w:cs="Times New Roman"/>
          <w:sz w:val="24"/>
          <w:szCs w:val="24"/>
        </w:rPr>
        <w:t xml:space="preserve"> </w:t>
      </w:r>
      <w:r w:rsidR="00DA5B1C">
        <w:rPr>
          <w:rFonts w:ascii="Times New Roman" w:hAnsi="Times New Roman" w:cs="Times New Roman"/>
          <w:sz w:val="24"/>
          <w:szCs w:val="24"/>
        </w:rPr>
        <w:t>la calificación del CMP</w:t>
      </w:r>
      <w:r w:rsidR="00F27A40">
        <w:rPr>
          <w:rFonts w:ascii="Times New Roman" w:hAnsi="Times New Roman" w:cs="Times New Roman"/>
          <w:sz w:val="24"/>
          <w:szCs w:val="24"/>
        </w:rPr>
        <w:t xml:space="preserve">T también demostró ser un factor significativo en el grupo de habilidades matemáticas altas, </w:t>
      </w:r>
      <w:r w:rsidR="00041734">
        <w:rPr>
          <w:rFonts w:ascii="Times New Roman" w:hAnsi="Times New Roman" w:cs="Times New Roman"/>
          <w:sz w:val="24"/>
          <w:szCs w:val="24"/>
        </w:rPr>
        <w:t xml:space="preserve">lo que demuestra </w:t>
      </w:r>
      <w:r w:rsidR="00F27A40">
        <w:rPr>
          <w:rFonts w:ascii="Times New Roman" w:hAnsi="Times New Roman" w:cs="Times New Roman"/>
          <w:sz w:val="24"/>
          <w:szCs w:val="24"/>
        </w:rPr>
        <w:t xml:space="preserve">que tener un buen conocimiento matemático es </w:t>
      </w:r>
      <w:proofErr w:type="gramStart"/>
      <w:r w:rsidR="00F27A40">
        <w:rPr>
          <w:rFonts w:ascii="Times New Roman" w:hAnsi="Times New Roman" w:cs="Times New Roman"/>
          <w:sz w:val="24"/>
          <w:szCs w:val="24"/>
        </w:rPr>
        <w:t xml:space="preserve">un </w:t>
      </w:r>
      <w:r w:rsidR="00F341D4">
        <w:rPr>
          <w:rFonts w:ascii="Times New Roman" w:hAnsi="Times New Roman" w:cs="Times New Roman"/>
          <w:sz w:val="24"/>
          <w:szCs w:val="24"/>
        </w:rPr>
        <w:t xml:space="preserve">punto </w:t>
      </w:r>
      <w:r w:rsidR="00F27A40">
        <w:rPr>
          <w:rFonts w:ascii="Times New Roman" w:hAnsi="Times New Roman" w:cs="Times New Roman"/>
          <w:sz w:val="24"/>
          <w:szCs w:val="24"/>
        </w:rPr>
        <w:t>a considerar</w:t>
      </w:r>
      <w:proofErr w:type="gramEnd"/>
      <w:r w:rsidR="00F27A40">
        <w:rPr>
          <w:rFonts w:ascii="Times New Roman" w:hAnsi="Times New Roman" w:cs="Times New Roman"/>
          <w:sz w:val="24"/>
          <w:szCs w:val="24"/>
        </w:rPr>
        <w:t xml:space="preserve"> al momento de seleccionar </w:t>
      </w:r>
      <w:r w:rsidR="00F341D4">
        <w:rPr>
          <w:rFonts w:ascii="Times New Roman" w:hAnsi="Times New Roman" w:cs="Times New Roman"/>
          <w:sz w:val="24"/>
          <w:szCs w:val="24"/>
        </w:rPr>
        <w:t xml:space="preserve">una </w:t>
      </w:r>
      <w:r w:rsidR="00F27A40">
        <w:rPr>
          <w:rFonts w:ascii="Times New Roman" w:hAnsi="Times New Roman" w:cs="Times New Roman"/>
          <w:sz w:val="24"/>
          <w:szCs w:val="24"/>
        </w:rPr>
        <w:t xml:space="preserve">ingeniería </w:t>
      </w:r>
      <w:r w:rsidR="00F341D4">
        <w:rPr>
          <w:rFonts w:ascii="Times New Roman" w:hAnsi="Times New Roman" w:cs="Times New Roman"/>
          <w:sz w:val="24"/>
          <w:szCs w:val="24"/>
        </w:rPr>
        <w:t xml:space="preserve">aun </w:t>
      </w:r>
      <w:r w:rsidR="00F27A40">
        <w:rPr>
          <w:rFonts w:ascii="Times New Roman" w:hAnsi="Times New Roman" w:cs="Times New Roman"/>
          <w:sz w:val="24"/>
          <w:szCs w:val="24"/>
        </w:rPr>
        <w:t xml:space="preserve">entre los participantes con mejor preparación matemática. Según los resultados arrojados por la regresión logística binomial </w:t>
      </w:r>
      <w:r w:rsidR="00C70E78">
        <w:rPr>
          <w:rFonts w:ascii="Times New Roman" w:hAnsi="Times New Roman" w:cs="Times New Roman"/>
          <w:sz w:val="24"/>
          <w:szCs w:val="24"/>
        </w:rPr>
        <w:t>analizando a</w:t>
      </w:r>
      <w:r w:rsidR="00F27A40">
        <w:rPr>
          <w:rFonts w:ascii="Times New Roman" w:hAnsi="Times New Roman" w:cs="Times New Roman"/>
          <w:sz w:val="24"/>
          <w:szCs w:val="24"/>
        </w:rPr>
        <w:t xml:space="preserve"> todos los participantes, l</w:t>
      </w:r>
      <w:r w:rsidR="00E64E89">
        <w:rPr>
          <w:rFonts w:ascii="Times New Roman" w:hAnsi="Times New Roman" w:cs="Times New Roman"/>
          <w:sz w:val="24"/>
          <w:szCs w:val="24"/>
        </w:rPr>
        <w:t>a calificación</w:t>
      </w:r>
      <w:r w:rsidR="00F27A40">
        <w:rPr>
          <w:rFonts w:ascii="Times New Roman" w:hAnsi="Times New Roman" w:cs="Times New Roman"/>
          <w:sz w:val="24"/>
          <w:szCs w:val="24"/>
        </w:rPr>
        <w:t xml:space="preserve"> obtenid</w:t>
      </w:r>
      <w:r w:rsidR="00E64E89">
        <w:rPr>
          <w:rFonts w:ascii="Times New Roman" w:hAnsi="Times New Roman" w:cs="Times New Roman"/>
          <w:sz w:val="24"/>
          <w:szCs w:val="24"/>
        </w:rPr>
        <w:t>a</w:t>
      </w:r>
      <w:r w:rsidR="00F27A40">
        <w:rPr>
          <w:rFonts w:ascii="Times New Roman" w:hAnsi="Times New Roman" w:cs="Times New Roman"/>
          <w:sz w:val="24"/>
          <w:szCs w:val="24"/>
        </w:rPr>
        <w:t xml:space="preserve"> en el CMPT hace que un </w:t>
      </w:r>
      <w:r w:rsidR="00C70E78">
        <w:rPr>
          <w:rFonts w:ascii="Times New Roman" w:hAnsi="Times New Roman" w:cs="Times New Roman"/>
          <w:sz w:val="24"/>
          <w:szCs w:val="24"/>
        </w:rPr>
        <w:t>estudiante</w:t>
      </w:r>
      <w:r w:rsidR="00F27A40">
        <w:rPr>
          <w:rFonts w:ascii="Times New Roman" w:hAnsi="Times New Roman" w:cs="Times New Roman"/>
          <w:sz w:val="24"/>
          <w:szCs w:val="24"/>
        </w:rPr>
        <w:t xml:space="preserve"> tenga 0.05 veces más probabilidades de seleccionar </w:t>
      </w:r>
      <w:r w:rsidR="00F341D4">
        <w:rPr>
          <w:rFonts w:ascii="Times New Roman" w:hAnsi="Times New Roman" w:cs="Times New Roman"/>
          <w:sz w:val="24"/>
          <w:szCs w:val="24"/>
        </w:rPr>
        <w:t xml:space="preserve">una </w:t>
      </w:r>
      <w:r w:rsidR="00F27A40">
        <w:rPr>
          <w:rFonts w:ascii="Times New Roman" w:hAnsi="Times New Roman" w:cs="Times New Roman"/>
          <w:sz w:val="24"/>
          <w:szCs w:val="24"/>
        </w:rPr>
        <w:t xml:space="preserve">ingeniería por cada punto que incremente en su </w:t>
      </w:r>
      <w:r w:rsidR="00E64E89">
        <w:rPr>
          <w:rFonts w:ascii="Times New Roman" w:hAnsi="Times New Roman" w:cs="Times New Roman"/>
          <w:sz w:val="24"/>
          <w:szCs w:val="24"/>
        </w:rPr>
        <w:t xml:space="preserve">calificación en este examen. </w:t>
      </w:r>
    </w:p>
    <w:p w14:paraId="45F5ED5D" w14:textId="77777777" w:rsidR="00586E48" w:rsidRDefault="00586E48" w:rsidP="00514B68">
      <w:pPr>
        <w:spacing w:after="0" w:line="360" w:lineRule="auto"/>
        <w:ind w:firstLine="708"/>
        <w:jc w:val="both"/>
        <w:rPr>
          <w:rFonts w:ascii="Times New Roman" w:hAnsi="Times New Roman" w:cs="Times New Roman"/>
          <w:sz w:val="24"/>
          <w:szCs w:val="24"/>
        </w:rPr>
      </w:pPr>
    </w:p>
    <w:p w14:paraId="1FFA99EB" w14:textId="37620210" w:rsidR="00C85E11" w:rsidRDefault="00E64E89" w:rsidP="00514B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Al analizar la relevancia que tomar un curso de cálculo en preparatoria p</w:t>
      </w:r>
      <w:r w:rsidR="008509A6">
        <w:rPr>
          <w:rFonts w:ascii="Times New Roman" w:hAnsi="Times New Roman" w:cs="Times New Roman"/>
          <w:sz w:val="24"/>
          <w:szCs w:val="24"/>
        </w:rPr>
        <w:t>uede</w:t>
      </w:r>
      <w:r>
        <w:rPr>
          <w:rFonts w:ascii="Times New Roman" w:hAnsi="Times New Roman" w:cs="Times New Roman"/>
          <w:sz w:val="24"/>
          <w:szCs w:val="24"/>
        </w:rPr>
        <w:t xml:space="preserve"> tener, se encontró que haber llevado </w:t>
      </w:r>
      <w:r w:rsidR="00AF2084">
        <w:rPr>
          <w:rFonts w:ascii="Times New Roman" w:hAnsi="Times New Roman" w:cs="Times New Roman"/>
          <w:sz w:val="24"/>
          <w:szCs w:val="24"/>
        </w:rPr>
        <w:t>esta preparación</w:t>
      </w:r>
      <w:r>
        <w:rPr>
          <w:rFonts w:ascii="Times New Roman" w:hAnsi="Times New Roman" w:cs="Times New Roman"/>
          <w:sz w:val="24"/>
          <w:szCs w:val="24"/>
        </w:rPr>
        <w:t xml:space="preserve"> hace </w:t>
      </w:r>
      <w:r w:rsidR="008509A6">
        <w:rPr>
          <w:rFonts w:ascii="Times New Roman" w:hAnsi="Times New Roman" w:cs="Times New Roman"/>
          <w:sz w:val="24"/>
          <w:szCs w:val="24"/>
        </w:rPr>
        <w:t xml:space="preserve">que un estudiante tenga </w:t>
      </w:r>
      <w:r>
        <w:rPr>
          <w:rFonts w:ascii="Times New Roman" w:hAnsi="Times New Roman" w:cs="Times New Roman"/>
          <w:sz w:val="24"/>
          <w:szCs w:val="24"/>
        </w:rPr>
        <w:t>2.1 veces más probab</w:t>
      </w:r>
      <w:r w:rsidR="008509A6">
        <w:rPr>
          <w:rFonts w:ascii="Times New Roman" w:hAnsi="Times New Roman" w:cs="Times New Roman"/>
          <w:sz w:val="24"/>
          <w:szCs w:val="24"/>
        </w:rPr>
        <w:t>ilidades de</w:t>
      </w:r>
      <w:r>
        <w:rPr>
          <w:rFonts w:ascii="Times New Roman" w:hAnsi="Times New Roman" w:cs="Times New Roman"/>
          <w:sz w:val="24"/>
          <w:szCs w:val="24"/>
        </w:rPr>
        <w:t xml:space="preserve"> seleccionar cualquier ingeniería. </w:t>
      </w:r>
      <w:r w:rsidR="00964553">
        <w:rPr>
          <w:rFonts w:ascii="Times New Roman" w:hAnsi="Times New Roman" w:cs="Times New Roman"/>
          <w:sz w:val="24"/>
          <w:szCs w:val="24"/>
        </w:rPr>
        <w:t xml:space="preserve">Sin embargo, el </w:t>
      </w:r>
      <w:r>
        <w:rPr>
          <w:rFonts w:ascii="Times New Roman" w:hAnsi="Times New Roman" w:cs="Times New Roman"/>
          <w:sz w:val="24"/>
          <w:szCs w:val="24"/>
        </w:rPr>
        <w:t xml:space="preserve">tomar un curso de cálculo en la preparatoria perdió su significancia cuando los participantes se separaron en grupos según sus habilidades matemáticas, lo cual sugiere que la experiencia que los participantes tuvieron al tomar este curso y su calificación final puede ser </w:t>
      </w:r>
      <w:proofErr w:type="gramStart"/>
      <w:r>
        <w:rPr>
          <w:rFonts w:ascii="Times New Roman" w:hAnsi="Times New Roman" w:cs="Times New Roman"/>
          <w:sz w:val="24"/>
          <w:szCs w:val="24"/>
        </w:rPr>
        <w:t>un factor extra a considerar</w:t>
      </w:r>
      <w:proofErr w:type="gramEnd"/>
      <w:r>
        <w:rPr>
          <w:rFonts w:ascii="Times New Roman" w:hAnsi="Times New Roman" w:cs="Times New Roman"/>
          <w:sz w:val="24"/>
          <w:szCs w:val="24"/>
        </w:rPr>
        <w:t xml:space="preserve"> al momento en que </w:t>
      </w:r>
      <w:r w:rsidR="00C85E11">
        <w:rPr>
          <w:rFonts w:ascii="Times New Roman" w:hAnsi="Times New Roman" w:cs="Times New Roman"/>
          <w:sz w:val="24"/>
          <w:szCs w:val="24"/>
        </w:rPr>
        <w:t xml:space="preserve">estos jóvenes </w:t>
      </w:r>
      <w:r>
        <w:rPr>
          <w:rFonts w:ascii="Times New Roman" w:hAnsi="Times New Roman" w:cs="Times New Roman"/>
          <w:sz w:val="24"/>
          <w:szCs w:val="24"/>
        </w:rPr>
        <w:t>toma</w:t>
      </w:r>
      <w:r w:rsidR="00C85E11">
        <w:rPr>
          <w:rFonts w:ascii="Times New Roman" w:hAnsi="Times New Roman" w:cs="Times New Roman"/>
          <w:sz w:val="24"/>
          <w:szCs w:val="24"/>
        </w:rPr>
        <w:t>n</w:t>
      </w:r>
      <w:r>
        <w:rPr>
          <w:rFonts w:ascii="Times New Roman" w:hAnsi="Times New Roman" w:cs="Times New Roman"/>
          <w:sz w:val="24"/>
          <w:szCs w:val="24"/>
        </w:rPr>
        <w:t xml:space="preserve"> la decisión de buscar convertirse en ingenieros.</w:t>
      </w:r>
    </w:p>
    <w:p w14:paraId="6BEF7D4C" w14:textId="709A76BE" w:rsidR="00D752FB" w:rsidRDefault="00C85E11" w:rsidP="00514B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otra parte, el haber tomado cursos de biología u otras ciencias en preparatoria mostró ser un factor negativo significativo al momento de seleccionar </w:t>
      </w:r>
      <w:r w:rsidR="008509A6">
        <w:rPr>
          <w:rFonts w:ascii="Times New Roman" w:hAnsi="Times New Roman" w:cs="Times New Roman"/>
          <w:sz w:val="24"/>
          <w:szCs w:val="24"/>
        </w:rPr>
        <w:t xml:space="preserve">una </w:t>
      </w:r>
      <w:r>
        <w:rPr>
          <w:rFonts w:ascii="Times New Roman" w:hAnsi="Times New Roman" w:cs="Times New Roman"/>
          <w:sz w:val="24"/>
          <w:szCs w:val="24"/>
        </w:rPr>
        <w:t>ingeniería como carrera profesional</w:t>
      </w:r>
      <w:r w:rsidR="008509A6">
        <w:rPr>
          <w:rFonts w:ascii="Times New Roman" w:hAnsi="Times New Roman" w:cs="Times New Roman"/>
          <w:sz w:val="24"/>
          <w:szCs w:val="24"/>
        </w:rPr>
        <w:t xml:space="preserve"> (ver </w:t>
      </w:r>
      <w:r w:rsidR="00AF2084">
        <w:rPr>
          <w:rFonts w:ascii="Times New Roman" w:hAnsi="Times New Roman" w:cs="Times New Roman"/>
          <w:sz w:val="24"/>
          <w:szCs w:val="24"/>
        </w:rPr>
        <w:t xml:space="preserve">tabla </w:t>
      </w:r>
      <w:r w:rsidR="008509A6">
        <w:rPr>
          <w:rFonts w:ascii="Times New Roman" w:hAnsi="Times New Roman" w:cs="Times New Roman"/>
          <w:sz w:val="24"/>
          <w:szCs w:val="24"/>
        </w:rPr>
        <w:t>2)</w:t>
      </w:r>
      <w:r>
        <w:rPr>
          <w:rFonts w:ascii="Times New Roman" w:hAnsi="Times New Roman" w:cs="Times New Roman"/>
          <w:sz w:val="24"/>
          <w:szCs w:val="24"/>
        </w:rPr>
        <w:t>. Esto significa que los participantes que tomaron estos cursos son menos propensos a seleccionar una ingeniería como su carrera</w:t>
      </w:r>
      <w:r w:rsidR="0056152E">
        <w:rPr>
          <w:rFonts w:ascii="Times New Roman" w:hAnsi="Times New Roman" w:cs="Times New Roman"/>
          <w:sz w:val="24"/>
          <w:szCs w:val="24"/>
        </w:rPr>
        <w:t>; muestra</w:t>
      </w:r>
      <w:r>
        <w:rPr>
          <w:rFonts w:ascii="Times New Roman" w:hAnsi="Times New Roman" w:cs="Times New Roman"/>
          <w:sz w:val="24"/>
          <w:szCs w:val="24"/>
        </w:rPr>
        <w:t xml:space="preserve"> el doble de probabilidad de seleccionar cualquier otra carrera diferente.</w:t>
      </w:r>
    </w:p>
    <w:p w14:paraId="5DA6BDE6" w14:textId="24415FC1" w:rsidR="005B2CFD" w:rsidRDefault="00D53048" w:rsidP="00514B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 correr la regresión logística binomial con los grupos separados por el </w:t>
      </w:r>
      <w:r w:rsidR="00B021A3">
        <w:rPr>
          <w:rFonts w:ascii="Times New Roman" w:hAnsi="Times New Roman" w:cs="Times New Roman"/>
          <w:sz w:val="24"/>
          <w:szCs w:val="24"/>
        </w:rPr>
        <w:t xml:space="preserve">género </w:t>
      </w:r>
      <w:r>
        <w:rPr>
          <w:rFonts w:ascii="Times New Roman" w:hAnsi="Times New Roman" w:cs="Times New Roman"/>
          <w:sz w:val="24"/>
          <w:szCs w:val="24"/>
        </w:rPr>
        <w:t>de los participantes se encontraron algunas diferencias entre los factores m</w:t>
      </w:r>
      <w:r w:rsidR="005F3DF9">
        <w:rPr>
          <w:rFonts w:ascii="Times New Roman" w:hAnsi="Times New Roman" w:cs="Times New Roman"/>
          <w:sz w:val="24"/>
          <w:szCs w:val="24"/>
        </w:rPr>
        <w:t>á</w:t>
      </w:r>
      <w:r>
        <w:rPr>
          <w:rFonts w:ascii="Times New Roman" w:hAnsi="Times New Roman" w:cs="Times New Roman"/>
          <w:sz w:val="24"/>
          <w:szCs w:val="24"/>
        </w:rPr>
        <w:t>s significativos para seleccionar ingeniería. El resultado obtenido en la parte matemática de</w:t>
      </w:r>
      <w:r w:rsidR="00DA3A52">
        <w:rPr>
          <w:rFonts w:ascii="Times New Roman" w:hAnsi="Times New Roman" w:cs="Times New Roman"/>
          <w:sz w:val="24"/>
          <w:szCs w:val="24"/>
        </w:rPr>
        <w:t>l</w:t>
      </w:r>
      <w:r>
        <w:rPr>
          <w:rFonts w:ascii="Times New Roman" w:hAnsi="Times New Roman" w:cs="Times New Roman"/>
          <w:sz w:val="24"/>
          <w:szCs w:val="24"/>
        </w:rPr>
        <w:t xml:space="preserve"> examen</w:t>
      </w:r>
      <w:r w:rsidR="00DA3A52">
        <w:rPr>
          <w:rFonts w:ascii="Times New Roman" w:hAnsi="Times New Roman" w:cs="Times New Roman"/>
          <w:sz w:val="24"/>
          <w:szCs w:val="24"/>
        </w:rPr>
        <w:t xml:space="preserve"> de admisión a la universidad</w:t>
      </w:r>
      <w:r>
        <w:rPr>
          <w:rFonts w:ascii="Times New Roman" w:hAnsi="Times New Roman" w:cs="Times New Roman"/>
          <w:sz w:val="24"/>
          <w:szCs w:val="24"/>
        </w:rPr>
        <w:t xml:space="preserve"> </w:t>
      </w:r>
      <w:r w:rsidR="00DA3A52">
        <w:rPr>
          <w:rFonts w:ascii="Times New Roman" w:hAnsi="Times New Roman" w:cs="Times New Roman"/>
          <w:sz w:val="24"/>
          <w:szCs w:val="24"/>
        </w:rPr>
        <w:t>(ACT</w:t>
      </w:r>
      <w:r w:rsidR="00E24F2C">
        <w:rPr>
          <w:rFonts w:ascii="Times New Roman" w:hAnsi="Times New Roman" w:cs="Times New Roman"/>
          <w:sz w:val="24"/>
          <w:szCs w:val="24"/>
        </w:rPr>
        <w:t>m</w:t>
      </w:r>
      <w:r w:rsidR="00DA3A52">
        <w:rPr>
          <w:rFonts w:ascii="Times New Roman" w:hAnsi="Times New Roman" w:cs="Times New Roman"/>
          <w:sz w:val="24"/>
          <w:szCs w:val="24"/>
        </w:rPr>
        <w:t>)</w:t>
      </w:r>
      <w:r>
        <w:rPr>
          <w:rFonts w:ascii="Times New Roman" w:hAnsi="Times New Roman" w:cs="Times New Roman"/>
          <w:sz w:val="24"/>
          <w:szCs w:val="24"/>
        </w:rPr>
        <w:t xml:space="preserve"> resultó ser un factor significativo para las mujeres al momento de seleccionar una ingeniería. </w:t>
      </w:r>
      <w:r w:rsidR="00715F17">
        <w:rPr>
          <w:rFonts w:ascii="Times New Roman" w:hAnsi="Times New Roman" w:cs="Times New Roman"/>
          <w:sz w:val="24"/>
          <w:szCs w:val="24"/>
        </w:rPr>
        <w:t xml:space="preserve">No obstante, este dato </w:t>
      </w:r>
      <w:r>
        <w:rPr>
          <w:rFonts w:ascii="Times New Roman" w:hAnsi="Times New Roman" w:cs="Times New Roman"/>
          <w:sz w:val="24"/>
          <w:szCs w:val="24"/>
        </w:rPr>
        <w:t xml:space="preserve">no fue un factor significativo para la prueba con todos los participantes y tampoco demostró ser relevante para el grupo de </w:t>
      </w:r>
      <w:r w:rsidR="00DA3A52">
        <w:rPr>
          <w:rFonts w:ascii="Times New Roman" w:hAnsi="Times New Roman" w:cs="Times New Roman"/>
          <w:sz w:val="24"/>
          <w:szCs w:val="24"/>
        </w:rPr>
        <w:t xml:space="preserve">género </w:t>
      </w:r>
      <w:r>
        <w:rPr>
          <w:rFonts w:ascii="Times New Roman" w:hAnsi="Times New Roman" w:cs="Times New Roman"/>
          <w:sz w:val="24"/>
          <w:szCs w:val="24"/>
        </w:rPr>
        <w:t xml:space="preserve">masculino (ver </w:t>
      </w:r>
      <w:r w:rsidR="0056152E">
        <w:rPr>
          <w:rFonts w:ascii="Times New Roman" w:hAnsi="Times New Roman" w:cs="Times New Roman"/>
          <w:sz w:val="24"/>
          <w:szCs w:val="24"/>
        </w:rPr>
        <w:t xml:space="preserve">tabla </w:t>
      </w:r>
      <w:r>
        <w:rPr>
          <w:rFonts w:ascii="Times New Roman" w:hAnsi="Times New Roman" w:cs="Times New Roman"/>
          <w:sz w:val="24"/>
          <w:szCs w:val="24"/>
        </w:rPr>
        <w:t>3).</w:t>
      </w:r>
      <w:r w:rsidR="005B2CFD">
        <w:rPr>
          <w:rFonts w:ascii="Times New Roman" w:hAnsi="Times New Roman" w:cs="Times New Roman"/>
          <w:sz w:val="24"/>
          <w:szCs w:val="24"/>
        </w:rPr>
        <w:t xml:space="preserve"> Por otra parte, los resultados obtenidos en el CMPT y la experiencia de haber tomado un curso de cálculo en la preparatoria demostraron ser factores significativos tanto para los hombres como para las mujeres al momento de seleccionar una ingeniería</w:t>
      </w:r>
      <w:r w:rsidR="007358DF">
        <w:rPr>
          <w:rFonts w:ascii="Times New Roman" w:hAnsi="Times New Roman" w:cs="Times New Roman"/>
          <w:sz w:val="24"/>
          <w:szCs w:val="24"/>
        </w:rPr>
        <w:t xml:space="preserve"> (ver </w:t>
      </w:r>
      <w:r w:rsidR="00715F17">
        <w:rPr>
          <w:rFonts w:ascii="Times New Roman" w:hAnsi="Times New Roman" w:cs="Times New Roman"/>
          <w:sz w:val="24"/>
          <w:szCs w:val="24"/>
        </w:rPr>
        <w:t xml:space="preserve">tabla </w:t>
      </w:r>
      <w:r w:rsidR="007358DF">
        <w:rPr>
          <w:rFonts w:ascii="Times New Roman" w:hAnsi="Times New Roman" w:cs="Times New Roman"/>
          <w:sz w:val="24"/>
          <w:szCs w:val="24"/>
        </w:rPr>
        <w:t>3)</w:t>
      </w:r>
      <w:r w:rsidR="005B2CFD">
        <w:rPr>
          <w:rFonts w:ascii="Times New Roman" w:hAnsi="Times New Roman" w:cs="Times New Roman"/>
          <w:sz w:val="24"/>
          <w:szCs w:val="24"/>
        </w:rPr>
        <w:t>.</w:t>
      </w:r>
    </w:p>
    <w:p w14:paraId="60D012F8" w14:textId="65AC36C1" w:rsidR="0005775B" w:rsidRPr="0005775B" w:rsidRDefault="005B2CFD" w:rsidP="00514B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También se encontraron algunas diferencias entre hombres y mujeres </w:t>
      </w:r>
      <w:r w:rsidR="009F78D9">
        <w:rPr>
          <w:rFonts w:ascii="Times New Roman" w:hAnsi="Times New Roman" w:cs="Times New Roman"/>
          <w:sz w:val="24"/>
          <w:szCs w:val="24"/>
        </w:rPr>
        <w:t>en el análisis de</w:t>
      </w:r>
      <w:r>
        <w:rPr>
          <w:rFonts w:ascii="Times New Roman" w:hAnsi="Times New Roman" w:cs="Times New Roman"/>
          <w:sz w:val="24"/>
          <w:szCs w:val="24"/>
        </w:rPr>
        <w:t xml:space="preserve"> los factores que demostraron tener una significancia negativa al momento de seleccionar una ingeniería. Los resultado</w:t>
      </w:r>
      <w:r w:rsidR="007358DF">
        <w:rPr>
          <w:rFonts w:ascii="Times New Roman" w:hAnsi="Times New Roman" w:cs="Times New Roman"/>
          <w:sz w:val="24"/>
          <w:szCs w:val="24"/>
        </w:rPr>
        <w:t>s</w:t>
      </w:r>
      <w:r>
        <w:rPr>
          <w:rFonts w:ascii="Times New Roman" w:hAnsi="Times New Roman" w:cs="Times New Roman"/>
          <w:sz w:val="24"/>
          <w:szCs w:val="24"/>
        </w:rPr>
        <w:t xml:space="preserve"> de la regresión logística binomial</w:t>
      </w:r>
      <w:r w:rsidR="007358DF">
        <w:rPr>
          <w:rFonts w:ascii="Times New Roman" w:hAnsi="Times New Roman" w:cs="Times New Roman"/>
          <w:sz w:val="24"/>
          <w:szCs w:val="24"/>
        </w:rPr>
        <w:t xml:space="preserve"> mostraron que el grupo de los hombres tenía menos probabilidades de seleccionar una ingeniería si habían tomado un curso de biología en la preparatoria. Por el </w:t>
      </w:r>
      <w:r w:rsidR="002C5976">
        <w:rPr>
          <w:rFonts w:ascii="Times New Roman" w:hAnsi="Times New Roman" w:cs="Times New Roman"/>
          <w:sz w:val="24"/>
          <w:szCs w:val="24"/>
        </w:rPr>
        <w:t>otro lado</w:t>
      </w:r>
      <w:r w:rsidR="007358DF">
        <w:rPr>
          <w:rFonts w:ascii="Times New Roman" w:hAnsi="Times New Roman" w:cs="Times New Roman"/>
          <w:sz w:val="24"/>
          <w:szCs w:val="24"/>
        </w:rPr>
        <w:t xml:space="preserve">, se encontró que las mujeres que habían tomado otro curso de ciencias diferente </w:t>
      </w:r>
      <w:r w:rsidR="009F78D9">
        <w:rPr>
          <w:rFonts w:ascii="Times New Roman" w:hAnsi="Times New Roman" w:cs="Times New Roman"/>
          <w:sz w:val="24"/>
          <w:szCs w:val="24"/>
        </w:rPr>
        <w:t xml:space="preserve">al </w:t>
      </w:r>
      <w:r w:rsidR="007358DF">
        <w:rPr>
          <w:rFonts w:ascii="Times New Roman" w:hAnsi="Times New Roman" w:cs="Times New Roman"/>
          <w:sz w:val="24"/>
          <w:szCs w:val="24"/>
        </w:rPr>
        <w:t xml:space="preserve">de biología en la preparatoria tenían menos probabilidades de seleccionar </w:t>
      </w:r>
      <w:r w:rsidR="00B549E9">
        <w:rPr>
          <w:rFonts w:ascii="Times New Roman" w:hAnsi="Times New Roman" w:cs="Times New Roman"/>
          <w:sz w:val="24"/>
          <w:szCs w:val="24"/>
        </w:rPr>
        <w:t>una preparación universitaria como ingenieras</w:t>
      </w:r>
      <w:r w:rsidR="007358DF">
        <w:rPr>
          <w:rFonts w:ascii="Times New Roman" w:hAnsi="Times New Roman" w:cs="Times New Roman"/>
          <w:sz w:val="24"/>
          <w:szCs w:val="24"/>
        </w:rPr>
        <w:t xml:space="preserve">. </w:t>
      </w:r>
      <w:r>
        <w:rPr>
          <w:rFonts w:ascii="Times New Roman" w:hAnsi="Times New Roman" w:cs="Times New Roman"/>
          <w:sz w:val="24"/>
          <w:szCs w:val="24"/>
        </w:rPr>
        <w:t xml:space="preserve">  </w:t>
      </w:r>
      <w:r w:rsidR="00E64E89">
        <w:rPr>
          <w:rFonts w:ascii="Times New Roman" w:hAnsi="Times New Roman" w:cs="Times New Roman"/>
          <w:sz w:val="24"/>
          <w:szCs w:val="24"/>
        </w:rPr>
        <w:t xml:space="preserve"> </w:t>
      </w:r>
      <w:r w:rsidR="00F27A40">
        <w:rPr>
          <w:rFonts w:ascii="Times New Roman" w:hAnsi="Times New Roman" w:cs="Times New Roman"/>
          <w:sz w:val="24"/>
          <w:szCs w:val="24"/>
        </w:rPr>
        <w:t xml:space="preserve">  </w:t>
      </w:r>
      <w:r w:rsidR="0001081D">
        <w:rPr>
          <w:rFonts w:ascii="Times New Roman" w:hAnsi="Times New Roman" w:cs="Times New Roman"/>
          <w:sz w:val="24"/>
          <w:szCs w:val="24"/>
        </w:rPr>
        <w:t xml:space="preserve">  </w:t>
      </w:r>
    </w:p>
    <w:p w14:paraId="387571AC" w14:textId="77777777" w:rsidR="00D77488" w:rsidRDefault="00D77488" w:rsidP="0006428E">
      <w:pPr>
        <w:spacing w:after="0" w:line="360" w:lineRule="auto"/>
        <w:rPr>
          <w:rFonts w:ascii="Times New Roman" w:hAnsi="Times New Roman" w:cs="Times New Roman"/>
          <w:b/>
          <w:sz w:val="24"/>
          <w:szCs w:val="24"/>
        </w:rPr>
      </w:pPr>
    </w:p>
    <w:p w14:paraId="798F634F" w14:textId="21DBB651" w:rsidR="007358DF" w:rsidRPr="00A558C1" w:rsidRDefault="007358DF" w:rsidP="00514B68">
      <w:pPr>
        <w:spacing w:after="0" w:line="360" w:lineRule="auto"/>
        <w:jc w:val="center"/>
        <w:rPr>
          <w:shd w:val="clear" w:color="auto" w:fill="E1E2E5"/>
        </w:rPr>
      </w:pPr>
      <w:r w:rsidRPr="00A558C1">
        <w:rPr>
          <w:rFonts w:ascii="Times New Roman" w:hAnsi="Times New Roman" w:cs="Times New Roman"/>
          <w:b/>
          <w:sz w:val="24"/>
          <w:szCs w:val="24"/>
        </w:rPr>
        <w:lastRenderedPageBreak/>
        <w:t>T</w:t>
      </w:r>
      <w:r w:rsidR="0006428E" w:rsidRPr="00A558C1">
        <w:rPr>
          <w:rFonts w:ascii="Times New Roman" w:hAnsi="Times New Roman" w:cs="Times New Roman"/>
          <w:b/>
          <w:sz w:val="24"/>
          <w:szCs w:val="24"/>
        </w:rPr>
        <w:t xml:space="preserve">abla </w:t>
      </w:r>
      <w:r>
        <w:rPr>
          <w:rFonts w:ascii="Times New Roman" w:hAnsi="Times New Roman" w:cs="Times New Roman"/>
          <w:b/>
          <w:sz w:val="24"/>
          <w:szCs w:val="24"/>
        </w:rPr>
        <w:t>3</w:t>
      </w:r>
      <w:r w:rsidR="0006428E">
        <w:rPr>
          <w:rFonts w:ascii="Times New Roman" w:hAnsi="Times New Roman" w:cs="Times New Roman"/>
          <w:sz w:val="24"/>
          <w:szCs w:val="24"/>
        </w:rPr>
        <w:t xml:space="preserve">. </w:t>
      </w:r>
      <w:r w:rsidRPr="0005775B">
        <w:rPr>
          <w:rFonts w:ascii="Times New Roman" w:hAnsi="Times New Roman" w:cs="Times New Roman"/>
          <w:sz w:val="24"/>
          <w:szCs w:val="24"/>
        </w:rPr>
        <w:t xml:space="preserve">Resultados de la regresión logística binomial para determinar las probabilidades de seleccionar ingeniería separados por </w:t>
      </w:r>
      <w:r w:rsidR="00DA3A52">
        <w:rPr>
          <w:rFonts w:ascii="Times New Roman" w:hAnsi="Times New Roman" w:cs="Times New Roman"/>
          <w:sz w:val="24"/>
          <w:szCs w:val="24"/>
        </w:rPr>
        <w:t>género</w:t>
      </w:r>
    </w:p>
    <w:tbl>
      <w:tblPr>
        <w:tblStyle w:val="Tablaconcuadrcula"/>
        <w:tblW w:w="0" w:type="auto"/>
        <w:jc w:val="center"/>
        <w:tblLook w:val="04A0" w:firstRow="1" w:lastRow="0" w:firstColumn="1" w:lastColumn="0" w:noHBand="0" w:noVBand="1"/>
      </w:tblPr>
      <w:tblGrid>
        <w:gridCol w:w="1165"/>
        <w:gridCol w:w="750"/>
        <w:gridCol w:w="601"/>
        <w:gridCol w:w="574"/>
        <w:gridCol w:w="601"/>
        <w:gridCol w:w="731"/>
        <w:gridCol w:w="603"/>
        <w:gridCol w:w="602"/>
        <w:gridCol w:w="601"/>
        <w:gridCol w:w="676"/>
        <w:gridCol w:w="601"/>
        <w:gridCol w:w="567"/>
        <w:gridCol w:w="601"/>
      </w:tblGrid>
      <w:tr w:rsidR="007358DF" w:rsidRPr="0006428E" w14:paraId="4B3FE3A2" w14:textId="77777777" w:rsidTr="00674F69">
        <w:trPr>
          <w:trHeight w:val="198"/>
          <w:jc w:val="center"/>
        </w:trPr>
        <w:tc>
          <w:tcPr>
            <w:tcW w:w="1165" w:type="dxa"/>
          </w:tcPr>
          <w:p w14:paraId="0CE1CA15" w14:textId="77777777" w:rsidR="007358DF" w:rsidRPr="00514B68" w:rsidRDefault="007358DF" w:rsidP="0006428E">
            <w:pPr>
              <w:spacing w:line="360" w:lineRule="auto"/>
              <w:rPr>
                <w:rFonts w:ascii="Times New Roman" w:hAnsi="Times New Roman" w:cs="Times New Roman"/>
                <w:sz w:val="24"/>
                <w:szCs w:val="24"/>
              </w:rPr>
            </w:pPr>
          </w:p>
        </w:tc>
        <w:tc>
          <w:tcPr>
            <w:tcW w:w="2526" w:type="dxa"/>
            <w:gridSpan w:val="4"/>
          </w:tcPr>
          <w:p w14:paraId="4D124F2F" w14:textId="77777777" w:rsidR="007358DF" w:rsidRPr="00514B68" w:rsidRDefault="007358DF" w:rsidP="0006428E">
            <w:pPr>
              <w:spacing w:line="360" w:lineRule="auto"/>
              <w:jc w:val="center"/>
              <w:rPr>
                <w:rFonts w:ascii="Times New Roman" w:hAnsi="Times New Roman" w:cs="Times New Roman"/>
                <w:b/>
                <w:sz w:val="24"/>
                <w:szCs w:val="24"/>
              </w:rPr>
            </w:pPr>
            <w:r w:rsidRPr="00514B68">
              <w:rPr>
                <w:rFonts w:ascii="Times New Roman" w:hAnsi="Times New Roman" w:cs="Times New Roman"/>
                <w:b/>
                <w:sz w:val="24"/>
                <w:szCs w:val="24"/>
              </w:rPr>
              <w:t>Todos los participantes</w:t>
            </w:r>
          </w:p>
          <w:p w14:paraId="5274A9D2" w14:textId="77777777" w:rsidR="007358DF" w:rsidRPr="00514B68" w:rsidRDefault="007358DF" w:rsidP="0006428E">
            <w:pPr>
              <w:spacing w:line="360" w:lineRule="auto"/>
              <w:jc w:val="center"/>
              <w:rPr>
                <w:rFonts w:ascii="Times New Roman" w:hAnsi="Times New Roman" w:cs="Times New Roman"/>
                <w:b/>
                <w:sz w:val="24"/>
                <w:szCs w:val="24"/>
              </w:rPr>
            </w:pPr>
          </w:p>
        </w:tc>
        <w:tc>
          <w:tcPr>
            <w:tcW w:w="2537" w:type="dxa"/>
            <w:gridSpan w:val="4"/>
          </w:tcPr>
          <w:p w14:paraId="60A3BEC5" w14:textId="77777777" w:rsidR="007358DF" w:rsidRPr="00514B68" w:rsidRDefault="007358DF" w:rsidP="0006428E">
            <w:pPr>
              <w:spacing w:line="360" w:lineRule="auto"/>
              <w:jc w:val="center"/>
              <w:rPr>
                <w:rFonts w:ascii="Times New Roman" w:hAnsi="Times New Roman" w:cs="Times New Roman"/>
                <w:b/>
                <w:sz w:val="24"/>
                <w:szCs w:val="24"/>
              </w:rPr>
            </w:pPr>
            <w:r w:rsidRPr="00514B68">
              <w:rPr>
                <w:rFonts w:ascii="Times New Roman" w:hAnsi="Times New Roman" w:cs="Times New Roman"/>
                <w:b/>
                <w:sz w:val="24"/>
                <w:szCs w:val="24"/>
              </w:rPr>
              <w:t>Mujeres</w:t>
            </w:r>
          </w:p>
        </w:tc>
        <w:tc>
          <w:tcPr>
            <w:tcW w:w="2445" w:type="dxa"/>
            <w:gridSpan w:val="4"/>
          </w:tcPr>
          <w:p w14:paraId="04DA7179" w14:textId="77777777" w:rsidR="007358DF" w:rsidRPr="00514B68" w:rsidRDefault="007358DF" w:rsidP="0006428E">
            <w:pPr>
              <w:spacing w:line="360" w:lineRule="auto"/>
              <w:jc w:val="center"/>
              <w:rPr>
                <w:rFonts w:ascii="Times New Roman" w:hAnsi="Times New Roman" w:cs="Times New Roman"/>
                <w:b/>
                <w:sz w:val="24"/>
                <w:szCs w:val="24"/>
                <w:lang w:val="en-US"/>
              </w:rPr>
            </w:pPr>
            <w:r w:rsidRPr="00514B68">
              <w:rPr>
                <w:rFonts w:ascii="Times New Roman" w:hAnsi="Times New Roman" w:cs="Times New Roman"/>
                <w:b/>
                <w:sz w:val="24"/>
                <w:szCs w:val="24"/>
              </w:rPr>
              <w:t>Hombres</w:t>
            </w:r>
          </w:p>
        </w:tc>
      </w:tr>
      <w:tr w:rsidR="007358DF" w:rsidRPr="0006428E" w14:paraId="46539266" w14:textId="77777777" w:rsidTr="00674F69">
        <w:trPr>
          <w:jc w:val="center"/>
        </w:trPr>
        <w:tc>
          <w:tcPr>
            <w:tcW w:w="1165" w:type="dxa"/>
          </w:tcPr>
          <w:p w14:paraId="6D0C8BED" w14:textId="77777777" w:rsidR="007358DF" w:rsidRPr="00514B68" w:rsidRDefault="007358DF" w:rsidP="0006428E">
            <w:pPr>
              <w:spacing w:line="360" w:lineRule="auto"/>
              <w:jc w:val="center"/>
              <w:rPr>
                <w:rFonts w:ascii="Times New Roman" w:hAnsi="Times New Roman" w:cs="Times New Roman"/>
                <w:sz w:val="24"/>
                <w:szCs w:val="24"/>
                <w:lang w:val="en-US"/>
              </w:rPr>
            </w:pPr>
          </w:p>
        </w:tc>
        <w:tc>
          <w:tcPr>
            <w:tcW w:w="750" w:type="dxa"/>
          </w:tcPr>
          <w:p w14:paraId="1560E748" w14:textId="77777777" w:rsidR="007358DF" w:rsidRPr="00514B68" w:rsidRDefault="007358DF" w:rsidP="0006428E">
            <w:pPr>
              <w:spacing w:line="360" w:lineRule="auto"/>
              <w:jc w:val="center"/>
              <w:rPr>
                <w:rFonts w:ascii="Times New Roman" w:hAnsi="Times New Roman" w:cs="Times New Roman"/>
                <w:b/>
                <w:sz w:val="24"/>
                <w:szCs w:val="24"/>
                <w:lang w:val="en-US"/>
              </w:rPr>
            </w:pPr>
            <w:r w:rsidRPr="00514B68">
              <w:rPr>
                <w:rFonts w:ascii="Times New Roman" w:hAnsi="Times New Roman" w:cs="Times New Roman"/>
                <w:b/>
                <w:sz w:val="24"/>
                <w:szCs w:val="24"/>
                <w:lang w:val="en-US"/>
              </w:rPr>
              <w:t>B</w:t>
            </w:r>
          </w:p>
        </w:tc>
        <w:tc>
          <w:tcPr>
            <w:tcW w:w="601" w:type="dxa"/>
          </w:tcPr>
          <w:p w14:paraId="41956316" w14:textId="77777777" w:rsidR="007358DF" w:rsidRPr="00514B68" w:rsidRDefault="007358DF" w:rsidP="0006428E">
            <w:pPr>
              <w:spacing w:line="360" w:lineRule="auto"/>
              <w:jc w:val="center"/>
              <w:rPr>
                <w:rFonts w:ascii="Times New Roman" w:hAnsi="Times New Roman" w:cs="Times New Roman"/>
                <w:b/>
                <w:sz w:val="24"/>
                <w:szCs w:val="24"/>
                <w:lang w:val="en-US"/>
              </w:rPr>
            </w:pPr>
            <w:r w:rsidRPr="00514B68">
              <w:rPr>
                <w:rFonts w:ascii="Times New Roman" w:hAnsi="Times New Roman" w:cs="Times New Roman"/>
                <w:b/>
                <w:sz w:val="24"/>
                <w:szCs w:val="24"/>
                <w:lang w:val="en-US"/>
              </w:rPr>
              <w:t>SE</w:t>
            </w:r>
          </w:p>
        </w:tc>
        <w:tc>
          <w:tcPr>
            <w:tcW w:w="574" w:type="dxa"/>
          </w:tcPr>
          <w:p w14:paraId="1B072A19" w14:textId="77777777" w:rsidR="007358DF" w:rsidRPr="00514B68" w:rsidRDefault="007358DF" w:rsidP="0006428E">
            <w:pPr>
              <w:spacing w:line="360" w:lineRule="auto"/>
              <w:jc w:val="center"/>
              <w:rPr>
                <w:rFonts w:ascii="Times New Roman" w:hAnsi="Times New Roman" w:cs="Times New Roman"/>
                <w:b/>
                <w:sz w:val="24"/>
                <w:szCs w:val="24"/>
                <w:lang w:val="en-US"/>
              </w:rPr>
            </w:pPr>
            <w:r w:rsidRPr="00514B68">
              <w:rPr>
                <w:rFonts w:ascii="Times New Roman" w:hAnsi="Times New Roman" w:cs="Times New Roman"/>
                <w:b/>
                <w:sz w:val="24"/>
                <w:szCs w:val="24"/>
                <w:lang w:val="en-US"/>
              </w:rPr>
              <w:t>P</w:t>
            </w:r>
          </w:p>
        </w:tc>
        <w:tc>
          <w:tcPr>
            <w:tcW w:w="601" w:type="dxa"/>
          </w:tcPr>
          <w:p w14:paraId="7CE6B228" w14:textId="77777777" w:rsidR="007358DF" w:rsidRPr="00514B68" w:rsidRDefault="007358DF" w:rsidP="0006428E">
            <w:pPr>
              <w:spacing w:line="360" w:lineRule="auto"/>
              <w:jc w:val="center"/>
              <w:rPr>
                <w:rFonts w:ascii="Times New Roman" w:hAnsi="Times New Roman" w:cs="Times New Roman"/>
                <w:b/>
                <w:sz w:val="24"/>
                <w:szCs w:val="24"/>
                <w:lang w:val="en-US"/>
              </w:rPr>
            </w:pPr>
            <w:r w:rsidRPr="00514B68">
              <w:rPr>
                <w:rFonts w:ascii="Times New Roman" w:hAnsi="Times New Roman" w:cs="Times New Roman"/>
                <w:b/>
                <w:sz w:val="24"/>
                <w:szCs w:val="24"/>
                <w:lang w:val="en-US"/>
              </w:rPr>
              <w:t>RP</w:t>
            </w:r>
          </w:p>
          <w:p w14:paraId="394DA7C3" w14:textId="77777777" w:rsidR="007358DF" w:rsidRPr="00514B68" w:rsidRDefault="007358DF" w:rsidP="0006428E">
            <w:pPr>
              <w:spacing w:line="360" w:lineRule="auto"/>
              <w:jc w:val="center"/>
              <w:rPr>
                <w:rFonts w:ascii="Times New Roman" w:hAnsi="Times New Roman" w:cs="Times New Roman"/>
                <w:b/>
                <w:sz w:val="24"/>
                <w:szCs w:val="24"/>
                <w:lang w:val="en-US"/>
              </w:rPr>
            </w:pPr>
          </w:p>
        </w:tc>
        <w:tc>
          <w:tcPr>
            <w:tcW w:w="731" w:type="dxa"/>
          </w:tcPr>
          <w:p w14:paraId="7329A7CC" w14:textId="77777777" w:rsidR="007358DF" w:rsidRPr="00514B68" w:rsidRDefault="007358DF" w:rsidP="0006428E">
            <w:pPr>
              <w:spacing w:line="360" w:lineRule="auto"/>
              <w:jc w:val="center"/>
              <w:rPr>
                <w:rFonts w:ascii="Times New Roman" w:hAnsi="Times New Roman" w:cs="Times New Roman"/>
                <w:b/>
                <w:sz w:val="24"/>
                <w:szCs w:val="24"/>
                <w:lang w:val="en-US"/>
              </w:rPr>
            </w:pPr>
            <w:r w:rsidRPr="00514B68">
              <w:rPr>
                <w:rFonts w:ascii="Times New Roman" w:hAnsi="Times New Roman" w:cs="Times New Roman"/>
                <w:b/>
                <w:sz w:val="24"/>
                <w:szCs w:val="24"/>
                <w:lang w:val="en-US"/>
              </w:rPr>
              <w:t>B</w:t>
            </w:r>
          </w:p>
        </w:tc>
        <w:tc>
          <w:tcPr>
            <w:tcW w:w="603" w:type="dxa"/>
          </w:tcPr>
          <w:p w14:paraId="201733A6" w14:textId="77777777" w:rsidR="007358DF" w:rsidRPr="00514B68" w:rsidRDefault="007358DF" w:rsidP="0006428E">
            <w:pPr>
              <w:spacing w:line="360" w:lineRule="auto"/>
              <w:jc w:val="center"/>
              <w:rPr>
                <w:rFonts w:ascii="Times New Roman" w:hAnsi="Times New Roman" w:cs="Times New Roman"/>
                <w:b/>
                <w:sz w:val="24"/>
                <w:szCs w:val="24"/>
                <w:lang w:val="en-US"/>
              </w:rPr>
            </w:pPr>
            <w:r w:rsidRPr="00514B68">
              <w:rPr>
                <w:rFonts w:ascii="Times New Roman" w:hAnsi="Times New Roman" w:cs="Times New Roman"/>
                <w:b/>
                <w:sz w:val="24"/>
                <w:szCs w:val="24"/>
                <w:lang w:val="en-US"/>
              </w:rPr>
              <w:t>SE</w:t>
            </w:r>
          </w:p>
        </w:tc>
        <w:tc>
          <w:tcPr>
            <w:tcW w:w="602" w:type="dxa"/>
          </w:tcPr>
          <w:p w14:paraId="35252891" w14:textId="77777777" w:rsidR="007358DF" w:rsidRPr="00514B68" w:rsidRDefault="007358DF" w:rsidP="0006428E">
            <w:pPr>
              <w:spacing w:line="360" w:lineRule="auto"/>
              <w:jc w:val="center"/>
              <w:rPr>
                <w:rFonts w:ascii="Times New Roman" w:hAnsi="Times New Roman" w:cs="Times New Roman"/>
                <w:b/>
                <w:sz w:val="24"/>
                <w:szCs w:val="24"/>
                <w:lang w:val="en-US"/>
              </w:rPr>
            </w:pPr>
            <w:r w:rsidRPr="00514B68">
              <w:rPr>
                <w:rFonts w:ascii="Times New Roman" w:hAnsi="Times New Roman" w:cs="Times New Roman"/>
                <w:b/>
                <w:sz w:val="24"/>
                <w:szCs w:val="24"/>
                <w:lang w:val="en-US"/>
              </w:rPr>
              <w:t>P</w:t>
            </w:r>
          </w:p>
        </w:tc>
        <w:tc>
          <w:tcPr>
            <w:tcW w:w="601" w:type="dxa"/>
          </w:tcPr>
          <w:p w14:paraId="6D922488" w14:textId="77777777" w:rsidR="007358DF" w:rsidRPr="00514B68" w:rsidRDefault="007358DF" w:rsidP="0006428E">
            <w:pPr>
              <w:spacing w:line="360" w:lineRule="auto"/>
              <w:jc w:val="center"/>
              <w:rPr>
                <w:rFonts w:ascii="Times New Roman" w:hAnsi="Times New Roman" w:cs="Times New Roman"/>
                <w:b/>
                <w:sz w:val="24"/>
                <w:szCs w:val="24"/>
                <w:lang w:val="en-US"/>
              </w:rPr>
            </w:pPr>
            <w:r w:rsidRPr="00514B68">
              <w:rPr>
                <w:rFonts w:ascii="Times New Roman" w:hAnsi="Times New Roman" w:cs="Times New Roman"/>
                <w:b/>
                <w:sz w:val="24"/>
                <w:szCs w:val="24"/>
                <w:lang w:val="en-US"/>
              </w:rPr>
              <w:t>RP</w:t>
            </w:r>
          </w:p>
        </w:tc>
        <w:tc>
          <w:tcPr>
            <w:tcW w:w="676" w:type="dxa"/>
          </w:tcPr>
          <w:p w14:paraId="1A9057CA" w14:textId="77777777" w:rsidR="007358DF" w:rsidRPr="00514B68" w:rsidRDefault="007358DF" w:rsidP="0006428E">
            <w:pPr>
              <w:spacing w:line="360" w:lineRule="auto"/>
              <w:jc w:val="center"/>
              <w:rPr>
                <w:rFonts w:ascii="Times New Roman" w:hAnsi="Times New Roman" w:cs="Times New Roman"/>
                <w:b/>
                <w:sz w:val="24"/>
                <w:szCs w:val="24"/>
                <w:lang w:val="en-US"/>
              </w:rPr>
            </w:pPr>
            <w:r w:rsidRPr="00514B68">
              <w:rPr>
                <w:rFonts w:ascii="Times New Roman" w:hAnsi="Times New Roman" w:cs="Times New Roman"/>
                <w:b/>
                <w:sz w:val="24"/>
                <w:szCs w:val="24"/>
                <w:lang w:val="en-US"/>
              </w:rPr>
              <w:t>B</w:t>
            </w:r>
          </w:p>
        </w:tc>
        <w:tc>
          <w:tcPr>
            <w:tcW w:w="601" w:type="dxa"/>
          </w:tcPr>
          <w:p w14:paraId="2E84A6E4" w14:textId="77777777" w:rsidR="007358DF" w:rsidRPr="00514B68" w:rsidRDefault="007358DF" w:rsidP="0006428E">
            <w:pPr>
              <w:spacing w:line="360" w:lineRule="auto"/>
              <w:jc w:val="center"/>
              <w:rPr>
                <w:rFonts w:ascii="Times New Roman" w:hAnsi="Times New Roman" w:cs="Times New Roman"/>
                <w:b/>
                <w:sz w:val="24"/>
                <w:szCs w:val="24"/>
                <w:lang w:val="en-US"/>
              </w:rPr>
            </w:pPr>
            <w:r w:rsidRPr="00514B68">
              <w:rPr>
                <w:rFonts w:ascii="Times New Roman" w:hAnsi="Times New Roman" w:cs="Times New Roman"/>
                <w:b/>
                <w:sz w:val="24"/>
                <w:szCs w:val="24"/>
                <w:lang w:val="en-US"/>
              </w:rPr>
              <w:t>SE</w:t>
            </w:r>
          </w:p>
        </w:tc>
        <w:tc>
          <w:tcPr>
            <w:tcW w:w="567" w:type="dxa"/>
          </w:tcPr>
          <w:p w14:paraId="32034FBF" w14:textId="77777777" w:rsidR="007358DF" w:rsidRPr="00514B68" w:rsidRDefault="007358DF" w:rsidP="0006428E">
            <w:pPr>
              <w:spacing w:line="360" w:lineRule="auto"/>
              <w:jc w:val="center"/>
              <w:rPr>
                <w:rFonts w:ascii="Times New Roman" w:hAnsi="Times New Roman" w:cs="Times New Roman"/>
                <w:b/>
                <w:sz w:val="24"/>
                <w:szCs w:val="24"/>
                <w:lang w:val="en-US"/>
              </w:rPr>
            </w:pPr>
            <w:r w:rsidRPr="00514B68">
              <w:rPr>
                <w:rFonts w:ascii="Times New Roman" w:hAnsi="Times New Roman" w:cs="Times New Roman"/>
                <w:b/>
                <w:sz w:val="24"/>
                <w:szCs w:val="24"/>
                <w:lang w:val="en-US"/>
              </w:rPr>
              <w:t>P</w:t>
            </w:r>
          </w:p>
        </w:tc>
        <w:tc>
          <w:tcPr>
            <w:tcW w:w="601" w:type="dxa"/>
          </w:tcPr>
          <w:p w14:paraId="441720D6" w14:textId="77777777" w:rsidR="007358DF" w:rsidRPr="00514B68" w:rsidRDefault="007358DF" w:rsidP="0006428E">
            <w:pPr>
              <w:spacing w:line="360" w:lineRule="auto"/>
              <w:jc w:val="center"/>
              <w:rPr>
                <w:rFonts w:ascii="Times New Roman" w:hAnsi="Times New Roman" w:cs="Times New Roman"/>
                <w:b/>
                <w:sz w:val="24"/>
                <w:szCs w:val="24"/>
                <w:lang w:val="en-US"/>
              </w:rPr>
            </w:pPr>
            <w:r w:rsidRPr="00514B68">
              <w:rPr>
                <w:rFonts w:ascii="Times New Roman" w:hAnsi="Times New Roman" w:cs="Times New Roman"/>
                <w:b/>
                <w:sz w:val="24"/>
                <w:szCs w:val="24"/>
                <w:lang w:val="en-US"/>
              </w:rPr>
              <w:t>RP</w:t>
            </w:r>
          </w:p>
        </w:tc>
      </w:tr>
      <w:tr w:rsidR="007358DF" w:rsidRPr="0006428E" w14:paraId="1E380A9D" w14:textId="77777777" w:rsidTr="00674F69">
        <w:trPr>
          <w:jc w:val="center"/>
        </w:trPr>
        <w:tc>
          <w:tcPr>
            <w:tcW w:w="1165" w:type="dxa"/>
          </w:tcPr>
          <w:p w14:paraId="0F243909" w14:textId="77777777" w:rsidR="007358DF" w:rsidRPr="00514B68" w:rsidRDefault="007358DF" w:rsidP="0006428E">
            <w:pPr>
              <w:spacing w:line="360" w:lineRule="auto"/>
              <w:rPr>
                <w:rFonts w:ascii="Times New Roman" w:hAnsi="Times New Roman" w:cs="Times New Roman"/>
                <w:b/>
                <w:sz w:val="24"/>
                <w:szCs w:val="24"/>
                <w:lang w:val="en-US"/>
              </w:rPr>
            </w:pPr>
            <w:r w:rsidRPr="00514B68">
              <w:rPr>
                <w:rFonts w:ascii="Times New Roman" w:hAnsi="Times New Roman" w:cs="Times New Roman"/>
                <w:b/>
                <w:sz w:val="24"/>
                <w:szCs w:val="24"/>
              </w:rPr>
              <w:t>Cálculo</w:t>
            </w:r>
            <w:r w:rsidRPr="00514B68">
              <w:rPr>
                <w:rFonts w:ascii="Times New Roman" w:hAnsi="Times New Roman" w:cs="Times New Roman"/>
                <w:b/>
                <w:sz w:val="24"/>
                <w:szCs w:val="24"/>
                <w:lang w:val="en-US"/>
              </w:rPr>
              <w:t xml:space="preserve"> </w:t>
            </w:r>
          </w:p>
        </w:tc>
        <w:tc>
          <w:tcPr>
            <w:tcW w:w="750" w:type="dxa"/>
          </w:tcPr>
          <w:p w14:paraId="7BACC9E9"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0.73</w:t>
            </w:r>
          </w:p>
        </w:tc>
        <w:tc>
          <w:tcPr>
            <w:tcW w:w="601" w:type="dxa"/>
          </w:tcPr>
          <w:p w14:paraId="2ECADFF7"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0.21</w:t>
            </w:r>
          </w:p>
        </w:tc>
        <w:tc>
          <w:tcPr>
            <w:tcW w:w="574" w:type="dxa"/>
          </w:tcPr>
          <w:p w14:paraId="37FEC4FF"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w:t>
            </w:r>
          </w:p>
        </w:tc>
        <w:tc>
          <w:tcPr>
            <w:tcW w:w="601" w:type="dxa"/>
          </w:tcPr>
          <w:p w14:paraId="43D8424E"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2.09</w:t>
            </w:r>
          </w:p>
        </w:tc>
        <w:tc>
          <w:tcPr>
            <w:tcW w:w="731" w:type="dxa"/>
          </w:tcPr>
          <w:p w14:paraId="5A7471BE"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w:t>
            </w:r>
            <w:r w:rsidR="00627CC6" w:rsidRPr="00674F69">
              <w:rPr>
                <w:rFonts w:ascii="Times New Roman" w:hAnsi="Times New Roman" w:cs="Times New Roman"/>
                <w:lang w:val="en-US"/>
              </w:rPr>
              <w:t>88</w:t>
            </w:r>
          </w:p>
        </w:tc>
        <w:tc>
          <w:tcPr>
            <w:tcW w:w="603" w:type="dxa"/>
          </w:tcPr>
          <w:p w14:paraId="403C63D5"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0.3</w:t>
            </w:r>
            <w:r w:rsidR="00627CC6" w:rsidRPr="00674F69">
              <w:rPr>
                <w:rFonts w:ascii="Times New Roman" w:hAnsi="Times New Roman" w:cs="Times New Roman"/>
                <w:lang w:val="en-US"/>
              </w:rPr>
              <w:t>3</w:t>
            </w:r>
          </w:p>
        </w:tc>
        <w:tc>
          <w:tcPr>
            <w:tcW w:w="602" w:type="dxa"/>
          </w:tcPr>
          <w:p w14:paraId="67CECC1A" w14:textId="77777777" w:rsidR="007358DF" w:rsidRPr="00674F69" w:rsidRDefault="00627CC6"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w:t>
            </w:r>
          </w:p>
        </w:tc>
        <w:tc>
          <w:tcPr>
            <w:tcW w:w="601" w:type="dxa"/>
          </w:tcPr>
          <w:p w14:paraId="0378E69A" w14:textId="77777777" w:rsidR="007358DF" w:rsidRPr="00674F69" w:rsidRDefault="00627CC6"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2</w:t>
            </w:r>
            <w:r w:rsidR="007358DF" w:rsidRPr="00674F69">
              <w:rPr>
                <w:rFonts w:ascii="Times New Roman" w:hAnsi="Times New Roman" w:cs="Times New Roman"/>
                <w:lang w:val="en-US"/>
              </w:rPr>
              <w:t>.</w:t>
            </w:r>
            <w:r w:rsidRPr="00674F69">
              <w:rPr>
                <w:rFonts w:ascii="Times New Roman" w:hAnsi="Times New Roman" w:cs="Times New Roman"/>
                <w:lang w:val="en-US"/>
              </w:rPr>
              <w:t>4</w:t>
            </w:r>
            <w:r w:rsidR="007358DF" w:rsidRPr="00674F69">
              <w:rPr>
                <w:rFonts w:ascii="Times New Roman" w:hAnsi="Times New Roman" w:cs="Times New Roman"/>
                <w:lang w:val="en-US"/>
              </w:rPr>
              <w:t>2</w:t>
            </w:r>
          </w:p>
        </w:tc>
        <w:tc>
          <w:tcPr>
            <w:tcW w:w="676" w:type="dxa"/>
          </w:tcPr>
          <w:p w14:paraId="50335DAA"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w:t>
            </w:r>
            <w:r w:rsidR="00627CC6" w:rsidRPr="00674F69">
              <w:rPr>
                <w:rFonts w:ascii="Times New Roman" w:hAnsi="Times New Roman" w:cs="Times New Roman"/>
                <w:lang w:val="en-US"/>
              </w:rPr>
              <w:t>62</w:t>
            </w:r>
          </w:p>
        </w:tc>
        <w:tc>
          <w:tcPr>
            <w:tcW w:w="601" w:type="dxa"/>
          </w:tcPr>
          <w:p w14:paraId="5D9D13AE"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w:t>
            </w:r>
            <w:r w:rsidR="00627CC6" w:rsidRPr="00674F69">
              <w:rPr>
                <w:rFonts w:ascii="Times New Roman" w:hAnsi="Times New Roman" w:cs="Times New Roman"/>
                <w:lang w:val="en-US"/>
              </w:rPr>
              <w:t>27</w:t>
            </w:r>
          </w:p>
        </w:tc>
        <w:tc>
          <w:tcPr>
            <w:tcW w:w="567" w:type="dxa"/>
          </w:tcPr>
          <w:p w14:paraId="6E08DAA4" w14:textId="77777777" w:rsidR="007358DF" w:rsidRPr="00674F69" w:rsidRDefault="00627CC6"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w:t>
            </w:r>
          </w:p>
        </w:tc>
        <w:tc>
          <w:tcPr>
            <w:tcW w:w="601" w:type="dxa"/>
          </w:tcPr>
          <w:p w14:paraId="64B8BD03"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1.</w:t>
            </w:r>
            <w:r w:rsidR="00627CC6" w:rsidRPr="00674F69">
              <w:rPr>
                <w:rFonts w:ascii="Times New Roman" w:hAnsi="Times New Roman" w:cs="Times New Roman"/>
                <w:lang w:val="en-US"/>
              </w:rPr>
              <w:t>8</w:t>
            </w:r>
            <w:r w:rsidRPr="00674F69">
              <w:rPr>
                <w:rFonts w:ascii="Times New Roman" w:hAnsi="Times New Roman" w:cs="Times New Roman"/>
                <w:lang w:val="en-US"/>
              </w:rPr>
              <w:t>6</w:t>
            </w:r>
          </w:p>
        </w:tc>
      </w:tr>
      <w:tr w:rsidR="007358DF" w:rsidRPr="0006428E" w14:paraId="0E915C5B" w14:textId="77777777" w:rsidTr="00674F69">
        <w:trPr>
          <w:jc w:val="center"/>
        </w:trPr>
        <w:tc>
          <w:tcPr>
            <w:tcW w:w="1165" w:type="dxa"/>
          </w:tcPr>
          <w:p w14:paraId="66FBD970" w14:textId="77777777" w:rsidR="007358DF" w:rsidRPr="00514B68" w:rsidRDefault="007358DF" w:rsidP="0006428E">
            <w:pPr>
              <w:spacing w:line="360" w:lineRule="auto"/>
              <w:rPr>
                <w:rFonts w:ascii="Times New Roman" w:hAnsi="Times New Roman" w:cs="Times New Roman"/>
                <w:b/>
                <w:sz w:val="24"/>
                <w:szCs w:val="24"/>
                <w:lang w:val="en-US"/>
              </w:rPr>
            </w:pPr>
            <w:proofErr w:type="spellStart"/>
            <w:r w:rsidRPr="00514B68">
              <w:rPr>
                <w:rFonts w:ascii="Times New Roman" w:hAnsi="Times New Roman" w:cs="Times New Roman"/>
                <w:b/>
                <w:sz w:val="24"/>
                <w:szCs w:val="24"/>
                <w:lang w:val="en-US"/>
              </w:rPr>
              <w:t>ACTm</w:t>
            </w:r>
            <w:proofErr w:type="spellEnd"/>
          </w:p>
        </w:tc>
        <w:tc>
          <w:tcPr>
            <w:tcW w:w="750" w:type="dxa"/>
          </w:tcPr>
          <w:p w14:paraId="66D18490"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0.05</w:t>
            </w:r>
          </w:p>
        </w:tc>
        <w:tc>
          <w:tcPr>
            <w:tcW w:w="601" w:type="dxa"/>
          </w:tcPr>
          <w:p w14:paraId="0ED77137"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0.03</w:t>
            </w:r>
          </w:p>
        </w:tc>
        <w:tc>
          <w:tcPr>
            <w:tcW w:w="574" w:type="dxa"/>
          </w:tcPr>
          <w:p w14:paraId="7A1F09D8"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NS</w:t>
            </w:r>
          </w:p>
        </w:tc>
        <w:tc>
          <w:tcPr>
            <w:tcW w:w="601" w:type="dxa"/>
          </w:tcPr>
          <w:p w14:paraId="13C98C85"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1.05</w:t>
            </w:r>
          </w:p>
        </w:tc>
        <w:tc>
          <w:tcPr>
            <w:tcW w:w="731" w:type="dxa"/>
          </w:tcPr>
          <w:p w14:paraId="36209745" w14:textId="77777777" w:rsidR="007358DF" w:rsidRPr="00674F69" w:rsidRDefault="00627CC6"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w:t>
            </w:r>
            <w:r w:rsidR="007358DF" w:rsidRPr="00674F69">
              <w:rPr>
                <w:rFonts w:ascii="Times New Roman" w:hAnsi="Times New Roman" w:cs="Times New Roman"/>
                <w:lang w:val="en-US"/>
              </w:rPr>
              <w:t>.</w:t>
            </w:r>
            <w:r w:rsidRPr="00674F69">
              <w:rPr>
                <w:rFonts w:ascii="Times New Roman" w:hAnsi="Times New Roman" w:cs="Times New Roman"/>
                <w:lang w:val="en-US"/>
              </w:rPr>
              <w:t>15</w:t>
            </w:r>
          </w:p>
        </w:tc>
        <w:tc>
          <w:tcPr>
            <w:tcW w:w="603" w:type="dxa"/>
          </w:tcPr>
          <w:p w14:paraId="1B57FA73"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w:t>
            </w:r>
            <w:r w:rsidR="00627CC6" w:rsidRPr="00674F69">
              <w:rPr>
                <w:rFonts w:ascii="Times New Roman" w:hAnsi="Times New Roman" w:cs="Times New Roman"/>
                <w:lang w:val="en-US"/>
              </w:rPr>
              <w:t>05</w:t>
            </w:r>
          </w:p>
        </w:tc>
        <w:tc>
          <w:tcPr>
            <w:tcW w:w="602" w:type="dxa"/>
          </w:tcPr>
          <w:p w14:paraId="192FD317"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w:t>
            </w:r>
          </w:p>
        </w:tc>
        <w:tc>
          <w:tcPr>
            <w:tcW w:w="601" w:type="dxa"/>
          </w:tcPr>
          <w:p w14:paraId="5AC1CD81" w14:textId="77777777" w:rsidR="007358DF" w:rsidRPr="00674F69" w:rsidRDefault="00627CC6"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1</w:t>
            </w:r>
            <w:r w:rsidR="007358DF" w:rsidRPr="00674F69">
              <w:rPr>
                <w:rFonts w:ascii="Times New Roman" w:hAnsi="Times New Roman" w:cs="Times New Roman"/>
                <w:lang w:val="en-US"/>
              </w:rPr>
              <w:t>.1</w:t>
            </w:r>
            <w:r w:rsidRPr="00674F69">
              <w:rPr>
                <w:rFonts w:ascii="Times New Roman" w:hAnsi="Times New Roman" w:cs="Times New Roman"/>
                <w:lang w:val="en-US"/>
              </w:rPr>
              <w:t>6</w:t>
            </w:r>
          </w:p>
        </w:tc>
        <w:tc>
          <w:tcPr>
            <w:tcW w:w="676" w:type="dxa"/>
          </w:tcPr>
          <w:p w14:paraId="57F5B7E3" w14:textId="77777777" w:rsidR="007358DF" w:rsidRPr="00674F69" w:rsidRDefault="00627CC6"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w:t>
            </w:r>
            <w:r w:rsidR="007358DF" w:rsidRPr="00674F69">
              <w:rPr>
                <w:rFonts w:ascii="Times New Roman" w:hAnsi="Times New Roman" w:cs="Times New Roman"/>
                <w:lang w:val="en-US"/>
              </w:rPr>
              <w:t>.0</w:t>
            </w:r>
            <w:r w:rsidRPr="00674F69">
              <w:rPr>
                <w:rFonts w:ascii="Times New Roman" w:hAnsi="Times New Roman" w:cs="Times New Roman"/>
                <w:lang w:val="en-US"/>
              </w:rPr>
              <w:t>1</w:t>
            </w:r>
          </w:p>
        </w:tc>
        <w:tc>
          <w:tcPr>
            <w:tcW w:w="601" w:type="dxa"/>
          </w:tcPr>
          <w:p w14:paraId="089C5A22"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w:t>
            </w:r>
            <w:r w:rsidR="00627CC6" w:rsidRPr="00674F69">
              <w:rPr>
                <w:rFonts w:ascii="Times New Roman" w:hAnsi="Times New Roman" w:cs="Times New Roman"/>
                <w:lang w:val="en-US"/>
              </w:rPr>
              <w:t>04</w:t>
            </w:r>
          </w:p>
        </w:tc>
        <w:tc>
          <w:tcPr>
            <w:tcW w:w="567" w:type="dxa"/>
          </w:tcPr>
          <w:p w14:paraId="713A7595" w14:textId="77777777" w:rsidR="007358DF" w:rsidRPr="00674F69" w:rsidRDefault="00627CC6"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NS</w:t>
            </w:r>
          </w:p>
        </w:tc>
        <w:tc>
          <w:tcPr>
            <w:tcW w:w="601" w:type="dxa"/>
          </w:tcPr>
          <w:p w14:paraId="6ABDCDE9" w14:textId="77777777" w:rsidR="007358DF" w:rsidRPr="00674F69" w:rsidRDefault="00627CC6"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w:t>
            </w:r>
            <w:r w:rsidR="007358DF" w:rsidRPr="00674F69">
              <w:rPr>
                <w:rFonts w:ascii="Times New Roman" w:hAnsi="Times New Roman" w:cs="Times New Roman"/>
                <w:lang w:val="en-US"/>
              </w:rPr>
              <w:t>.</w:t>
            </w:r>
            <w:r w:rsidRPr="00674F69">
              <w:rPr>
                <w:rFonts w:ascii="Times New Roman" w:hAnsi="Times New Roman" w:cs="Times New Roman"/>
                <w:lang w:val="en-US"/>
              </w:rPr>
              <w:t>99</w:t>
            </w:r>
          </w:p>
        </w:tc>
      </w:tr>
      <w:tr w:rsidR="007358DF" w:rsidRPr="0006428E" w14:paraId="42D398B7" w14:textId="77777777" w:rsidTr="00674F69">
        <w:trPr>
          <w:jc w:val="center"/>
        </w:trPr>
        <w:tc>
          <w:tcPr>
            <w:tcW w:w="1165" w:type="dxa"/>
          </w:tcPr>
          <w:p w14:paraId="7990DA6F" w14:textId="77777777" w:rsidR="007358DF" w:rsidRPr="00514B68" w:rsidRDefault="007358DF" w:rsidP="0006428E">
            <w:pPr>
              <w:spacing w:line="360" w:lineRule="auto"/>
              <w:rPr>
                <w:rFonts w:ascii="Times New Roman" w:hAnsi="Times New Roman" w:cs="Times New Roman"/>
                <w:b/>
                <w:sz w:val="24"/>
                <w:szCs w:val="24"/>
                <w:lang w:val="en-US"/>
              </w:rPr>
            </w:pPr>
            <w:r w:rsidRPr="00514B68">
              <w:rPr>
                <w:rFonts w:ascii="Times New Roman" w:hAnsi="Times New Roman" w:cs="Times New Roman"/>
                <w:b/>
                <w:sz w:val="24"/>
                <w:szCs w:val="24"/>
                <w:lang w:val="en-US"/>
              </w:rPr>
              <w:t>CMPT</w:t>
            </w:r>
          </w:p>
        </w:tc>
        <w:tc>
          <w:tcPr>
            <w:tcW w:w="750" w:type="dxa"/>
          </w:tcPr>
          <w:p w14:paraId="4518CA30"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0.05</w:t>
            </w:r>
          </w:p>
        </w:tc>
        <w:tc>
          <w:tcPr>
            <w:tcW w:w="601" w:type="dxa"/>
          </w:tcPr>
          <w:p w14:paraId="631162A3"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0.01</w:t>
            </w:r>
          </w:p>
        </w:tc>
        <w:tc>
          <w:tcPr>
            <w:tcW w:w="574" w:type="dxa"/>
          </w:tcPr>
          <w:p w14:paraId="2D01E0D5"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w:t>
            </w:r>
          </w:p>
        </w:tc>
        <w:tc>
          <w:tcPr>
            <w:tcW w:w="601" w:type="dxa"/>
          </w:tcPr>
          <w:p w14:paraId="3C1B0825"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1.05</w:t>
            </w:r>
          </w:p>
        </w:tc>
        <w:tc>
          <w:tcPr>
            <w:tcW w:w="731" w:type="dxa"/>
          </w:tcPr>
          <w:p w14:paraId="74145931"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0.0</w:t>
            </w:r>
            <w:r w:rsidR="00627CC6" w:rsidRPr="00674F69">
              <w:rPr>
                <w:rFonts w:ascii="Times New Roman" w:hAnsi="Times New Roman" w:cs="Times New Roman"/>
                <w:lang w:val="en-US"/>
              </w:rPr>
              <w:t>5</w:t>
            </w:r>
          </w:p>
        </w:tc>
        <w:tc>
          <w:tcPr>
            <w:tcW w:w="603" w:type="dxa"/>
          </w:tcPr>
          <w:p w14:paraId="4BAEA044"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0.01</w:t>
            </w:r>
          </w:p>
        </w:tc>
        <w:tc>
          <w:tcPr>
            <w:tcW w:w="602" w:type="dxa"/>
          </w:tcPr>
          <w:p w14:paraId="05472719" w14:textId="77777777" w:rsidR="007358DF" w:rsidRPr="00674F69" w:rsidRDefault="00627CC6"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w:t>
            </w:r>
          </w:p>
        </w:tc>
        <w:tc>
          <w:tcPr>
            <w:tcW w:w="601" w:type="dxa"/>
          </w:tcPr>
          <w:p w14:paraId="15B3AE1F"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1.0</w:t>
            </w:r>
            <w:r w:rsidR="00627CC6" w:rsidRPr="00674F69">
              <w:rPr>
                <w:rFonts w:ascii="Times New Roman" w:hAnsi="Times New Roman" w:cs="Times New Roman"/>
                <w:lang w:val="en-US"/>
              </w:rPr>
              <w:t>6</w:t>
            </w:r>
          </w:p>
        </w:tc>
        <w:tc>
          <w:tcPr>
            <w:tcW w:w="676" w:type="dxa"/>
          </w:tcPr>
          <w:p w14:paraId="292B8C0B"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0.04</w:t>
            </w:r>
          </w:p>
        </w:tc>
        <w:tc>
          <w:tcPr>
            <w:tcW w:w="601" w:type="dxa"/>
          </w:tcPr>
          <w:p w14:paraId="06A83EFE"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0.01</w:t>
            </w:r>
          </w:p>
        </w:tc>
        <w:tc>
          <w:tcPr>
            <w:tcW w:w="567" w:type="dxa"/>
          </w:tcPr>
          <w:p w14:paraId="7F854433"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w:t>
            </w:r>
            <w:r w:rsidR="00627CC6" w:rsidRPr="00674F69">
              <w:rPr>
                <w:rFonts w:ascii="Times New Roman" w:hAnsi="Times New Roman" w:cs="Times New Roman"/>
                <w:lang w:val="en-US"/>
              </w:rPr>
              <w:t>**</w:t>
            </w:r>
          </w:p>
        </w:tc>
        <w:tc>
          <w:tcPr>
            <w:tcW w:w="601" w:type="dxa"/>
          </w:tcPr>
          <w:p w14:paraId="369665FE"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1.04</w:t>
            </w:r>
          </w:p>
        </w:tc>
      </w:tr>
      <w:tr w:rsidR="007358DF" w:rsidRPr="0006428E" w14:paraId="14833622" w14:textId="77777777" w:rsidTr="00674F69">
        <w:trPr>
          <w:jc w:val="center"/>
        </w:trPr>
        <w:tc>
          <w:tcPr>
            <w:tcW w:w="1165" w:type="dxa"/>
          </w:tcPr>
          <w:p w14:paraId="4A967D58" w14:textId="77777777" w:rsidR="007358DF" w:rsidRPr="00514B68" w:rsidRDefault="007358DF" w:rsidP="0006428E">
            <w:pPr>
              <w:spacing w:line="360" w:lineRule="auto"/>
              <w:rPr>
                <w:rFonts w:ascii="Times New Roman" w:hAnsi="Times New Roman" w:cs="Times New Roman"/>
                <w:b/>
                <w:sz w:val="24"/>
                <w:szCs w:val="24"/>
                <w:lang w:val="en-US"/>
              </w:rPr>
            </w:pPr>
            <w:r w:rsidRPr="00514B68">
              <w:rPr>
                <w:rFonts w:ascii="Times New Roman" w:hAnsi="Times New Roman" w:cs="Times New Roman"/>
                <w:b/>
                <w:sz w:val="24"/>
                <w:szCs w:val="24"/>
              </w:rPr>
              <w:t>Biología</w:t>
            </w:r>
          </w:p>
        </w:tc>
        <w:tc>
          <w:tcPr>
            <w:tcW w:w="750" w:type="dxa"/>
          </w:tcPr>
          <w:p w14:paraId="0A538325"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-0.53</w:t>
            </w:r>
          </w:p>
        </w:tc>
        <w:tc>
          <w:tcPr>
            <w:tcW w:w="601" w:type="dxa"/>
          </w:tcPr>
          <w:p w14:paraId="40DAE4AE"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0.22</w:t>
            </w:r>
          </w:p>
        </w:tc>
        <w:tc>
          <w:tcPr>
            <w:tcW w:w="574" w:type="dxa"/>
          </w:tcPr>
          <w:p w14:paraId="2883B091"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w:t>
            </w:r>
          </w:p>
        </w:tc>
        <w:tc>
          <w:tcPr>
            <w:tcW w:w="601" w:type="dxa"/>
          </w:tcPr>
          <w:p w14:paraId="5F197DD8"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0.58</w:t>
            </w:r>
          </w:p>
        </w:tc>
        <w:tc>
          <w:tcPr>
            <w:tcW w:w="731" w:type="dxa"/>
          </w:tcPr>
          <w:p w14:paraId="6FFDB922"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w:t>
            </w:r>
            <w:r w:rsidR="00627CC6" w:rsidRPr="00674F69">
              <w:rPr>
                <w:rFonts w:ascii="Times New Roman" w:hAnsi="Times New Roman" w:cs="Times New Roman"/>
                <w:lang w:val="en-US"/>
              </w:rPr>
              <w:t>39</w:t>
            </w:r>
          </w:p>
        </w:tc>
        <w:tc>
          <w:tcPr>
            <w:tcW w:w="603" w:type="dxa"/>
          </w:tcPr>
          <w:p w14:paraId="73B43C3E"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0.33</w:t>
            </w:r>
          </w:p>
        </w:tc>
        <w:tc>
          <w:tcPr>
            <w:tcW w:w="602" w:type="dxa"/>
          </w:tcPr>
          <w:p w14:paraId="64781021"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NS</w:t>
            </w:r>
          </w:p>
        </w:tc>
        <w:tc>
          <w:tcPr>
            <w:tcW w:w="601" w:type="dxa"/>
          </w:tcPr>
          <w:p w14:paraId="6D0FBAB2"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w:t>
            </w:r>
            <w:r w:rsidR="00627CC6" w:rsidRPr="00674F69">
              <w:rPr>
                <w:rFonts w:ascii="Times New Roman" w:hAnsi="Times New Roman" w:cs="Times New Roman"/>
                <w:lang w:val="en-US"/>
              </w:rPr>
              <w:t>67</w:t>
            </w:r>
          </w:p>
        </w:tc>
        <w:tc>
          <w:tcPr>
            <w:tcW w:w="676" w:type="dxa"/>
          </w:tcPr>
          <w:p w14:paraId="0F7A3069"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w:t>
            </w:r>
            <w:r w:rsidR="00627CC6" w:rsidRPr="00674F69">
              <w:rPr>
                <w:rFonts w:ascii="Times New Roman" w:hAnsi="Times New Roman" w:cs="Times New Roman"/>
                <w:lang w:val="en-US"/>
              </w:rPr>
              <w:t>65</w:t>
            </w:r>
          </w:p>
        </w:tc>
        <w:tc>
          <w:tcPr>
            <w:tcW w:w="601" w:type="dxa"/>
          </w:tcPr>
          <w:p w14:paraId="5D9FD56E"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0.3</w:t>
            </w:r>
            <w:r w:rsidR="00627CC6" w:rsidRPr="00674F69">
              <w:rPr>
                <w:rFonts w:ascii="Times New Roman" w:hAnsi="Times New Roman" w:cs="Times New Roman"/>
                <w:lang w:val="en-US"/>
              </w:rPr>
              <w:t>1</w:t>
            </w:r>
          </w:p>
        </w:tc>
        <w:tc>
          <w:tcPr>
            <w:tcW w:w="567" w:type="dxa"/>
          </w:tcPr>
          <w:p w14:paraId="57CBBA05" w14:textId="77777777" w:rsidR="007358DF" w:rsidRPr="00674F69" w:rsidRDefault="00627CC6"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w:t>
            </w:r>
          </w:p>
        </w:tc>
        <w:tc>
          <w:tcPr>
            <w:tcW w:w="601" w:type="dxa"/>
          </w:tcPr>
          <w:p w14:paraId="3DAC4295"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0.5</w:t>
            </w:r>
            <w:r w:rsidR="00627CC6" w:rsidRPr="00674F69">
              <w:rPr>
                <w:rFonts w:ascii="Times New Roman" w:hAnsi="Times New Roman" w:cs="Times New Roman"/>
                <w:lang w:val="en-US"/>
              </w:rPr>
              <w:t>1</w:t>
            </w:r>
          </w:p>
        </w:tc>
      </w:tr>
      <w:tr w:rsidR="007358DF" w:rsidRPr="0006428E" w14:paraId="65509898" w14:textId="77777777" w:rsidTr="00674F69">
        <w:trPr>
          <w:trHeight w:val="193"/>
          <w:jc w:val="center"/>
        </w:trPr>
        <w:tc>
          <w:tcPr>
            <w:tcW w:w="1165" w:type="dxa"/>
          </w:tcPr>
          <w:p w14:paraId="08C06E54" w14:textId="77777777" w:rsidR="007358DF" w:rsidRPr="00514B68" w:rsidRDefault="007358DF" w:rsidP="00674F69">
            <w:pPr>
              <w:rPr>
                <w:rFonts w:ascii="Times New Roman" w:hAnsi="Times New Roman" w:cs="Times New Roman"/>
                <w:b/>
                <w:sz w:val="24"/>
                <w:szCs w:val="24"/>
                <w:lang w:val="en-US"/>
              </w:rPr>
            </w:pPr>
            <w:r w:rsidRPr="00514B68">
              <w:rPr>
                <w:rFonts w:ascii="Times New Roman" w:hAnsi="Times New Roman" w:cs="Times New Roman"/>
                <w:b/>
                <w:sz w:val="24"/>
                <w:szCs w:val="24"/>
              </w:rPr>
              <w:t>Otras</w:t>
            </w:r>
            <w:r w:rsidRPr="00514B68">
              <w:rPr>
                <w:rFonts w:ascii="Times New Roman" w:hAnsi="Times New Roman" w:cs="Times New Roman"/>
                <w:b/>
                <w:sz w:val="24"/>
                <w:szCs w:val="24"/>
                <w:lang w:val="en-US"/>
              </w:rPr>
              <w:t xml:space="preserve"> </w:t>
            </w:r>
            <w:r w:rsidRPr="00514B68">
              <w:rPr>
                <w:rFonts w:ascii="Times New Roman" w:hAnsi="Times New Roman" w:cs="Times New Roman"/>
                <w:b/>
                <w:sz w:val="24"/>
                <w:szCs w:val="24"/>
              </w:rPr>
              <w:t>ciencias</w:t>
            </w:r>
          </w:p>
        </w:tc>
        <w:tc>
          <w:tcPr>
            <w:tcW w:w="750" w:type="dxa"/>
          </w:tcPr>
          <w:p w14:paraId="595533ED"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-0.59</w:t>
            </w:r>
          </w:p>
        </w:tc>
        <w:tc>
          <w:tcPr>
            <w:tcW w:w="601" w:type="dxa"/>
          </w:tcPr>
          <w:p w14:paraId="34B5F9C5"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0.23</w:t>
            </w:r>
          </w:p>
        </w:tc>
        <w:tc>
          <w:tcPr>
            <w:tcW w:w="574" w:type="dxa"/>
          </w:tcPr>
          <w:p w14:paraId="443BB8E8"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w:t>
            </w:r>
          </w:p>
        </w:tc>
        <w:tc>
          <w:tcPr>
            <w:tcW w:w="601" w:type="dxa"/>
          </w:tcPr>
          <w:p w14:paraId="42317AEA"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0.55</w:t>
            </w:r>
          </w:p>
        </w:tc>
        <w:tc>
          <w:tcPr>
            <w:tcW w:w="731" w:type="dxa"/>
          </w:tcPr>
          <w:p w14:paraId="7F454CA7"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w:t>
            </w:r>
            <w:r w:rsidR="00627CC6" w:rsidRPr="00674F69">
              <w:rPr>
                <w:rFonts w:ascii="Times New Roman" w:hAnsi="Times New Roman" w:cs="Times New Roman"/>
                <w:lang w:val="en-US"/>
              </w:rPr>
              <w:t>80</w:t>
            </w:r>
          </w:p>
        </w:tc>
        <w:tc>
          <w:tcPr>
            <w:tcW w:w="603" w:type="dxa"/>
          </w:tcPr>
          <w:p w14:paraId="209AA738"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0.3</w:t>
            </w:r>
            <w:r w:rsidR="00627CC6" w:rsidRPr="00674F69">
              <w:rPr>
                <w:rFonts w:ascii="Times New Roman" w:hAnsi="Times New Roman" w:cs="Times New Roman"/>
                <w:lang w:val="en-US"/>
              </w:rPr>
              <w:t>7</w:t>
            </w:r>
          </w:p>
        </w:tc>
        <w:tc>
          <w:tcPr>
            <w:tcW w:w="602" w:type="dxa"/>
          </w:tcPr>
          <w:p w14:paraId="680DCF41" w14:textId="77777777" w:rsidR="007358DF" w:rsidRPr="00674F69" w:rsidRDefault="00627CC6"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w:t>
            </w:r>
          </w:p>
        </w:tc>
        <w:tc>
          <w:tcPr>
            <w:tcW w:w="601" w:type="dxa"/>
          </w:tcPr>
          <w:p w14:paraId="74D4EE7D"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w:t>
            </w:r>
            <w:r w:rsidR="00627CC6" w:rsidRPr="00674F69">
              <w:rPr>
                <w:rFonts w:ascii="Times New Roman" w:hAnsi="Times New Roman" w:cs="Times New Roman"/>
                <w:lang w:val="en-US"/>
              </w:rPr>
              <w:t>44</w:t>
            </w:r>
          </w:p>
        </w:tc>
        <w:tc>
          <w:tcPr>
            <w:tcW w:w="676" w:type="dxa"/>
          </w:tcPr>
          <w:p w14:paraId="27CE379C"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w:t>
            </w:r>
            <w:r w:rsidR="00627CC6" w:rsidRPr="00674F69">
              <w:rPr>
                <w:rFonts w:ascii="Times New Roman" w:hAnsi="Times New Roman" w:cs="Times New Roman"/>
                <w:lang w:val="en-US"/>
              </w:rPr>
              <w:t>47</w:t>
            </w:r>
          </w:p>
        </w:tc>
        <w:tc>
          <w:tcPr>
            <w:tcW w:w="601" w:type="dxa"/>
          </w:tcPr>
          <w:p w14:paraId="2D381B70"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w:t>
            </w:r>
            <w:r w:rsidR="00627CC6" w:rsidRPr="00674F69">
              <w:rPr>
                <w:rFonts w:ascii="Times New Roman" w:hAnsi="Times New Roman" w:cs="Times New Roman"/>
                <w:lang w:val="en-US"/>
              </w:rPr>
              <w:t>3</w:t>
            </w:r>
            <w:r w:rsidRPr="00674F69">
              <w:rPr>
                <w:rFonts w:ascii="Times New Roman" w:hAnsi="Times New Roman" w:cs="Times New Roman"/>
                <w:lang w:val="en-US"/>
              </w:rPr>
              <w:t>2</w:t>
            </w:r>
          </w:p>
        </w:tc>
        <w:tc>
          <w:tcPr>
            <w:tcW w:w="567" w:type="dxa"/>
          </w:tcPr>
          <w:p w14:paraId="5C816144"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NS</w:t>
            </w:r>
          </w:p>
        </w:tc>
        <w:tc>
          <w:tcPr>
            <w:tcW w:w="601" w:type="dxa"/>
          </w:tcPr>
          <w:p w14:paraId="6A7D55C7" w14:textId="77777777" w:rsidR="007358DF" w:rsidRPr="00674F69" w:rsidRDefault="007358DF" w:rsidP="0006428E">
            <w:pPr>
              <w:spacing w:line="360" w:lineRule="auto"/>
              <w:jc w:val="center"/>
              <w:rPr>
                <w:rFonts w:ascii="Times New Roman" w:hAnsi="Times New Roman" w:cs="Times New Roman"/>
                <w:lang w:val="en-US"/>
              </w:rPr>
            </w:pPr>
            <w:r w:rsidRPr="00674F69">
              <w:rPr>
                <w:rFonts w:ascii="Times New Roman" w:hAnsi="Times New Roman" w:cs="Times New Roman"/>
                <w:lang w:val="en-US"/>
              </w:rPr>
              <w:t>0.</w:t>
            </w:r>
            <w:r w:rsidR="00627CC6" w:rsidRPr="00674F69">
              <w:rPr>
                <w:rFonts w:ascii="Times New Roman" w:hAnsi="Times New Roman" w:cs="Times New Roman"/>
                <w:lang w:val="en-US"/>
              </w:rPr>
              <w:t>62</w:t>
            </w:r>
          </w:p>
        </w:tc>
      </w:tr>
    </w:tbl>
    <w:p w14:paraId="5FFAEF3C" w14:textId="77777777" w:rsidR="007358DF" w:rsidRPr="0005775B" w:rsidRDefault="007358DF" w:rsidP="0006428E">
      <w:pPr>
        <w:spacing w:after="0" w:line="360" w:lineRule="auto"/>
        <w:rPr>
          <w:rFonts w:ascii="Times New Roman" w:hAnsi="Times New Roman" w:cs="Times New Roman"/>
          <w:sz w:val="6"/>
          <w:szCs w:val="6"/>
        </w:rPr>
      </w:pPr>
    </w:p>
    <w:p w14:paraId="38B8BFD7" w14:textId="27DCA0F7" w:rsidR="007358DF" w:rsidRPr="00514B68" w:rsidRDefault="007358DF" w:rsidP="00514B68">
      <w:pPr>
        <w:spacing w:after="0" w:line="360" w:lineRule="auto"/>
        <w:jc w:val="center"/>
        <w:rPr>
          <w:rFonts w:ascii="Times New Roman" w:hAnsi="Times New Roman" w:cs="Times New Roman"/>
          <w:sz w:val="20"/>
          <w:szCs w:val="16"/>
        </w:rPr>
      </w:pPr>
      <w:r w:rsidRPr="00514B68">
        <w:rPr>
          <w:rFonts w:ascii="Times New Roman" w:hAnsi="Times New Roman" w:cs="Times New Roman"/>
          <w:sz w:val="20"/>
          <w:szCs w:val="16"/>
        </w:rPr>
        <w:t xml:space="preserve">***: P &lt; </w:t>
      </w:r>
      <w:r w:rsidR="00403EA4" w:rsidRPr="00514B68">
        <w:rPr>
          <w:rFonts w:ascii="Times New Roman" w:hAnsi="Times New Roman" w:cs="Times New Roman"/>
          <w:sz w:val="20"/>
          <w:szCs w:val="16"/>
        </w:rPr>
        <w:t>0</w:t>
      </w:r>
      <w:r w:rsidRPr="00514B68">
        <w:rPr>
          <w:rFonts w:ascii="Times New Roman" w:hAnsi="Times New Roman" w:cs="Times New Roman"/>
          <w:sz w:val="20"/>
          <w:szCs w:val="16"/>
        </w:rPr>
        <w:t xml:space="preserve">.001; **: P &lt; </w:t>
      </w:r>
      <w:r w:rsidR="00403EA4" w:rsidRPr="00514B68">
        <w:rPr>
          <w:rFonts w:ascii="Times New Roman" w:hAnsi="Times New Roman" w:cs="Times New Roman"/>
          <w:sz w:val="20"/>
          <w:szCs w:val="16"/>
        </w:rPr>
        <w:t>0</w:t>
      </w:r>
      <w:r w:rsidRPr="00514B68">
        <w:rPr>
          <w:rFonts w:ascii="Times New Roman" w:hAnsi="Times New Roman" w:cs="Times New Roman"/>
          <w:sz w:val="20"/>
          <w:szCs w:val="16"/>
        </w:rPr>
        <w:t xml:space="preserve">.01; *: P &lt; </w:t>
      </w:r>
      <w:r w:rsidR="00403EA4" w:rsidRPr="00514B68">
        <w:rPr>
          <w:rFonts w:ascii="Times New Roman" w:hAnsi="Times New Roman" w:cs="Times New Roman"/>
          <w:sz w:val="20"/>
          <w:szCs w:val="16"/>
        </w:rPr>
        <w:t>0.</w:t>
      </w:r>
      <w:r w:rsidRPr="00514B68">
        <w:rPr>
          <w:rFonts w:ascii="Times New Roman" w:hAnsi="Times New Roman" w:cs="Times New Roman"/>
          <w:sz w:val="20"/>
          <w:szCs w:val="16"/>
        </w:rPr>
        <w:t xml:space="preserve">05; NS: No </w:t>
      </w:r>
      <w:r w:rsidR="0006428E">
        <w:rPr>
          <w:rFonts w:ascii="Times New Roman" w:hAnsi="Times New Roman" w:cs="Times New Roman"/>
          <w:sz w:val="20"/>
          <w:szCs w:val="16"/>
        </w:rPr>
        <w:t>s</w:t>
      </w:r>
      <w:r w:rsidR="0006428E" w:rsidRPr="00514B68">
        <w:rPr>
          <w:rFonts w:ascii="Times New Roman" w:hAnsi="Times New Roman" w:cs="Times New Roman"/>
          <w:sz w:val="20"/>
          <w:szCs w:val="16"/>
        </w:rPr>
        <w:t>ignificativo</w:t>
      </w:r>
      <w:r w:rsidRPr="00514B68">
        <w:rPr>
          <w:rFonts w:ascii="Times New Roman" w:hAnsi="Times New Roman" w:cs="Times New Roman"/>
          <w:sz w:val="20"/>
          <w:szCs w:val="16"/>
        </w:rPr>
        <w:t>;</w:t>
      </w:r>
      <w:r w:rsidR="0006428E" w:rsidRPr="0006428E" w:rsidDel="0006428E">
        <w:rPr>
          <w:rFonts w:ascii="Times New Roman" w:hAnsi="Times New Roman" w:cs="Times New Roman"/>
          <w:sz w:val="20"/>
          <w:szCs w:val="16"/>
        </w:rPr>
        <w:t xml:space="preserve"> </w:t>
      </w:r>
      <w:r w:rsidRPr="00514B68">
        <w:rPr>
          <w:rFonts w:ascii="Times New Roman" w:hAnsi="Times New Roman" w:cs="Times New Roman"/>
          <w:sz w:val="20"/>
          <w:szCs w:val="16"/>
        </w:rPr>
        <w:t xml:space="preserve">RP: Radio de </w:t>
      </w:r>
      <w:r w:rsidR="0006428E">
        <w:rPr>
          <w:rFonts w:ascii="Times New Roman" w:hAnsi="Times New Roman" w:cs="Times New Roman"/>
          <w:sz w:val="20"/>
          <w:szCs w:val="16"/>
        </w:rPr>
        <w:t>p</w:t>
      </w:r>
      <w:r w:rsidR="0006428E" w:rsidRPr="00514B68">
        <w:rPr>
          <w:rFonts w:ascii="Times New Roman" w:hAnsi="Times New Roman" w:cs="Times New Roman"/>
          <w:sz w:val="20"/>
          <w:szCs w:val="16"/>
        </w:rPr>
        <w:t>robabilidad</w:t>
      </w:r>
      <w:r w:rsidRPr="00514B68">
        <w:rPr>
          <w:rFonts w:ascii="Times New Roman" w:hAnsi="Times New Roman" w:cs="Times New Roman"/>
          <w:sz w:val="20"/>
          <w:szCs w:val="16"/>
        </w:rPr>
        <w:t>.</w:t>
      </w:r>
    </w:p>
    <w:p w14:paraId="19B62E68" w14:textId="5617DB07" w:rsidR="00A424AB" w:rsidRPr="00514B68" w:rsidRDefault="00A424AB" w:rsidP="00514B68">
      <w:pPr>
        <w:spacing w:after="0" w:line="360" w:lineRule="auto"/>
        <w:jc w:val="center"/>
        <w:rPr>
          <w:rFonts w:ascii="Times New Roman" w:hAnsi="Times New Roman" w:cs="Times New Roman"/>
          <w:sz w:val="21"/>
          <w:szCs w:val="16"/>
        </w:rPr>
      </w:pPr>
      <w:r w:rsidRPr="00514B68">
        <w:rPr>
          <w:rFonts w:ascii="Times New Roman" w:hAnsi="Times New Roman" w:cs="Times New Roman"/>
          <w:sz w:val="24"/>
          <w:szCs w:val="20"/>
        </w:rPr>
        <w:t>Fuente: Elaboración propia</w:t>
      </w:r>
    </w:p>
    <w:p w14:paraId="415DDF97" w14:textId="77777777" w:rsidR="0006428E" w:rsidRDefault="0006428E" w:rsidP="0006428E">
      <w:pPr>
        <w:spacing w:after="0" w:line="360" w:lineRule="auto"/>
        <w:jc w:val="both"/>
        <w:rPr>
          <w:rFonts w:ascii="Times New Roman" w:hAnsi="Times New Roman" w:cs="Times New Roman"/>
          <w:sz w:val="24"/>
          <w:szCs w:val="24"/>
        </w:rPr>
      </w:pPr>
    </w:p>
    <w:p w14:paraId="22A47C4A" w14:textId="3ADE714D" w:rsidR="00AE5478" w:rsidRDefault="00330E28" w:rsidP="00514B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análisis cualitativo de la información recopilada con la pregunta: ¿</w:t>
      </w:r>
      <w:r w:rsidR="002D3393">
        <w:rPr>
          <w:rFonts w:ascii="Times New Roman" w:hAnsi="Times New Roman" w:cs="Times New Roman"/>
          <w:sz w:val="24"/>
          <w:szCs w:val="24"/>
        </w:rPr>
        <w:t>c</w:t>
      </w:r>
      <w:r>
        <w:rPr>
          <w:rFonts w:ascii="Times New Roman" w:hAnsi="Times New Roman" w:cs="Times New Roman"/>
          <w:sz w:val="24"/>
          <w:szCs w:val="24"/>
        </w:rPr>
        <w:t>uál fue la influencia más grande que tuviste para escoger la carrera profesional que deseabas estudiar?</w:t>
      </w:r>
      <w:r w:rsidR="00AE5478">
        <w:rPr>
          <w:rFonts w:ascii="Times New Roman" w:hAnsi="Times New Roman" w:cs="Times New Roman"/>
          <w:sz w:val="24"/>
          <w:szCs w:val="24"/>
        </w:rPr>
        <w:t>,</w:t>
      </w:r>
      <w:r>
        <w:rPr>
          <w:rFonts w:ascii="Times New Roman" w:hAnsi="Times New Roman" w:cs="Times New Roman"/>
          <w:sz w:val="24"/>
          <w:szCs w:val="24"/>
        </w:rPr>
        <w:t xml:space="preserve"> mostró que </w:t>
      </w:r>
      <w:r w:rsidR="00ED28A2">
        <w:rPr>
          <w:rFonts w:ascii="Times New Roman" w:hAnsi="Times New Roman" w:cs="Times New Roman"/>
          <w:sz w:val="24"/>
          <w:szCs w:val="24"/>
        </w:rPr>
        <w:t>el factor más común que podía influenciar a un estudiante para seleccionar una ingeniería como carrera profesional fueron</w:t>
      </w:r>
      <w:r>
        <w:rPr>
          <w:rFonts w:ascii="Times New Roman" w:hAnsi="Times New Roman" w:cs="Times New Roman"/>
          <w:sz w:val="24"/>
          <w:szCs w:val="24"/>
        </w:rPr>
        <w:t xml:space="preserve"> </w:t>
      </w:r>
      <w:r w:rsidR="00ED28A2">
        <w:rPr>
          <w:rFonts w:ascii="Times New Roman" w:hAnsi="Times New Roman" w:cs="Times New Roman"/>
          <w:sz w:val="24"/>
          <w:szCs w:val="24"/>
        </w:rPr>
        <w:t>los soportes sociales cercanos</w:t>
      </w:r>
      <w:r w:rsidR="00EE0062">
        <w:rPr>
          <w:rFonts w:ascii="Times New Roman" w:hAnsi="Times New Roman" w:cs="Times New Roman"/>
          <w:sz w:val="24"/>
          <w:szCs w:val="24"/>
        </w:rPr>
        <w:t xml:space="preserve"> (ver </w:t>
      </w:r>
      <w:r w:rsidR="00F177E9">
        <w:rPr>
          <w:rFonts w:ascii="Times New Roman" w:hAnsi="Times New Roman" w:cs="Times New Roman"/>
          <w:sz w:val="24"/>
          <w:szCs w:val="24"/>
        </w:rPr>
        <w:t xml:space="preserve">tabla </w:t>
      </w:r>
      <w:r w:rsidR="00EE0062">
        <w:rPr>
          <w:rFonts w:ascii="Times New Roman" w:hAnsi="Times New Roman" w:cs="Times New Roman"/>
          <w:sz w:val="24"/>
          <w:szCs w:val="24"/>
        </w:rPr>
        <w:t>4)</w:t>
      </w:r>
      <w:r w:rsidR="00ED28A2">
        <w:rPr>
          <w:rFonts w:ascii="Times New Roman" w:hAnsi="Times New Roman" w:cs="Times New Roman"/>
          <w:sz w:val="24"/>
          <w:szCs w:val="24"/>
        </w:rPr>
        <w:t>. Estos soportes sociales cercanos hacen referencia a las posibles influencias que pueden tener los familiares, amigos cercanos o antiguos profesores en las preferencias de los jóvenes estudiantes al momento de determinar qu</w:t>
      </w:r>
      <w:r w:rsidR="00F177E9">
        <w:rPr>
          <w:rFonts w:ascii="Times New Roman" w:hAnsi="Times New Roman" w:cs="Times New Roman"/>
          <w:sz w:val="24"/>
          <w:szCs w:val="24"/>
        </w:rPr>
        <w:t>é</w:t>
      </w:r>
      <w:r w:rsidR="00ED28A2">
        <w:rPr>
          <w:rFonts w:ascii="Times New Roman" w:hAnsi="Times New Roman" w:cs="Times New Roman"/>
          <w:sz w:val="24"/>
          <w:szCs w:val="24"/>
        </w:rPr>
        <w:t xml:space="preserve"> desean para su futuro como profesionistas. Entre las respuestas de los participantes se encontraron comentarios como: “Mi papá es ingeniero industrial</w:t>
      </w:r>
      <w:r w:rsidR="00522D97">
        <w:rPr>
          <w:rFonts w:ascii="Times New Roman" w:hAnsi="Times New Roman" w:cs="Times New Roman"/>
          <w:sz w:val="24"/>
          <w:szCs w:val="24"/>
        </w:rPr>
        <w:t>,</w:t>
      </w:r>
      <w:r w:rsidR="00ED28A2">
        <w:rPr>
          <w:rFonts w:ascii="Times New Roman" w:hAnsi="Times New Roman" w:cs="Times New Roman"/>
          <w:sz w:val="24"/>
          <w:szCs w:val="24"/>
        </w:rPr>
        <w:t xml:space="preserve"> y yo siempre quise </w:t>
      </w:r>
      <w:r w:rsidR="00522D97">
        <w:rPr>
          <w:rFonts w:ascii="Times New Roman" w:hAnsi="Times New Roman" w:cs="Times New Roman"/>
          <w:sz w:val="24"/>
          <w:szCs w:val="24"/>
        </w:rPr>
        <w:t xml:space="preserve">diseñar cosas como las que hacen </w:t>
      </w:r>
      <w:r w:rsidR="00ED28A2">
        <w:rPr>
          <w:rFonts w:ascii="Times New Roman" w:hAnsi="Times New Roman" w:cs="Times New Roman"/>
          <w:sz w:val="24"/>
          <w:szCs w:val="24"/>
        </w:rPr>
        <w:t xml:space="preserve">en </w:t>
      </w:r>
      <w:r w:rsidR="00522D97">
        <w:rPr>
          <w:rFonts w:ascii="Times New Roman" w:hAnsi="Times New Roman" w:cs="Times New Roman"/>
          <w:sz w:val="24"/>
          <w:szCs w:val="24"/>
        </w:rPr>
        <w:t xml:space="preserve">su </w:t>
      </w:r>
      <w:r w:rsidR="00ED28A2">
        <w:rPr>
          <w:rFonts w:ascii="Times New Roman" w:hAnsi="Times New Roman" w:cs="Times New Roman"/>
          <w:sz w:val="24"/>
          <w:szCs w:val="24"/>
        </w:rPr>
        <w:t>empresa.” Esta tendencia de considerar los soportes sociales cercanos como la mayor influencia para seleccionar una ingeniería como carrera profesional fue la misma en los grupos de habilidades matemáticas altas y bajas</w:t>
      </w:r>
      <w:r w:rsidR="00403EA4">
        <w:rPr>
          <w:rFonts w:ascii="Times New Roman" w:hAnsi="Times New Roman" w:cs="Times New Roman"/>
          <w:sz w:val="24"/>
          <w:szCs w:val="24"/>
        </w:rPr>
        <w:t>,</w:t>
      </w:r>
      <w:r w:rsidR="00EE0062">
        <w:rPr>
          <w:rFonts w:ascii="Times New Roman" w:hAnsi="Times New Roman" w:cs="Times New Roman"/>
          <w:sz w:val="24"/>
          <w:szCs w:val="24"/>
        </w:rPr>
        <w:t xml:space="preserve"> con un porcentaje ligeramente mayor para </w:t>
      </w:r>
      <w:r w:rsidR="00F177E9">
        <w:rPr>
          <w:rFonts w:ascii="Times New Roman" w:hAnsi="Times New Roman" w:cs="Times New Roman"/>
          <w:sz w:val="24"/>
          <w:szCs w:val="24"/>
        </w:rPr>
        <w:t>este último</w:t>
      </w:r>
      <w:r w:rsidR="00EE0062">
        <w:rPr>
          <w:rFonts w:ascii="Times New Roman" w:hAnsi="Times New Roman" w:cs="Times New Roman"/>
          <w:sz w:val="24"/>
          <w:szCs w:val="24"/>
        </w:rPr>
        <w:t xml:space="preserve"> (ver </w:t>
      </w:r>
      <w:r w:rsidR="00F177E9">
        <w:rPr>
          <w:rFonts w:ascii="Times New Roman" w:hAnsi="Times New Roman" w:cs="Times New Roman"/>
          <w:sz w:val="24"/>
          <w:szCs w:val="24"/>
        </w:rPr>
        <w:t xml:space="preserve">tabla </w:t>
      </w:r>
      <w:r w:rsidR="00EE0062">
        <w:rPr>
          <w:rFonts w:ascii="Times New Roman" w:hAnsi="Times New Roman" w:cs="Times New Roman"/>
          <w:sz w:val="24"/>
          <w:szCs w:val="24"/>
        </w:rPr>
        <w:t xml:space="preserve">4). </w:t>
      </w:r>
    </w:p>
    <w:p w14:paraId="3EC305ED" w14:textId="77777777" w:rsidR="00586E48" w:rsidRDefault="00586E48" w:rsidP="00514B68">
      <w:pPr>
        <w:spacing w:after="0" w:line="360" w:lineRule="auto"/>
        <w:ind w:firstLine="708"/>
        <w:jc w:val="both"/>
        <w:rPr>
          <w:rFonts w:ascii="Times New Roman" w:hAnsi="Times New Roman" w:cs="Times New Roman"/>
          <w:sz w:val="24"/>
          <w:szCs w:val="24"/>
        </w:rPr>
      </w:pPr>
    </w:p>
    <w:p w14:paraId="1B40ECEA" w14:textId="5AC7329B" w:rsidR="009E4E2F" w:rsidRDefault="00586E48" w:rsidP="00514B68">
      <w:pPr>
        <w:spacing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lastRenderedPageBreak/>
        <w:t>|</w:t>
      </w:r>
      <w:r w:rsidR="00EE0062">
        <w:rPr>
          <w:rFonts w:ascii="Times New Roman" w:hAnsi="Times New Roman" w:cs="Times New Roman"/>
          <w:sz w:val="24"/>
          <w:szCs w:val="24"/>
        </w:rPr>
        <w:t xml:space="preserve">El resultado más interesante de este análisis cualitativo fue la diferencia que se encontró en la segunda respuesta más frecuente para cada grupo, ya que en el de habilidades matemáticas altas la influencia más frecuente después de los soportes sociales cercanos fue el interés personal en actividades relacionadas a la ingeniería. Por otra parte, la influencia más común después de los soportes sociales cercanos en el grupo de habilidades matemáticas </w:t>
      </w:r>
      <w:r w:rsidR="00403EA4">
        <w:rPr>
          <w:rFonts w:ascii="Times New Roman" w:hAnsi="Times New Roman" w:cs="Times New Roman"/>
          <w:sz w:val="24"/>
          <w:szCs w:val="24"/>
        </w:rPr>
        <w:t>baj</w:t>
      </w:r>
      <w:r w:rsidR="00EE0062">
        <w:rPr>
          <w:rFonts w:ascii="Times New Roman" w:hAnsi="Times New Roman" w:cs="Times New Roman"/>
          <w:sz w:val="24"/>
          <w:szCs w:val="24"/>
        </w:rPr>
        <w:t>as fueron las expectativas de resultados</w:t>
      </w:r>
      <w:r w:rsidR="00403EA4">
        <w:rPr>
          <w:rFonts w:ascii="Times New Roman" w:hAnsi="Times New Roman" w:cs="Times New Roman"/>
          <w:sz w:val="24"/>
          <w:szCs w:val="24"/>
        </w:rPr>
        <w:t>,</w:t>
      </w:r>
      <w:r w:rsidR="00EE0062">
        <w:rPr>
          <w:rFonts w:ascii="Times New Roman" w:hAnsi="Times New Roman" w:cs="Times New Roman"/>
          <w:sz w:val="24"/>
          <w:szCs w:val="24"/>
        </w:rPr>
        <w:t xml:space="preserve"> </w:t>
      </w:r>
      <w:r w:rsidR="00403EA4">
        <w:rPr>
          <w:rFonts w:ascii="Times New Roman" w:hAnsi="Times New Roman" w:cs="Times New Roman"/>
          <w:sz w:val="24"/>
          <w:szCs w:val="24"/>
        </w:rPr>
        <w:t xml:space="preserve">lo cual puede ser </w:t>
      </w:r>
      <w:r w:rsidR="00EE0062">
        <w:rPr>
          <w:rFonts w:ascii="Times New Roman" w:hAnsi="Times New Roman" w:cs="Times New Roman"/>
          <w:sz w:val="24"/>
          <w:szCs w:val="24"/>
        </w:rPr>
        <w:t xml:space="preserve">buscar un trabajo con un buen estatus social o tener un buen sueldo. </w:t>
      </w:r>
      <w:r w:rsidR="00ED28A2">
        <w:rPr>
          <w:rFonts w:ascii="Times New Roman" w:hAnsi="Times New Roman" w:cs="Times New Roman"/>
          <w:sz w:val="24"/>
          <w:szCs w:val="24"/>
        </w:rPr>
        <w:t xml:space="preserve"> </w:t>
      </w:r>
      <w:r w:rsidR="00ED28A2">
        <w:rPr>
          <w:rFonts w:ascii="Times New Roman" w:hAnsi="Times New Roman" w:cs="Times New Roman"/>
          <w:b/>
          <w:sz w:val="24"/>
          <w:szCs w:val="24"/>
        </w:rPr>
        <w:t xml:space="preserve"> </w:t>
      </w:r>
    </w:p>
    <w:p w14:paraId="07CF8581" w14:textId="77777777" w:rsidR="00D77488" w:rsidRDefault="00D77488" w:rsidP="0006428E">
      <w:pPr>
        <w:spacing w:after="0" w:line="360" w:lineRule="auto"/>
        <w:rPr>
          <w:rFonts w:ascii="Times New Roman" w:hAnsi="Times New Roman" w:cs="Times New Roman"/>
          <w:b/>
          <w:sz w:val="24"/>
          <w:szCs w:val="24"/>
        </w:rPr>
      </w:pPr>
    </w:p>
    <w:p w14:paraId="24CD922B" w14:textId="478C9C73" w:rsidR="009E4E2F" w:rsidRPr="009E4E2F" w:rsidRDefault="009E4E2F" w:rsidP="00514B68">
      <w:pPr>
        <w:spacing w:after="0" w:line="360" w:lineRule="auto"/>
        <w:jc w:val="center"/>
        <w:rPr>
          <w:rFonts w:ascii="Times New Roman" w:hAnsi="Times New Roman" w:cs="Times New Roman"/>
          <w:b/>
          <w:sz w:val="24"/>
          <w:szCs w:val="24"/>
        </w:rPr>
      </w:pPr>
      <w:r w:rsidRPr="009E4E2F">
        <w:rPr>
          <w:rFonts w:ascii="Times New Roman" w:hAnsi="Times New Roman" w:cs="Times New Roman"/>
          <w:b/>
          <w:sz w:val="24"/>
          <w:szCs w:val="24"/>
        </w:rPr>
        <w:t>T</w:t>
      </w:r>
      <w:r w:rsidR="0006428E" w:rsidRPr="009E4E2F">
        <w:rPr>
          <w:rFonts w:ascii="Times New Roman" w:hAnsi="Times New Roman" w:cs="Times New Roman"/>
          <w:b/>
          <w:sz w:val="24"/>
          <w:szCs w:val="24"/>
        </w:rPr>
        <w:t>abla</w:t>
      </w:r>
      <w:r w:rsidRPr="009E4E2F">
        <w:rPr>
          <w:rFonts w:ascii="Times New Roman" w:hAnsi="Times New Roman" w:cs="Times New Roman"/>
          <w:b/>
          <w:sz w:val="24"/>
          <w:szCs w:val="24"/>
        </w:rPr>
        <w:t xml:space="preserve"> 4</w:t>
      </w:r>
      <w:r w:rsidR="0006428E">
        <w:rPr>
          <w:rFonts w:ascii="Times New Roman" w:hAnsi="Times New Roman" w:cs="Times New Roman"/>
          <w:b/>
          <w:sz w:val="24"/>
          <w:szCs w:val="24"/>
        </w:rPr>
        <w:t>.</w:t>
      </w:r>
      <w:r w:rsidR="0006428E" w:rsidRPr="009E4E2F">
        <w:rPr>
          <w:rFonts w:ascii="Times New Roman" w:hAnsi="Times New Roman" w:cs="Times New Roman"/>
          <w:b/>
          <w:sz w:val="24"/>
          <w:szCs w:val="24"/>
        </w:rPr>
        <w:t xml:space="preserve"> </w:t>
      </w:r>
      <w:r>
        <w:rPr>
          <w:rFonts w:ascii="Times New Roman" w:hAnsi="Times New Roman" w:cs="Times New Roman"/>
          <w:sz w:val="24"/>
          <w:szCs w:val="24"/>
        </w:rPr>
        <w:t>Influencias más comunes para seleccionar ingeniería como carrera profesional</w:t>
      </w:r>
      <w:r w:rsidR="00403EA4">
        <w:rPr>
          <w:rFonts w:ascii="Times New Roman" w:hAnsi="Times New Roman" w:cs="Times New Roman"/>
          <w:sz w:val="24"/>
          <w:szCs w:val="24"/>
        </w:rPr>
        <w:t xml:space="preserve"> según la pregunta: ¿</w:t>
      </w:r>
      <w:r w:rsidR="00DF6247">
        <w:rPr>
          <w:rFonts w:ascii="Times New Roman" w:hAnsi="Times New Roman" w:cs="Times New Roman"/>
          <w:sz w:val="24"/>
          <w:szCs w:val="24"/>
        </w:rPr>
        <w:t>c</w:t>
      </w:r>
      <w:r w:rsidR="00403EA4">
        <w:rPr>
          <w:rFonts w:ascii="Times New Roman" w:hAnsi="Times New Roman" w:cs="Times New Roman"/>
          <w:sz w:val="24"/>
          <w:szCs w:val="24"/>
        </w:rPr>
        <w:t>uál fue la influencia más grande que tuviste para escoger la carrera profesional que deseabas estudiar?</w:t>
      </w:r>
    </w:p>
    <w:tbl>
      <w:tblPr>
        <w:tblStyle w:val="Tablaconcuadrcula"/>
        <w:tblW w:w="0" w:type="auto"/>
        <w:jc w:val="center"/>
        <w:tblLook w:val="04A0" w:firstRow="1" w:lastRow="0" w:firstColumn="1" w:lastColumn="0" w:noHBand="0" w:noVBand="1"/>
      </w:tblPr>
      <w:tblGrid>
        <w:gridCol w:w="2160"/>
        <w:gridCol w:w="1620"/>
        <w:gridCol w:w="2117"/>
        <w:gridCol w:w="2113"/>
      </w:tblGrid>
      <w:tr w:rsidR="009E4E2F" w:rsidRPr="0006428E" w14:paraId="1C863CCD" w14:textId="77777777" w:rsidTr="00514B68">
        <w:trPr>
          <w:jc w:val="center"/>
        </w:trPr>
        <w:tc>
          <w:tcPr>
            <w:tcW w:w="2160" w:type="dxa"/>
          </w:tcPr>
          <w:p w14:paraId="7D6D4832" w14:textId="785AB4CD" w:rsidR="009E4E2F" w:rsidRPr="00514B68" w:rsidRDefault="009E4E2F" w:rsidP="0006428E">
            <w:pPr>
              <w:spacing w:line="360" w:lineRule="auto"/>
              <w:jc w:val="center"/>
              <w:rPr>
                <w:rFonts w:ascii="Times New Roman" w:hAnsi="Times New Roman" w:cs="Times New Roman"/>
                <w:sz w:val="24"/>
                <w:szCs w:val="24"/>
              </w:rPr>
            </w:pPr>
          </w:p>
        </w:tc>
        <w:tc>
          <w:tcPr>
            <w:tcW w:w="1620" w:type="dxa"/>
          </w:tcPr>
          <w:p w14:paraId="6477986E" w14:textId="3EB2418B" w:rsidR="009E4E2F" w:rsidRPr="00514B68" w:rsidRDefault="009E4E2F" w:rsidP="0006428E">
            <w:pPr>
              <w:spacing w:line="360" w:lineRule="auto"/>
              <w:jc w:val="center"/>
              <w:rPr>
                <w:rFonts w:ascii="Times New Roman" w:hAnsi="Times New Roman" w:cs="Times New Roman"/>
                <w:b/>
                <w:sz w:val="24"/>
                <w:szCs w:val="24"/>
              </w:rPr>
            </w:pPr>
            <w:r w:rsidRPr="00514B68">
              <w:rPr>
                <w:rFonts w:ascii="Times New Roman" w:hAnsi="Times New Roman" w:cs="Times New Roman"/>
                <w:b/>
                <w:sz w:val="24"/>
                <w:szCs w:val="24"/>
              </w:rPr>
              <w:t>Todos los ingenieros</w:t>
            </w:r>
          </w:p>
          <w:p w14:paraId="5B1F8DF3" w14:textId="77777777" w:rsidR="009E4E2F" w:rsidRPr="00514B68" w:rsidRDefault="009E4E2F" w:rsidP="0006428E">
            <w:pPr>
              <w:spacing w:line="360" w:lineRule="auto"/>
              <w:jc w:val="center"/>
              <w:rPr>
                <w:rFonts w:ascii="Times New Roman" w:hAnsi="Times New Roman" w:cs="Times New Roman"/>
                <w:b/>
                <w:sz w:val="24"/>
                <w:szCs w:val="24"/>
                <w:lang w:val="en-US"/>
              </w:rPr>
            </w:pPr>
          </w:p>
        </w:tc>
        <w:tc>
          <w:tcPr>
            <w:tcW w:w="2117" w:type="dxa"/>
          </w:tcPr>
          <w:p w14:paraId="649582E2" w14:textId="77777777" w:rsidR="009E4E2F" w:rsidRPr="00514B68" w:rsidRDefault="009E4E2F" w:rsidP="0006428E">
            <w:pPr>
              <w:spacing w:line="360" w:lineRule="auto"/>
              <w:jc w:val="center"/>
              <w:rPr>
                <w:rFonts w:ascii="Times New Roman" w:hAnsi="Times New Roman" w:cs="Times New Roman"/>
                <w:b/>
                <w:sz w:val="24"/>
                <w:szCs w:val="24"/>
              </w:rPr>
            </w:pPr>
            <w:r w:rsidRPr="00514B68">
              <w:rPr>
                <w:rFonts w:ascii="Times New Roman" w:hAnsi="Times New Roman" w:cs="Times New Roman"/>
                <w:b/>
                <w:sz w:val="24"/>
                <w:szCs w:val="24"/>
              </w:rPr>
              <w:t>Ingenieros con habilidades matemáticas bajas</w:t>
            </w:r>
          </w:p>
        </w:tc>
        <w:tc>
          <w:tcPr>
            <w:tcW w:w="2113" w:type="dxa"/>
          </w:tcPr>
          <w:p w14:paraId="56CB0F9C" w14:textId="77777777" w:rsidR="009E4E2F" w:rsidRPr="00514B68" w:rsidRDefault="009E4E2F" w:rsidP="0006428E">
            <w:pPr>
              <w:spacing w:line="360" w:lineRule="auto"/>
              <w:jc w:val="center"/>
              <w:rPr>
                <w:rFonts w:ascii="Times New Roman" w:hAnsi="Times New Roman" w:cs="Times New Roman"/>
                <w:b/>
                <w:sz w:val="24"/>
                <w:szCs w:val="24"/>
              </w:rPr>
            </w:pPr>
            <w:r w:rsidRPr="00514B68">
              <w:rPr>
                <w:rFonts w:ascii="Times New Roman" w:hAnsi="Times New Roman" w:cs="Times New Roman"/>
                <w:b/>
                <w:sz w:val="24"/>
                <w:szCs w:val="24"/>
              </w:rPr>
              <w:t>Ingenieros con habilidades matemáticas altas</w:t>
            </w:r>
          </w:p>
          <w:p w14:paraId="4722C902" w14:textId="77777777" w:rsidR="009E4E2F" w:rsidRPr="00514B68" w:rsidRDefault="009E4E2F" w:rsidP="0006428E">
            <w:pPr>
              <w:spacing w:line="360" w:lineRule="auto"/>
              <w:jc w:val="center"/>
              <w:rPr>
                <w:rFonts w:ascii="Times New Roman" w:hAnsi="Times New Roman" w:cs="Times New Roman"/>
                <w:b/>
                <w:sz w:val="24"/>
                <w:szCs w:val="24"/>
              </w:rPr>
            </w:pPr>
          </w:p>
        </w:tc>
      </w:tr>
      <w:tr w:rsidR="000270A2" w:rsidRPr="0006428E" w14:paraId="46FEE2B9" w14:textId="77777777" w:rsidTr="00514B68">
        <w:trPr>
          <w:jc w:val="center"/>
        </w:trPr>
        <w:tc>
          <w:tcPr>
            <w:tcW w:w="2160" w:type="dxa"/>
          </w:tcPr>
          <w:p w14:paraId="64D74D9A" w14:textId="77777777" w:rsidR="000270A2" w:rsidRPr="00514B68" w:rsidRDefault="000270A2" w:rsidP="0006428E">
            <w:pPr>
              <w:spacing w:line="360" w:lineRule="auto"/>
              <w:rPr>
                <w:rFonts w:ascii="Times New Roman" w:hAnsi="Times New Roman" w:cs="Times New Roman"/>
                <w:b/>
                <w:sz w:val="24"/>
                <w:szCs w:val="24"/>
              </w:rPr>
            </w:pPr>
            <w:r w:rsidRPr="00514B68">
              <w:rPr>
                <w:rFonts w:ascii="Times New Roman" w:hAnsi="Times New Roman" w:cs="Times New Roman"/>
                <w:b/>
                <w:sz w:val="24"/>
                <w:szCs w:val="24"/>
              </w:rPr>
              <w:t>Soportes sociales cercanos</w:t>
            </w:r>
          </w:p>
        </w:tc>
        <w:tc>
          <w:tcPr>
            <w:tcW w:w="1620" w:type="dxa"/>
          </w:tcPr>
          <w:p w14:paraId="32C8F193" w14:textId="77777777" w:rsidR="000270A2" w:rsidRPr="00514B68" w:rsidRDefault="000270A2" w:rsidP="0006428E">
            <w:pPr>
              <w:spacing w:line="360" w:lineRule="auto"/>
              <w:jc w:val="center"/>
              <w:rPr>
                <w:rFonts w:ascii="Times New Roman" w:hAnsi="Times New Roman" w:cs="Times New Roman"/>
                <w:sz w:val="24"/>
                <w:szCs w:val="24"/>
                <w:lang w:val="en-US"/>
              </w:rPr>
            </w:pPr>
            <w:r w:rsidRPr="00514B68">
              <w:rPr>
                <w:rFonts w:ascii="Times New Roman" w:hAnsi="Times New Roman" w:cs="Times New Roman"/>
                <w:sz w:val="24"/>
                <w:szCs w:val="24"/>
                <w:lang w:val="en-US"/>
              </w:rPr>
              <w:t>105 (36.7%)</w:t>
            </w:r>
          </w:p>
        </w:tc>
        <w:tc>
          <w:tcPr>
            <w:tcW w:w="2117" w:type="dxa"/>
          </w:tcPr>
          <w:p w14:paraId="61E86C11" w14:textId="77777777" w:rsidR="000270A2" w:rsidRPr="00514B68" w:rsidRDefault="000270A2" w:rsidP="0006428E">
            <w:pPr>
              <w:spacing w:line="360" w:lineRule="auto"/>
              <w:jc w:val="center"/>
              <w:rPr>
                <w:rFonts w:ascii="Times New Roman" w:hAnsi="Times New Roman" w:cs="Times New Roman"/>
                <w:sz w:val="24"/>
                <w:szCs w:val="24"/>
                <w:lang w:val="en-US"/>
              </w:rPr>
            </w:pPr>
            <w:r w:rsidRPr="00514B68">
              <w:rPr>
                <w:rFonts w:ascii="Times New Roman" w:hAnsi="Times New Roman" w:cs="Times New Roman"/>
                <w:sz w:val="24"/>
                <w:szCs w:val="24"/>
                <w:lang w:val="en-US"/>
              </w:rPr>
              <w:t>35 (40.1%)</w:t>
            </w:r>
          </w:p>
        </w:tc>
        <w:tc>
          <w:tcPr>
            <w:tcW w:w="2113" w:type="dxa"/>
          </w:tcPr>
          <w:p w14:paraId="2C86B5F2" w14:textId="77777777" w:rsidR="000270A2" w:rsidRPr="00514B68" w:rsidRDefault="000270A2" w:rsidP="0006428E">
            <w:pPr>
              <w:spacing w:line="360" w:lineRule="auto"/>
              <w:jc w:val="center"/>
              <w:rPr>
                <w:rFonts w:ascii="Times New Roman" w:hAnsi="Times New Roman" w:cs="Times New Roman"/>
                <w:sz w:val="24"/>
                <w:szCs w:val="24"/>
                <w:lang w:val="en-US"/>
              </w:rPr>
            </w:pPr>
            <w:r w:rsidRPr="00514B68">
              <w:rPr>
                <w:rFonts w:ascii="Times New Roman" w:hAnsi="Times New Roman" w:cs="Times New Roman"/>
                <w:sz w:val="24"/>
                <w:szCs w:val="24"/>
                <w:lang w:val="en-US"/>
              </w:rPr>
              <w:t>70 (35.8%)</w:t>
            </w:r>
          </w:p>
        </w:tc>
      </w:tr>
      <w:tr w:rsidR="009E4E2F" w:rsidRPr="0006428E" w14:paraId="283FC3B9" w14:textId="77777777" w:rsidTr="00514B68">
        <w:trPr>
          <w:jc w:val="center"/>
        </w:trPr>
        <w:tc>
          <w:tcPr>
            <w:tcW w:w="2160" w:type="dxa"/>
          </w:tcPr>
          <w:p w14:paraId="3B4CBCEE" w14:textId="77777777" w:rsidR="009E4E2F" w:rsidRPr="00514B68" w:rsidRDefault="009E4E2F" w:rsidP="0006428E">
            <w:pPr>
              <w:spacing w:line="360" w:lineRule="auto"/>
              <w:rPr>
                <w:rFonts w:ascii="Times New Roman" w:hAnsi="Times New Roman" w:cs="Times New Roman"/>
                <w:b/>
                <w:sz w:val="24"/>
                <w:szCs w:val="24"/>
              </w:rPr>
            </w:pPr>
            <w:r w:rsidRPr="00514B68">
              <w:rPr>
                <w:rFonts w:ascii="Times New Roman" w:hAnsi="Times New Roman" w:cs="Times New Roman"/>
                <w:b/>
                <w:sz w:val="24"/>
                <w:szCs w:val="24"/>
              </w:rPr>
              <w:t>Interés</w:t>
            </w:r>
          </w:p>
        </w:tc>
        <w:tc>
          <w:tcPr>
            <w:tcW w:w="1620" w:type="dxa"/>
          </w:tcPr>
          <w:p w14:paraId="09F8DB9E" w14:textId="77777777" w:rsidR="009E4E2F" w:rsidRPr="00514B68" w:rsidRDefault="009E4E2F" w:rsidP="0006428E">
            <w:pPr>
              <w:spacing w:line="360" w:lineRule="auto"/>
              <w:jc w:val="center"/>
              <w:rPr>
                <w:rFonts w:ascii="Times New Roman" w:hAnsi="Times New Roman" w:cs="Times New Roman"/>
                <w:sz w:val="24"/>
                <w:szCs w:val="24"/>
                <w:lang w:val="en-US"/>
              </w:rPr>
            </w:pPr>
            <w:r w:rsidRPr="00514B68">
              <w:rPr>
                <w:rFonts w:ascii="Times New Roman" w:hAnsi="Times New Roman" w:cs="Times New Roman"/>
                <w:sz w:val="24"/>
                <w:szCs w:val="24"/>
                <w:lang w:val="en-US"/>
              </w:rPr>
              <w:t>68 (23.9%)</w:t>
            </w:r>
          </w:p>
        </w:tc>
        <w:tc>
          <w:tcPr>
            <w:tcW w:w="2117" w:type="dxa"/>
          </w:tcPr>
          <w:p w14:paraId="2B0DF81E" w14:textId="77777777" w:rsidR="009E4E2F" w:rsidRPr="00514B68" w:rsidRDefault="009E4E2F" w:rsidP="0006428E">
            <w:pPr>
              <w:spacing w:line="360" w:lineRule="auto"/>
              <w:jc w:val="center"/>
              <w:rPr>
                <w:rFonts w:ascii="Times New Roman" w:hAnsi="Times New Roman" w:cs="Times New Roman"/>
                <w:sz w:val="24"/>
                <w:szCs w:val="24"/>
                <w:lang w:val="en-US"/>
              </w:rPr>
            </w:pPr>
            <w:r w:rsidRPr="00514B68">
              <w:rPr>
                <w:rFonts w:ascii="Times New Roman" w:hAnsi="Times New Roman" w:cs="Times New Roman"/>
                <w:sz w:val="24"/>
                <w:szCs w:val="24"/>
                <w:lang w:val="en-US"/>
              </w:rPr>
              <w:t>15 (16.5%)</w:t>
            </w:r>
          </w:p>
        </w:tc>
        <w:tc>
          <w:tcPr>
            <w:tcW w:w="2113" w:type="dxa"/>
          </w:tcPr>
          <w:p w14:paraId="51F467D2" w14:textId="77777777" w:rsidR="009E4E2F" w:rsidRPr="00514B68" w:rsidRDefault="009E4E2F" w:rsidP="0006428E">
            <w:pPr>
              <w:spacing w:line="360" w:lineRule="auto"/>
              <w:jc w:val="center"/>
              <w:rPr>
                <w:rFonts w:ascii="Times New Roman" w:hAnsi="Times New Roman" w:cs="Times New Roman"/>
                <w:sz w:val="24"/>
                <w:szCs w:val="24"/>
                <w:lang w:val="en-US"/>
              </w:rPr>
            </w:pPr>
            <w:r w:rsidRPr="00514B68">
              <w:rPr>
                <w:rFonts w:ascii="Times New Roman" w:hAnsi="Times New Roman" w:cs="Times New Roman"/>
                <w:sz w:val="24"/>
                <w:szCs w:val="24"/>
                <w:lang w:val="en-US"/>
              </w:rPr>
              <w:t>53 (27.2%)</w:t>
            </w:r>
          </w:p>
        </w:tc>
      </w:tr>
      <w:tr w:rsidR="000270A2" w:rsidRPr="0006428E" w14:paraId="3FD74866" w14:textId="77777777" w:rsidTr="00514B68">
        <w:trPr>
          <w:jc w:val="center"/>
        </w:trPr>
        <w:tc>
          <w:tcPr>
            <w:tcW w:w="2160" w:type="dxa"/>
          </w:tcPr>
          <w:p w14:paraId="31446148" w14:textId="77777777" w:rsidR="000270A2" w:rsidRPr="00514B68" w:rsidRDefault="000270A2" w:rsidP="0006428E">
            <w:pPr>
              <w:spacing w:line="360" w:lineRule="auto"/>
              <w:rPr>
                <w:rFonts w:ascii="Times New Roman" w:hAnsi="Times New Roman" w:cs="Times New Roman"/>
                <w:b/>
                <w:sz w:val="24"/>
                <w:szCs w:val="24"/>
              </w:rPr>
            </w:pPr>
            <w:r w:rsidRPr="00514B68">
              <w:rPr>
                <w:rFonts w:ascii="Times New Roman" w:hAnsi="Times New Roman" w:cs="Times New Roman"/>
                <w:b/>
                <w:sz w:val="24"/>
                <w:szCs w:val="24"/>
              </w:rPr>
              <w:t>Expectativas de resultados</w:t>
            </w:r>
          </w:p>
        </w:tc>
        <w:tc>
          <w:tcPr>
            <w:tcW w:w="1620" w:type="dxa"/>
          </w:tcPr>
          <w:p w14:paraId="2754CF2A" w14:textId="77777777" w:rsidR="000270A2" w:rsidRPr="00514B68" w:rsidRDefault="000270A2" w:rsidP="0006428E">
            <w:pPr>
              <w:spacing w:line="360" w:lineRule="auto"/>
              <w:jc w:val="center"/>
              <w:rPr>
                <w:rFonts w:ascii="Times New Roman" w:hAnsi="Times New Roman" w:cs="Times New Roman"/>
                <w:sz w:val="24"/>
                <w:szCs w:val="24"/>
                <w:lang w:val="en-US"/>
              </w:rPr>
            </w:pPr>
            <w:r w:rsidRPr="00514B68">
              <w:rPr>
                <w:rFonts w:ascii="Times New Roman" w:hAnsi="Times New Roman" w:cs="Times New Roman"/>
                <w:sz w:val="24"/>
                <w:szCs w:val="24"/>
                <w:lang w:val="en-US"/>
              </w:rPr>
              <w:t>51 (18%)</w:t>
            </w:r>
          </w:p>
        </w:tc>
        <w:tc>
          <w:tcPr>
            <w:tcW w:w="2117" w:type="dxa"/>
          </w:tcPr>
          <w:p w14:paraId="7B9C4716" w14:textId="77777777" w:rsidR="000270A2" w:rsidRPr="00514B68" w:rsidRDefault="000270A2" w:rsidP="0006428E">
            <w:pPr>
              <w:spacing w:line="360" w:lineRule="auto"/>
              <w:jc w:val="center"/>
              <w:rPr>
                <w:rFonts w:ascii="Times New Roman" w:hAnsi="Times New Roman" w:cs="Times New Roman"/>
                <w:sz w:val="24"/>
                <w:szCs w:val="24"/>
                <w:lang w:val="en-US"/>
              </w:rPr>
            </w:pPr>
            <w:r w:rsidRPr="00514B68">
              <w:rPr>
                <w:rFonts w:ascii="Times New Roman" w:hAnsi="Times New Roman" w:cs="Times New Roman"/>
                <w:sz w:val="24"/>
                <w:szCs w:val="24"/>
                <w:lang w:val="en-US"/>
              </w:rPr>
              <w:t>20 (22.3%)</w:t>
            </w:r>
          </w:p>
        </w:tc>
        <w:tc>
          <w:tcPr>
            <w:tcW w:w="2113" w:type="dxa"/>
          </w:tcPr>
          <w:p w14:paraId="3560061D" w14:textId="77777777" w:rsidR="000270A2" w:rsidRPr="00514B68" w:rsidRDefault="000270A2" w:rsidP="0006428E">
            <w:pPr>
              <w:spacing w:line="360" w:lineRule="auto"/>
              <w:jc w:val="center"/>
              <w:rPr>
                <w:rFonts w:ascii="Times New Roman" w:hAnsi="Times New Roman" w:cs="Times New Roman"/>
                <w:sz w:val="24"/>
                <w:szCs w:val="24"/>
                <w:lang w:val="en-US"/>
              </w:rPr>
            </w:pPr>
            <w:r w:rsidRPr="00514B68">
              <w:rPr>
                <w:rFonts w:ascii="Times New Roman" w:hAnsi="Times New Roman" w:cs="Times New Roman"/>
                <w:sz w:val="24"/>
                <w:szCs w:val="24"/>
                <w:lang w:val="en-US"/>
              </w:rPr>
              <w:t>31 (15.9%)</w:t>
            </w:r>
          </w:p>
        </w:tc>
      </w:tr>
      <w:tr w:rsidR="000270A2" w:rsidRPr="0006428E" w14:paraId="03F30BD3" w14:textId="77777777" w:rsidTr="00514B68">
        <w:trPr>
          <w:jc w:val="center"/>
        </w:trPr>
        <w:tc>
          <w:tcPr>
            <w:tcW w:w="2160" w:type="dxa"/>
          </w:tcPr>
          <w:p w14:paraId="41013DEE" w14:textId="77777777" w:rsidR="000270A2" w:rsidRPr="00514B68" w:rsidRDefault="000270A2" w:rsidP="0006428E">
            <w:pPr>
              <w:spacing w:line="360" w:lineRule="auto"/>
              <w:rPr>
                <w:rFonts w:ascii="Times New Roman" w:hAnsi="Times New Roman" w:cs="Times New Roman"/>
                <w:b/>
                <w:sz w:val="24"/>
                <w:szCs w:val="24"/>
              </w:rPr>
            </w:pPr>
            <w:r w:rsidRPr="00514B68">
              <w:rPr>
                <w:rFonts w:ascii="Times New Roman" w:hAnsi="Times New Roman" w:cs="Times New Roman"/>
                <w:b/>
                <w:sz w:val="24"/>
                <w:szCs w:val="24"/>
              </w:rPr>
              <w:t>Otros soportes</w:t>
            </w:r>
          </w:p>
        </w:tc>
        <w:tc>
          <w:tcPr>
            <w:tcW w:w="1620" w:type="dxa"/>
          </w:tcPr>
          <w:p w14:paraId="67B1BB3C" w14:textId="77777777" w:rsidR="000270A2" w:rsidRPr="00514B68" w:rsidRDefault="000270A2" w:rsidP="0006428E">
            <w:pPr>
              <w:spacing w:line="360" w:lineRule="auto"/>
              <w:jc w:val="center"/>
              <w:rPr>
                <w:rFonts w:ascii="Times New Roman" w:hAnsi="Times New Roman" w:cs="Times New Roman"/>
                <w:sz w:val="24"/>
                <w:szCs w:val="24"/>
                <w:lang w:val="en-US"/>
              </w:rPr>
            </w:pPr>
            <w:r w:rsidRPr="00514B68">
              <w:rPr>
                <w:rFonts w:ascii="Times New Roman" w:hAnsi="Times New Roman" w:cs="Times New Roman"/>
                <w:sz w:val="24"/>
                <w:szCs w:val="24"/>
                <w:lang w:val="en-US"/>
              </w:rPr>
              <w:t>32 (11.3%)</w:t>
            </w:r>
          </w:p>
        </w:tc>
        <w:tc>
          <w:tcPr>
            <w:tcW w:w="2117" w:type="dxa"/>
          </w:tcPr>
          <w:p w14:paraId="2868DC97" w14:textId="3644B621" w:rsidR="000270A2" w:rsidRPr="00514B68" w:rsidRDefault="000270A2" w:rsidP="0006428E">
            <w:pPr>
              <w:spacing w:line="360" w:lineRule="auto"/>
              <w:jc w:val="center"/>
              <w:rPr>
                <w:rFonts w:ascii="Times New Roman" w:hAnsi="Times New Roman" w:cs="Times New Roman"/>
                <w:sz w:val="24"/>
                <w:szCs w:val="24"/>
                <w:lang w:val="en-US"/>
              </w:rPr>
            </w:pPr>
            <w:r w:rsidRPr="00514B68">
              <w:rPr>
                <w:rFonts w:ascii="Times New Roman" w:hAnsi="Times New Roman" w:cs="Times New Roman"/>
                <w:sz w:val="24"/>
                <w:szCs w:val="24"/>
                <w:lang w:val="en-US"/>
              </w:rPr>
              <w:t>10 (11.1%)</w:t>
            </w:r>
          </w:p>
        </w:tc>
        <w:tc>
          <w:tcPr>
            <w:tcW w:w="2113" w:type="dxa"/>
          </w:tcPr>
          <w:p w14:paraId="59E366FE" w14:textId="77777777" w:rsidR="000270A2" w:rsidRPr="00514B68" w:rsidRDefault="000270A2" w:rsidP="0006428E">
            <w:pPr>
              <w:spacing w:line="360" w:lineRule="auto"/>
              <w:jc w:val="center"/>
              <w:rPr>
                <w:rFonts w:ascii="Times New Roman" w:hAnsi="Times New Roman" w:cs="Times New Roman"/>
                <w:sz w:val="24"/>
                <w:szCs w:val="24"/>
                <w:lang w:val="en-US"/>
              </w:rPr>
            </w:pPr>
            <w:r w:rsidRPr="00514B68">
              <w:rPr>
                <w:rFonts w:ascii="Times New Roman" w:hAnsi="Times New Roman" w:cs="Times New Roman"/>
                <w:sz w:val="24"/>
                <w:szCs w:val="24"/>
                <w:lang w:val="en-US"/>
              </w:rPr>
              <w:t>22 (11.3%)</w:t>
            </w:r>
          </w:p>
        </w:tc>
      </w:tr>
      <w:tr w:rsidR="009E4E2F" w:rsidRPr="0006428E" w14:paraId="5545B065" w14:textId="77777777" w:rsidTr="00514B68">
        <w:trPr>
          <w:jc w:val="center"/>
        </w:trPr>
        <w:tc>
          <w:tcPr>
            <w:tcW w:w="2160" w:type="dxa"/>
          </w:tcPr>
          <w:p w14:paraId="1E194032" w14:textId="77777777" w:rsidR="009E4E2F" w:rsidRPr="00514B68" w:rsidRDefault="009E4E2F" w:rsidP="0006428E">
            <w:pPr>
              <w:spacing w:line="360" w:lineRule="auto"/>
              <w:rPr>
                <w:rFonts w:ascii="Times New Roman" w:hAnsi="Times New Roman" w:cs="Times New Roman"/>
                <w:b/>
                <w:sz w:val="24"/>
                <w:szCs w:val="24"/>
              </w:rPr>
            </w:pPr>
            <w:r w:rsidRPr="00514B68">
              <w:rPr>
                <w:rFonts w:ascii="Times New Roman" w:hAnsi="Times New Roman" w:cs="Times New Roman"/>
                <w:b/>
                <w:sz w:val="24"/>
                <w:szCs w:val="24"/>
              </w:rPr>
              <w:t>Autoeficacia matemática</w:t>
            </w:r>
          </w:p>
        </w:tc>
        <w:tc>
          <w:tcPr>
            <w:tcW w:w="1620" w:type="dxa"/>
          </w:tcPr>
          <w:p w14:paraId="49C08DE3" w14:textId="77777777" w:rsidR="009E4E2F" w:rsidRPr="00514B68" w:rsidRDefault="009E4E2F" w:rsidP="0006428E">
            <w:pPr>
              <w:spacing w:line="360" w:lineRule="auto"/>
              <w:jc w:val="center"/>
              <w:rPr>
                <w:rFonts w:ascii="Times New Roman" w:hAnsi="Times New Roman" w:cs="Times New Roman"/>
                <w:sz w:val="24"/>
                <w:szCs w:val="24"/>
                <w:lang w:val="en-US"/>
              </w:rPr>
            </w:pPr>
            <w:r w:rsidRPr="00514B68">
              <w:rPr>
                <w:rFonts w:ascii="Times New Roman" w:hAnsi="Times New Roman" w:cs="Times New Roman"/>
                <w:sz w:val="24"/>
                <w:szCs w:val="24"/>
                <w:lang w:val="en-US"/>
              </w:rPr>
              <w:t>28 (10.1%)</w:t>
            </w:r>
          </w:p>
        </w:tc>
        <w:tc>
          <w:tcPr>
            <w:tcW w:w="2117" w:type="dxa"/>
          </w:tcPr>
          <w:p w14:paraId="7B10217E" w14:textId="77777777" w:rsidR="009E4E2F" w:rsidRPr="00514B68" w:rsidRDefault="009E4E2F" w:rsidP="0006428E">
            <w:pPr>
              <w:spacing w:line="360" w:lineRule="auto"/>
              <w:jc w:val="center"/>
              <w:rPr>
                <w:rFonts w:ascii="Times New Roman" w:hAnsi="Times New Roman" w:cs="Times New Roman"/>
                <w:sz w:val="24"/>
                <w:szCs w:val="24"/>
                <w:lang w:val="en-US"/>
              </w:rPr>
            </w:pPr>
            <w:r w:rsidRPr="00514B68">
              <w:rPr>
                <w:rFonts w:ascii="Times New Roman" w:hAnsi="Times New Roman" w:cs="Times New Roman"/>
                <w:sz w:val="24"/>
                <w:szCs w:val="24"/>
                <w:lang w:val="en-US"/>
              </w:rPr>
              <w:t>9 (10.1%)</w:t>
            </w:r>
          </w:p>
        </w:tc>
        <w:tc>
          <w:tcPr>
            <w:tcW w:w="2113" w:type="dxa"/>
          </w:tcPr>
          <w:p w14:paraId="34E1CB6C" w14:textId="77777777" w:rsidR="009E4E2F" w:rsidRPr="00514B68" w:rsidRDefault="009E4E2F" w:rsidP="0006428E">
            <w:pPr>
              <w:spacing w:line="360" w:lineRule="auto"/>
              <w:jc w:val="center"/>
              <w:rPr>
                <w:rFonts w:ascii="Times New Roman" w:hAnsi="Times New Roman" w:cs="Times New Roman"/>
                <w:sz w:val="24"/>
                <w:szCs w:val="24"/>
                <w:lang w:val="en-US"/>
              </w:rPr>
            </w:pPr>
            <w:r w:rsidRPr="00514B68">
              <w:rPr>
                <w:rFonts w:ascii="Times New Roman" w:hAnsi="Times New Roman" w:cs="Times New Roman"/>
                <w:sz w:val="24"/>
                <w:szCs w:val="24"/>
                <w:lang w:val="en-US"/>
              </w:rPr>
              <w:t>19 (9.8%)</w:t>
            </w:r>
          </w:p>
        </w:tc>
      </w:tr>
    </w:tbl>
    <w:p w14:paraId="5496F557" w14:textId="5CF551CE" w:rsidR="007358DF" w:rsidRPr="00514B68" w:rsidRDefault="009E4E2F" w:rsidP="0006428E">
      <w:pPr>
        <w:spacing w:after="0" w:line="360" w:lineRule="auto"/>
        <w:rPr>
          <w:rFonts w:ascii="Times New Roman" w:hAnsi="Times New Roman" w:cs="Times New Roman"/>
          <w:sz w:val="20"/>
          <w:szCs w:val="16"/>
        </w:rPr>
      </w:pPr>
      <w:r w:rsidRPr="00514B68">
        <w:rPr>
          <w:rFonts w:ascii="Times New Roman" w:hAnsi="Times New Roman" w:cs="Times New Roman"/>
          <w:sz w:val="20"/>
          <w:szCs w:val="16"/>
        </w:rPr>
        <w:t xml:space="preserve">Los </w:t>
      </w:r>
      <w:r w:rsidR="000270A2" w:rsidRPr="00514B68">
        <w:rPr>
          <w:rFonts w:ascii="Times New Roman" w:hAnsi="Times New Roman" w:cs="Times New Roman"/>
          <w:sz w:val="20"/>
          <w:szCs w:val="16"/>
        </w:rPr>
        <w:t>participantes</w:t>
      </w:r>
      <w:r w:rsidRPr="00514B68">
        <w:rPr>
          <w:rFonts w:ascii="Times New Roman" w:hAnsi="Times New Roman" w:cs="Times New Roman"/>
          <w:sz w:val="20"/>
          <w:szCs w:val="16"/>
        </w:rPr>
        <w:t xml:space="preserve"> </w:t>
      </w:r>
      <w:r w:rsidR="000270A2" w:rsidRPr="00514B68">
        <w:rPr>
          <w:rFonts w:ascii="Times New Roman" w:hAnsi="Times New Roman" w:cs="Times New Roman"/>
          <w:sz w:val="20"/>
          <w:szCs w:val="16"/>
        </w:rPr>
        <w:t>con</w:t>
      </w:r>
      <w:r w:rsidRPr="00514B68">
        <w:rPr>
          <w:rFonts w:ascii="Times New Roman" w:hAnsi="Times New Roman" w:cs="Times New Roman"/>
          <w:sz w:val="20"/>
          <w:szCs w:val="16"/>
        </w:rPr>
        <w:t xml:space="preserve"> respuestas que no se </w:t>
      </w:r>
      <w:r w:rsidR="000270A2" w:rsidRPr="00514B68">
        <w:rPr>
          <w:rFonts w:ascii="Times New Roman" w:hAnsi="Times New Roman" w:cs="Times New Roman"/>
          <w:sz w:val="20"/>
          <w:szCs w:val="16"/>
        </w:rPr>
        <w:t>podían</w:t>
      </w:r>
      <w:r w:rsidRPr="00514B68">
        <w:rPr>
          <w:rFonts w:ascii="Times New Roman" w:hAnsi="Times New Roman" w:cs="Times New Roman"/>
          <w:sz w:val="20"/>
          <w:szCs w:val="16"/>
        </w:rPr>
        <w:t xml:space="preserve"> analizar con estos códigos fueron eliminados </w:t>
      </w:r>
      <w:r w:rsidR="000270A2" w:rsidRPr="00514B68">
        <w:rPr>
          <w:rFonts w:ascii="Times New Roman" w:hAnsi="Times New Roman" w:cs="Times New Roman"/>
          <w:sz w:val="20"/>
          <w:szCs w:val="16"/>
        </w:rPr>
        <w:t>de esta parte del estudio.</w:t>
      </w:r>
    </w:p>
    <w:p w14:paraId="4A503243" w14:textId="23AC80EA" w:rsidR="00A424AB" w:rsidRPr="00514B68" w:rsidRDefault="00A424AB" w:rsidP="00514B68">
      <w:pPr>
        <w:spacing w:after="0" w:line="360" w:lineRule="auto"/>
        <w:jc w:val="center"/>
        <w:rPr>
          <w:rFonts w:ascii="Times New Roman" w:hAnsi="Times New Roman" w:cs="Times New Roman"/>
          <w:sz w:val="36"/>
          <w:szCs w:val="24"/>
        </w:rPr>
      </w:pPr>
      <w:r w:rsidRPr="00514B68">
        <w:rPr>
          <w:rFonts w:ascii="Times New Roman" w:hAnsi="Times New Roman" w:cs="Times New Roman"/>
          <w:sz w:val="24"/>
          <w:szCs w:val="20"/>
        </w:rPr>
        <w:t>Fuente: Elaboración propia</w:t>
      </w:r>
    </w:p>
    <w:p w14:paraId="05E2C805" w14:textId="26ED5886" w:rsidR="00CD14AF" w:rsidRDefault="00CD14AF" w:rsidP="0006428E">
      <w:pPr>
        <w:spacing w:after="0" w:line="360" w:lineRule="auto"/>
        <w:rPr>
          <w:rFonts w:ascii="Times New Roman" w:hAnsi="Times New Roman" w:cs="Times New Roman"/>
          <w:b/>
          <w:sz w:val="24"/>
          <w:szCs w:val="24"/>
        </w:rPr>
      </w:pPr>
    </w:p>
    <w:p w14:paraId="7A69DBF3" w14:textId="4A280039" w:rsidR="00586E48" w:rsidRDefault="00586E48" w:rsidP="0006428E">
      <w:pPr>
        <w:spacing w:after="0" w:line="360" w:lineRule="auto"/>
        <w:rPr>
          <w:rFonts w:ascii="Times New Roman" w:hAnsi="Times New Roman" w:cs="Times New Roman"/>
          <w:b/>
          <w:sz w:val="24"/>
          <w:szCs w:val="24"/>
        </w:rPr>
      </w:pPr>
    </w:p>
    <w:p w14:paraId="7B9D69CA" w14:textId="60F0577A" w:rsidR="00586E48" w:rsidRDefault="00586E48" w:rsidP="0006428E">
      <w:pPr>
        <w:spacing w:after="0" w:line="360" w:lineRule="auto"/>
        <w:rPr>
          <w:rFonts w:ascii="Times New Roman" w:hAnsi="Times New Roman" w:cs="Times New Roman"/>
          <w:b/>
          <w:sz w:val="24"/>
          <w:szCs w:val="24"/>
        </w:rPr>
      </w:pPr>
    </w:p>
    <w:p w14:paraId="7F58CF23" w14:textId="77777777" w:rsidR="00586E48" w:rsidRDefault="00586E48" w:rsidP="0006428E">
      <w:pPr>
        <w:spacing w:after="0" w:line="360" w:lineRule="auto"/>
        <w:rPr>
          <w:rFonts w:ascii="Times New Roman" w:hAnsi="Times New Roman" w:cs="Times New Roman"/>
          <w:b/>
          <w:sz w:val="24"/>
          <w:szCs w:val="24"/>
        </w:rPr>
      </w:pPr>
    </w:p>
    <w:p w14:paraId="3E4EFBF9" w14:textId="0C5722E8" w:rsidR="00427867" w:rsidRPr="00737371" w:rsidRDefault="00010735" w:rsidP="0006428E">
      <w:pPr>
        <w:spacing w:after="0" w:line="360" w:lineRule="auto"/>
        <w:rPr>
          <w:rFonts w:ascii="Calibri" w:eastAsia="Times New Roman" w:hAnsi="Calibri" w:cs="Calibri"/>
          <w:b/>
          <w:color w:val="000000" w:themeColor="text1"/>
          <w:sz w:val="28"/>
          <w:szCs w:val="28"/>
          <w:lang w:val="es-ES_tradnl" w:eastAsia="es-MX"/>
        </w:rPr>
      </w:pPr>
      <w:r w:rsidRPr="00737371">
        <w:rPr>
          <w:rFonts w:ascii="Calibri" w:eastAsia="Times New Roman" w:hAnsi="Calibri" w:cs="Calibri"/>
          <w:b/>
          <w:color w:val="000000" w:themeColor="text1"/>
          <w:sz w:val="28"/>
          <w:szCs w:val="28"/>
          <w:lang w:val="es-ES_tradnl" w:eastAsia="es-MX"/>
        </w:rPr>
        <w:lastRenderedPageBreak/>
        <w:t>D</w:t>
      </w:r>
      <w:r w:rsidR="00427867" w:rsidRPr="00737371">
        <w:rPr>
          <w:rFonts w:ascii="Calibri" w:eastAsia="Times New Roman" w:hAnsi="Calibri" w:cs="Calibri"/>
          <w:b/>
          <w:color w:val="000000" w:themeColor="text1"/>
          <w:sz w:val="28"/>
          <w:szCs w:val="28"/>
          <w:lang w:val="es-ES_tradnl" w:eastAsia="es-MX"/>
        </w:rPr>
        <w:t>iscusión</w:t>
      </w:r>
    </w:p>
    <w:p w14:paraId="77255279" w14:textId="05B38665" w:rsidR="00703A28" w:rsidRDefault="00550E47" w:rsidP="00514B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Las diferencias que se encontraron entre los factores que pueden ser significativos para predecir la probabilidad de que un estudiante seleccione una ingeniería como su carrera profesional sugieren que los jóvenes pueden tener diferentes </w:t>
      </w:r>
      <w:r w:rsidR="00DC18DB">
        <w:rPr>
          <w:rFonts w:ascii="Times New Roman" w:hAnsi="Times New Roman" w:cs="Times New Roman"/>
          <w:sz w:val="24"/>
          <w:szCs w:val="24"/>
        </w:rPr>
        <w:t>razones</w:t>
      </w:r>
      <w:r>
        <w:rPr>
          <w:rFonts w:ascii="Times New Roman" w:hAnsi="Times New Roman" w:cs="Times New Roman"/>
          <w:sz w:val="24"/>
          <w:szCs w:val="24"/>
        </w:rPr>
        <w:t xml:space="preserve"> e influencias que los lleve</w:t>
      </w:r>
      <w:r w:rsidR="00DC18DB">
        <w:rPr>
          <w:rFonts w:ascii="Times New Roman" w:hAnsi="Times New Roman" w:cs="Times New Roman"/>
          <w:sz w:val="24"/>
          <w:szCs w:val="24"/>
        </w:rPr>
        <w:t>n</w:t>
      </w:r>
      <w:r>
        <w:rPr>
          <w:rFonts w:ascii="Times New Roman" w:hAnsi="Times New Roman" w:cs="Times New Roman"/>
          <w:sz w:val="24"/>
          <w:szCs w:val="24"/>
        </w:rPr>
        <w:t xml:space="preserve"> a interesarse en alg</w:t>
      </w:r>
      <w:r w:rsidR="00655B73">
        <w:rPr>
          <w:rFonts w:ascii="Times New Roman" w:hAnsi="Times New Roman" w:cs="Times New Roman"/>
          <w:sz w:val="24"/>
          <w:szCs w:val="24"/>
        </w:rPr>
        <w:t>ún programa educativo de esta rama</w:t>
      </w:r>
      <w:r w:rsidR="00DC18DB">
        <w:rPr>
          <w:rFonts w:ascii="Times New Roman" w:hAnsi="Times New Roman" w:cs="Times New Roman"/>
          <w:sz w:val="24"/>
          <w:szCs w:val="24"/>
        </w:rPr>
        <w:t>. Según los resultados de los diferentes grupos que se analizaron, las</w:t>
      </w:r>
      <w:r>
        <w:rPr>
          <w:rFonts w:ascii="Times New Roman" w:hAnsi="Times New Roman" w:cs="Times New Roman"/>
          <w:sz w:val="24"/>
          <w:szCs w:val="24"/>
        </w:rPr>
        <w:t xml:space="preserve"> razones </w:t>
      </w:r>
      <w:r w:rsidR="00DC18DB">
        <w:rPr>
          <w:rFonts w:ascii="Times New Roman" w:hAnsi="Times New Roman" w:cs="Times New Roman"/>
          <w:sz w:val="24"/>
          <w:szCs w:val="24"/>
        </w:rPr>
        <w:t xml:space="preserve">que los estudiantes tienen para seleccionar una ingeniería </w:t>
      </w:r>
      <w:r>
        <w:rPr>
          <w:rFonts w:ascii="Times New Roman" w:hAnsi="Times New Roman" w:cs="Times New Roman"/>
          <w:sz w:val="24"/>
          <w:szCs w:val="24"/>
        </w:rPr>
        <w:t>pueden variar dependiendo de</w:t>
      </w:r>
      <w:r w:rsidR="00DC18DB">
        <w:rPr>
          <w:rFonts w:ascii="Times New Roman" w:hAnsi="Times New Roman" w:cs="Times New Roman"/>
          <w:sz w:val="24"/>
          <w:szCs w:val="24"/>
        </w:rPr>
        <w:t>l</w:t>
      </w:r>
      <w:r>
        <w:rPr>
          <w:rFonts w:ascii="Times New Roman" w:hAnsi="Times New Roman" w:cs="Times New Roman"/>
          <w:sz w:val="24"/>
          <w:szCs w:val="24"/>
        </w:rPr>
        <w:t xml:space="preserve"> nivel de preparación matemática </w:t>
      </w:r>
      <w:r w:rsidR="00DC18DB">
        <w:rPr>
          <w:rFonts w:ascii="Times New Roman" w:hAnsi="Times New Roman" w:cs="Times New Roman"/>
          <w:sz w:val="24"/>
          <w:szCs w:val="24"/>
        </w:rPr>
        <w:t>que tengan al momento de tomar esta importante decisión. Entender las diferencia</w:t>
      </w:r>
      <w:r w:rsidR="008300CA">
        <w:rPr>
          <w:rFonts w:ascii="Times New Roman" w:hAnsi="Times New Roman" w:cs="Times New Roman"/>
          <w:sz w:val="24"/>
          <w:szCs w:val="24"/>
        </w:rPr>
        <w:t>s</w:t>
      </w:r>
      <w:r w:rsidR="00DC18DB">
        <w:rPr>
          <w:rFonts w:ascii="Times New Roman" w:hAnsi="Times New Roman" w:cs="Times New Roman"/>
          <w:sz w:val="24"/>
          <w:szCs w:val="24"/>
        </w:rPr>
        <w:t xml:space="preserve"> que existen entre estudiantes con diferentes habilidades matemáticas </w:t>
      </w:r>
      <w:r w:rsidR="008300CA">
        <w:rPr>
          <w:rFonts w:ascii="Times New Roman" w:hAnsi="Times New Roman" w:cs="Times New Roman"/>
          <w:sz w:val="24"/>
          <w:szCs w:val="24"/>
        </w:rPr>
        <w:t xml:space="preserve">al escoger una ingeniería </w:t>
      </w:r>
      <w:r w:rsidR="00DC18DB">
        <w:rPr>
          <w:rFonts w:ascii="Times New Roman" w:hAnsi="Times New Roman" w:cs="Times New Roman"/>
          <w:sz w:val="24"/>
          <w:szCs w:val="24"/>
        </w:rPr>
        <w:t xml:space="preserve">puede ser de gran ayuda para mejorar </w:t>
      </w:r>
      <w:r w:rsidR="008300CA">
        <w:rPr>
          <w:rFonts w:ascii="Times New Roman" w:hAnsi="Times New Roman" w:cs="Times New Roman"/>
          <w:sz w:val="24"/>
          <w:szCs w:val="24"/>
        </w:rPr>
        <w:t xml:space="preserve">las probabilidades de que los jóvenes se puedan interesar </w:t>
      </w:r>
      <w:r w:rsidR="00584937">
        <w:rPr>
          <w:rFonts w:ascii="Times New Roman" w:hAnsi="Times New Roman" w:cs="Times New Roman"/>
          <w:sz w:val="24"/>
          <w:szCs w:val="24"/>
        </w:rPr>
        <w:t xml:space="preserve">en </w:t>
      </w:r>
      <w:r w:rsidR="008E1699">
        <w:rPr>
          <w:rFonts w:ascii="Times New Roman" w:hAnsi="Times New Roman" w:cs="Times New Roman"/>
          <w:sz w:val="24"/>
          <w:szCs w:val="24"/>
        </w:rPr>
        <w:t>estas carreras sin sentirse intimidados por su fuerte contenido matemático</w:t>
      </w:r>
      <w:r w:rsidR="008300CA">
        <w:rPr>
          <w:rFonts w:ascii="Times New Roman" w:hAnsi="Times New Roman" w:cs="Times New Roman"/>
          <w:sz w:val="24"/>
          <w:szCs w:val="24"/>
        </w:rPr>
        <w:t xml:space="preserve">. </w:t>
      </w:r>
    </w:p>
    <w:p w14:paraId="6DD9F60C" w14:textId="37DCA653" w:rsidR="00C832BC" w:rsidRDefault="00900ED4" w:rsidP="00514B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703A28">
        <w:rPr>
          <w:rFonts w:ascii="Times New Roman" w:hAnsi="Times New Roman" w:cs="Times New Roman"/>
          <w:sz w:val="24"/>
          <w:szCs w:val="24"/>
        </w:rPr>
        <w:t xml:space="preserve">l único factor que demostró ser significativo al seleccionar una ingeniería como carrera profesional para todos los grupos que se analizaron fue </w:t>
      </w:r>
      <w:r w:rsidR="003F5579">
        <w:rPr>
          <w:rFonts w:ascii="Times New Roman" w:hAnsi="Times New Roman" w:cs="Times New Roman"/>
          <w:sz w:val="24"/>
          <w:szCs w:val="24"/>
        </w:rPr>
        <w:t>el d</w:t>
      </w:r>
      <w:r w:rsidR="00703A28">
        <w:rPr>
          <w:rFonts w:ascii="Times New Roman" w:hAnsi="Times New Roman" w:cs="Times New Roman"/>
          <w:sz w:val="24"/>
          <w:szCs w:val="24"/>
        </w:rPr>
        <w:t>e</w:t>
      </w:r>
      <w:r w:rsidR="003F5579">
        <w:rPr>
          <w:rFonts w:ascii="Times New Roman" w:hAnsi="Times New Roman" w:cs="Times New Roman"/>
          <w:sz w:val="24"/>
          <w:szCs w:val="24"/>
        </w:rPr>
        <w:t>l</w:t>
      </w:r>
      <w:r w:rsidR="00703A28">
        <w:rPr>
          <w:rFonts w:ascii="Times New Roman" w:hAnsi="Times New Roman" w:cs="Times New Roman"/>
          <w:sz w:val="24"/>
          <w:szCs w:val="24"/>
        </w:rPr>
        <w:t xml:space="preserve"> </w:t>
      </w:r>
      <w:r w:rsidR="00DA3A52">
        <w:rPr>
          <w:rFonts w:ascii="Times New Roman" w:hAnsi="Times New Roman" w:cs="Times New Roman"/>
          <w:sz w:val="24"/>
          <w:szCs w:val="24"/>
        </w:rPr>
        <w:t xml:space="preserve">género </w:t>
      </w:r>
      <w:r w:rsidR="00703A28">
        <w:rPr>
          <w:rFonts w:ascii="Times New Roman" w:hAnsi="Times New Roman" w:cs="Times New Roman"/>
          <w:sz w:val="24"/>
          <w:szCs w:val="24"/>
        </w:rPr>
        <w:t>de los participantes. E</w:t>
      </w:r>
      <w:r w:rsidR="00EF1844">
        <w:rPr>
          <w:rFonts w:ascii="Times New Roman" w:hAnsi="Times New Roman" w:cs="Times New Roman"/>
          <w:sz w:val="24"/>
          <w:szCs w:val="24"/>
        </w:rPr>
        <w:t>ste resultado era algo esperado, ya que</w:t>
      </w:r>
      <w:r w:rsidR="00FD307D">
        <w:rPr>
          <w:rFonts w:ascii="Times New Roman" w:hAnsi="Times New Roman" w:cs="Times New Roman"/>
          <w:sz w:val="24"/>
          <w:szCs w:val="24"/>
        </w:rPr>
        <w:t xml:space="preserve">, tal cual se mencionó </w:t>
      </w:r>
      <w:r w:rsidR="00BA2CCB">
        <w:rPr>
          <w:rFonts w:ascii="Times New Roman" w:hAnsi="Times New Roman" w:cs="Times New Roman"/>
          <w:sz w:val="24"/>
          <w:szCs w:val="24"/>
        </w:rPr>
        <w:t>anteriormente,</w:t>
      </w:r>
      <w:r w:rsidR="00EF1844">
        <w:rPr>
          <w:rFonts w:ascii="Times New Roman" w:hAnsi="Times New Roman" w:cs="Times New Roman"/>
          <w:sz w:val="24"/>
          <w:szCs w:val="24"/>
        </w:rPr>
        <w:t xml:space="preserve"> la literatura actual sugiere que los hombres son más propensos a seleccionar ingeniería que sus compañeras mujeres </w:t>
      </w:r>
      <w:r w:rsidR="00EF1844">
        <w:rPr>
          <w:rFonts w:ascii="Times New Roman" w:hAnsi="Times New Roman" w:cs="Times New Roman"/>
          <w:sz w:val="24"/>
          <w:szCs w:val="24"/>
        </w:rPr>
        <w:fldChar w:fldCharType="begin" w:fldLock="1"/>
      </w:r>
      <w:r w:rsidR="0096183A">
        <w:rPr>
          <w:rFonts w:ascii="Times New Roman" w:hAnsi="Times New Roman" w:cs="Times New Roman"/>
          <w:sz w:val="24"/>
          <w:szCs w:val="24"/>
        </w:rPr>
        <w:instrText>ADDIN CSL_CITATION {"citationItems":[{"id":"ITEM-1","itemData":{"DOI":"10.2307/749515","ISBN":"00218251","ISSN":"00218251","abstract":"This study investigated the relationship between mathematical performance and mathematics self-efficacy, attitudes toward mathematics, and the choice of mathematics-related majors by 153 college women and 109 college men. Mathematics performance was correlated moderately with mathematics self-efficacy. No support was found for Hackett and Betz's (1981) hypothesis that women's mathematics self-efficacy expectations are unrealistically low compared to men's. Both mathematics performance and mathematics self-efficacy were significantly and positively correlated with attitudes toward mathematics, masculine sex-role orientation, and a mathematics-related major. Regression analyses supported the superiority of mathematics self-efficacy over mathematics performance and achievement variables in predicting the choice of a mathematics-related major. CR - Copyright &amp;#169; 1989 National Council of Teachers of Mathematics","author":[{"dropping-particle":"","family":"Hackett","given":"Gail","non-dropping-particle":"","parse-names":false,"suffix":""},{"dropping-particle":"","family":"Betz","given":"Nancy E","non-dropping-particle":"","parse-names":false,"suffix":""}],"container-title":"Journal for Research in Mathematics Education","id":"ITEM-1","issue":"3","issued":{"date-parts":[["1989"]]},"page":"261-273","title":"An Exploration of the Mathematics Self-Efficacy/Mathematics Performance Correspondence","type":"article-journal","volume":"20"},"uris":["http://www.mendeley.com/documents/?uuid=09e14832-f87d-440e-9f81-a2f2adee845f"]},{"id":"ITEM-2","itemData":{"DOI":"10.1002/j.2168-9830.2011.tb00012.x","ISBN":"10694730","ISSN":"1069-4730","PMID":"62286539","abstract":"BACKGROUND Concern for workforce needs, social justice, and the diversification of the engineering profession make it critical to understand how different metrics may overestimate or underestimate the success of various race-gender populations in engineering. PURPOSE(HYPOTHESIS) While earlier work found that women in nearly all racial groups persist to the eighth semester at rates comparable to men, results vary in studies that use other measures of success, providing an incentive to compare multiple measures of success in the same population. DESIGN/METHOD The eight-semester persistence and six-year graduation rates are compared for various race-gender popu- lations using a longitudinal, comprehensive dataset of more than 75,000 students matriculating in engi- neering at nine universities from 1988–1998. RESULTS Gender differences in persistence of Asian, Black, Hispanic, Native American, and White students are far outweighed by institutional differences. Racial differences are more pronounced, however, revealing some patterns that transcend institutional differences. CONCLUSIONS Our work demonstrates that trajectories of persistence are non-linear, gendered, and racialized, and fur- ther that higher education has developed the way in which persistence is studied based on the behavior of the majority, specificallly the White, male population. Even if institutions were to treat all students equal- ly, the outcomes will not necessarily be the same because various populations respond differently to the same conditions. Using eight-semester persistence may result in a “systematic majority measurement bias.” Therefore, multiple measures may be needed to describe outcomes in diverse populations.","author":[{"dropping-particle":"","family":"Ohland","given":"Matthew W.","non-dropping-particle":"","parse-names":false,"suffix":""},{"dropping-particle":"","family":"Brawner","given":"Catherine E.","non-dropping-particle":"","parse-names":false,"suffix":""},{"dropping-particle":"","family":"Camacho","given":"Michelle M.","non-dropping-particle":"","parse-names":false,"suffix":""},{"dropping-particle":"","family":"Layton","given":"Richard a.","non-dropping-particle":"","parse-names":false,"suffix":""},{"dropping-particle":"","family":"Long","given":"Russel a.","non-dropping-particle":"","parse-names":false,"suffix":""},{"dropping-particle":"","family":"Lord","given":"Susan M.","non-dropping-particle":"","parse-names":false,"suffix":""},{"dropping-particle":"","family":"Wasburn","given":"Mara H.","non-dropping-particle":"","parse-names":false,"suffix":""}],"container-title":"Journal of Engineering Education","id":"ITEM-2","issue":"2","issued":{"date-parts":[["2011"]]},"page":"225-252","title":"Race, gender, and measures of success in engineering education","type":"article-journal","volume":"100"},"uris":["http://www.mendeley.com/documents/?uuid=91239005-9d38-4e3b-bde1-fd4155d51a25"]},{"id":"ITEM-3","itemData":{"author":[{"dropping-particle":"","family":"Paderewski-rodríguez","given":"Patricia","non-dropping-particle":"","parse-names":false,"suffix":""},{"dropping-particle":"","family":"García-arenas","given":"María Isabel","non-dropping-particle":"","parse-names":false,"suffix":""},{"dropping-particle":"","family":"Gil-iranzo","given":"Rosa María","non-dropping-particle":"","parse-names":false,"suffix":""},{"dropping-particle":"","family":"González","given":"Carina S","non-dropping-particle":"","parse-names":false,"suffix":""},{"dropping-particle":"","family":"Ortigosa","given":"Eva M","non-dropping-particle":"","parse-names":false,"suffix":""},{"dropping-particle":"","family":"Padilla-zea","given":"Natalia","non-dropping-particle":"","parse-names":false,"suffix":""}],"container-title":"IEEE Revista Iberoamericana de Tecnologias del Aprendizaje","id":"ITEM-3","issue":"2","issued":{"date-parts":[["2017"]]},"page":"106-114","title":"Initiatives and Strategies to Encourage Women into Engineering","type":"article-journal","volume":"12"},"uris":["http://www.mendeley.com/documents/?uuid=1fc3a2e9-aa17-4733-9fe4-184b76df594c"]}],"mendeley":{"formattedCitation":"(Hackett &amp; Betz, 1989; Ohland et al., 2011; Paderewski-rodríguez et al., 2017)","plainTextFormattedCitation":"(Hackett &amp; Betz, 1989; Ohland et al., 2011; Paderewski-rodríguez et al., 2017)","previouslyFormattedCitation":"(Hackett &amp; Betz, 1989; Ohland et al., 2011)"},"properties":{"noteIndex":0},"schema":"https://github.com/citation-style-language/schema/raw/master/csl-citation.json"}</w:instrText>
      </w:r>
      <w:r w:rsidR="00EF1844">
        <w:rPr>
          <w:rFonts w:ascii="Times New Roman" w:hAnsi="Times New Roman" w:cs="Times New Roman"/>
          <w:sz w:val="24"/>
          <w:szCs w:val="24"/>
        </w:rPr>
        <w:fldChar w:fldCharType="separate"/>
      </w:r>
      <w:r w:rsidR="0096183A" w:rsidRPr="0096183A">
        <w:rPr>
          <w:rFonts w:ascii="Times New Roman" w:hAnsi="Times New Roman" w:cs="Times New Roman"/>
          <w:noProof/>
          <w:sz w:val="24"/>
          <w:szCs w:val="24"/>
        </w:rPr>
        <w:t xml:space="preserve">(Hackett </w:t>
      </w:r>
      <w:r w:rsidR="00BA2CCB">
        <w:rPr>
          <w:rFonts w:ascii="Times New Roman" w:hAnsi="Times New Roman" w:cs="Times New Roman"/>
          <w:noProof/>
          <w:sz w:val="24"/>
          <w:szCs w:val="24"/>
        </w:rPr>
        <w:t>y</w:t>
      </w:r>
      <w:r w:rsidR="00BA2CCB" w:rsidRPr="0096183A">
        <w:rPr>
          <w:rFonts w:ascii="Times New Roman" w:hAnsi="Times New Roman" w:cs="Times New Roman"/>
          <w:noProof/>
          <w:sz w:val="24"/>
          <w:szCs w:val="24"/>
        </w:rPr>
        <w:t xml:space="preserve"> </w:t>
      </w:r>
      <w:r w:rsidR="0096183A" w:rsidRPr="0096183A">
        <w:rPr>
          <w:rFonts w:ascii="Times New Roman" w:hAnsi="Times New Roman" w:cs="Times New Roman"/>
          <w:noProof/>
          <w:sz w:val="24"/>
          <w:szCs w:val="24"/>
        </w:rPr>
        <w:t xml:space="preserve">Betz, 1989; Ohland </w:t>
      </w:r>
      <w:r w:rsidR="0096183A" w:rsidRPr="00514B68">
        <w:rPr>
          <w:rFonts w:ascii="Times New Roman" w:hAnsi="Times New Roman" w:cs="Times New Roman"/>
          <w:i/>
          <w:noProof/>
          <w:sz w:val="24"/>
          <w:szCs w:val="24"/>
        </w:rPr>
        <w:t>et al</w:t>
      </w:r>
      <w:r w:rsidR="0096183A" w:rsidRPr="0096183A">
        <w:rPr>
          <w:rFonts w:ascii="Times New Roman" w:hAnsi="Times New Roman" w:cs="Times New Roman"/>
          <w:noProof/>
          <w:sz w:val="24"/>
          <w:szCs w:val="24"/>
        </w:rPr>
        <w:t xml:space="preserve">., 2011; Paderewski </w:t>
      </w:r>
      <w:r w:rsidR="0096183A" w:rsidRPr="00514B68">
        <w:rPr>
          <w:rFonts w:ascii="Times New Roman" w:hAnsi="Times New Roman" w:cs="Times New Roman"/>
          <w:i/>
          <w:noProof/>
          <w:sz w:val="24"/>
          <w:szCs w:val="24"/>
        </w:rPr>
        <w:t>et al.</w:t>
      </w:r>
      <w:r w:rsidR="0096183A" w:rsidRPr="0096183A">
        <w:rPr>
          <w:rFonts w:ascii="Times New Roman" w:hAnsi="Times New Roman" w:cs="Times New Roman"/>
          <w:noProof/>
          <w:sz w:val="24"/>
          <w:szCs w:val="24"/>
        </w:rPr>
        <w:t>, 2017)</w:t>
      </w:r>
      <w:r w:rsidR="00EF1844">
        <w:rPr>
          <w:rFonts w:ascii="Times New Roman" w:hAnsi="Times New Roman" w:cs="Times New Roman"/>
          <w:sz w:val="24"/>
          <w:szCs w:val="24"/>
        </w:rPr>
        <w:fldChar w:fldCharType="end"/>
      </w:r>
      <w:r w:rsidR="00EF1844">
        <w:rPr>
          <w:rFonts w:ascii="Times New Roman" w:hAnsi="Times New Roman" w:cs="Times New Roman"/>
          <w:sz w:val="24"/>
          <w:szCs w:val="24"/>
        </w:rPr>
        <w:t xml:space="preserve">. Esta diferencia tan marcada entre el interés de </w:t>
      </w:r>
      <w:r w:rsidR="005178C2">
        <w:rPr>
          <w:rFonts w:ascii="Times New Roman" w:hAnsi="Times New Roman" w:cs="Times New Roman"/>
          <w:sz w:val="24"/>
          <w:szCs w:val="24"/>
        </w:rPr>
        <w:t>prepararse como ingenieros</w:t>
      </w:r>
      <w:r w:rsidR="00EF1844">
        <w:rPr>
          <w:rFonts w:ascii="Times New Roman" w:hAnsi="Times New Roman" w:cs="Times New Roman"/>
          <w:sz w:val="24"/>
          <w:szCs w:val="24"/>
        </w:rPr>
        <w:t xml:space="preserve"> por parte de los hombres y las mujeres puede estar relacionada a estereotipos y ambientes negativos que afectan a las mujeres que intentan involucrarse en carreras y actividades relacionadas con las matemáticas </w:t>
      </w:r>
      <w:r w:rsidR="00EF1844">
        <w:rPr>
          <w:rFonts w:ascii="Times New Roman" w:hAnsi="Times New Roman" w:cs="Times New Roman"/>
          <w:sz w:val="24"/>
          <w:szCs w:val="24"/>
        </w:rPr>
        <w:fldChar w:fldCharType="begin" w:fldLock="1"/>
      </w:r>
      <w:r w:rsidR="0096183A">
        <w:rPr>
          <w:rFonts w:ascii="Times New Roman" w:hAnsi="Times New Roman" w:cs="Times New Roman"/>
          <w:sz w:val="24"/>
          <w:szCs w:val="24"/>
        </w:rPr>
        <w:instrText>ADDIN CSL_CITATION {"citationItems":[{"id":"ITEM-1","itemData":{"DOI":"10.1006/jesp.2001.1491","ISBN":"0022-1031","ISSN":"00221031","PMID":"173989800002","abstract":"African American college students tend to obtain lower grades than their White counterparts, even when they enter college with equivalent test scores. Past research suggests that negative stereotypes impugning Black students’ intellectual abilities play a role in this underperformance. Awareness of these stereotypes can psychologically threaten African Americans, a phenomenon known as “stereotype threat” (Steele &amp; Aronson, 1995), which can in turn provoke responses that impair both academic performance and psychological engagement with academics. An experiment was performed to test a method of helping students resist these responses to stereotype threat. Specifically, students in the experimental condition of the experiment were encouraged to see intelligence—the object of the stereotype—as a malleable rather than fixed capacity. This mind-set was predicted to make students’ performances less vulnerable to stereotype threat and help them maintain their psychological engagement with academics, both of which could help boost their college grades. Results were consistent with predictions. The African American students (and, to some degree, the White students) encouraged to view intelligence as malleable reported greater enjoyment of the academic process, greater academic engagement, and obtained higher grade point averages than their counterparts in two control groups.","author":[{"dropping-particle":"","family":"Aronson","given":"Joshua","non-dropping-particle":"","parse-names":false,"suffix":""},{"dropping-particle":"","family":"Fried","given":"Carrie B.","non-dropping-particle":"","parse-names":false,"suffix":""},{"dropping-particle":"","family":"Good","given":"Catherine","non-dropping-particle":"","parse-names":false,"suffix":""}],"container-title":"Journal of Experimental Social Psychology","id":"ITEM-1","issued":{"date-parts":[["2002"]]},"page":"113-125","title":"Reducing the effects of stereotype threat on African American college students by shaping theories of intelligence","type":"article-journal","volume":"38"},"uris":["http://www.mendeley.com/documents/?uuid=938da6cb-ad43-466a-bb6a-489a9a13c19f"]}],"mendeley":{"formattedCitation":"(Aronson et al., 2002)","plainTextFormattedCitation":"(Aronson et al., 2002)","previouslyFormattedCitation":"(Aronson et al., 2002)"},"properties":{"noteIndex":0},"schema":"https://github.com/citation-style-language/schema/raw/master/csl-citation.json"}</w:instrText>
      </w:r>
      <w:r w:rsidR="00EF1844">
        <w:rPr>
          <w:rFonts w:ascii="Times New Roman" w:hAnsi="Times New Roman" w:cs="Times New Roman"/>
          <w:sz w:val="24"/>
          <w:szCs w:val="24"/>
        </w:rPr>
        <w:fldChar w:fldCharType="separate"/>
      </w:r>
      <w:r w:rsidR="00EF1844" w:rsidRPr="0047241A">
        <w:rPr>
          <w:rFonts w:ascii="Times New Roman" w:hAnsi="Times New Roman" w:cs="Times New Roman"/>
          <w:noProof/>
          <w:sz w:val="24"/>
          <w:szCs w:val="24"/>
        </w:rPr>
        <w:t xml:space="preserve">(Aronson </w:t>
      </w:r>
      <w:r w:rsidR="00EF1844" w:rsidRPr="00514B68">
        <w:rPr>
          <w:rFonts w:ascii="Times New Roman" w:hAnsi="Times New Roman" w:cs="Times New Roman"/>
          <w:i/>
          <w:noProof/>
          <w:sz w:val="24"/>
          <w:szCs w:val="24"/>
        </w:rPr>
        <w:t>et al</w:t>
      </w:r>
      <w:r w:rsidR="00EF1844" w:rsidRPr="0047241A">
        <w:rPr>
          <w:rFonts w:ascii="Times New Roman" w:hAnsi="Times New Roman" w:cs="Times New Roman"/>
          <w:noProof/>
          <w:sz w:val="24"/>
          <w:szCs w:val="24"/>
        </w:rPr>
        <w:t>., 2002)</w:t>
      </w:r>
      <w:r w:rsidR="00EF1844">
        <w:rPr>
          <w:rFonts w:ascii="Times New Roman" w:hAnsi="Times New Roman" w:cs="Times New Roman"/>
          <w:sz w:val="24"/>
          <w:szCs w:val="24"/>
        </w:rPr>
        <w:fldChar w:fldCharType="end"/>
      </w:r>
      <w:r w:rsidR="00EF1844">
        <w:rPr>
          <w:rFonts w:ascii="Times New Roman" w:hAnsi="Times New Roman" w:cs="Times New Roman"/>
          <w:sz w:val="24"/>
          <w:szCs w:val="24"/>
        </w:rPr>
        <w:t>. Los estereotipos negativos que enfrentan las mujeres al realizar actividades matemáticas les pueden generar poca confianza en sus</w:t>
      </w:r>
      <w:r w:rsidR="006E0E83">
        <w:rPr>
          <w:rFonts w:ascii="Times New Roman" w:hAnsi="Times New Roman" w:cs="Times New Roman"/>
          <w:sz w:val="24"/>
          <w:szCs w:val="24"/>
        </w:rPr>
        <w:t xml:space="preserve"> capacidades</w:t>
      </w:r>
      <w:r w:rsidR="00AD6F9B">
        <w:rPr>
          <w:rFonts w:ascii="Times New Roman" w:hAnsi="Times New Roman" w:cs="Times New Roman"/>
          <w:sz w:val="24"/>
          <w:szCs w:val="24"/>
        </w:rPr>
        <w:t xml:space="preserve"> numéricas</w:t>
      </w:r>
      <w:r w:rsidR="00EF1844">
        <w:rPr>
          <w:rFonts w:ascii="Times New Roman" w:hAnsi="Times New Roman" w:cs="Times New Roman"/>
          <w:sz w:val="24"/>
          <w:szCs w:val="24"/>
        </w:rPr>
        <w:t xml:space="preserve">, estrés y poco interés en continuar un camino que las lleve a seleccionar una carrera profesional relacionada con las matemáticas </w:t>
      </w:r>
      <w:r w:rsidR="00EF1844">
        <w:rPr>
          <w:rFonts w:ascii="Times New Roman" w:hAnsi="Times New Roman" w:cs="Times New Roman"/>
          <w:sz w:val="24"/>
          <w:szCs w:val="24"/>
        </w:rPr>
        <w:fldChar w:fldCharType="begin" w:fldLock="1"/>
      </w:r>
      <w:r w:rsidR="0096183A">
        <w:rPr>
          <w:rFonts w:ascii="Times New Roman" w:hAnsi="Times New Roman" w:cs="Times New Roman"/>
          <w:sz w:val="24"/>
          <w:szCs w:val="24"/>
        </w:rPr>
        <w:instrText>ADDIN CSL_CITATION {"citationItems":[{"id":"ITEM-1","itemData":{"DOI":"10.1177/0956797613486989","ISSN":"1467-9280","PMID":"23985576","abstract":"Two studies were conducted to examine gender differences in trait (habitual) versus state (momentary) mathematics anxiety in a sample of students (Study 1: N = 584; Study 2: N = 111). For trait math anxiety, the findings of both studies replicated previous research showing that female students report higher levels of anxiety than do male students. However, no gender differences were observed for state anxiety, as assessed using experience-sampling methods while students took a math test (Study 1) and attended math classes (Study 2). The discrepant findings for trait versus state math anxiety were partly accounted for by students' beliefs about their competence in mathematics, with female students reporting lower perceived competence than male students despite having the same average grades in math. Implications for educational practices and the assessment of anxiety are discussed.","author":[{"dropping-particle":"","family":"Goetz","given":"Thomas","non-dropping-particle":"","parse-names":false,"suffix":""},{"dropping-particle":"","family":"Bieg","given":"Madeleine","non-dropping-particle":"","parse-names":false,"suffix":""},{"dropping-particle":"","family":"Lüdtke","given":"Oliver","non-dropping-particle":"","parse-names":false,"suffix":""},{"dropping-particle":"","family":"Pekrun","given":"Reinhard","non-dropping-particle":"","parse-names":false,"suffix":""},{"dropping-particle":"","family":"Hall","given":"Nathan C","non-dropping-particle":"","parse-names":false,"suffix":""}],"container-title":"Psychological science","id":"ITEM-1","issue":"August","issued":{"date-parts":[["2013","8","28"]]},"title":"Do Girls Really Experience More Anxiety in Mathematics?","type":"article-journal"},"uris":["http://www.mendeley.com/documents/?uuid=701fd935-cce5-49a3-a0e4-7906c16b9f74"]}],"mendeley":{"formattedCitation":"(Goetz et al., 2013)","plainTextFormattedCitation":"(Goetz et al., 2013)","previouslyFormattedCitation":"(Goetz et al., 2013)"},"properties":{"noteIndex":0},"schema":"https://github.com/citation-style-language/schema/raw/master/csl-citation.json"}</w:instrText>
      </w:r>
      <w:r w:rsidR="00EF1844">
        <w:rPr>
          <w:rFonts w:ascii="Times New Roman" w:hAnsi="Times New Roman" w:cs="Times New Roman"/>
          <w:sz w:val="24"/>
          <w:szCs w:val="24"/>
        </w:rPr>
        <w:fldChar w:fldCharType="separate"/>
      </w:r>
      <w:r w:rsidR="00EF1844" w:rsidRPr="0047241A">
        <w:rPr>
          <w:rFonts w:ascii="Times New Roman" w:hAnsi="Times New Roman" w:cs="Times New Roman"/>
          <w:noProof/>
          <w:sz w:val="24"/>
          <w:szCs w:val="24"/>
        </w:rPr>
        <w:t xml:space="preserve">(Goetz </w:t>
      </w:r>
      <w:r w:rsidR="00EF1844" w:rsidRPr="00514B68">
        <w:rPr>
          <w:rFonts w:ascii="Times New Roman" w:hAnsi="Times New Roman" w:cs="Times New Roman"/>
          <w:i/>
          <w:noProof/>
          <w:sz w:val="24"/>
          <w:szCs w:val="24"/>
        </w:rPr>
        <w:t>et al.</w:t>
      </w:r>
      <w:r w:rsidR="00EF1844" w:rsidRPr="0047241A">
        <w:rPr>
          <w:rFonts w:ascii="Times New Roman" w:hAnsi="Times New Roman" w:cs="Times New Roman"/>
          <w:noProof/>
          <w:sz w:val="24"/>
          <w:szCs w:val="24"/>
        </w:rPr>
        <w:t>, 2013)</w:t>
      </w:r>
      <w:r w:rsidR="00EF1844">
        <w:rPr>
          <w:rFonts w:ascii="Times New Roman" w:hAnsi="Times New Roman" w:cs="Times New Roman"/>
          <w:sz w:val="24"/>
          <w:szCs w:val="24"/>
        </w:rPr>
        <w:fldChar w:fldCharType="end"/>
      </w:r>
      <w:r w:rsidR="00EF1844">
        <w:rPr>
          <w:rFonts w:ascii="Times New Roman" w:hAnsi="Times New Roman" w:cs="Times New Roman"/>
          <w:sz w:val="24"/>
          <w:szCs w:val="24"/>
        </w:rPr>
        <w:t>.</w:t>
      </w:r>
      <w:r w:rsidR="00703A28">
        <w:rPr>
          <w:rFonts w:ascii="Times New Roman" w:hAnsi="Times New Roman" w:cs="Times New Roman"/>
          <w:sz w:val="24"/>
          <w:szCs w:val="24"/>
        </w:rPr>
        <w:t xml:space="preserve"> </w:t>
      </w:r>
    </w:p>
    <w:p w14:paraId="5DC12192" w14:textId="6659B280" w:rsidR="003B0273" w:rsidRDefault="00C832BC" w:rsidP="00514B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w:t>
      </w:r>
      <w:r w:rsidR="00DA3A52">
        <w:rPr>
          <w:rFonts w:ascii="Times New Roman" w:hAnsi="Times New Roman" w:cs="Times New Roman"/>
          <w:sz w:val="24"/>
          <w:szCs w:val="24"/>
        </w:rPr>
        <w:t xml:space="preserve">género </w:t>
      </w:r>
      <w:r>
        <w:rPr>
          <w:rFonts w:ascii="Times New Roman" w:hAnsi="Times New Roman" w:cs="Times New Roman"/>
          <w:sz w:val="24"/>
          <w:szCs w:val="24"/>
        </w:rPr>
        <w:t>de los participantes fue un factor que resalt</w:t>
      </w:r>
      <w:r w:rsidR="00BB4A26">
        <w:rPr>
          <w:rFonts w:ascii="Times New Roman" w:hAnsi="Times New Roman" w:cs="Times New Roman"/>
          <w:sz w:val="24"/>
          <w:szCs w:val="24"/>
        </w:rPr>
        <w:t>ó</w:t>
      </w:r>
      <w:r>
        <w:rPr>
          <w:rFonts w:ascii="Times New Roman" w:hAnsi="Times New Roman" w:cs="Times New Roman"/>
          <w:sz w:val="24"/>
          <w:szCs w:val="24"/>
        </w:rPr>
        <w:t xml:space="preserve"> por su gran impacto en la </w:t>
      </w:r>
      <w:r w:rsidR="00BB4A26">
        <w:rPr>
          <w:rFonts w:ascii="Times New Roman" w:hAnsi="Times New Roman" w:cs="Times New Roman"/>
          <w:sz w:val="24"/>
          <w:szCs w:val="24"/>
        </w:rPr>
        <w:t>decisión</w:t>
      </w:r>
      <w:r>
        <w:rPr>
          <w:rFonts w:ascii="Times New Roman" w:hAnsi="Times New Roman" w:cs="Times New Roman"/>
          <w:sz w:val="24"/>
          <w:szCs w:val="24"/>
        </w:rPr>
        <w:t xml:space="preserve"> de los participantes de seleccionar una ingeniería en el grupo de habilidades matemáticas </w:t>
      </w:r>
      <w:r w:rsidR="00BB4A26">
        <w:rPr>
          <w:rFonts w:ascii="Times New Roman" w:hAnsi="Times New Roman" w:cs="Times New Roman"/>
          <w:sz w:val="24"/>
          <w:szCs w:val="24"/>
        </w:rPr>
        <w:t>bajas</w:t>
      </w:r>
      <w:r w:rsidR="00AC36D4">
        <w:rPr>
          <w:rFonts w:ascii="Times New Roman" w:hAnsi="Times New Roman" w:cs="Times New Roman"/>
          <w:sz w:val="24"/>
          <w:szCs w:val="24"/>
        </w:rPr>
        <w:t xml:space="preserve">: </w:t>
      </w:r>
      <w:r>
        <w:rPr>
          <w:rFonts w:ascii="Times New Roman" w:hAnsi="Times New Roman" w:cs="Times New Roman"/>
          <w:sz w:val="24"/>
          <w:szCs w:val="24"/>
        </w:rPr>
        <w:t xml:space="preserve">las mujeres tienen 4.6 veces menos probabilidades de seleccionar </w:t>
      </w:r>
      <w:r w:rsidR="00277D2C">
        <w:rPr>
          <w:rFonts w:ascii="Times New Roman" w:hAnsi="Times New Roman" w:cs="Times New Roman"/>
          <w:sz w:val="24"/>
          <w:szCs w:val="24"/>
        </w:rPr>
        <w:t xml:space="preserve">una </w:t>
      </w:r>
      <w:r>
        <w:rPr>
          <w:rFonts w:ascii="Times New Roman" w:hAnsi="Times New Roman" w:cs="Times New Roman"/>
          <w:sz w:val="24"/>
          <w:szCs w:val="24"/>
        </w:rPr>
        <w:t>ingeniería que sus compañeros hombres. Este resultado fue el más significativo y evidente de tod</w:t>
      </w:r>
      <w:r w:rsidR="00E21CE5">
        <w:rPr>
          <w:rFonts w:ascii="Times New Roman" w:hAnsi="Times New Roman" w:cs="Times New Roman"/>
          <w:sz w:val="24"/>
          <w:szCs w:val="24"/>
        </w:rPr>
        <w:t>os los modelos de regresión que se corrieron</w:t>
      </w:r>
      <w:r>
        <w:rPr>
          <w:rFonts w:ascii="Times New Roman" w:hAnsi="Times New Roman" w:cs="Times New Roman"/>
          <w:sz w:val="24"/>
          <w:szCs w:val="24"/>
        </w:rPr>
        <w:t xml:space="preserve">, </w:t>
      </w:r>
      <w:r w:rsidR="00AC36D4">
        <w:rPr>
          <w:rFonts w:ascii="Times New Roman" w:hAnsi="Times New Roman" w:cs="Times New Roman"/>
          <w:sz w:val="24"/>
          <w:szCs w:val="24"/>
        </w:rPr>
        <w:t xml:space="preserve">y sugiere </w:t>
      </w:r>
      <w:r>
        <w:rPr>
          <w:rFonts w:ascii="Times New Roman" w:hAnsi="Times New Roman" w:cs="Times New Roman"/>
          <w:sz w:val="24"/>
          <w:szCs w:val="24"/>
        </w:rPr>
        <w:t xml:space="preserve">que las mujeres son menos propensas a seleccionar alguna ingeniería si llegan a pensar que sus habilidades matemáticas no son lo suficientemente buenas para ayudarlas a </w:t>
      </w:r>
      <w:r w:rsidR="00AC36D4">
        <w:rPr>
          <w:rFonts w:ascii="Times New Roman" w:hAnsi="Times New Roman" w:cs="Times New Roman"/>
          <w:sz w:val="24"/>
          <w:szCs w:val="24"/>
        </w:rPr>
        <w:t>titularse</w:t>
      </w:r>
      <w:r>
        <w:rPr>
          <w:rFonts w:ascii="Times New Roman" w:hAnsi="Times New Roman" w:cs="Times New Roman"/>
          <w:sz w:val="24"/>
          <w:szCs w:val="24"/>
        </w:rPr>
        <w:t>.</w:t>
      </w:r>
      <w:r w:rsidR="00BB4A26">
        <w:rPr>
          <w:rFonts w:ascii="Times New Roman" w:hAnsi="Times New Roman" w:cs="Times New Roman"/>
          <w:sz w:val="24"/>
          <w:szCs w:val="24"/>
        </w:rPr>
        <w:t xml:space="preserve"> Esta teoría puede ser sustentada </w:t>
      </w:r>
      <w:r w:rsidR="00BB4A26">
        <w:rPr>
          <w:rFonts w:ascii="Times New Roman" w:hAnsi="Times New Roman" w:cs="Times New Roman"/>
          <w:sz w:val="24"/>
          <w:szCs w:val="24"/>
        </w:rPr>
        <w:lastRenderedPageBreak/>
        <w:t xml:space="preserve">con los resultados de las regresiones utilizando los grupos separados por </w:t>
      </w:r>
      <w:r w:rsidR="00DA3A52">
        <w:rPr>
          <w:rFonts w:ascii="Times New Roman" w:hAnsi="Times New Roman" w:cs="Times New Roman"/>
          <w:sz w:val="24"/>
          <w:szCs w:val="24"/>
        </w:rPr>
        <w:t>género,</w:t>
      </w:r>
      <w:r w:rsidR="00BB4A26">
        <w:rPr>
          <w:rFonts w:ascii="Times New Roman" w:hAnsi="Times New Roman" w:cs="Times New Roman"/>
          <w:sz w:val="24"/>
          <w:szCs w:val="24"/>
        </w:rPr>
        <w:t xml:space="preserve"> donde las mujeres mostraron </w:t>
      </w:r>
      <w:r w:rsidR="00900ED4">
        <w:rPr>
          <w:rFonts w:ascii="Times New Roman" w:hAnsi="Times New Roman" w:cs="Times New Roman"/>
          <w:sz w:val="24"/>
          <w:szCs w:val="24"/>
        </w:rPr>
        <w:t xml:space="preserve">dar más relevancia a </w:t>
      </w:r>
      <w:r w:rsidR="00103067">
        <w:rPr>
          <w:rFonts w:ascii="Times New Roman" w:hAnsi="Times New Roman" w:cs="Times New Roman"/>
          <w:sz w:val="24"/>
          <w:szCs w:val="24"/>
        </w:rPr>
        <w:t>tener buenos</w:t>
      </w:r>
      <w:r w:rsidR="00900ED4">
        <w:rPr>
          <w:rFonts w:ascii="Times New Roman" w:hAnsi="Times New Roman" w:cs="Times New Roman"/>
          <w:sz w:val="24"/>
          <w:szCs w:val="24"/>
        </w:rPr>
        <w:t xml:space="preserve"> resultados e</w:t>
      </w:r>
      <w:r w:rsidR="00103067">
        <w:rPr>
          <w:rFonts w:ascii="Times New Roman" w:hAnsi="Times New Roman" w:cs="Times New Roman"/>
          <w:sz w:val="24"/>
          <w:szCs w:val="24"/>
        </w:rPr>
        <w:t>n</w:t>
      </w:r>
      <w:r w:rsidR="00900ED4">
        <w:rPr>
          <w:rFonts w:ascii="Times New Roman" w:hAnsi="Times New Roman" w:cs="Times New Roman"/>
          <w:sz w:val="24"/>
          <w:szCs w:val="24"/>
        </w:rPr>
        <w:t xml:space="preserve"> la parte matemática de su ACT</w:t>
      </w:r>
      <w:r w:rsidR="005C52BA">
        <w:rPr>
          <w:rFonts w:ascii="Times New Roman" w:hAnsi="Times New Roman" w:cs="Times New Roman"/>
          <w:sz w:val="24"/>
          <w:szCs w:val="24"/>
        </w:rPr>
        <w:t>m</w:t>
      </w:r>
      <w:r w:rsidR="00BB4A26">
        <w:rPr>
          <w:rFonts w:ascii="Times New Roman" w:hAnsi="Times New Roman" w:cs="Times New Roman"/>
          <w:sz w:val="24"/>
          <w:szCs w:val="24"/>
        </w:rPr>
        <w:t xml:space="preserve"> a</w:t>
      </w:r>
      <w:r w:rsidR="00900ED4">
        <w:rPr>
          <w:rFonts w:ascii="Times New Roman" w:hAnsi="Times New Roman" w:cs="Times New Roman"/>
          <w:sz w:val="24"/>
          <w:szCs w:val="24"/>
        </w:rPr>
        <w:t>l momento de considerar una</w:t>
      </w:r>
      <w:r w:rsidR="00BB4A26">
        <w:rPr>
          <w:rFonts w:ascii="Times New Roman" w:hAnsi="Times New Roman" w:cs="Times New Roman"/>
          <w:sz w:val="24"/>
          <w:szCs w:val="24"/>
        </w:rPr>
        <w:t xml:space="preserve"> ingeniería</w:t>
      </w:r>
      <w:r w:rsidR="00103067">
        <w:rPr>
          <w:rFonts w:ascii="Times New Roman" w:hAnsi="Times New Roman" w:cs="Times New Roman"/>
          <w:sz w:val="24"/>
          <w:szCs w:val="24"/>
        </w:rPr>
        <w:t>.</w:t>
      </w:r>
      <w:r w:rsidR="00344478">
        <w:rPr>
          <w:rFonts w:ascii="Times New Roman" w:hAnsi="Times New Roman" w:cs="Times New Roman"/>
          <w:sz w:val="24"/>
          <w:szCs w:val="24"/>
        </w:rPr>
        <w:t xml:space="preserve"> Estos </w:t>
      </w:r>
      <w:r w:rsidR="00721FC7">
        <w:rPr>
          <w:rFonts w:ascii="Times New Roman" w:hAnsi="Times New Roman" w:cs="Times New Roman"/>
          <w:sz w:val="24"/>
          <w:szCs w:val="24"/>
        </w:rPr>
        <w:t xml:space="preserve">datos </w:t>
      </w:r>
      <w:r w:rsidR="009D32D5">
        <w:rPr>
          <w:rFonts w:ascii="Times New Roman" w:hAnsi="Times New Roman" w:cs="Times New Roman"/>
          <w:sz w:val="24"/>
          <w:szCs w:val="24"/>
        </w:rPr>
        <w:t>sugieren</w:t>
      </w:r>
      <w:r w:rsidR="00721FC7">
        <w:rPr>
          <w:rFonts w:ascii="Times New Roman" w:hAnsi="Times New Roman" w:cs="Times New Roman"/>
          <w:sz w:val="24"/>
          <w:szCs w:val="24"/>
        </w:rPr>
        <w:t xml:space="preserve"> además</w:t>
      </w:r>
      <w:r w:rsidR="00344478">
        <w:rPr>
          <w:rFonts w:ascii="Times New Roman" w:hAnsi="Times New Roman" w:cs="Times New Roman"/>
          <w:sz w:val="24"/>
          <w:szCs w:val="24"/>
        </w:rPr>
        <w:t xml:space="preserve"> que las mujeres pueden ser más c</w:t>
      </w:r>
      <w:r w:rsidR="00E54D6E">
        <w:rPr>
          <w:rFonts w:ascii="Times New Roman" w:hAnsi="Times New Roman" w:cs="Times New Roman"/>
          <w:sz w:val="24"/>
          <w:szCs w:val="24"/>
        </w:rPr>
        <w:t>autelosas</w:t>
      </w:r>
      <w:r w:rsidR="00344478">
        <w:rPr>
          <w:rFonts w:ascii="Times New Roman" w:hAnsi="Times New Roman" w:cs="Times New Roman"/>
          <w:sz w:val="24"/>
          <w:szCs w:val="24"/>
        </w:rPr>
        <w:t xml:space="preserve"> </w:t>
      </w:r>
      <w:r w:rsidR="00AC36D4">
        <w:rPr>
          <w:rFonts w:ascii="Times New Roman" w:hAnsi="Times New Roman" w:cs="Times New Roman"/>
          <w:sz w:val="24"/>
          <w:szCs w:val="24"/>
        </w:rPr>
        <w:t>en el proceso de</w:t>
      </w:r>
      <w:r w:rsidR="00344478">
        <w:rPr>
          <w:rFonts w:ascii="Times New Roman" w:hAnsi="Times New Roman" w:cs="Times New Roman"/>
          <w:sz w:val="24"/>
          <w:szCs w:val="24"/>
        </w:rPr>
        <w:t xml:space="preserve"> seleccionar una carrera profesional, lo cual las lleva a analizar </w:t>
      </w:r>
      <w:r w:rsidR="00E54D6E">
        <w:rPr>
          <w:rFonts w:ascii="Times New Roman" w:hAnsi="Times New Roman" w:cs="Times New Roman"/>
          <w:sz w:val="24"/>
          <w:szCs w:val="24"/>
        </w:rPr>
        <w:t xml:space="preserve">su nivel de </w:t>
      </w:r>
      <w:r w:rsidR="00344478">
        <w:rPr>
          <w:rFonts w:ascii="Times New Roman" w:hAnsi="Times New Roman" w:cs="Times New Roman"/>
          <w:sz w:val="24"/>
          <w:szCs w:val="24"/>
        </w:rPr>
        <w:t xml:space="preserve">habilidades matemáticas de una forma más detallada que sus compañeros hombres </w:t>
      </w:r>
      <w:r w:rsidR="00E54D6E">
        <w:rPr>
          <w:rFonts w:ascii="Times New Roman" w:hAnsi="Times New Roman" w:cs="Times New Roman"/>
          <w:sz w:val="24"/>
          <w:szCs w:val="24"/>
        </w:rPr>
        <w:t xml:space="preserve">para determinar si cuentan con la preparación adecuada para terminar satisfactoriamente </w:t>
      </w:r>
      <w:r w:rsidR="00344478">
        <w:rPr>
          <w:rFonts w:ascii="Times New Roman" w:hAnsi="Times New Roman" w:cs="Times New Roman"/>
          <w:sz w:val="24"/>
          <w:szCs w:val="24"/>
        </w:rPr>
        <w:t>una ingeniería</w:t>
      </w:r>
      <w:r w:rsidR="00900ED4">
        <w:rPr>
          <w:rFonts w:ascii="Times New Roman" w:hAnsi="Times New Roman" w:cs="Times New Roman"/>
          <w:sz w:val="24"/>
          <w:szCs w:val="24"/>
        </w:rPr>
        <w:t xml:space="preserve"> antes de intentar inscribirse en una</w:t>
      </w:r>
      <w:r w:rsidR="00E54D6E">
        <w:rPr>
          <w:rFonts w:ascii="Times New Roman" w:hAnsi="Times New Roman" w:cs="Times New Roman"/>
          <w:sz w:val="24"/>
          <w:szCs w:val="24"/>
        </w:rPr>
        <w:t>.</w:t>
      </w:r>
    </w:p>
    <w:p w14:paraId="5531B794" w14:textId="4A948CF2" w:rsidR="00103067" w:rsidRDefault="00B02119" w:rsidP="00514B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Aunque tener experiencia tomando un curso de cálculo demostró ser un factor significativo para predecir las probabilidades de seleccionar una ingeniería cuando se analizaron los resultados de la regresión con todos los participantes, este factor perdió relevancia al analizar los grupos separados por el nivel de </w:t>
      </w:r>
      <w:r w:rsidR="007535E0">
        <w:rPr>
          <w:rFonts w:ascii="Times New Roman" w:hAnsi="Times New Roman" w:cs="Times New Roman"/>
          <w:sz w:val="24"/>
          <w:szCs w:val="24"/>
        </w:rPr>
        <w:t xml:space="preserve">sus </w:t>
      </w:r>
      <w:r>
        <w:rPr>
          <w:rFonts w:ascii="Times New Roman" w:hAnsi="Times New Roman" w:cs="Times New Roman"/>
          <w:sz w:val="24"/>
          <w:szCs w:val="24"/>
        </w:rPr>
        <w:t xml:space="preserve">habilidades matemáticas. </w:t>
      </w:r>
      <w:r w:rsidR="00E75F4F">
        <w:rPr>
          <w:rFonts w:ascii="Times New Roman" w:hAnsi="Times New Roman" w:cs="Times New Roman"/>
          <w:sz w:val="24"/>
          <w:szCs w:val="24"/>
        </w:rPr>
        <w:t xml:space="preserve">Puesto </w:t>
      </w:r>
      <w:r w:rsidR="007F42CE">
        <w:rPr>
          <w:rFonts w:ascii="Times New Roman" w:hAnsi="Times New Roman" w:cs="Times New Roman"/>
          <w:sz w:val="24"/>
          <w:szCs w:val="24"/>
        </w:rPr>
        <w:t>que</w:t>
      </w:r>
      <w:r>
        <w:rPr>
          <w:rFonts w:ascii="Times New Roman" w:hAnsi="Times New Roman" w:cs="Times New Roman"/>
          <w:sz w:val="24"/>
          <w:szCs w:val="24"/>
        </w:rPr>
        <w:t xml:space="preserve"> haber tomado un curso de cálculo</w:t>
      </w:r>
      <w:r w:rsidR="007F42CE">
        <w:rPr>
          <w:rFonts w:ascii="Times New Roman" w:hAnsi="Times New Roman" w:cs="Times New Roman"/>
          <w:sz w:val="24"/>
          <w:szCs w:val="24"/>
        </w:rPr>
        <w:t xml:space="preserve"> dej</w:t>
      </w:r>
      <w:r w:rsidR="00801E7E">
        <w:rPr>
          <w:rFonts w:ascii="Times New Roman" w:hAnsi="Times New Roman" w:cs="Times New Roman"/>
          <w:sz w:val="24"/>
          <w:szCs w:val="24"/>
        </w:rPr>
        <w:t>ó</w:t>
      </w:r>
      <w:r w:rsidR="007F42CE">
        <w:rPr>
          <w:rFonts w:ascii="Times New Roman" w:hAnsi="Times New Roman" w:cs="Times New Roman"/>
          <w:sz w:val="24"/>
          <w:szCs w:val="24"/>
        </w:rPr>
        <w:t xml:space="preserve"> de ser </w:t>
      </w:r>
      <w:r>
        <w:rPr>
          <w:rFonts w:ascii="Times New Roman" w:hAnsi="Times New Roman" w:cs="Times New Roman"/>
          <w:sz w:val="24"/>
          <w:szCs w:val="24"/>
        </w:rPr>
        <w:t xml:space="preserve">un factor significativo para seleccionar ingeniería en </w:t>
      </w:r>
      <w:r w:rsidR="007F42CE">
        <w:rPr>
          <w:rFonts w:ascii="Times New Roman" w:hAnsi="Times New Roman" w:cs="Times New Roman"/>
          <w:sz w:val="24"/>
          <w:szCs w:val="24"/>
        </w:rPr>
        <w:t>los resultados obtenidos con los grupos de habilidades matemáticas bajas y altas, se puede interpretar que los estudiantes le dan mucha importancia al tipo de experiencias que tuvieron al llevar este curso y c</w:t>
      </w:r>
      <w:r w:rsidR="00801E7E">
        <w:rPr>
          <w:rFonts w:ascii="Times New Roman" w:hAnsi="Times New Roman" w:cs="Times New Roman"/>
          <w:sz w:val="24"/>
          <w:szCs w:val="24"/>
        </w:rPr>
        <w:t>ó</w:t>
      </w:r>
      <w:r w:rsidR="007F42CE">
        <w:rPr>
          <w:rFonts w:ascii="Times New Roman" w:hAnsi="Times New Roman" w:cs="Times New Roman"/>
          <w:sz w:val="24"/>
          <w:szCs w:val="24"/>
        </w:rPr>
        <w:t xml:space="preserve">mo fue su desempeño final para considerar la posibilidad de seleccionar </w:t>
      </w:r>
      <w:r w:rsidR="00E75F4F">
        <w:rPr>
          <w:rFonts w:ascii="Times New Roman" w:hAnsi="Times New Roman" w:cs="Times New Roman"/>
          <w:sz w:val="24"/>
          <w:szCs w:val="24"/>
        </w:rPr>
        <w:t>ser ingenieros</w:t>
      </w:r>
      <w:r w:rsidR="007F42CE">
        <w:rPr>
          <w:rFonts w:ascii="Times New Roman" w:hAnsi="Times New Roman" w:cs="Times New Roman"/>
          <w:sz w:val="24"/>
          <w:szCs w:val="24"/>
        </w:rPr>
        <w:t>.</w:t>
      </w:r>
      <w:r w:rsidR="00CC4007">
        <w:rPr>
          <w:rFonts w:ascii="Times New Roman" w:hAnsi="Times New Roman" w:cs="Times New Roman"/>
          <w:sz w:val="24"/>
          <w:szCs w:val="24"/>
        </w:rPr>
        <w:t xml:space="preserve"> </w:t>
      </w:r>
    </w:p>
    <w:p w14:paraId="6F5C84ED" w14:textId="772A31CE" w:rsidR="00427867" w:rsidRDefault="00CC4007" w:rsidP="00514B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otro lado, los cursos de preparatoria que mostraron ser factores negativos significativos siempre estuvieron relacionados con las ciencias. La única diferencia que se encontró es que tomar un curso de biología hace menos probable que </w:t>
      </w:r>
      <w:r w:rsidR="00522D97">
        <w:rPr>
          <w:rFonts w:ascii="Times New Roman" w:hAnsi="Times New Roman" w:cs="Times New Roman"/>
          <w:sz w:val="24"/>
          <w:szCs w:val="24"/>
        </w:rPr>
        <w:t>lo</w:t>
      </w:r>
      <w:r>
        <w:rPr>
          <w:rFonts w:ascii="Times New Roman" w:hAnsi="Times New Roman" w:cs="Times New Roman"/>
          <w:sz w:val="24"/>
          <w:szCs w:val="24"/>
        </w:rPr>
        <w:t xml:space="preserve">s hombres seleccionen una ingeniería, mientras que tomar cualquier otro curso relacionado con las ciencias hace que las mujeres se alejen de la posibilidad de seleccionar una ingeniería </w:t>
      </w:r>
      <w:r w:rsidR="00522D97">
        <w:rPr>
          <w:rFonts w:ascii="Times New Roman" w:hAnsi="Times New Roman" w:cs="Times New Roman"/>
          <w:sz w:val="24"/>
          <w:szCs w:val="24"/>
        </w:rPr>
        <w:t>como carrera profesional. Estos resultados pueden ser explorados más a fondo para determinar si realmente existen ciertos cursos o experiencias que provoquen que un joven estudiante pierda el interés en las carreras de ingeniería desde su educación preparatoria</w:t>
      </w:r>
      <w:r w:rsidR="00815820">
        <w:rPr>
          <w:rFonts w:ascii="Times New Roman" w:hAnsi="Times New Roman" w:cs="Times New Roman"/>
          <w:sz w:val="24"/>
          <w:szCs w:val="24"/>
        </w:rPr>
        <w:t xml:space="preserve">, lo cual puede ayudar a generar mejores oportunidades para </w:t>
      </w:r>
      <w:r w:rsidR="007D7669">
        <w:rPr>
          <w:rFonts w:ascii="Times New Roman" w:hAnsi="Times New Roman" w:cs="Times New Roman"/>
          <w:sz w:val="24"/>
          <w:szCs w:val="24"/>
        </w:rPr>
        <w:t>que el</w:t>
      </w:r>
      <w:r w:rsidR="00815820">
        <w:rPr>
          <w:rFonts w:ascii="Times New Roman" w:hAnsi="Times New Roman" w:cs="Times New Roman"/>
          <w:sz w:val="24"/>
          <w:szCs w:val="24"/>
        </w:rPr>
        <w:t xml:space="preserve"> número de estudiantes de ingeniería en grupos que </w:t>
      </w:r>
      <w:r w:rsidR="007D22F1">
        <w:rPr>
          <w:rFonts w:ascii="Times New Roman" w:hAnsi="Times New Roman" w:cs="Times New Roman"/>
          <w:sz w:val="24"/>
          <w:szCs w:val="24"/>
        </w:rPr>
        <w:t xml:space="preserve">actualmente </w:t>
      </w:r>
      <w:r w:rsidR="00FF340B">
        <w:rPr>
          <w:rFonts w:ascii="Times New Roman" w:hAnsi="Times New Roman" w:cs="Times New Roman"/>
          <w:sz w:val="24"/>
          <w:szCs w:val="24"/>
        </w:rPr>
        <w:t>son minoría en estas profesiones</w:t>
      </w:r>
      <w:r w:rsidR="00815820">
        <w:rPr>
          <w:rFonts w:ascii="Times New Roman" w:hAnsi="Times New Roman" w:cs="Times New Roman"/>
          <w:sz w:val="24"/>
          <w:szCs w:val="24"/>
        </w:rPr>
        <w:t xml:space="preserve"> como las mujeres</w:t>
      </w:r>
      <w:r w:rsidR="00885822">
        <w:rPr>
          <w:rFonts w:ascii="Times New Roman" w:hAnsi="Times New Roman" w:cs="Times New Roman"/>
          <w:sz w:val="24"/>
          <w:szCs w:val="24"/>
        </w:rPr>
        <w:t xml:space="preserve"> </w:t>
      </w:r>
      <w:r w:rsidR="007D7669">
        <w:rPr>
          <w:rFonts w:ascii="Times New Roman" w:hAnsi="Times New Roman" w:cs="Times New Roman"/>
          <w:sz w:val="24"/>
          <w:szCs w:val="24"/>
        </w:rPr>
        <w:t xml:space="preserve">aumente </w:t>
      </w:r>
      <w:r w:rsidR="00885822">
        <w:rPr>
          <w:rFonts w:ascii="Times New Roman" w:hAnsi="Times New Roman" w:cs="Times New Roman"/>
          <w:sz w:val="24"/>
          <w:szCs w:val="24"/>
        </w:rPr>
        <w:fldChar w:fldCharType="begin" w:fldLock="1"/>
      </w:r>
      <w:r w:rsidR="0096183A">
        <w:rPr>
          <w:rFonts w:ascii="Times New Roman" w:hAnsi="Times New Roman" w:cs="Times New Roman"/>
          <w:sz w:val="24"/>
          <w:szCs w:val="24"/>
        </w:rPr>
        <w:instrText>ADDIN CSL_CITATION {"citationItems":[{"id":"ITEM-1","itemData":{"DOI":"10.1002/j.2168-9830.2011.tb00012.x","ISBN":"10694730","ISSN":"1069-4730","PMID":"62286539","abstract":"BACKGROUND Concern for workforce needs, social justice, and the diversification of the engineering profession make it critical to understand how different metrics may overestimate or underestimate the success of various race-gender populations in engineering. PURPOSE(HYPOTHESIS) While earlier work found that women in nearly all racial groups persist to the eighth semester at rates comparable to men, results vary in studies that use other measures of success, providing an incentive to compare multiple measures of success in the same population. DESIGN/METHOD The eight-semester persistence and six-year graduation rates are compared for various race-gender popu- lations using a longitudinal, comprehensive dataset of more than 75,000 students matriculating in engi- neering at nine universities from 1988–1998. RESULTS Gender differences in persistence of Asian, Black, Hispanic, Native American, and White students are far outweighed by institutional differences. Racial differences are more pronounced, however, revealing some patterns that transcend institutional differences. CONCLUSIONS Our work demonstrates that trajectories of persistence are non-linear, gendered, and racialized, and fur- ther that higher education has developed the way in which persistence is studied based on the behavior of the majority, specificallly the White, male population. Even if institutions were to treat all students equal- ly, the outcomes will not necessarily be the same because various populations respond differently to the same conditions. Using eight-semester persistence may result in a “systematic majority measurement bias.” Therefore, multiple measures may be needed to describe outcomes in diverse populations.","author":[{"dropping-particle":"","family":"Ohland","given":"Matthew W.","non-dropping-particle":"","parse-names":false,"suffix":""},{"dropping-particle":"","family":"Brawner","given":"Catherine E.","non-dropping-particle":"","parse-names":false,"suffix":""},{"dropping-particle":"","family":"Camacho","given":"Michelle M.","non-dropping-particle":"","parse-names":false,"suffix":""},{"dropping-particle":"","family":"Layton","given":"Richard a.","non-dropping-particle":"","parse-names":false,"suffix":""},{"dropping-particle":"","family":"Long","given":"Russel a.","non-dropping-particle":"","parse-names":false,"suffix":""},{"dropping-particle":"","family":"Lord","given":"Susan M.","non-dropping-particle":"","parse-names":false,"suffix":""},{"dropping-particle":"","family":"Wasburn","given":"Mara H.","non-dropping-particle":"","parse-names":false,"suffix":""}],"container-title":"Journal of Engineering Education","id":"ITEM-1","issue":"2","issued":{"date-parts":[["2011"]]},"page":"225-252","title":"Race, gender, and measures of success in engineering education","type":"article-journal","volume":"100"},"uris":["http://www.mendeley.com/documents/?uuid=91239005-9d38-4e3b-bde1-fd4155d51a25"]}],"mendeley":{"formattedCitation":"(Ohland et al., 2011)","plainTextFormattedCitation":"(Ohland et al., 2011)","previouslyFormattedCitation":"(Ohland et al., 2011)"},"properties":{"noteIndex":0},"schema":"https://github.com/citation-style-language/schema/raw/master/csl-citation.json"}</w:instrText>
      </w:r>
      <w:r w:rsidR="00885822">
        <w:rPr>
          <w:rFonts w:ascii="Times New Roman" w:hAnsi="Times New Roman" w:cs="Times New Roman"/>
          <w:sz w:val="24"/>
          <w:szCs w:val="24"/>
        </w:rPr>
        <w:fldChar w:fldCharType="separate"/>
      </w:r>
      <w:r w:rsidR="00885822" w:rsidRPr="00885822">
        <w:rPr>
          <w:rFonts w:ascii="Times New Roman" w:hAnsi="Times New Roman" w:cs="Times New Roman"/>
          <w:noProof/>
          <w:sz w:val="24"/>
          <w:szCs w:val="24"/>
        </w:rPr>
        <w:t>(Ohland e</w:t>
      </w:r>
      <w:r w:rsidR="00885822" w:rsidRPr="00514B68">
        <w:rPr>
          <w:rFonts w:ascii="Times New Roman" w:hAnsi="Times New Roman" w:cs="Times New Roman"/>
          <w:i/>
          <w:noProof/>
          <w:sz w:val="24"/>
          <w:szCs w:val="24"/>
        </w:rPr>
        <w:t>t al</w:t>
      </w:r>
      <w:r w:rsidR="00885822" w:rsidRPr="00885822">
        <w:rPr>
          <w:rFonts w:ascii="Times New Roman" w:hAnsi="Times New Roman" w:cs="Times New Roman"/>
          <w:noProof/>
          <w:sz w:val="24"/>
          <w:szCs w:val="24"/>
        </w:rPr>
        <w:t>., 2011)</w:t>
      </w:r>
      <w:r w:rsidR="00885822">
        <w:rPr>
          <w:rFonts w:ascii="Times New Roman" w:hAnsi="Times New Roman" w:cs="Times New Roman"/>
          <w:sz w:val="24"/>
          <w:szCs w:val="24"/>
        </w:rPr>
        <w:fldChar w:fldCharType="end"/>
      </w:r>
      <w:r w:rsidR="00815820">
        <w:rPr>
          <w:rFonts w:ascii="Times New Roman" w:hAnsi="Times New Roman" w:cs="Times New Roman"/>
          <w:sz w:val="24"/>
          <w:szCs w:val="24"/>
        </w:rPr>
        <w:t xml:space="preserve">. </w:t>
      </w:r>
    </w:p>
    <w:p w14:paraId="26C29CFA" w14:textId="77777777" w:rsidR="00586E48" w:rsidRDefault="00586E48" w:rsidP="00514B68">
      <w:pPr>
        <w:spacing w:after="0" w:line="360" w:lineRule="auto"/>
        <w:ind w:firstLine="708"/>
        <w:jc w:val="both"/>
        <w:rPr>
          <w:rFonts w:ascii="Times New Roman" w:hAnsi="Times New Roman" w:cs="Times New Roman"/>
          <w:sz w:val="24"/>
          <w:szCs w:val="24"/>
        </w:rPr>
      </w:pPr>
    </w:p>
    <w:p w14:paraId="70D8F882" w14:textId="77777777" w:rsidR="00586E48" w:rsidRDefault="00586E48" w:rsidP="00514B68">
      <w:pPr>
        <w:spacing w:after="0" w:line="360" w:lineRule="auto"/>
        <w:ind w:firstLine="708"/>
        <w:jc w:val="both"/>
        <w:rPr>
          <w:rFonts w:ascii="Times New Roman" w:hAnsi="Times New Roman" w:cs="Times New Roman"/>
          <w:sz w:val="24"/>
          <w:szCs w:val="24"/>
        </w:rPr>
      </w:pPr>
    </w:p>
    <w:p w14:paraId="4B6461F9" w14:textId="130CE5CF" w:rsidR="00885822" w:rsidRDefault="00FF340B" w:rsidP="00514B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Al analizar la información </w:t>
      </w:r>
      <w:r w:rsidR="001B2A9C">
        <w:rPr>
          <w:rFonts w:ascii="Times New Roman" w:hAnsi="Times New Roman" w:cs="Times New Roman"/>
          <w:sz w:val="24"/>
          <w:szCs w:val="24"/>
        </w:rPr>
        <w:t>recopilada con la pregunta: ¿</w:t>
      </w:r>
      <w:r w:rsidR="00801E7E">
        <w:rPr>
          <w:rFonts w:ascii="Times New Roman" w:hAnsi="Times New Roman" w:cs="Times New Roman"/>
          <w:sz w:val="24"/>
          <w:szCs w:val="24"/>
        </w:rPr>
        <w:t>c</w:t>
      </w:r>
      <w:r w:rsidR="001B2A9C">
        <w:rPr>
          <w:rFonts w:ascii="Times New Roman" w:hAnsi="Times New Roman" w:cs="Times New Roman"/>
          <w:sz w:val="24"/>
          <w:szCs w:val="24"/>
        </w:rPr>
        <w:t>uál fue la influencia más grande que tuviste para escoger la carrera profesional que deseabas estudiar?, se estableció la importancia de tener un modelo a seguir</w:t>
      </w:r>
      <w:r w:rsidR="007D7669">
        <w:rPr>
          <w:rFonts w:ascii="Times New Roman" w:hAnsi="Times New Roman" w:cs="Times New Roman"/>
          <w:sz w:val="24"/>
          <w:szCs w:val="24"/>
        </w:rPr>
        <w:t>,</w:t>
      </w:r>
      <w:r w:rsidR="001B2A9C">
        <w:rPr>
          <w:rFonts w:ascii="Times New Roman" w:hAnsi="Times New Roman" w:cs="Times New Roman"/>
          <w:sz w:val="24"/>
          <w:szCs w:val="24"/>
        </w:rPr>
        <w:t xml:space="preserve"> o una persona cercana que pueda despertar el interés de los estudiantes en buscar un título de ingenier</w:t>
      </w:r>
      <w:r w:rsidR="007D7669">
        <w:rPr>
          <w:rFonts w:ascii="Times New Roman" w:hAnsi="Times New Roman" w:cs="Times New Roman"/>
          <w:sz w:val="24"/>
          <w:szCs w:val="24"/>
        </w:rPr>
        <w:t>ía</w:t>
      </w:r>
      <w:r w:rsidR="001B2A9C">
        <w:rPr>
          <w:rFonts w:ascii="Times New Roman" w:hAnsi="Times New Roman" w:cs="Times New Roman"/>
          <w:sz w:val="24"/>
          <w:szCs w:val="24"/>
        </w:rPr>
        <w:t xml:space="preserve">. Esto se demostró al encontrar que la influencia más común en la decisión de comenzar una </w:t>
      </w:r>
      <w:r w:rsidR="00916835">
        <w:rPr>
          <w:rFonts w:ascii="Times New Roman" w:hAnsi="Times New Roman" w:cs="Times New Roman"/>
          <w:sz w:val="24"/>
          <w:szCs w:val="24"/>
        </w:rPr>
        <w:t xml:space="preserve">carrera afín a este campo </w:t>
      </w:r>
      <w:r w:rsidR="001B2A9C">
        <w:rPr>
          <w:rFonts w:ascii="Times New Roman" w:hAnsi="Times New Roman" w:cs="Times New Roman"/>
          <w:sz w:val="24"/>
          <w:szCs w:val="24"/>
        </w:rPr>
        <w:t xml:space="preserve">fue tener soportes sociales cercanos como familiares, amigos o profesores que les hablaran a los estudiantes sobre las actividades que pueden realizar los distintos ingenieros en su trabajo. El tener una relación cercana con una persona que pudiera conectar al estudiante con alguna experiencia en el campo de la ingeniería fue una razón determinante </w:t>
      </w:r>
      <w:r w:rsidR="00875141">
        <w:rPr>
          <w:rFonts w:ascii="Times New Roman" w:hAnsi="Times New Roman" w:cs="Times New Roman"/>
          <w:sz w:val="24"/>
          <w:szCs w:val="24"/>
        </w:rPr>
        <w:t xml:space="preserve">para los estudiantes que seleccionaron </w:t>
      </w:r>
      <w:r w:rsidR="00F55866">
        <w:rPr>
          <w:rFonts w:ascii="Times New Roman" w:hAnsi="Times New Roman" w:cs="Times New Roman"/>
          <w:sz w:val="24"/>
          <w:szCs w:val="24"/>
        </w:rPr>
        <w:t xml:space="preserve">prepararse como ingenieros </w:t>
      </w:r>
      <w:r w:rsidR="00875141">
        <w:rPr>
          <w:rFonts w:ascii="Times New Roman" w:hAnsi="Times New Roman" w:cs="Times New Roman"/>
          <w:sz w:val="24"/>
          <w:szCs w:val="24"/>
        </w:rPr>
        <w:t>sin importar su nivel de habilidades matemáticas</w:t>
      </w:r>
      <w:r w:rsidR="00AA0F6F">
        <w:rPr>
          <w:rFonts w:ascii="Times New Roman" w:hAnsi="Times New Roman" w:cs="Times New Roman"/>
          <w:sz w:val="24"/>
          <w:szCs w:val="24"/>
        </w:rPr>
        <w:t xml:space="preserve">; </w:t>
      </w:r>
      <w:r w:rsidR="00875141">
        <w:rPr>
          <w:rFonts w:ascii="Times New Roman" w:hAnsi="Times New Roman" w:cs="Times New Roman"/>
          <w:sz w:val="24"/>
          <w:szCs w:val="24"/>
        </w:rPr>
        <w:t xml:space="preserve">pero se encontraron algunas diferencias en la influencia que los estudiantes </w:t>
      </w:r>
      <w:r w:rsidR="009A03A5">
        <w:rPr>
          <w:rFonts w:ascii="Times New Roman" w:hAnsi="Times New Roman" w:cs="Times New Roman"/>
          <w:sz w:val="24"/>
          <w:szCs w:val="24"/>
        </w:rPr>
        <w:t>mencionaron</w:t>
      </w:r>
      <w:r w:rsidR="00875141">
        <w:rPr>
          <w:rFonts w:ascii="Times New Roman" w:hAnsi="Times New Roman" w:cs="Times New Roman"/>
          <w:sz w:val="24"/>
          <w:szCs w:val="24"/>
        </w:rPr>
        <w:t xml:space="preserve"> </w:t>
      </w:r>
      <w:r w:rsidR="00365CF3">
        <w:rPr>
          <w:rFonts w:ascii="Times New Roman" w:hAnsi="Times New Roman" w:cs="Times New Roman"/>
          <w:sz w:val="24"/>
          <w:szCs w:val="24"/>
        </w:rPr>
        <w:t xml:space="preserve">como segunda más frecuente </w:t>
      </w:r>
      <w:r w:rsidR="00875141">
        <w:rPr>
          <w:rFonts w:ascii="Times New Roman" w:hAnsi="Times New Roman" w:cs="Times New Roman"/>
          <w:sz w:val="24"/>
          <w:szCs w:val="24"/>
        </w:rPr>
        <w:t>en los grupos de habilidades matemáticas altas y bajas</w:t>
      </w:r>
      <w:r w:rsidR="00365CF3">
        <w:rPr>
          <w:rFonts w:ascii="Times New Roman" w:hAnsi="Times New Roman" w:cs="Times New Roman"/>
          <w:sz w:val="24"/>
          <w:szCs w:val="24"/>
        </w:rPr>
        <w:t>.</w:t>
      </w:r>
      <w:r w:rsidR="00875141">
        <w:rPr>
          <w:rFonts w:ascii="Times New Roman" w:hAnsi="Times New Roman" w:cs="Times New Roman"/>
          <w:sz w:val="24"/>
          <w:szCs w:val="24"/>
        </w:rPr>
        <w:t xml:space="preserve"> </w:t>
      </w:r>
    </w:p>
    <w:p w14:paraId="7D15A950" w14:textId="2DE09690" w:rsidR="00D77488" w:rsidRDefault="00365CF3" w:rsidP="00514B68">
      <w:pPr>
        <w:spacing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t>Para el grupo</w:t>
      </w:r>
      <w:r w:rsidR="00885822">
        <w:rPr>
          <w:rFonts w:ascii="Times New Roman" w:hAnsi="Times New Roman" w:cs="Times New Roman"/>
          <w:sz w:val="24"/>
          <w:szCs w:val="24"/>
        </w:rPr>
        <w:t xml:space="preserve"> de</w:t>
      </w:r>
      <w:r>
        <w:rPr>
          <w:rFonts w:ascii="Times New Roman" w:hAnsi="Times New Roman" w:cs="Times New Roman"/>
          <w:sz w:val="24"/>
          <w:szCs w:val="24"/>
        </w:rPr>
        <w:t xml:space="preserve"> habilidades matemáticas bajas</w:t>
      </w:r>
      <w:r w:rsidR="00885822">
        <w:rPr>
          <w:rFonts w:ascii="Times New Roman" w:hAnsi="Times New Roman" w:cs="Times New Roman"/>
          <w:sz w:val="24"/>
          <w:szCs w:val="24"/>
        </w:rPr>
        <w:t>,</w:t>
      </w:r>
      <w:r>
        <w:rPr>
          <w:rFonts w:ascii="Times New Roman" w:hAnsi="Times New Roman" w:cs="Times New Roman"/>
          <w:sz w:val="24"/>
          <w:szCs w:val="24"/>
        </w:rPr>
        <w:t xml:space="preserve"> las expectativas de resultados fueron una razón común para seleccionar</w:t>
      </w:r>
      <w:r w:rsidR="007A64D9">
        <w:rPr>
          <w:rFonts w:ascii="Times New Roman" w:hAnsi="Times New Roman" w:cs="Times New Roman"/>
          <w:sz w:val="24"/>
          <w:szCs w:val="24"/>
        </w:rPr>
        <w:t xml:space="preserve"> una</w:t>
      </w:r>
      <w:r>
        <w:rPr>
          <w:rFonts w:ascii="Times New Roman" w:hAnsi="Times New Roman" w:cs="Times New Roman"/>
          <w:sz w:val="24"/>
          <w:szCs w:val="24"/>
        </w:rPr>
        <w:t xml:space="preserve"> ingeniería como carrera profesional</w:t>
      </w:r>
      <w:r w:rsidR="00885822">
        <w:rPr>
          <w:rFonts w:ascii="Times New Roman" w:hAnsi="Times New Roman" w:cs="Times New Roman"/>
          <w:sz w:val="24"/>
          <w:szCs w:val="24"/>
        </w:rPr>
        <w:t>.</w:t>
      </w:r>
      <w:r>
        <w:rPr>
          <w:rFonts w:ascii="Times New Roman" w:hAnsi="Times New Roman" w:cs="Times New Roman"/>
          <w:sz w:val="24"/>
          <w:szCs w:val="24"/>
        </w:rPr>
        <w:t xml:space="preserve"> </w:t>
      </w:r>
      <w:r w:rsidR="00885822">
        <w:rPr>
          <w:rFonts w:ascii="Times New Roman" w:hAnsi="Times New Roman" w:cs="Times New Roman"/>
          <w:sz w:val="24"/>
          <w:szCs w:val="24"/>
        </w:rPr>
        <w:t>E</w:t>
      </w:r>
      <w:r>
        <w:rPr>
          <w:rFonts w:ascii="Times New Roman" w:hAnsi="Times New Roman" w:cs="Times New Roman"/>
          <w:sz w:val="24"/>
          <w:szCs w:val="24"/>
        </w:rPr>
        <w:t xml:space="preserve">sto sugiere que estos estudiantes pueden pensar que obtener un título de ingeniero </w:t>
      </w:r>
      <w:r w:rsidR="00BC0CBC">
        <w:rPr>
          <w:rFonts w:ascii="Times New Roman" w:hAnsi="Times New Roman" w:cs="Times New Roman"/>
          <w:sz w:val="24"/>
          <w:szCs w:val="24"/>
        </w:rPr>
        <w:t>es un buen camino para</w:t>
      </w:r>
      <w:r>
        <w:rPr>
          <w:rFonts w:ascii="Times New Roman" w:hAnsi="Times New Roman" w:cs="Times New Roman"/>
          <w:sz w:val="24"/>
          <w:szCs w:val="24"/>
        </w:rPr>
        <w:t xml:space="preserve"> tener un mejor estilo de vida y una </w:t>
      </w:r>
      <w:r w:rsidR="00BC0CBC">
        <w:rPr>
          <w:rFonts w:ascii="Times New Roman" w:hAnsi="Times New Roman" w:cs="Times New Roman"/>
          <w:sz w:val="24"/>
          <w:szCs w:val="24"/>
        </w:rPr>
        <w:t xml:space="preserve">buena </w:t>
      </w:r>
      <w:r>
        <w:rPr>
          <w:rFonts w:ascii="Times New Roman" w:hAnsi="Times New Roman" w:cs="Times New Roman"/>
          <w:sz w:val="24"/>
          <w:szCs w:val="24"/>
        </w:rPr>
        <w:t>remuneración</w:t>
      </w:r>
      <w:r w:rsidR="00BC0CBC">
        <w:rPr>
          <w:rFonts w:ascii="Times New Roman" w:hAnsi="Times New Roman" w:cs="Times New Roman"/>
          <w:sz w:val="24"/>
          <w:szCs w:val="24"/>
        </w:rPr>
        <w:t xml:space="preserve"> económica, sin ver la ingeniería como una profesión que les pueda interesar realmente. Por el otro lado, los estudiantes con habilidades matemáticas altas </w:t>
      </w:r>
      <w:r w:rsidR="009A03A5">
        <w:rPr>
          <w:rFonts w:ascii="Times New Roman" w:hAnsi="Times New Roman" w:cs="Times New Roman"/>
          <w:sz w:val="24"/>
          <w:szCs w:val="24"/>
        </w:rPr>
        <w:t>mencionaron</w:t>
      </w:r>
      <w:r w:rsidR="00BC0CBC">
        <w:rPr>
          <w:rFonts w:ascii="Times New Roman" w:hAnsi="Times New Roman" w:cs="Times New Roman"/>
          <w:sz w:val="24"/>
          <w:szCs w:val="24"/>
        </w:rPr>
        <w:t xml:space="preserve"> tener un interés genuino en los conceptos de </w:t>
      </w:r>
      <w:r w:rsidR="007A64D9">
        <w:rPr>
          <w:rFonts w:ascii="Times New Roman" w:hAnsi="Times New Roman" w:cs="Times New Roman"/>
          <w:sz w:val="24"/>
          <w:szCs w:val="24"/>
        </w:rPr>
        <w:t>la rama en cuestión; mencionaron, por ejemplo,</w:t>
      </w:r>
      <w:r w:rsidR="00BC0CBC">
        <w:rPr>
          <w:rFonts w:ascii="Times New Roman" w:hAnsi="Times New Roman" w:cs="Times New Roman"/>
          <w:sz w:val="24"/>
          <w:szCs w:val="24"/>
        </w:rPr>
        <w:t xml:space="preserve"> que les gustaría diseñar y construir aparatos tecnológicos como parte de su trabajo en un futuro. Estos r</w:t>
      </w:r>
      <w:r w:rsidR="0033181F">
        <w:rPr>
          <w:rFonts w:ascii="Times New Roman" w:hAnsi="Times New Roman" w:cs="Times New Roman"/>
          <w:sz w:val="24"/>
          <w:szCs w:val="24"/>
        </w:rPr>
        <w:t xml:space="preserve">esultados pueden ser un buen comienzo para buscar alguna relación entre las experiencias </w:t>
      </w:r>
      <w:r w:rsidR="00885822">
        <w:rPr>
          <w:rFonts w:ascii="Times New Roman" w:hAnsi="Times New Roman" w:cs="Times New Roman"/>
          <w:sz w:val="24"/>
          <w:szCs w:val="24"/>
        </w:rPr>
        <w:t xml:space="preserve">y resultados </w:t>
      </w:r>
      <w:r w:rsidR="0033181F">
        <w:rPr>
          <w:rFonts w:ascii="Times New Roman" w:hAnsi="Times New Roman" w:cs="Times New Roman"/>
          <w:sz w:val="24"/>
          <w:szCs w:val="24"/>
        </w:rPr>
        <w:t>que los estudiantes puedan tener en sus cursos de matemáticas en preparatoria y el interés que estos puedan desarrollar en programas y actividades relacionados con la ingeniería.</w:t>
      </w:r>
    </w:p>
    <w:p w14:paraId="756286B8" w14:textId="4EC289EA" w:rsidR="00D77488" w:rsidRDefault="00D77488" w:rsidP="0006428E">
      <w:pPr>
        <w:spacing w:after="0" w:line="360" w:lineRule="auto"/>
        <w:rPr>
          <w:rFonts w:ascii="Times New Roman" w:hAnsi="Times New Roman" w:cs="Times New Roman"/>
          <w:b/>
          <w:sz w:val="24"/>
          <w:szCs w:val="24"/>
        </w:rPr>
      </w:pPr>
    </w:p>
    <w:p w14:paraId="1831A50F" w14:textId="4395FC20" w:rsidR="00586E48" w:rsidRDefault="00586E48" w:rsidP="0006428E">
      <w:pPr>
        <w:spacing w:after="0" w:line="360" w:lineRule="auto"/>
        <w:rPr>
          <w:rFonts w:ascii="Times New Roman" w:hAnsi="Times New Roman" w:cs="Times New Roman"/>
          <w:b/>
          <w:sz w:val="24"/>
          <w:szCs w:val="24"/>
        </w:rPr>
      </w:pPr>
    </w:p>
    <w:p w14:paraId="6BF642FF" w14:textId="617515A3" w:rsidR="00586E48" w:rsidRDefault="00586E48" w:rsidP="0006428E">
      <w:pPr>
        <w:spacing w:after="0" w:line="360" w:lineRule="auto"/>
        <w:rPr>
          <w:rFonts w:ascii="Times New Roman" w:hAnsi="Times New Roman" w:cs="Times New Roman"/>
          <w:b/>
          <w:sz w:val="24"/>
          <w:szCs w:val="24"/>
        </w:rPr>
      </w:pPr>
    </w:p>
    <w:p w14:paraId="63CC08B9" w14:textId="25777A60" w:rsidR="00586E48" w:rsidRDefault="00586E48" w:rsidP="0006428E">
      <w:pPr>
        <w:spacing w:after="0" w:line="360" w:lineRule="auto"/>
        <w:rPr>
          <w:rFonts w:ascii="Times New Roman" w:hAnsi="Times New Roman" w:cs="Times New Roman"/>
          <w:b/>
          <w:sz w:val="24"/>
          <w:szCs w:val="24"/>
        </w:rPr>
      </w:pPr>
    </w:p>
    <w:p w14:paraId="739E6E31" w14:textId="1FF64C48" w:rsidR="00586E48" w:rsidRDefault="00586E48" w:rsidP="0006428E">
      <w:pPr>
        <w:spacing w:after="0" w:line="360" w:lineRule="auto"/>
        <w:rPr>
          <w:rFonts w:ascii="Times New Roman" w:hAnsi="Times New Roman" w:cs="Times New Roman"/>
          <w:b/>
          <w:sz w:val="24"/>
          <w:szCs w:val="24"/>
        </w:rPr>
      </w:pPr>
    </w:p>
    <w:p w14:paraId="46D93102" w14:textId="153A052D" w:rsidR="00586E48" w:rsidRDefault="00586E48" w:rsidP="0006428E">
      <w:pPr>
        <w:spacing w:after="0" w:line="360" w:lineRule="auto"/>
        <w:rPr>
          <w:rFonts w:ascii="Times New Roman" w:hAnsi="Times New Roman" w:cs="Times New Roman"/>
          <w:b/>
          <w:sz w:val="24"/>
          <w:szCs w:val="24"/>
        </w:rPr>
      </w:pPr>
    </w:p>
    <w:p w14:paraId="6DE554F4" w14:textId="77777777" w:rsidR="00586E48" w:rsidRDefault="00586E48" w:rsidP="0006428E">
      <w:pPr>
        <w:spacing w:after="0" w:line="360" w:lineRule="auto"/>
        <w:rPr>
          <w:rFonts w:ascii="Times New Roman" w:hAnsi="Times New Roman" w:cs="Times New Roman"/>
          <w:b/>
          <w:sz w:val="24"/>
          <w:szCs w:val="24"/>
        </w:rPr>
      </w:pPr>
    </w:p>
    <w:p w14:paraId="190676C9" w14:textId="430D6EDA" w:rsidR="0033181F" w:rsidRPr="00737371" w:rsidRDefault="0033181F" w:rsidP="0006428E">
      <w:pPr>
        <w:spacing w:after="0" w:line="360" w:lineRule="auto"/>
        <w:rPr>
          <w:rFonts w:ascii="Calibri" w:eastAsia="Times New Roman" w:hAnsi="Calibri" w:cs="Calibri"/>
          <w:b/>
          <w:color w:val="000000" w:themeColor="text1"/>
          <w:sz w:val="28"/>
          <w:szCs w:val="28"/>
          <w:lang w:val="es-ES_tradnl" w:eastAsia="es-MX"/>
        </w:rPr>
      </w:pPr>
      <w:r w:rsidRPr="00737371">
        <w:rPr>
          <w:rFonts w:ascii="Calibri" w:eastAsia="Times New Roman" w:hAnsi="Calibri" w:cs="Calibri"/>
          <w:b/>
          <w:color w:val="000000" w:themeColor="text1"/>
          <w:sz w:val="28"/>
          <w:szCs w:val="28"/>
          <w:lang w:val="es-ES_tradnl" w:eastAsia="es-MX"/>
        </w:rPr>
        <w:lastRenderedPageBreak/>
        <w:t>Conclusiones</w:t>
      </w:r>
    </w:p>
    <w:p w14:paraId="2B5236FD" w14:textId="1A21CA78" w:rsidR="003E058E" w:rsidRDefault="0033181F" w:rsidP="00514B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Los estudia</w:t>
      </w:r>
      <w:r w:rsidR="00C161CC">
        <w:rPr>
          <w:rFonts w:ascii="Times New Roman" w:hAnsi="Times New Roman" w:cs="Times New Roman"/>
          <w:sz w:val="24"/>
          <w:szCs w:val="24"/>
        </w:rPr>
        <w:t>n</w:t>
      </w:r>
      <w:r>
        <w:rPr>
          <w:rFonts w:ascii="Times New Roman" w:hAnsi="Times New Roman" w:cs="Times New Roman"/>
          <w:sz w:val="24"/>
          <w:szCs w:val="24"/>
        </w:rPr>
        <w:t>tes</w:t>
      </w:r>
      <w:r w:rsidR="00C161CC">
        <w:rPr>
          <w:rFonts w:ascii="Times New Roman" w:hAnsi="Times New Roman" w:cs="Times New Roman"/>
          <w:sz w:val="24"/>
          <w:szCs w:val="24"/>
        </w:rPr>
        <w:t xml:space="preserve"> que </w:t>
      </w:r>
      <w:r w:rsidR="00A16CCE">
        <w:rPr>
          <w:rFonts w:ascii="Times New Roman" w:hAnsi="Times New Roman" w:cs="Times New Roman"/>
          <w:sz w:val="24"/>
          <w:szCs w:val="24"/>
        </w:rPr>
        <w:t xml:space="preserve">probaron </w:t>
      </w:r>
      <w:r w:rsidR="00C161CC">
        <w:rPr>
          <w:rFonts w:ascii="Times New Roman" w:hAnsi="Times New Roman" w:cs="Times New Roman"/>
          <w:sz w:val="24"/>
          <w:szCs w:val="24"/>
        </w:rPr>
        <w:t xml:space="preserve">tener una </w:t>
      </w:r>
      <w:r w:rsidR="00B43AF7">
        <w:rPr>
          <w:rFonts w:ascii="Times New Roman" w:hAnsi="Times New Roman" w:cs="Times New Roman"/>
          <w:sz w:val="24"/>
          <w:szCs w:val="24"/>
        </w:rPr>
        <w:t>buena</w:t>
      </w:r>
      <w:r w:rsidR="00C161CC">
        <w:rPr>
          <w:rFonts w:ascii="Times New Roman" w:hAnsi="Times New Roman" w:cs="Times New Roman"/>
          <w:sz w:val="24"/>
          <w:szCs w:val="24"/>
        </w:rPr>
        <w:t xml:space="preserve"> preparación matemática</w:t>
      </w:r>
      <w:r w:rsidR="00B34F6B">
        <w:rPr>
          <w:rFonts w:ascii="Times New Roman" w:hAnsi="Times New Roman" w:cs="Times New Roman"/>
          <w:sz w:val="24"/>
          <w:szCs w:val="24"/>
        </w:rPr>
        <w:t xml:space="preserve"> mediante</w:t>
      </w:r>
      <w:r w:rsidR="00C161CC">
        <w:rPr>
          <w:rFonts w:ascii="Times New Roman" w:hAnsi="Times New Roman" w:cs="Times New Roman"/>
          <w:sz w:val="24"/>
          <w:szCs w:val="24"/>
        </w:rPr>
        <w:t xml:space="preserve"> calificaciones </w:t>
      </w:r>
      <w:r w:rsidR="00B43AF7">
        <w:rPr>
          <w:rFonts w:ascii="Times New Roman" w:hAnsi="Times New Roman" w:cs="Times New Roman"/>
          <w:sz w:val="24"/>
          <w:szCs w:val="24"/>
        </w:rPr>
        <w:t xml:space="preserve">altas </w:t>
      </w:r>
      <w:r w:rsidR="00C161CC">
        <w:rPr>
          <w:rFonts w:ascii="Times New Roman" w:hAnsi="Times New Roman" w:cs="Times New Roman"/>
          <w:sz w:val="24"/>
          <w:szCs w:val="24"/>
        </w:rPr>
        <w:t>en las pruebas de conocimiento matemático (CMPT y ACT</w:t>
      </w:r>
      <w:r w:rsidR="005C52BA">
        <w:rPr>
          <w:rFonts w:ascii="Times New Roman" w:hAnsi="Times New Roman" w:cs="Times New Roman"/>
          <w:sz w:val="24"/>
          <w:szCs w:val="24"/>
        </w:rPr>
        <w:t>m</w:t>
      </w:r>
      <w:r w:rsidR="00C161CC">
        <w:rPr>
          <w:rFonts w:ascii="Times New Roman" w:hAnsi="Times New Roman" w:cs="Times New Roman"/>
          <w:sz w:val="24"/>
          <w:szCs w:val="24"/>
        </w:rPr>
        <w:t xml:space="preserve">) y </w:t>
      </w:r>
      <w:r w:rsidR="00595A5E">
        <w:rPr>
          <w:rFonts w:ascii="Times New Roman" w:hAnsi="Times New Roman" w:cs="Times New Roman"/>
          <w:sz w:val="24"/>
          <w:szCs w:val="24"/>
        </w:rPr>
        <w:t xml:space="preserve">el testimonio de haber </w:t>
      </w:r>
      <w:r w:rsidR="00C161CC">
        <w:rPr>
          <w:rFonts w:ascii="Times New Roman" w:hAnsi="Times New Roman" w:cs="Times New Roman"/>
          <w:sz w:val="24"/>
          <w:szCs w:val="24"/>
        </w:rPr>
        <w:t xml:space="preserve">tomado cursos de cálculo </w:t>
      </w:r>
      <w:r w:rsidR="00CC7092">
        <w:rPr>
          <w:rFonts w:ascii="Times New Roman" w:hAnsi="Times New Roman" w:cs="Times New Roman"/>
          <w:sz w:val="24"/>
          <w:szCs w:val="24"/>
        </w:rPr>
        <w:t xml:space="preserve">en preparatoria </w:t>
      </w:r>
      <w:r w:rsidR="00C161CC">
        <w:rPr>
          <w:rFonts w:ascii="Times New Roman" w:hAnsi="Times New Roman" w:cs="Times New Roman"/>
          <w:sz w:val="24"/>
          <w:szCs w:val="24"/>
        </w:rPr>
        <w:t xml:space="preserve">mostraron más interés </w:t>
      </w:r>
      <w:r w:rsidR="006411A7">
        <w:rPr>
          <w:rFonts w:ascii="Times New Roman" w:hAnsi="Times New Roman" w:cs="Times New Roman"/>
          <w:sz w:val="24"/>
          <w:szCs w:val="24"/>
        </w:rPr>
        <w:t xml:space="preserve">en </w:t>
      </w:r>
      <w:r w:rsidR="00C161CC">
        <w:rPr>
          <w:rFonts w:ascii="Times New Roman" w:hAnsi="Times New Roman" w:cs="Times New Roman"/>
          <w:sz w:val="24"/>
          <w:szCs w:val="24"/>
        </w:rPr>
        <w:t xml:space="preserve">seleccionar </w:t>
      </w:r>
      <w:r w:rsidR="006411A7">
        <w:rPr>
          <w:rFonts w:ascii="Times New Roman" w:hAnsi="Times New Roman" w:cs="Times New Roman"/>
          <w:sz w:val="24"/>
          <w:szCs w:val="24"/>
        </w:rPr>
        <w:t xml:space="preserve">una carrera de ingeniería </w:t>
      </w:r>
      <w:r w:rsidR="00B43AF7">
        <w:rPr>
          <w:rFonts w:ascii="Times New Roman" w:hAnsi="Times New Roman" w:cs="Times New Roman"/>
          <w:sz w:val="24"/>
          <w:szCs w:val="24"/>
        </w:rPr>
        <w:t xml:space="preserve">que </w:t>
      </w:r>
      <w:r w:rsidR="0075719A">
        <w:rPr>
          <w:rFonts w:ascii="Times New Roman" w:hAnsi="Times New Roman" w:cs="Times New Roman"/>
          <w:sz w:val="24"/>
          <w:szCs w:val="24"/>
        </w:rPr>
        <w:t>aquellos</w:t>
      </w:r>
      <w:r w:rsidR="00B43AF7">
        <w:rPr>
          <w:rFonts w:ascii="Times New Roman" w:hAnsi="Times New Roman" w:cs="Times New Roman"/>
          <w:sz w:val="24"/>
          <w:szCs w:val="24"/>
        </w:rPr>
        <w:t xml:space="preserve"> con deficiencias en su preparación matemática. Si se desea </w:t>
      </w:r>
      <w:r w:rsidR="0075719A">
        <w:rPr>
          <w:rFonts w:ascii="Times New Roman" w:hAnsi="Times New Roman" w:cs="Times New Roman"/>
          <w:sz w:val="24"/>
          <w:szCs w:val="24"/>
        </w:rPr>
        <w:t xml:space="preserve">incrementar </w:t>
      </w:r>
      <w:r w:rsidR="007C15E8">
        <w:rPr>
          <w:rFonts w:ascii="Times New Roman" w:hAnsi="Times New Roman" w:cs="Times New Roman"/>
          <w:sz w:val="24"/>
          <w:szCs w:val="24"/>
        </w:rPr>
        <w:t>el alumnado en</w:t>
      </w:r>
      <w:r w:rsidR="00B43AF7">
        <w:rPr>
          <w:rFonts w:ascii="Times New Roman" w:hAnsi="Times New Roman" w:cs="Times New Roman"/>
          <w:sz w:val="24"/>
          <w:szCs w:val="24"/>
        </w:rPr>
        <w:t xml:space="preserve"> las carreras de ingeniería es necesario que se tomen en cuenta estos resultados</w:t>
      </w:r>
      <w:r w:rsidR="005D0FC9">
        <w:rPr>
          <w:rFonts w:ascii="Times New Roman" w:hAnsi="Times New Roman" w:cs="Times New Roman"/>
          <w:sz w:val="24"/>
          <w:szCs w:val="24"/>
        </w:rPr>
        <w:t>. Para este fin,</w:t>
      </w:r>
      <w:r w:rsidR="00B43AF7">
        <w:rPr>
          <w:rFonts w:ascii="Times New Roman" w:hAnsi="Times New Roman" w:cs="Times New Roman"/>
          <w:sz w:val="24"/>
          <w:szCs w:val="24"/>
        </w:rPr>
        <w:t xml:space="preserve"> </w:t>
      </w:r>
      <w:r w:rsidR="00CC74CE">
        <w:rPr>
          <w:rFonts w:ascii="Times New Roman" w:hAnsi="Times New Roman" w:cs="Times New Roman"/>
          <w:sz w:val="24"/>
          <w:szCs w:val="24"/>
        </w:rPr>
        <w:t>los profesores y directivos encargados de la educación media superior y superior</w:t>
      </w:r>
      <w:r w:rsidR="00B43AF7">
        <w:rPr>
          <w:rFonts w:ascii="Times New Roman" w:hAnsi="Times New Roman" w:cs="Times New Roman"/>
          <w:sz w:val="24"/>
          <w:szCs w:val="24"/>
        </w:rPr>
        <w:t xml:space="preserve"> </w:t>
      </w:r>
      <w:r w:rsidR="00CC74CE">
        <w:rPr>
          <w:rFonts w:ascii="Times New Roman" w:hAnsi="Times New Roman" w:cs="Times New Roman"/>
          <w:sz w:val="24"/>
          <w:szCs w:val="24"/>
        </w:rPr>
        <w:t xml:space="preserve">deben </w:t>
      </w:r>
      <w:r w:rsidR="008D4F01">
        <w:rPr>
          <w:rFonts w:ascii="Times New Roman" w:hAnsi="Times New Roman" w:cs="Times New Roman"/>
          <w:sz w:val="24"/>
          <w:szCs w:val="24"/>
        </w:rPr>
        <w:t xml:space="preserve">poner </w:t>
      </w:r>
      <w:r w:rsidR="00B43AF7">
        <w:rPr>
          <w:rFonts w:ascii="Times New Roman" w:hAnsi="Times New Roman" w:cs="Times New Roman"/>
          <w:sz w:val="24"/>
          <w:szCs w:val="24"/>
        </w:rPr>
        <w:t>énfasis en el diseño de actividades y programas que motiven a los estudiantes de preparatoria a involucrarse en actividades y cursos que les puedan ayudar a mejorar sus habilidades matemáticas</w:t>
      </w:r>
      <w:r w:rsidR="00CC74CE">
        <w:rPr>
          <w:rFonts w:ascii="Times New Roman" w:hAnsi="Times New Roman" w:cs="Times New Roman"/>
          <w:sz w:val="24"/>
          <w:szCs w:val="24"/>
        </w:rPr>
        <w:t>. Si se logra despertar un mayor interés en</w:t>
      </w:r>
      <w:r w:rsidR="005D0FC9">
        <w:rPr>
          <w:rFonts w:ascii="Times New Roman" w:hAnsi="Times New Roman" w:cs="Times New Roman"/>
          <w:sz w:val="24"/>
          <w:szCs w:val="24"/>
        </w:rPr>
        <w:t xml:space="preserve"> estos</w:t>
      </w:r>
      <w:r w:rsidR="00CC74CE">
        <w:rPr>
          <w:rFonts w:ascii="Times New Roman" w:hAnsi="Times New Roman" w:cs="Times New Roman"/>
          <w:sz w:val="24"/>
          <w:szCs w:val="24"/>
        </w:rPr>
        <w:t xml:space="preserve"> </w:t>
      </w:r>
      <w:r w:rsidR="005D0FC9">
        <w:rPr>
          <w:rFonts w:ascii="Times New Roman" w:hAnsi="Times New Roman" w:cs="Times New Roman"/>
          <w:sz w:val="24"/>
          <w:szCs w:val="24"/>
        </w:rPr>
        <w:t xml:space="preserve">cursos y </w:t>
      </w:r>
      <w:r w:rsidR="00CC74CE">
        <w:rPr>
          <w:rFonts w:ascii="Times New Roman" w:hAnsi="Times New Roman" w:cs="Times New Roman"/>
          <w:sz w:val="24"/>
          <w:szCs w:val="24"/>
        </w:rPr>
        <w:t>actividades de</w:t>
      </w:r>
      <w:r w:rsidR="005D0FC9">
        <w:rPr>
          <w:rFonts w:ascii="Times New Roman" w:hAnsi="Times New Roman" w:cs="Times New Roman"/>
          <w:sz w:val="24"/>
          <w:szCs w:val="24"/>
        </w:rPr>
        <w:t>sde la educación</w:t>
      </w:r>
      <w:r w:rsidR="00CC74CE">
        <w:rPr>
          <w:rFonts w:ascii="Times New Roman" w:hAnsi="Times New Roman" w:cs="Times New Roman"/>
          <w:sz w:val="24"/>
          <w:szCs w:val="24"/>
        </w:rPr>
        <w:t xml:space="preserve"> preparatoria</w:t>
      </w:r>
      <w:r w:rsidR="005D0FC9">
        <w:rPr>
          <w:rFonts w:ascii="Times New Roman" w:hAnsi="Times New Roman" w:cs="Times New Roman"/>
          <w:sz w:val="24"/>
          <w:szCs w:val="24"/>
        </w:rPr>
        <w:t xml:space="preserve"> de los estudiantes,</w:t>
      </w:r>
      <w:r w:rsidR="00CC74CE">
        <w:rPr>
          <w:rFonts w:ascii="Times New Roman" w:hAnsi="Times New Roman" w:cs="Times New Roman"/>
          <w:sz w:val="24"/>
          <w:szCs w:val="24"/>
        </w:rPr>
        <w:t xml:space="preserve"> no solo se podrían mejorar las tasas de inscripción en </w:t>
      </w:r>
      <w:r w:rsidR="00595A5E">
        <w:rPr>
          <w:rFonts w:ascii="Times New Roman" w:hAnsi="Times New Roman" w:cs="Times New Roman"/>
          <w:sz w:val="24"/>
          <w:szCs w:val="24"/>
        </w:rPr>
        <w:t>los programas ingenieriles</w:t>
      </w:r>
      <w:r w:rsidR="00CC74CE">
        <w:rPr>
          <w:rFonts w:ascii="Times New Roman" w:hAnsi="Times New Roman" w:cs="Times New Roman"/>
          <w:sz w:val="24"/>
          <w:szCs w:val="24"/>
        </w:rPr>
        <w:t xml:space="preserve">, también se estarían ofreciendo mejores herramientas a los alumnos que </w:t>
      </w:r>
      <w:r w:rsidR="005D0FC9">
        <w:rPr>
          <w:rFonts w:ascii="Times New Roman" w:hAnsi="Times New Roman" w:cs="Times New Roman"/>
          <w:sz w:val="24"/>
          <w:szCs w:val="24"/>
        </w:rPr>
        <w:t xml:space="preserve">estén </w:t>
      </w:r>
      <w:r w:rsidR="00CC74CE">
        <w:rPr>
          <w:rFonts w:ascii="Times New Roman" w:hAnsi="Times New Roman" w:cs="Times New Roman"/>
          <w:sz w:val="24"/>
          <w:szCs w:val="24"/>
        </w:rPr>
        <w:t>cursando alguna ingeniería para que logren terminar su carrera con éxito</w:t>
      </w:r>
      <w:r w:rsidR="006403CB">
        <w:rPr>
          <w:rFonts w:ascii="Times New Roman" w:hAnsi="Times New Roman" w:cs="Times New Roman"/>
          <w:sz w:val="24"/>
          <w:szCs w:val="24"/>
        </w:rPr>
        <w:t>, además de fomentar el desarrollo de un</w:t>
      </w:r>
      <w:r w:rsidR="009E1017">
        <w:rPr>
          <w:rFonts w:ascii="Times New Roman" w:hAnsi="Times New Roman" w:cs="Times New Roman"/>
          <w:sz w:val="24"/>
          <w:szCs w:val="24"/>
        </w:rPr>
        <w:t xml:space="preserve"> verdadero interés en las actividades de diseño e innovación relacionadas con estas carreras</w:t>
      </w:r>
      <w:r w:rsidR="00CC74CE">
        <w:rPr>
          <w:rFonts w:ascii="Times New Roman" w:hAnsi="Times New Roman" w:cs="Times New Roman"/>
          <w:sz w:val="24"/>
          <w:szCs w:val="24"/>
        </w:rPr>
        <w:t>.</w:t>
      </w:r>
      <w:r w:rsidR="009E1017">
        <w:rPr>
          <w:rFonts w:ascii="Times New Roman" w:hAnsi="Times New Roman" w:cs="Times New Roman"/>
          <w:sz w:val="24"/>
          <w:szCs w:val="24"/>
        </w:rPr>
        <w:t xml:space="preserve"> </w:t>
      </w:r>
    </w:p>
    <w:p w14:paraId="421E946D" w14:textId="225D42B3" w:rsidR="0084187D" w:rsidRPr="00710C8A" w:rsidRDefault="003E058E" w:rsidP="00514B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Otro resultado relevante </w:t>
      </w:r>
      <w:r w:rsidR="009E1017">
        <w:rPr>
          <w:rFonts w:ascii="Times New Roman" w:hAnsi="Times New Roman" w:cs="Times New Roman"/>
          <w:sz w:val="24"/>
          <w:szCs w:val="24"/>
        </w:rPr>
        <w:t>de esta investigación fue la marcada diferencia entre estudiantes hombres y estudiantes mujeres que se inscriben a carreras de ingeniería. Est</w:t>
      </w:r>
      <w:r w:rsidR="006D3D8D">
        <w:rPr>
          <w:rFonts w:ascii="Times New Roman" w:hAnsi="Times New Roman" w:cs="Times New Roman"/>
          <w:sz w:val="24"/>
          <w:szCs w:val="24"/>
        </w:rPr>
        <w:t>e</w:t>
      </w:r>
      <w:r w:rsidR="009E1017">
        <w:rPr>
          <w:rFonts w:ascii="Times New Roman" w:hAnsi="Times New Roman" w:cs="Times New Roman"/>
          <w:sz w:val="24"/>
          <w:szCs w:val="24"/>
        </w:rPr>
        <w:t xml:space="preserve"> resultado concuerda con la literatura </w:t>
      </w:r>
      <w:r w:rsidR="003A7A2D">
        <w:rPr>
          <w:rFonts w:ascii="Times New Roman" w:hAnsi="Times New Roman" w:cs="Times New Roman"/>
          <w:sz w:val="24"/>
          <w:szCs w:val="24"/>
        </w:rPr>
        <w:t xml:space="preserve">actual a nivel global, lo cual lo convierte en </w:t>
      </w:r>
      <w:r w:rsidR="001633D8">
        <w:rPr>
          <w:rFonts w:ascii="Times New Roman" w:hAnsi="Times New Roman" w:cs="Times New Roman"/>
          <w:sz w:val="24"/>
          <w:szCs w:val="24"/>
        </w:rPr>
        <w:t>un problema de interés mundial</w:t>
      </w:r>
      <w:r w:rsidR="003A7A2D">
        <w:rPr>
          <w:rFonts w:ascii="Times New Roman" w:hAnsi="Times New Roman" w:cs="Times New Roman"/>
          <w:sz w:val="24"/>
          <w:szCs w:val="24"/>
        </w:rPr>
        <w:t>. Por esta raz</w:t>
      </w:r>
      <w:r w:rsidR="00710C8A">
        <w:rPr>
          <w:rFonts w:ascii="Times New Roman" w:hAnsi="Times New Roman" w:cs="Times New Roman"/>
          <w:sz w:val="24"/>
          <w:szCs w:val="24"/>
        </w:rPr>
        <w:t>ó</w:t>
      </w:r>
      <w:r w:rsidR="003A7A2D">
        <w:rPr>
          <w:rFonts w:ascii="Times New Roman" w:hAnsi="Times New Roman" w:cs="Times New Roman"/>
          <w:sz w:val="24"/>
          <w:szCs w:val="24"/>
        </w:rPr>
        <w:t>n, es importante que los profesores y directivos a cargo de la educación media superior diseñen y propongan conferencias y talleres que busquen alertar sobre esta realidad tanto a profesores como alumnos</w:t>
      </w:r>
      <w:r w:rsidR="00740593">
        <w:rPr>
          <w:rFonts w:ascii="Times New Roman" w:hAnsi="Times New Roman" w:cs="Times New Roman"/>
          <w:sz w:val="24"/>
          <w:szCs w:val="24"/>
        </w:rPr>
        <w:t xml:space="preserve"> en edad de seleccionar su carrera profesional</w:t>
      </w:r>
      <w:r w:rsidR="003A7A2D">
        <w:rPr>
          <w:rFonts w:ascii="Times New Roman" w:hAnsi="Times New Roman" w:cs="Times New Roman"/>
          <w:sz w:val="24"/>
          <w:szCs w:val="24"/>
        </w:rPr>
        <w:t xml:space="preserve">. </w:t>
      </w:r>
      <w:r w:rsidR="00740593">
        <w:rPr>
          <w:rFonts w:ascii="Times New Roman" w:hAnsi="Times New Roman" w:cs="Times New Roman"/>
          <w:sz w:val="24"/>
          <w:szCs w:val="24"/>
        </w:rPr>
        <w:t xml:space="preserve">De esta manera se puede empezar a concientizar a la sociedad de que estamos dejando el desarrollo tecnológico en manos de una mayoría masculina, lo cual provoca </w:t>
      </w:r>
      <w:r w:rsidR="00C506DA">
        <w:rPr>
          <w:rFonts w:ascii="Times New Roman" w:hAnsi="Times New Roman" w:cs="Times New Roman"/>
          <w:sz w:val="24"/>
          <w:szCs w:val="24"/>
        </w:rPr>
        <w:t xml:space="preserve">la </w:t>
      </w:r>
      <w:r w:rsidR="00740593">
        <w:rPr>
          <w:rFonts w:ascii="Times New Roman" w:hAnsi="Times New Roman" w:cs="Times New Roman"/>
          <w:sz w:val="24"/>
          <w:szCs w:val="24"/>
        </w:rPr>
        <w:t xml:space="preserve">falta de </w:t>
      </w:r>
      <w:r w:rsidR="00C506DA">
        <w:rPr>
          <w:rFonts w:ascii="Times New Roman" w:hAnsi="Times New Roman" w:cs="Times New Roman"/>
          <w:sz w:val="24"/>
          <w:szCs w:val="24"/>
        </w:rPr>
        <w:t xml:space="preserve">diferentes puntos de vista y soluciones de problemas que resuelvan las necesidades de hombres y mujeres por igual. </w:t>
      </w:r>
      <w:r w:rsidR="00740593">
        <w:rPr>
          <w:rFonts w:ascii="Times New Roman" w:hAnsi="Times New Roman" w:cs="Times New Roman"/>
          <w:sz w:val="24"/>
          <w:szCs w:val="24"/>
        </w:rPr>
        <w:t xml:space="preserve">Además, se debe buscar a mujeres preparadas y exitosas </w:t>
      </w:r>
      <w:r w:rsidR="00C506DA">
        <w:rPr>
          <w:rFonts w:ascii="Times New Roman" w:hAnsi="Times New Roman" w:cs="Times New Roman"/>
          <w:sz w:val="24"/>
          <w:szCs w:val="24"/>
        </w:rPr>
        <w:t xml:space="preserve">en las áreas de ingeniería para </w:t>
      </w:r>
      <w:r w:rsidR="00740593">
        <w:rPr>
          <w:rFonts w:ascii="Times New Roman" w:hAnsi="Times New Roman" w:cs="Times New Roman"/>
          <w:sz w:val="24"/>
          <w:szCs w:val="24"/>
        </w:rPr>
        <w:t xml:space="preserve">que puedan servir como modelos a seguir </w:t>
      </w:r>
      <w:r w:rsidR="00C506DA">
        <w:rPr>
          <w:rFonts w:ascii="Times New Roman" w:hAnsi="Times New Roman" w:cs="Times New Roman"/>
          <w:sz w:val="24"/>
          <w:szCs w:val="24"/>
        </w:rPr>
        <w:t xml:space="preserve">para las mujeres jóvenes en su formación académica. </w:t>
      </w:r>
      <w:r w:rsidR="0074574E">
        <w:rPr>
          <w:rFonts w:ascii="Times New Roman" w:hAnsi="Times New Roman" w:cs="Times New Roman"/>
          <w:sz w:val="24"/>
          <w:szCs w:val="24"/>
        </w:rPr>
        <w:t xml:space="preserve">Si las mujeres estudiantes pudieran tener fácil acceso a </w:t>
      </w:r>
      <w:r w:rsidR="00C506DA">
        <w:rPr>
          <w:rFonts w:ascii="Times New Roman" w:hAnsi="Times New Roman" w:cs="Times New Roman"/>
          <w:sz w:val="24"/>
          <w:szCs w:val="24"/>
        </w:rPr>
        <w:t>pláticas y eventos dirigidos por mujeres exitosas en el área de ingeniería</w:t>
      </w:r>
      <w:r w:rsidR="00595A5E">
        <w:rPr>
          <w:rFonts w:ascii="Times New Roman" w:hAnsi="Times New Roman" w:cs="Times New Roman"/>
          <w:sz w:val="24"/>
          <w:szCs w:val="24"/>
        </w:rPr>
        <w:t>,</w:t>
      </w:r>
      <w:r w:rsidR="00C506DA">
        <w:rPr>
          <w:rFonts w:ascii="Times New Roman" w:hAnsi="Times New Roman" w:cs="Times New Roman"/>
          <w:sz w:val="24"/>
          <w:szCs w:val="24"/>
        </w:rPr>
        <w:t xml:space="preserve"> p</w:t>
      </w:r>
      <w:r w:rsidR="0074574E">
        <w:rPr>
          <w:rFonts w:ascii="Times New Roman" w:hAnsi="Times New Roman" w:cs="Times New Roman"/>
          <w:sz w:val="24"/>
          <w:szCs w:val="24"/>
        </w:rPr>
        <w:t>odrían darse una mejor</w:t>
      </w:r>
      <w:r w:rsidR="00C506DA">
        <w:rPr>
          <w:rFonts w:ascii="Times New Roman" w:hAnsi="Times New Roman" w:cs="Times New Roman"/>
          <w:sz w:val="24"/>
          <w:szCs w:val="24"/>
        </w:rPr>
        <w:t xml:space="preserve"> idea de </w:t>
      </w:r>
      <w:r w:rsidR="0074574E">
        <w:rPr>
          <w:rFonts w:ascii="Times New Roman" w:hAnsi="Times New Roman" w:cs="Times New Roman"/>
          <w:sz w:val="24"/>
          <w:szCs w:val="24"/>
        </w:rPr>
        <w:t>cómo</w:t>
      </w:r>
      <w:r w:rsidR="00C506DA">
        <w:rPr>
          <w:rFonts w:ascii="Times New Roman" w:hAnsi="Times New Roman" w:cs="Times New Roman"/>
          <w:sz w:val="24"/>
          <w:szCs w:val="24"/>
        </w:rPr>
        <w:t xml:space="preserve"> pueden ayudar a la sociedad desarrollando</w:t>
      </w:r>
      <w:r w:rsidR="0074574E">
        <w:rPr>
          <w:rFonts w:ascii="Times New Roman" w:hAnsi="Times New Roman" w:cs="Times New Roman"/>
          <w:sz w:val="24"/>
          <w:szCs w:val="24"/>
        </w:rPr>
        <w:t xml:space="preserve"> soluciones tecnológicas para </w:t>
      </w:r>
      <w:r w:rsidR="0074574E">
        <w:rPr>
          <w:rFonts w:ascii="Times New Roman" w:hAnsi="Times New Roman" w:cs="Times New Roman"/>
          <w:sz w:val="24"/>
          <w:szCs w:val="24"/>
        </w:rPr>
        <w:lastRenderedPageBreak/>
        <w:t>problemas comunes. Esto puede tener un gran impacto en el interés de las jóvenes estudiantes en actividades relacionadas con las matemáticas y la ingeniería, ya que se considera que las mujeres se interesan en carreras relacionadas a las ciencias sociales debido a su deseo de ayudar a las demás personas de una forma directa.</w:t>
      </w:r>
      <w:r w:rsidR="00710C8A">
        <w:rPr>
          <w:rFonts w:ascii="Times New Roman" w:hAnsi="Times New Roman" w:cs="Times New Roman"/>
          <w:sz w:val="24"/>
          <w:szCs w:val="24"/>
        </w:rPr>
        <w:t xml:space="preserve"> Aunque se reconoce que reducir la brecha de género en las áreas de ingeniería es un trabajo complicado, se debe de comenzar a trabajar en estrategias para </w:t>
      </w:r>
      <w:r w:rsidR="001C2F07">
        <w:rPr>
          <w:rFonts w:ascii="Times New Roman" w:hAnsi="Times New Roman" w:cs="Times New Roman"/>
          <w:sz w:val="24"/>
          <w:szCs w:val="24"/>
        </w:rPr>
        <w:t xml:space="preserve">atacar este problema </w:t>
      </w:r>
      <w:r w:rsidR="00710C8A">
        <w:rPr>
          <w:rFonts w:ascii="Times New Roman" w:hAnsi="Times New Roman" w:cs="Times New Roman"/>
          <w:sz w:val="24"/>
          <w:szCs w:val="24"/>
        </w:rPr>
        <w:t>desde la educación preparatoria, ya que la mayoría de los estudiantes deciden qu</w:t>
      </w:r>
      <w:r w:rsidR="00E408BF">
        <w:rPr>
          <w:rFonts w:ascii="Times New Roman" w:hAnsi="Times New Roman" w:cs="Times New Roman"/>
          <w:sz w:val="24"/>
          <w:szCs w:val="24"/>
        </w:rPr>
        <w:t>é</w:t>
      </w:r>
      <w:r w:rsidR="00710C8A">
        <w:rPr>
          <w:rFonts w:ascii="Times New Roman" w:hAnsi="Times New Roman" w:cs="Times New Roman"/>
          <w:sz w:val="24"/>
          <w:szCs w:val="24"/>
        </w:rPr>
        <w:t xml:space="preserve"> tipo de carrera profesional </w:t>
      </w:r>
      <w:r w:rsidR="00917054">
        <w:rPr>
          <w:rFonts w:ascii="Times New Roman" w:hAnsi="Times New Roman" w:cs="Times New Roman"/>
          <w:sz w:val="24"/>
          <w:szCs w:val="24"/>
        </w:rPr>
        <w:t>les interesa</w:t>
      </w:r>
      <w:r w:rsidR="00710C8A">
        <w:rPr>
          <w:rFonts w:ascii="Times New Roman" w:hAnsi="Times New Roman" w:cs="Times New Roman"/>
          <w:sz w:val="24"/>
          <w:szCs w:val="24"/>
        </w:rPr>
        <w:t xml:space="preserve"> dependiendo de las actividades y experiencias que </w:t>
      </w:r>
      <w:r w:rsidR="00917054">
        <w:rPr>
          <w:rFonts w:ascii="Times New Roman" w:hAnsi="Times New Roman" w:cs="Times New Roman"/>
          <w:sz w:val="24"/>
          <w:szCs w:val="24"/>
        </w:rPr>
        <w:t xml:space="preserve">tienen durante su </w:t>
      </w:r>
      <w:r w:rsidR="004A689D">
        <w:rPr>
          <w:rFonts w:ascii="Times New Roman" w:hAnsi="Times New Roman" w:cs="Times New Roman"/>
          <w:sz w:val="24"/>
          <w:szCs w:val="24"/>
        </w:rPr>
        <w:t xml:space="preserve">formación </w:t>
      </w:r>
      <w:r w:rsidR="00595A5E">
        <w:rPr>
          <w:rFonts w:ascii="Times New Roman" w:hAnsi="Times New Roman" w:cs="Times New Roman"/>
          <w:sz w:val="24"/>
          <w:szCs w:val="24"/>
        </w:rPr>
        <w:t>en este nivel</w:t>
      </w:r>
      <w:r w:rsidR="00710C8A">
        <w:rPr>
          <w:rFonts w:ascii="Times New Roman" w:hAnsi="Times New Roman" w:cs="Times New Roman"/>
          <w:sz w:val="24"/>
          <w:szCs w:val="24"/>
        </w:rPr>
        <w:t xml:space="preserve">.  </w:t>
      </w:r>
      <w:r w:rsidR="0074574E">
        <w:rPr>
          <w:rFonts w:ascii="Times New Roman" w:hAnsi="Times New Roman" w:cs="Times New Roman"/>
          <w:sz w:val="24"/>
          <w:szCs w:val="24"/>
        </w:rPr>
        <w:t xml:space="preserve">     </w:t>
      </w:r>
      <w:r w:rsidR="00C506DA">
        <w:rPr>
          <w:rFonts w:ascii="Times New Roman" w:hAnsi="Times New Roman" w:cs="Times New Roman"/>
          <w:sz w:val="24"/>
          <w:szCs w:val="24"/>
        </w:rPr>
        <w:t xml:space="preserve">  </w:t>
      </w:r>
      <w:r w:rsidR="003A7A2D">
        <w:rPr>
          <w:rFonts w:ascii="Times New Roman" w:hAnsi="Times New Roman" w:cs="Times New Roman"/>
          <w:sz w:val="24"/>
          <w:szCs w:val="24"/>
        </w:rPr>
        <w:t xml:space="preserve">  </w:t>
      </w:r>
      <w:r w:rsidR="00CC74CE">
        <w:rPr>
          <w:rFonts w:ascii="Times New Roman" w:hAnsi="Times New Roman" w:cs="Times New Roman"/>
          <w:sz w:val="24"/>
          <w:szCs w:val="24"/>
        </w:rPr>
        <w:t xml:space="preserve">   </w:t>
      </w:r>
      <w:r w:rsidR="00B43AF7">
        <w:rPr>
          <w:rFonts w:ascii="Times New Roman" w:hAnsi="Times New Roman" w:cs="Times New Roman"/>
          <w:sz w:val="24"/>
          <w:szCs w:val="24"/>
        </w:rPr>
        <w:t xml:space="preserve">  </w:t>
      </w:r>
      <w:r w:rsidR="006411A7">
        <w:rPr>
          <w:rFonts w:ascii="Times New Roman" w:hAnsi="Times New Roman" w:cs="Times New Roman"/>
          <w:sz w:val="24"/>
          <w:szCs w:val="24"/>
        </w:rPr>
        <w:t xml:space="preserve"> </w:t>
      </w:r>
      <w:r w:rsidR="00C161CC">
        <w:rPr>
          <w:rFonts w:ascii="Times New Roman" w:hAnsi="Times New Roman" w:cs="Times New Roman"/>
          <w:sz w:val="24"/>
          <w:szCs w:val="24"/>
        </w:rPr>
        <w:t xml:space="preserve">  </w:t>
      </w:r>
      <w:r w:rsidR="0033181F">
        <w:rPr>
          <w:rFonts w:ascii="Times New Roman" w:hAnsi="Times New Roman" w:cs="Times New Roman"/>
          <w:sz w:val="24"/>
          <w:szCs w:val="24"/>
        </w:rPr>
        <w:t xml:space="preserve"> </w:t>
      </w:r>
    </w:p>
    <w:p w14:paraId="4B91134F" w14:textId="77777777" w:rsidR="00D77488" w:rsidRDefault="00D77488" w:rsidP="0006428E">
      <w:pPr>
        <w:spacing w:after="0" w:line="360" w:lineRule="auto"/>
        <w:rPr>
          <w:rFonts w:ascii="Times New Roman" w:hAnsi="Times New Roman" w:cs="Times New Roman"/>
          <w:b/>
          <w:sz w:val="24"/>
          <w:szCs w:val="24"/>
        </w:rPr>
      </w:pPr>
    </w:p>
    <w:p w14:paraId="4DF31CCD" w14:textId="5D118C25" w:rsidR="003B0273" w:rsidRPr="00737371" w:rsidRDefault="003B0273" w:rsidP="0006428E">
      <w:pPr>
        <w:spacing w:after="0" w:line="360" w:lineRule="auto"/>
        <w:rPr>
          <w:rFonts w:ascii="Times New Roman" w:hAnsi="Times New Roman" w:cs="Times New Roman"/>
          <w:b/>
          <w:sz w:val="24"/>
          <w:szCs w:val="24"/>
        </w:rPr>
      </w:pPr>
      <w:r w:rsidRPr="00737371">
        <w:rPr>
          <w:rFonts w:ascii="Times New Roman" w:hAnsi="Times New Roman" w:cs="Times New Roman"/>
          <w:b/>
          <w:sz w:val="24"/>
          <w:szCs w:val="24"/>
        </w:rPr>
        <w:t xml:space="preserve">Trabajo a </w:t>
      </w:r>
      <w:r w:rsidR="0006428E" w:rsidRPr="00737371">
        <w:rPr>
          <w:rFonts w:ascii="Times New Roman" w:hAnsi="Times New Roman" w:cs="Times New Roman"/>
          <w:b/>
          <w:sz w:val="24"/>
          <w:szCs w:val="24"/>
        </w:rPr>
        <w:t xml:space="preserve">futuro </w:t>
      </w:r>
      <w:r w:rsidR="00046DB2" w:rsidRPr="00737371">
        <w:rPr>
          <w:rFonts w:ascii="Times New Roman" w:hAnsi="Times New Roman" w:cs="Times New Roman"/>
          <w:b/>
          <w:sz w:val="24"/>
          <w:szCs w:val="24"/>
        </w:rPr>
        <w:t xml:space="preserve">y </w:t>
      </w:r>
      <w:r w:rsidR="0006428E" w:rsidRPr="00737371">
        <w:rPr>
          <w:rFonts w:ascii="Times New Roman" w:hAnsi="Times New Roman" w:cs="Times New Roman"/>
          <w:b/>
          <w:sz w:val="24"/>
          <w:szCs w:val="24"/>
        </w:rPr>
        <w:t>limitaciones</w:t>
      </w:r>
    </w:p>
    <w:p w14:paraId="15DD15B2" w14:textId="6E65AD99" w:rsidR="003D4AC2" w:rsidRDefault="009A7E52" w:rsidP="0006428E">
      <w:pPr>
        <w:spacing w:after="0" w:line="360" w:lineRule="auto"/>
        <w:ind w:firstLine="708"/>
        <w:jc w:val="both"/>
        <w:rPr>
          <w:rFonts w:ascii="Times New Roman" w:hAnsi="Times New Roman" w:cs="Times New Roman"/>
          <w:sz w:val="24"/>
          <w:szCs w:val="24"/>
        </w:rPr>
      </w:pPr>
      <w:r w:rsidRPr="00C76CD8">
        <w:rPr>
          <w:rFonts w:ascii="Times New Roman" w:hAnsi="Times New Roman" w:cs="Times New Roman"/>
          <w:sz w:val="24"/>
          <w:szCs w:val="24"/>
        </w:rPr>
        <w:t>Para futuros estudios relacionados con el nivel de habilidades matemáticas de los estudiantes</w:t>
      </w:r>
      <w:r w:rsidR="00FC2180" w:rsidRPr="00C76CD8">
        <w:rPr>
          <w:rFonts w:ascii="Times New Roman" w:hAnsi="Times New Roman" w:cs="Times New Roman"/>
          <w:sz w:val="24"/>
          <w:szCs w:val="24"/>
        </w:rPr>
        <w:t xml:space="preserve"> en otros países como México</w:t>
      </w:r>
      <w:r w:rsidRPr="00C76CD8">
        <w:rPr>
          <w:rFonts w:ascii="Times New Roman" w:hAnsi="Times New Roman" w:cs="Times New Roman"/>
          <w:sz w:val="24"/>
          <w:szCs w:val="24"/>
        </w:rPr>
        <w:t xml:space="preserve">, se recomienda que se utilicen exámenes </w:t>
      </w:r>
      <w:r w:rsidR="00A24411" w:rsidRPr="00C76CD8">
        <w:rPr>
          <w:rFonts w:ascii="Times New Roman" w:hAnsi="Times New Roman" w:cs="Times New Roman"/>
          <w:sz w:val="24"/>
          <w:szCs w:val="24"/>
        </w:rPr>
        <w:t xml:space="preserve">estandarizados </w:t>
      </w:r>
      <w:r w:rsidRPr="00C76CD8">
        <w:rPr>
          <w:rFonts w:ascii="Times New Roman" w:hAnsi="Times New Roman" w:cs="Times New Roman"/>
          <w:sz w:val="24"/>
          <w:szCs w:val="24"/>
        </w:rPr>
        <w:t>de conocimiento especializados en determinar la preparación matemática de los estudiantes</w:t>
      </w:r>
      <w:r w:rsidR="00595A5E">
        <w:rPr>
          <w:rFonts w:ascii="Times New Roman" w:hAnsi="Times New Roman" w:cs="Times New Roman"/>
          <w:sz w:val="24"/>
          <w:szCs w:val="24"/>
        </w:rPr>
        <w:t>, por ejemplo,</w:t>
      </w:r>
      <w:r w:rsidRPr="00C76CD8">
        <w:rPr>
          <w:rFonts w:ascii="Times New Roman" w:hAnsi="Times New Roman" w:cs="Times New Roman"/>
          <w:sz w:val="24"/>
          <w:szCs w:val="24"/>
        </w:rPr>
        <w:t xml:space="preserve"> </w:t>
      </w:r>
      <w:r w:rsidR="007661DA" w:rsidRPr="00C76CD8">
        <w:rPr>
          <w:rFonts w:ascii="Times New Roman" w:hAnsi="Times New Roman" w:cs="Times New Roman"/>
          <w:sz w:val="24"/>
          <w:szCs w:val="24"/>
        </w:rPr>
        <w:t xml:space="preserve">los exámenes de </w:t>
      </w:r>
      <w:r w:rsidR="00286F1F" w:rsidRPr="00C76CD8">
        <w:rPr>
          <w:rFonts w:ascii="Times New Roman" w:hAnsi="Times New Roman" w:cs="Times New Roman"/>
          <w:sz w:val="24"/>
          <w:szCs w:val="24"/>
        </w:rPr>
        <w:t>diagnóstico</w:t>
      </w:r>
      <w:r w:rsidR="007661DA" w:rsidRPr="00C76CD8">
        <w:rPr>
          <w:rFonts w:ascii="Times New Roman" w:hAnsi="Times New Roman" w:cs="Times New Roman"/>
          <w:sz w:val="24"/>
          <w:szCs w:val="24"/>
        </w:rPr>
        <w:t xml:space="preserve"> diseñados por e</w:t>
      </w:r>
      <w:r w:rsidRPr="00C76CD8">
        <w:rPr>
          <w:rFonts w:ascii="Times New Roman" w:hAnsi="Times New Roman" w:cs="Times New Roman"/>
          <w:sz w:val="24"/>
          <w:szCs w:val="24"/>
        </w:rPr>
        <w:t xml:space="preserve">l </w:t>
      </w:r>
      <w:r w:rsidR="00286F1F" w:rsidRPr="00C76CD8">
        <w:rPr>
          <w:rFonts w:ascii="Times New Roman" w:hAnsi="Times New Roman" w:cs="Times New Roman"/>
          <w:sz w:val="24"/>
          <w:szCs w:val="24"/>
        </w:rPr>
        <w:t xml:space="preserve">Centro Nacional para la Evaluación </w:t>
      </w:r>
      <w:r w:rsidR="00A24411" w:rsidRPr="00C76CD8">
        <w:rPr>
          <w:rFonts w:ascii="Times New Roman" w:hAnsi="Times New Roman" w:cs="Times New Roman"/>
          <w:sz w:val="24"/>
          <w:szCs w:val="24"/>
        </w:rPr>
        <w:fldChar w:fldCharType="begin" w:fldLock="1"/>
      </w:r>
      <w:r w:rsidR="0096183A">
        <w:rPr>
          <w:rFonts w:ascii="Times New Roman" w:hAnsi="Times New Roman" w:cs="Times New Roman"/>
          <w:sz w:val="24"/>
          <w:szCs w:val="24"/>
        </w:rPr>
        <w:instrText>ADDIN CSL_CITATION {"citationItems":[{"id":"ITEM-1","itemData":{"URL":"http://www.ceneval.edu.mx/examenes-de-diagnostico","author":[{"dropping-particle":"","family":"CENEVAL","given":"","non-dropping-particle":"","parse-names":false,"suffix":""}],"id":"ITEM-1","issued":{"date-parts":[["2017"]]},"title":"Centro Nacional para la Evaluación de la Educación Superior","type":"webpage"},"uris":["http://www.mendeley.com/documents/?uuid=951eb4a9-4d3b-4aa0-b4d5-dc5e82dd04a8"]}],"mendeley":{"formattedCitation":"(CENEVAL, 2017)","manualFormatting":"(Centro Nacional de Evaluación para la Educación Superior , 2017)","plainTextFormattedCitation":"(CENEVAL, 2017)","previouslyFormattedCitation":"(CENEVAL, 2017)"},"properties":{"noteIndex":0},"schema":"https://github.com/citation-style-language/schema/raw/master/csl-citation.json"}</w:instrText>
      </w:r>
      <w:r w:rsidR="00A24411" w:rsidRPr="00C76CD8">
        <w:rPr>
          <w:rFonts w:ascii="Times New Roman" w:hAnsi="Times New Roman" w:cs="Times New Roman"/>
          <w:sz w:val="24"/>
          <w:szCs w:val="24"/>
        </w:rPr>
        <w:fldChar w:fldCharType="separate"/>
      </w:r>
      <w:r w:rsidR="00A24411" w:rsidRPr="00C76CD8">
        <w:rPr>
          <w:rFonts w:ascii="Times New Roman" w:hAnsi="Times New Roman" w:cs="Times New Roman"/>
          <w:noProof/>
          <w:sz w:val="24"/>
          <w:szCs w:val="24"/>
        </w:rPr>
        <w:t>(</w:t>
      </w:r>
      <w:r w:rsidR="00AE6459" w:rsidRPr="00C76CD8">
        <w:rPr>
          <w:rFonts w:ascii="Times New Roman" w:hAnsi="Times New Roman" w:cs="Times New Roman"/>
          <w:noProof/>
          <w:sz w:val="24"/>
          <w:szCs w:val="24"/>
        </w:rPr>
        <w:t>Centro Nacional de Evaluación para la Educación Superior</w:t>
      </w:r>
      <w:r w:rsidR="00A24411" w:rsidRPr="00C76CD8">
        <w:rPr>
          <w:rFonts w:ascii="Times New Roman" w:hAnsi="Times New Roman" w:cs="Times New Roman"/>
          <w:noProof/>
          <w:sz w:val="24"/>
          <w:szCs w:val="24"/>
        </w:rPr>
        <w:t>, 2017)</w:t>
      </w:r>
      <w:r w:rsidR="00A24411" w:rsidRPr="00C76CD8">
        <w:rPr>
          <w:rFonts w:ascii="Times New Roman" w:hAnsi="Times New Roman" w:cs="Times New Roman"/>
          <w:sz w:val="24"/>
          <w:szCs w:val="24"/>
        </w:rPr>
        <w:fldChar w:fldCharType="end"/>
      </w:r>
      <w:r w:rsidRPr="00C76CD8">
        <w:rPr>
          <w:rFonts w:ascii="Times New Roman" w:hAnsi="Times New Roman" w:cs="Times New Roman"/>
          <w:sz w:val="24"/>
          <w:szCs w:val="24"/>
        </w:rPr>
        <w:t>.</w:t>
      </w:r>
      <w:r w:rsidR="00A24411" w:rsidRPr="00C76CD8">
        <w:rPr>
          <w:rFonts w:ascii="Times New Roman" w:hAnsi="Times New Roman" w:cs="Times New Roman"/>
          <w:sz w:val="24"/>
          <w:szCs w:val="24"/>
        </w:rPr>
        <w:t xml:space="preserve"> Los resultados obtenidos en estos exámenes pueden servir como una estimación más aproximada de las habilidades matemáticas de los estudiantes</w:t>
      </w:r>
      <w:r w:rsidR="00966E64" w:rsidRPr="00C76CD8">
        <w:rPr>
          <w:rFonts w:ascii="Times New Roman" w:hAnsi="Times New Roman" w:cs="Times New Roman"/>
          <w:sz w:val="24"/>
          <w:szCs w:val="24"/>
        </w:rPr>
        <w:t>, y así se podría</w:t>
      </w:r>
      <w:r w:rsidR="00FC2180" w:rsidRPr="00C76CD8">
        <w:rPr>
          <w:rFonts w:ascii="Times New Roman" w:hAnsi="Times New Roman" w:cs="Times New Roman"/>
          <w:sz w:val="24"/>
          <w:szCs w:val="24"/>
        </w:rPr>
        <w:t xml:space="preserve"> determin</w:t>
      </w:r>
      <w:r w:rsidR="00A24411" w:rsidRPr="00C76CD8">
        <w:rPr>
          <w:rFonts w:ascii="Times New Roman" w:hAnsi="Times New Roman" w:cs="Times New Roman"/>
          <w:sz w:val="24"/>
          <w:szCs w:val="24"/>
        </w:rPr>
        <w:t xml:space="preserve">ar </w:t>
      </w:r>
      <w:r w:rsidR="00FC2180" w:rsidRPr="00C76CD8">
        <w:rPr>
          <w:rFonts w:ascii="Times New Roman" w:hAnsi="Times New Roman" w:cs="Times New Roman"/>
          <w:sz w:val="24"/>
          <w:szCs w:val="24"/>
        </w:rPr>
        <w:t xml:space="preserve">si existe </w:t>
      </w:r>
      <w:r w:rsidR="00A24411" w:rsidRPr="00C76CD8">
        <w:rPr>
          <w:rFonts w:ascii="Times New Roman" w:hAnsi="Times New Roman" w:cs="Times New Roman"/>
          <w:sz w:val="24"/>
          <w:szCs w:val="24"/>
        </w:rPr>
        <w:t xml:space="preserve">una relación entre la calificación en </w:t>
      </w:r>
      <w:r w:rsidR="007E19CD" w:rsidRPr="00C76CD8">
        <w:rPr>
          <w:rFonts w:ascii="Times New Roman" w:hAnsi="Times New Roman" w:cs="Times New Roman"/>
          <w:sz w:val="24"/>
          <w:szCs w:val="24"/>
        </w:rPr>
        <w:t>la parte matemática del</w:t>
      </w:r>
      <w:r w:rsidR="00A24411" w:rsidRPr="00C76CD8">
        <w:rPr>
          <w:rFonts w:ascii="Times New Roman" w:hAnsi="Times New Roman" w:cs="Times New Roman"/>
          <w:sz w:val="24"/>
          <w:szCs w:val="24"/>
        </w:rPr>
        <w:t xml:space="preserve"> examen </w:t>
      </w:r>
      <w:r w:rsidR="00595A5E">
        <w:rPr>
          <w:rFonts w:ascii="Times New Roman" w:hAnsi="Times New Roman" w:cs="Times New Roman"/>
          <w:sz w:val="24"/>
          <w:szCs w:val="24"/>
        </w:rPr>
        <w:t>Ceneval</w:t>
      </w:r>
      <w:r w:rsidR="00595A5E" w:rsidRPr="00C76CD8">
        <w:rPr>
          <w:rFonts w:ascii="Times New Roman" w:hAnsi="Times New Roman" w:cs="Times New Roman"/>
          <w:sz w:val="24"/>
          <w:szCs w:val="24"/>
        </w:rPr>
        <w:t xml:space="preserve"> </w:t>
      </w:r>
      <w:r w:rsidR="00AE6459" w:rsidRPr="00C76CD8">
        <w:rPr>
          <w:rFonts w:ascii="Times New Roman" w:hAnsi="Times New Roman" w:cs="Times New Roman"/>
          <w:sz w:val="24"/>
          <w:szCs w:val="24"/>
        </w:rPr>
        <w:t xml:space="preserve">(prueba de conocimientos estandarizada para la admisión a la universidad en México) </w:t>
      </w:r>
      <w:r w:rsidR="007E19CD" w:rsidRPr="00C76CD8">
        <w:rPr>
          <w:rFonts w:ascii="Times New Roman" w:hAnsi="Times New Roman" w:cs="Times New Roman"/>
          <w:sz w:val="24"/>
          <w:szCs w:val="24"/>
        </w:rPr>
        <w:t xml:space="preserve">y las probabilidades de seleccionar una ingeniería </w:t>
      </w:r>
      <w:r w:rsidR="00494BE0" w:rsidRPr="00C76CD8">
        <w:rPr>
          <w:rFonts w:ascii="Times New Roman" w:hAnsi="Times New Roman" w:cs="Times New Roman"/>
          <w:sz w:val="24"/>
          <w:szCs w:val="24"/>
        </w:rPr>
        <w:t xml:space="preserve">por parte </w:t>
      </w:r>
      <w:r w:rsidR="00FC2180" w:rsidRPr="00C76CD8">
        <w:rPr>
          <w:rFonts w:ascii="Times New Roman" w:hAnsi="Times New Roman" w:cs="Times New Roman"/>
          <w:sz w:val="24"/>
          <w:szCs w:val="24"/>
        </w:rPr>
        <w:t xml:space="preserve">de los estudiantes </w:t>
      </w:r>
      <w:r w:rsidR="00595A5E">
        <w:rPr>
          <w:rFonts w:ascii="Times New Roman" w:hAnsi="Times New Roman" w:cs="Times New Roman"/>
          <w:sz w:val="24"/>
          <w:szCs w:val="24"/>
        </w:rPr>
        <w:t>mexicanos</w:t>
      </w:r>
      <w:r w:rsidR="00494BE0" w:rsidRPr="00C76CD8">
        <w:rPr>
          <w:rFonts w:ascii="Times New Roman" w:hAnsi="Times New Roman" w:cs="Times New Roman"/>
          <w:sz w:val="24"/>
          <w:szCs w:val="24"/>
        </w:rPr>
        <w:t xml:space="preserve">. </w:t>
      </w:r>
      <w:r w:rsidR="003D4AC2">
        <w:rPr>
          <w:rFonts w:ascii="Times New Roman" w:hAnsi="Times New Roman" w:cs="Times New Roman"/>
          <w:sz w:val="24"/>
          <w:szCs w:val="24"/>
        </w:rPr>
        <w:t>Sin duda esto</w:t>
      </w:r>
      <w:r w:rsidR="003D4AC2" w:rsidRPr="00C76CD8">
        <w:rPr>
          <w:rFonts w:ascii="Times New Roman" w:hAnsi="Times New Roman" w:cs="Times New Roman"/>
          <w:sz w:val="24"/>
          <w:szCs w:val="24"/>
        </w:rPr>
        <w:t xml:space="preserve"> </w:t>
      </w:r>
      <w:r w:rsidR="00494BE0" w:rsidRPr="00C76CD8">
        <w:rPr>
          <w:rFonts w:ascii="Times New Roman" w:hAnsi="Times New Roman" w:cs="Times New Roman"/>
          <w:sz w:val="24"/>
          <w:szCs w:val="24"/>
        </w:rPr>
        <w:t>podría ser de gran ayuda para</w:t>
      </w:r>
      <w:r w:rsidR="00FC2180" w:rsidRPr="00C76CD8">
        <w:rPr>
          <w:rFonts w:ascii="Times New Roman" w:hAnsi="Times New Roman" w:cs="Times New Roman"/>
          <w:sz w:val="24"/>
          <w:szCs w:val="24"/>
        </w:rPr>
        <w:t xml:space="preserve"> desarrollar planes </w:t>
      </w:r>
      <w:r w:rsidR="007E19CD" w:rsidRPr="00C76CD8">
        <w:rPr>
          <w:rFonts w:ascii="Times New Roman" w:hAnsi="Times New Roman" w:cs="Times New Roman"/>
          <w:sz w:val="24"/>
          <w:szCs w:val="24"/>
        </w:rPr>
        <w:t>para mejorar la educación tecnológica</w:t>
      </w:r>
      <w:r w:rsidR="00FC2180" w:rsidRPr="00C76CD8">
        <w:rPr>
          <w:rFonts w:ascii="Times New Roman" w:hAnsi="Times New Roman" w:cs="Times New Roman"/>
          <w:sz w:val="24"/>
          <w:szCs w:val="24"/>
        </w:rPr>
        <w:t xml:space="preserve"> en nuestro país</w:t>
      </w:r>
      <w:r w:rsidR="007E19CD" w:rsidRPr="00C76CD8">
        <w:rPr>
          <w:rFonts w:ascii="Times New Roman" w:hAnsi="Times New Roman" w:cs="Times New Roman"/>
          <w:sz w:val="24"/>
          <w:szCs w:val="24"/>
        </w:rPr>
        <w:t xml:space="preserve">. </w:t>
      </w:r>
    </w:p>
    <w:p w14:paraId="02A4D58B" w14:textId="1CF40A5B" w:rsidR="00B572F9" w:rsidRDefault="00FC2180" w:rsidP="00514B68">
      <w:pPr>
        <w:spacing w:after="0" w:line="360" w:lineRule="auto"/>
        <w:ind w:firstLine="708"/>
        <w:jc w:val="both"/>
        <w:rPr>
          <w:rFonts w:ascii="Times New Roman" w:hAnsi="Times New Roman" w:cs="Times New Roman"/>
          <w:sz w:val="24"/>
          <w:szCs w:val="24"/>
        </w:rPr>
      </w:pPr>
      <w:r w:rsidRPr="00C76CD8">
        <w:rPr>
          <w:rFonts w:ascii="Times New Roman" w:hAnsi="Times New Roman" w:cs="Times New Roman"/>
          <w:sz w:val="24"/>
          <w:szCs w:val="24"/>
        </w:rPr>
        <w:t>Además, s</w:t>
      </w:r>
      <w:r w:rsidR="005F2E55" w:rsidRPr="00C76CD8">
        <w:rPr>
          <w:rFonts w:ascii="Times New Roman" w:hAnsi="Times New Roman" w:cs="Times New Roman"/>
          <w:sz w:val="24"/>
          <w:szCs w:val="24"/>
        </w:rPr>
        <w:t>e recomienda realizar</w:t>
      </w:r>
      <w:r w:rsidR="00595A5E">
        <w:rPr>
          <w:rFonts w:ascii="Times New Roman" w:hAnsi="Times New Roman" w:cs="Times New Roman"/>
          <w:sz w:val="24"/>
          <w:szCs w:val="24"/>
        </w:rPr>
        <w:t xml:space="preserve"> una</w:t>
      </w:r>
      <w:r w:rsidR="005F2E55" w:rsidRPr="00C76CD8">
        <w:rPr>
          <w:rFonts w:ascii="Times New Roman" w:hAnsi="Times New Roman" w:cs="Times New Roman"/>
          <w:sz w:val="24"/>
          <w:szCs w:val="24"/>
        </w:rPr>
        <w:t xml:space="preserve"> investigación m</w:t>
      </w:r>
      <w:r w:rsidR="00E408BF" w:rsidRPr="00C76CD8">
        <w:rPr>
          <w:rFonts w:ascii="Times New Roman" w:hAnsi="Times New Roman" w:cs="Times New Roman"/>
          <w:sz w:val="24"/>
          <w:szCs w:val="24"/>
        </w:rPr>
        <w:t>á</w:t>
      </w:r>
      <w:r w:rsidR="005F2E55" w:rsidRPr="00C76CD8">
        <w:rPr>
          <w:rFonts w:ascii="Times New Roman" w:hAnsi="Times New Roman" w:cs="Times New Roman"/>
          <w:sz w:val="24"/>
          <w:szCs w:val="24"/>
        </w:rPr>
        <w:t xml:space="preserve">s detallada sobre la brecha de género que actualmente existe entre profesionistas y </w:t>
      </w:r>
      <w:r w:rsidR="00AC5250">
        <w:rPr>
          <w:rFonts w:ascii="Times New Roman" w:hAnsi="Times New Roman" w:cs="Times New Roman"/>
          <w:sz w:val="24"/>
          <w:szCs w:val="24"/>
        </w:rPr>
        <w:t>alumnos</w:t>
      </w:r>
      <w:r w:rsidR="00AC5250" w:rsidRPr="00C76CD8">
        <w:rPr>
          <w:rFonts w:ascii="Times New Roman" w:hAnsi="Times New Roman" w:cs="Times New Roman"/>
          <w:sz w:val="24"/>
          <w:szCs w:val="24"/>
        </w:rPr>
        <w:t xml:space="preserve"> </w:t>
      </w:r>
      <w:r w:rsidR="005E30F2" w:rsidRPr="00C76CD8">
        <w:rPr>
          <w:rFonts w:ascii="Times New Roman" w:hAnsi="Times New Roman" w:cs="Times New Roman"/>
          <w:sz w:val="24"/>
          <w:szCs w:val="24"/>
        </w:rPr>
        <w:t>en las áreas de</w:t>
      </w:r>
      <w:r w:rsidR="005F2E55" w:rsidRPr="00C76CD8">
        <w:rPr>
          <w:rFonts w:ascii="Times New Roman" w:hAnsi="Times New Roman" w:cs="Times New Roman"/>
          <w:sz w:val="24"/>
          <w:szCs w:val="24"/>
        </w:rPr>
        <w:t xml:space="preserve"> ingeniería en </w:t>
      </w:r>
      <w:r w:rsidRPr="00C76CD8">
        <w:rPr>
          <w:rFonts w:ascii="Times New Roman" w:hAnsi="Times New Roman" w:cs="Times New Roman"/>
          <w:sz w:val="24"/>
          <w:szCs w:val="24"/>
        </w:rPr>
        <w:t>países como México</w:t>
      </w:r>
      <w:r w:rsidR="005F2E55" w:rsidRPr="00C76CD8">
        <w:rPr>
          <w:rFonts w:ascii="Times New Roman" w:hAnsi="Times New Roman" w:cs="Times New Roman"/>
          <w:sz w:val="24"/>
          <w:szCs w:val="24"/>
        </w:rPr>
        <w:t xml:space="preserve">. Futuros estudios que busquen aclarar esta </w:t>
      </w:r>
      <w:r w:rsidR="003D4AC2">
        <w:rPr>
          <w:rFonts w:ascii="Times New Roman" w:hAnsi="Times New Roman" w:cs="Times New Roman"/>
          <w:sz w:val="24"/>
          <w:szCs w:val="24"/>
        </w:rPr>
        <w:t>disparidad</w:t>
      </w:r>
      <w:r w:rsidR="003D4AC2" w:rsidRPr="00C76CD8">
        <w:rPr>
          <w:rFonts w:ascii="Times New Roman" w:hAnsi="Times New Roman" w:cs="Times New Roman"/>
          <w:sz w:val="24"/>
          <w:szCs w:val="24"/>
        </w:rPr>
        <w:t xml:space="preserve"> </w:t>
      </w:r>
      <w:r w:rsidR="005F2E55" w:rsidRPr="00C76CD8">
        <w:rPr>
          <w:rFonts w:ascii="Times New Roman" w:hAnsi="Times New Roman" w:cs="Times New Roman"/>
          <w:sz w:val="24"/>
          <w:szCs w:val="24"/>
        </w:rPr>
        <w:t>de género deben de poner especial atención en la influencia que puedan tener los cursos tomados en preparatoria, ya sean de matemáticas o de ciencias, de esta forma se puede identificar qu</w:t>
      </w:r>
      <w:r w:rsidR="00E408BF" w:rsidRPr="00C76CD8">
        <w:rPr>
          <w:rFonts w:ascii="Times New Roman" w:hAnsi="Times New Roman" w:cs="Times New Roman"/>
          <w:sz w:val="24"/>
          <w:szCs w:val="24"/>
        </w:rPr>
        <w:t>é</w:t>
      </w:r>
      <w:r w:rsidR="005F2E55" w:rsidRPr="00C76CD8">
        <w:rPr>
          <w:rFonts w:ascii="Times New Roman" w:hAnsi="Times New Roman" w:cs="Times New Roman"/>
          <w:sz w:val="24"/>
          <w:szCs w:val="24"/>
        </w:rPr>
        <w:t xml:space="preserve"> tipo de actividades y cursos pueden alentar a las estudiantes a interesarse en carreras de ingeniería.</w:t>
      </w:r>
      <w:r w:rsidR="00AF6424" w:rsidRPr="00C76CD8">
        <w:rPr>
          <w:rFonts w:ascii="Times New Roman" w:hAnsi="Times New Roman" w:cs="Times New Roman"/>
          <w:sz w:val="24"/>
          <w:szCs w:val="24"/>
        </w:rPr>
        <w:t xml:space="preserve"> </w:t>
      </w:r>
      <w:r w:rsidR="005F2E55" w:rsidRPr="00C76CD8">
        <w:rPr>
          <w:rFonts w:ascii="Times New Roman" w:hAnsi="Times New Roman" w:cs="Times New Roman"/>
          <w:sz w:val="24"/>
          <w:szCs w:val="24"/>
        </w:rPr>
        <w:t xml:space="preserve">En México se toman cursos de cálculo </w:t>
      </w:r>
      <w:r w:rsidR="006C2CC8" w:rsidRPr="00C76CD8">
        <w:rPr>
          <w:rFonts w:ascii="Times New Roman" w:hAnsi="Times New Roman" w:cs="Times New Roman"/>
          <w:sz w:val="24"/>
          <w:szCs w:val="24"/>
        </w:rPr>
        <w:t xml:space="preserve">de forma obligatoria </w:t>
      </w:r>
      <w:r w:rsidR="005F2E55" w:rsidRPr="00C76CD8">
        <w:rPr>
          <w:rFonts w:ascii="Times New Roman" w:hAnsi="Times New Roman" w:cs="Times New Roman"/>
          <w:sz w:val="24"/>
          <w:szCs w:val="24"/>
        </w:rPr>
        <w:t xml:space="preserve">como parte del programa académico de preparatoria, mientras que en otros países como Estados Unidos las </w:t>
      </w:r>
      <w:r w:rsidR="005F2E55" w:rsidRPr="00C76CD8">
        <w:rPr>
          <w:rFonts w:ascii="Times New Roman" w:hAnsi="Times New Roman" w:cs="Times New Roman"/>
          <w:sz w:val="24"/>
          <w:szCs w:val="24"/>
        </w:rPr>
        <w:lastRenderedPageBreak/>
        <w:t>clases de cálculo son optativas</w:t>
      </w:r>
      <w:r w:rsidR="00A47A76" w:rsidRPr="00C76CD8">
        <w:rPr>
          <w:rFonts w:ascii="Times New Roman" w:hAnsi="Times New Roman" w:cs="Times New Roman"/>
          <w:sz w:val="24"/>
          <w:szCs w:val="24"/>
        </w:rPr>
        <w:t xml:space="preserve"> a este nivel</w:t>
      </w:r>
      <w:r w:rsidR="005F2E55" w:rsidRPr="00C76CD8">
        <w:rPr>
          <w:rFonts w:ascii="Times New Roman" w:hAnsi="Times New Roman" w:cs="Times New Roman"/>
          <w:sz w:val="24"/>
          <w:szCs w:val="24"/>
        </w:rPr>
        <w:t xml:space="preserve">. Estas diferencias </w:t>
      </w:r>
      <w:r w:rsidR="00A47A76" w:rsidRPr="00C76CD8">
        <w:rPr>
          <w:rFonts w:ascii="Times New Roman" w:hAnsi="Times New Roman" w:cs="Times New Roman"/>
          <w:sz w:val="24"/>
          <w:szCs w:val="24"/>
        </w:rPr>
        <w:t xml:space="preserve">pueden ayudarnos a </w:t>
      </w:r>
      <w:r w:rsidR="00881288" w:rsidRPr="00C76CD8">
        <w:rPr>
          <w:rFonts w:ascii="Times New Roman" w:hAnsi="Times New Roman" w:cs="Times New Roman"/>
          <w:sz w:val="24"/>
          <w:szCs w:val="24"/>
        </w:rPr>
        <w:t>comparar</w:t>
      </w:r>
      <w:r w:rsidR="00A47A76" w:rsidRPr="00C76CD8">
        <w:rPr>
          <w:rFonts w:ascii="Times New Roman" w:hAnsi="Times New Roman" w:cs="Times New Roman"/>
          <w:sz w:val="24"/>
          <w:szCs w:val="24"/>
        </w:rPr>
        <w:t xml:space="preserve"> </w:t>
      </w:r>
      <w:r w:rsidR="00127F95" w:rsidRPr="00C76CD8">
        <w:rPr>
          <w:rFonts w:ascii="Times New Roman" w:hAnsi="Times New Roman" w:cs="Times New Roman"/>
          <w:sz w:val="24"/>
          <w:szCs w:val="24"/>
        </w:rPr>
        <w:t>qué</w:t>
      </w:r>
      <w:r w:rsidR="00A47A76" w:rsidRPr="00C76CD8">
        <w:rPr>
          <w:rFonts w:ascii="Times New Roman" w:hAnsi="Times New Roman" w:cs="Times New Roman"/>
          <w:sz w:val="24"/>
          <w:szCs w:val="24"/>
        </w:rPr>
        <w:t xml:space="preserve"> tipo de efecto puede tener el ofrecer cursos de cálculo de forma optativa u obligatoria en el interés de los estudiantes de preparatoria por convertirse en ingenieros, especialmente en grupos afectados por estereotipos negativos relacionados con las matemáticas como pueden ser las mujeres.</w:t>
      </w:r>
      <w:r w:rsidR="00A47A76">
        <w:rPr>
          <w:rFonts w:ascii="Times New Roman" w:hAnsi="Times New Roman" w:cs="Times New Roman"/>
          <w:sz w:val="24"/>
          <w:szCs w:val="24"/>
        </w:rPr>
        <w:t xml:space="preserve">   </w:t>
      </w:r>
      <w:r w:rsidR="005F2E55">
        <w:rPr>
          <w:rFonts w:ascii="Times New Roman" w:hAnsi="Times New Roman" w:cs="Times New Roman"/>
          <w:sz w:val="24"/>
          <w:szCs w:val="24"/>
        </w:rPr>
        <w:t xml:space="preserve">     </w:t>
      </w:r>
    </w:p>
    <w:p w14:paraId="18E984B5" w14:textId="60D0385C" w:rsidR="00153C7C" w:rsidRPr="0073727D" w:rsidRDefault="00915F23" w:rsidP="00514B68">
      <w:pPr>
        <w:spacing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t>Los resultados y conclusiones de esta investigación deben interpretarse con el conocimi</w:t>
      </w:r>
      <w:r w:rsidR="00414987">
        <w:rPr>
          <w:rFonts w:ascii="Times New Roman" w:hAnsi="Times New Roman" w:cs="Times New Roman"/>
          <w:sz w:val="24"/>
          <w:szCs w:val="24"/>
        </w:rPr>
        <w:t>e</w:t>
      </w:r>
      <w:r>
        <w:rPr>
          <w:rFonts w:ascii="Times New Roman" w:hAnsi="Times New Roman" w:cs="Times New Roman"/>
          <w:sz w:val="24"/>
          <w:szCs w:val="24"/>
        </w:rPr>
        <w:t xml:space="preserve">nto de las limitaciones generadas por el tamaño y la diversidad limitada de la muestra. El lector debe revisar similitudes entre las poblaciones que desea analizar para poder aplicar los conceptos e ideas presentadas en este trabajo de investigación. Se debe de recolectar más información en diferentes contextos y países para poder generalizar estos resultados, especialmente si se desea seguir esta línea de investigación con estudiantes mexicanos. </w:t>
      </w:r>
      <w:r w:rsidR="000851E9">
        <w:rPr>
          <w:rFonts w:ascii="Times New Roman" w:hAnsi="Times New Roman" w:cs="Times New Roman"/>
          <w:sz w:val="24"/>
          <w:szCs w:val="24"/>
        </w:rPr>
        <w:t>Además de la falta de condiciones idóneas para generalizar las conclusiones de este trabajo, la forma en que se seleccionó la muestra para el análisis cua</w:t>
      </w:r>
      <w:r w:rsidR="00C76CD8">
        <w:rPr>
          <w:rFonts w:ascii="Times New Roman" w:hAnsi="Times New Roman" w:cs="Times New Roman"/>
          <w:sz w:val="24"/>
          <w:szCs w:val="24"/>
        </w:rPr>
        <w:t>nt</w:t>
      </w:r>
      <w:r w:rsidR="000851E9">
        <w:rPr>
          <w:rFonts w:ascii="Times New Roman" w:hAnsi="Times New Roman" w:cs="Times New Roman"/>
          <w:sz w:val="24"/>
          <w:szCs w:val="24"/>
        </w:rPr>
        <w:t>itativo representa una limitante para la validez externa de los resultados debido a que no es una muestra probabilística aleatoria.</w:t>
      </w:r>
      <w:r w:rsidR="002430A5">
        <w:rPr>
          <w:rFonts w:ascii="Times New Roman" w:hAnsi="Times New Roman" w:cs="Times New Roman"/>
          <w:sz w:val="24"/>
          <w:szCs w:val="24"/>
        </w:rPr>
        <w:t xml:space="preserve"> Por otro lado, </w:t>
      </w:r>
      <w:r w:rsidR="00153C7C">
        <w:rPr>
          <w:rFonts w:ascii="Times New Roman" w:hAnsi="Times New Roman" w:cs="Times New Roman"/>
          <w:sz w:val="24"/>
          <w:szCs w:val="24"/>
        </w:rPr>
        <w:t>se debe de considerar que los resultados de esta investigación están basados en regresiones, y esto limita la posibilidad de determinar la dirección de la correlación reportada en este trabajo</w:t>
      </w:r>
      <w:r w:rsidR="003518C5">
        <w:rPr>
          <w:rFonts w:ascii="Times New Roman" w:hAnsi="Times New Roman" w:cs="Times New Roman"/>
          <w:sz w:val="24"/>
          <w:szCs w:val="24"/>
        </w:rPr>
        <w:t xml:space="preserve"> </w:t>
      </w:r>
      <w:r w:rsidR="00632453">
        <w:rPr>
          <w:rFonts w:ascii="Times New Roman" w:hAnsi="Times New Roman" w:cs="Times New Roman"/>
          <w:sz w:val="24"/>
          <w:szCs w:val="24"/>
        </w:rPr>
        <w:fldChar w:fldCharType="begin" w:fldLock="1"/>
      </w:r>
      <w:r w:rsidR="0096183A">
        <w:rPr>
          <w:rFonts w:ascii="Times New Roman" w:hAnsi="Times New Roman" w:cs="Times New Roman"/>
          <w:sz w:val="24"/>
          <w:szCs w:val="24"/>
        </w:rPr>
        <w:instrText>ADDIN CSL_CITATION {"citationItems":[{"id":"ITEM-1","itemData":{"DOI":"10.2307/2684692","author":[{"dropping-particle":"","family":"Rovine","given":"M. L.","non-dropping-particle":"","parse-names":false,"suffix":""},{"dropping-particle":"","family":"Eye","given":"A.","non-dropping-particle":"Von","parse-names":false,"suffix":""}],"container-title":"American Statistician","id":"ITEM-1","issued":{"date-parts":[["1997"]]},"page":"42-46","title":"A 14th Way to Look at a Correlation Coefficient: Correlation as the Proportion of Matches.","type":"article-journal","volume":"51"},"uris":["http://www.mendeley.com/documents/?uuid=62c54370-dfcf-4a00-8f53-e0b7953feda9"]}],"mendeley":{"formattedCitation":"(Rovine &amp; Von Eye, 1997)","plainTextFormattedCitation":"(Rovine &amp; Von Eye, 1997)","previouslyFormattedCitation":"(Rovine &amp; Von Eye, 1997)"},"properties":{"noteIndex":0},"schema":"https://github.com/citation-style-language/schema/raw/master/csl-citation.json"}</w:instrText>
      </w:r>
      <w:r w:rsidR="00632453">
        <w:rPr>
          <w:rFonts w:ascii="Times New Roman" w:hAnsi="Times New Roman" w:cs="Times New Roman"/>
          <w:sz w:val="24"/>
          <w:szCs w:val="24"/>
        </w:rPr>
        <w:fldChar w:fldCharType="separate"/>
      </w:r>
      <w:r w:rsidR="00632453" w:rsidRPr="00632453">
        <w:rPr>
          <w:rFonts w:ascii="Times New Roman" w:hAnsi="Times New Roman" w:cs="Times New Roman"/>
          <w:noProof/>
          <w:sz w:val="24"/>
          <w:szCs w:val="24"/>
        </w:rPr>
        <w:t xml:space="preserve">(Rovine </w:t>
      </w:r>
      <w:r w:rsidR="00595A5E">
        <w:rPr>
          <w:rFonts w:ascii="Times New Roman" w:hAnsi="Times New Roman" w:cs="Times New Roman"/>
          <w:noProof/>
          <w:sz w:val="24"/>
          <w:szCs w:val="24"/>
        </w:rPr>
        <w:t>y</w:t>
      </w:r>
      <w:r w:rsidR="00595A5E" w:rsidRPr="00632453">
        <w:rPr>
          <w:rFonts w:ascii="Times New Roman" w:hAnsi="Times New Roman" w:cs="Times New Roman"/>
          <w:noProof/>
          <w:sz w:val="24"/>
          <w:szCs w:val="24"/>
        </w:rPr>
        <w:t xml:space="preserve"> </w:t>
      </w:r>
      <w:r w:rsidR="00632453" w:rsidRPr="00632453">
        <w:rPr>
          <w:rFonts w:ascii="Times New Roman" w:hAnsi="Times New Roman" w:cs="Times New Roman"/>
          <w:noProof/>
          <w:sz w:val="24"/>
          <w:szCs w:val="24"/>
        </w:rPr>
        <w:t>Von Eye, 1997)</w:t>
      </w:r>
      <w:r w:rsidR="00632453">
        <w:rPr>
          <w:rFonts w:ascii="Times New Roman" w:hAnsi="Times New Roman" w:cs="Times New Roman"/>
          <w:sz w:val="24"/>
          <w:szCs w:val="24"/>
        </w:rPr>
        <w:fldChar w:fldCharType="end"/>
      </w:r>
      <w:r w:rsidR="00153C7C">
        <w:rPr>
          <w:rFonts w:ascii="Times New Roman" w:hAnsi="Times New Roman" w:cs="Times New Roman"/>
          <w:sz w:val="24"/>
          <w:szCs w:val="24"/>
        </w:rPr>
        <w:t>. Para determinar la posible causalidad de estos resultados, se necesita una investigación cualitativa que determine las razones por las c</w:t>
      </w:r>
      <w:r w:rsidR="00E408BF">
        <w:rPr>
          <w:rFonts w:ascii="Times New Roman" w:hAnsi="Times New Roman" w:cs="Times New Roman"/>
          <w:sz w:val="24"/>
          <w:szCs w:val="24"/>
        </w:rPr>
        <w:t>u</w:t>
      </w:r>
      <w:r w:rsidR="00595A5E">
        <w:rPr>
          <w:rFonts w:ascii="Times New Roman" w:hAnsi="Times New Roman" w:cs="Times New Roman"/>
          <w:sz w:val="24"/>
          <w:szCs w:val="24"/>
        </w:rPr>
        <w:t>a</w:t>
      </w:r>
      <w:r w:rsidR="00153C7C">
        <w:rPr>
          <w:rFonts w:ascii="Times New Roman" w:hAnsi="Times New Roman" w:cs="Times New Roman"/>
          <w:sz w:val="24"/>
          <w:szCs w:val="24"/>
        </w:rPr>
        <w:t xml:space="preserve">les un estudiante de preparatoria se puede llegar a interesar en una carrera </w:t>
      </w:r>
      <w:r w:rsidR="00595A5E">
        <w:rPr>
          <w:rFonts w:ascii="Times New Roman" w:hAnsi="Times New Roman" w:cs="Times New Roman"/>
          <w:sz w:val="24"/>
          <w:szCs w:val="24"/>
        </w:rPr>
        <w:t>d</w:t>
      </w:r>
      <w:r w:rsidR="00153C7C">
        <w:rPr>
          <w:rFonts w:ascii="Times New Roman" w:hAnsi="Times New Roman" w:cs="Times New Roman"/>
          <w:sz w:val="24"/>
          <w:szCs w:val="24"/>
        </w:rPr>
        <w:t>el área de ingeniería.</w:t>
      </w:r>
    </w:p>
    <w:p w14:paraId="2419B69F" w14:textId="77777777" w:rsidR="0006428E" w:rsidRPr="00E24F2C" w:rsidRDefault="0006428E" w:rsidP="0006428E">
      <w:pPr>
        <w:spacing w:after="0" w:line="360" w:lineRule="auto"/>
        <w:ind w:left="709" w:hanging="709"/>
        <w:rPr>
          <w:rFonts w:ascii="Times New Roman" w:hAnsi="Times New Roman" w:cs="Times New Roman"/>
          <w:b/>
          <w:sz w:val="24"/>
          <w:szCs w:val="24"/>
        </w:rPr>
      </w:pPr>
    </w:p>
    <w:p w14:paraId="1A28E516" w14:textId="77777777" w:rsidR="00586E48" w:rsidRDefault="00586E48" w:rsidP="00737371">
      <w:pPr>
        <w:spacing w:after="0" w:line="360" w:lineRule="auto"/>
        <w:rPr>
          <w:rFonts w:ascii="Calibri" w:eastAsia="Times New Roman" w:hAnsi="Calibri" w:cs="Calibri"/>
          <w:b/>
          <w:color w:val="000000" w:themeColor="text1"/>
          <w:sz w:val="28"/>
          <w:szCs w:val="28"/>
          <w:lang w:val="en-US" w:eastAsia="es-MX"/>
        </w:rPr>
      </w:pPr>
    </w:p>
    <w:p w14:paraId="664E5941" w14:textId="77777777" w:rsidR="00586E48" w:rsidRDefault="00586E48" w:rsidP="00737371">
      <w:pPr>
        <w:spacing w:after="0" w:line="360" w:lineRule="auto"/>
        <w:rPr>
          <w:rFonts w:ascii="Calibri" w:eastAsia="Times New Roman" w:hAnsi="Calibri" w:cs="Calibri"/>
          <w:b/>
          <w:color w:val="000000" w:themeColor="text1"/>
          <w:sz w:val="28"/>
          <w:szCs w:val="28"/>
          <w:lang w:val="en-US" w:eastAsia="es-MX"/>
        </w:rPr>
      </w:pPr>
    </w:p>
    <w:p w14:paraId="62BEA43A" w14:textId="77777777" w:rsidR="00586E48" w:rsidRDefault="00586E48" w:rsidP="00737371">
      <w:pPr>
        <w:spacing w:after="0" w:line="360" w:lineRule="auto"/>
        <w:rPr>
          <w:rFonts w:ascii="Calibri" w:eastAsia="Times New Roman" w:hAnsi="Calibri" w:cs="Calibri"/>
          <w:b/>
          <w:color w:val="000000" w:themeColor="text1"/>
          <w:sz w:val="28"/>
          <w:szCs w:val="28"/>
          <w:lang w:val="en-US" w:eastAsia="es-MX"/>
        </w:rPr>
      </w:pPr>
    </w:p>
    <w:p w14:paraId="4BC80E33" w14:textId="77777777" w:rsidR="00586E48" w:rsidRDefault="00586E48" w:rsidP="00737371">
      <w:pPr>
        <w:spacing w:after="0" w:line="360" w:lineRule="auto"/>
        <w:rPr>
          <w:rFonts w:ascii="Calibri" w:eastAsia="Times New Roman" w:hAnsi="Calibri" w:cs="Calibri"/>
          <w:b/>
          <w:color w:val="000000" w:themeColor="text1"/>
          <w:sz w:val="28"/>
          <w:szCs w:val="28"/>
          <w:lang w:val="en-US" w:eastAsia="es-MX"/>
        </w:rPr>
      </w:pPr>
    </w:p>
    <w:p w14:paraId="1EEC1FDE" w14:textId="77777777" w:rsidR="00586E48" w:rsidRDefault="00586E48" w:rsidP="00737371">
      <w:pPr>
        <w:spacing w:after="0" w:line="360" w:lineRule="auto"/>
        <w:rPr>
          <w:rFonts w:ascii="Calibri" w:eastAsia="Times New Roman" w:hAnsi="Calibri" w:cs="Calibri"/>
          <w:b/>
          <w:color w:val="000000" w:themeColor="text1"/>
          <w:sz w:val="28"/>
          <w:szCs w:val="28"/>
          <w:lang w:val="en-US" w:eastAsia="es-MX"/>
        </w:rPr>
      </w:pPr>
    </w:p>
    <w:p w14:paraId="0C880203" w14:textId="77777777" w:rsidR="00586E48" w:rsidRDefault="00586E48" w:rsidP="00737371">
      <w:pPr>
        <w:spacing w:after="0" w:line="360" w:lineRule="auto"/>
        <w:rPr>
          <w:rFonts w:ascii="Calibri" w:eastAsia="Times New Roman" w:hAnsi="Calibri" w:cs="Calibri"/>
          <w:b/>
          <w:color w:val="000000" w:themeColor="text1"/>
          <w:sz w:val="28"/>
          <w:szCs w:val="28"/>
          <w:lang w:val="en-US" w:eastAsia="es-MX"/>
        </w:rPr>
      </w:pPr>
    </w:p>
    <w:p w14:paraId="2004D588" w14:textId="77777777" w:rsidR="00586E48" w:rsidRDefault="00586E48" w:rsidP="00737371">
      <w:pPr>
        <w:spacing w:after="0" w:line="360" w:lineRule="auto"/>
        <w:rPr>
          <w:rFonts w:ascii="Calibri" w:eastAsia="Times New Roman" w:hAnsi="Calibri" w:cs="Calibri"/>
          <w:b/>
          <w:color w:val="000000" w:themeColor="text1"/>
          <w:sz w:val="28"/>
          <w:szCs w:val="28"/>
          <w:lang w:val="en-US" w:eastAsia="es-MX"/>
        </w:rPr>
      </w:pPr>
    </w:p>
    <w:p w14:paraId="08A0ECA6" w14:textId="6011FC55" w:rsidR="00A43E1A" w:rsidRPr="00E24F2C" w:rsidRDefault="00A43E1A" w:rsidP="00737371">
      <w:pPr>
        <w:spacing w:after="0" w:line="360" w:lineRule="auto"/>
        <w:rPr>
          <w:rFonts w:ascii="Calibri" w:eastAsia="Times New Roman" w:hAnsi="Calibri" w:cs="Calibri"/>
          <w:b/>
          <w:color w:val="000000" w:themeColor="text1"/>
          <w:sz w:val="28"/>
          <w:szCs w:val="28"/>
          <w:lang w:val="en-US" w:eastAsia="es-MX"/>
        </w:rPr>
      </w:pPr>
      <w:proofErr w:type="spellStart"/>
      <w:r w:rsidRPr="00E24F2C">
        <w:rPr>
          <w:rFonts w:ascii="Calibri" w:eastAsia="Times New Roman" w:hAnsi="Calibri" w:cs="Calibri"/>
          <w:b/>
          <w:color w:val="000000" w:themeColor="text1"/>
          <w:sz w:val="28"/>
          <w:szCs w:val="28"/>
          <w:lang w:val="en-US" w:eastAsia="es-MX"/>
        </w:rPr>
        <w:lastRenderedPageBreak/>
        <w:t>Referencias</w:t>
      </w:r>
      <w:proofErr w:type="spellEnd"/>
      <w:r w:rsidRPr="00E24F2C">
        <w:rPr>
          <w:rFonts w:ascii="Calibri" w:eastAsia="Times New Roman" w:hAnsi="Calibri" w:cs="Calibri"/>
          <w:b/>
          <w:color w:val="000000" w:themeColor="text1"/>
          <w:sz w:val="28"/>
          <w:szCs w:val="28"/>
          <w:lang w:val="en-US" w:eastAsia="es-MX"/>
        </w:rPr>
        <w:t xml:space="preserve"> </w:t>
      </w:r>
    </w:p>
    <w:p w14:paraId="4135CB05" w14:textId="7A63E50B" w:rsidR="00AE6459" w:rsidRPr="00514B68" w:rsidRDefault="00AE6459" w:rsidP="00514B68">
      <w:pPr>
        <w:spacing w:after="0" w:line="360" w:lineRule="auto"/>
        <w:ind w:left="709" w:hanging="709"/>
        <w:jc w:val="both"/>
        <w:rPr>
          <w:rFonts w:ascii="Times New Roman" w:hAnsi="Times New Roman" w:cs="Times New Roman"/>
          <w:sz w:val="24"/>
          <w:szCs w:val="24"/>
          <w:lang w:val="en-US"/>
        </w:rPr>
      </w:pPr>
      <w:r w:rsidRPr="00514B68">
        <w:rPr>
          <w:rFonts w:ascii="Times New Roman" w:hAnsi="Times New Roman" w:cs="Times New Roman"/>
          <w:sz w:val="24"/>
          <w:szCs w:val="24"/>
          <w:lang w:val="en-US"/>
        </w:rPr>
        <w:t>Aronson, J., Fried, C. B.</w:t>
      </w:r>
      <w:r w:rsidR="00FB4C43">
        <w:rPr>
          <w:rFonts w:ascii="Times New Roman" w:hAnsi="Times New Roman" w:cs="Times New Roman"/>
          <w:sz w:val="24"/>
          <w:szCs w:val="24"/>
          <w:lang w:val="en-US"/>
        </w:rPr>
        <w:t xml:space="preserve"> and</w:t>
      </w:r>
      <w:r w:rsidRPr="00514B68">
        <w:rPr>
          <w:rFonts w:ascii="Times New Roman" w:hAnsi="Times New Roman" w:cs="Times New Roman"/>
          <w:sz w:val="24"/>
          <w:szCs w:val="24"/>
          <w:lang w:val="en-US"/>
        </w:rPr>
        <w:t xml:space="preserve"> Good, C. (2002). Reducing the effects of stereotype threat on African American college students by shaping theories of intelligence. </w:t>
      </w:r>
      <w:r w:rsidRPr="00514B68">
        <w:rPr>
          <w:rFonts w:ascii="Times New Roman" w:hAnsi="Times New Roman" w:cs="Times New Roman"/>
          <w:i/>
          <w:sz w:val="24"/>
          <w:szCs w:val="24"/>
          <w:lang w:val="en-US"/>
        </w:rPr>
        <w:t>Journal of Experimental Social Psychology</w:t>
      </w:r>
      <w:r w:rsidRPr="00514B68">
        <w:rPr>
          <w:rFonts w:ascii="Times New Roman" w:hAnsi="Times New Roman" w:cs="Times New Roman"/>
          <w:sz w:val="24"/>
          <w:szCs w:val="24"/>
          <w:lang w:val="en-US"/>
        </w:rPr>
        <w:t xml:space="preserve">, </w:t>
      </w:r>
      <w:r w:rsidRPr="00514B68">
        <w:rPr>
          <w:rFonts w:ascii="Times New Roman" w:hAnsi="Times New Roman" w:cs="Times New Roman"/>
          <w:i/>
          <w:sz w:val="24"/>
          <w:szCs w:val="24"/>
          <w:lang w:val="en-US"/>
        </w:rPr>
        <w:t>38</w:t>
      </w:r>
      <w:r w:rsidRPr="00514B68">
        <w:rPr>
          <w:rFonts w:ascii="Times New Roman" w:hAnsi="Times New Roman" w:cs="Times New Roman"/>
          <w:sz w:val="24"/>
          <w:szCs w:val="24"/>
          <w:lang w:val="en-US"/>
        </w:rPr>
        <w:t>(2), 113</w:t>
      </w:r>
      <w:r w:rsidR="00915151">
        <w:rPr>
          <w:rFonts w:ascii="Times New Roman" w:hAnsi="Times New Roman" w:cs="Times New Roman"/>
          <w:sz w:val="24"/>
          <w:szCs w:val="24"/>
          <w:lang w:val="en-US"/>
        </w:rPr>
        <w:t>-</w:t>
      </w:r>
      <w:r w:rsidRPr="00514B68">
        <w:rPr>
          <w:rFonts w:ascii="Times New Roman" w:hAnsi="Times New Roman" w:cs="Times New Roman"/>
          <w:sz w:val="24"/>
          <w:szCs w:val="24"/>
          <w:lang w:val="en-US"/>
        </w:rPr>
        <w:t xml:space="preserve">125. </w:t>
      </w:r>
    </w:p>
    <w:p w14:paraId="51330A5C" w14:textId="4F79520D" w:rsidR="00AE6459" w:rsidRPr="00514B68" w:rsidRDefault="00AE6459" w:rsidP="00514B68">
      <w:pPr>
        <w:spacing w:after="0" w:line="360" w:lineRule="auto"/>
        <w:ind w:left="709" w:hanging="709"/>
        <w:jc w:val="both"/>
        <w:rPr>
          <w:rFonts w:ascii="Times New Roman" w:hAnsi="Times New Roman" w:cs="Times New Roman"/>
          <w:sz w:val="24"/>
          <w:szCs w:val="24"/>
          <w:lang w:val="en-US"/>
        </w:rPr>
      </w:pPr>
      <w:r w:rsidRPr="00514B68">
        <w:rPr>
          <w:rFonts w:ascii="Times New Roman" w:hAnsi="Times New Roman" w:cs="Times New Roman"/>
          <w:sz w:val="24"/>
          <w:szCs w:val="24"/>
          <w:lang w:val="en-US"/>
        </w:rPr>
        <w:t xml:space="preserve">Bandura, A. (1986). </w:t>
      </w:r>
      <w:r w:rsidRPr="00514B68">
        <w:rPr>
          <w:rFonts w:ascii="Times New Roman" w:hAnsi="Times New Roman" w:cs="Times New Roman"/>
          <w:i/>
          <w:sz w:val="24"/>
          <w:szCs w:val="24"/>
          <w:lang w:val="en-US"/>
        </w:rPr>
        <w:t>Social foundations of thought and action: A social cognitive theory</w:t>
      </w:r>
      <w:r w:rsidRPr="00514B68">
        <w:rPr>
          <w:rFonts w:ascii="Times New Roman" w:hAnsi="Times New Roman" w:cs="Times New Roman"/>
          <w:sz w:val="24"/>
          <w:szCs w:val="24"/>
          <w:lang w:val="en-US"/>
        </w:rPr>
        <w:t xml:space="preserve">. </w:t>
      </w:r>
      <w:r w:rsidR="00915151">
        <w:rPr>
          <w:rFonts w:ascii="Times New Roman" w:hAnsi="Times New Roman" w:cs="Times New Roman"/>
          <w:sz w:val="24"/>
          <w:szCs w:val="24"/>
          <w:lang w:val="en-US"/>
        </w:rPr>
        <w:t>New Jersey</w:t>
      </w:r>
      <w:r w:rsidRPr="00514B68">
        <w:rPr>
          <w:rFonts w:ascii="Times New Roman" w:hAnsi="Times New Roman" w:cs="Times New Roman"/>
          <w:sz w:val="24"/>
          <w:szCs w:val="24"/>
          <w:lang w:val="en-US"/>
        </w:rPr>
        <w:t xml:space="preserve">, </w:t>
      </w:r>
      <w:r w:rsidR="00FB4C43">
        <w:rPr>
          <w:rFonts w:ascii="Times New Roman" w:hAnsi="Times New Roman" w:cs="Times New Roman"/>
          <w:sz w:val="24"/>
          <w:szCs w:val="24"/>
          <w:lang w:val="en-US"/>
        </w:rPr>
        <w:t>United States</w:t>
      </w:r>
      <w:r w:rsidRPr="00514B68">
        <w:rPr>
          <w:rFonts w:ascii="Times New Roman" w:hAnsi="Times New Roman" w:cs="Times New Roman"/>
          <w:sz w:val="24"/>
          <w:szCs w:val="24"/>
          <w:lang w:val="en-US"/>
        </w:rPr>
        <w:t>: Prentice Hall.</w:t>
      </w:r>
    </w:p>
    <w:p w14:paraId="4F3C980F" w14:textId="7036C865" w:rsidR="00AE6459" w:rsidRPr="00514B68" w:rsidRDefault="00AE6459" w:rsidP="00514B68">
      <w:pPr>
        <w:spacing w:after="0" w:line="360" w:lineRule="auto"/>
        <w:ind w:left="709" w:hanging="709"/>
        <w:jc w:val="both"/>
        <w:rPr>
          <w:rFonts w:ascii="Times New Roman" w:hAnsi="Times New Roman" w:cs="Times New Roman"/>
          <w:sz w:val="24"/>
          <w:szCs w:val="24"/>
          <w:lang w:val="en-US"/>
        </w:rPr>
      </w:pPr>
      <w:r w:rsidRPr="00514B68">
        <w:rPr>
          <w:rFonts w:ascii="Times New Roman" w:hAnsi="Times New Roman" w:cs="Times New Roman"/>
          <w:sz w:val="24"/>
          <w:szCs w:val="24"/>
          <w:lang w:val="en-US"/>
        </w:rPr>
        <w:t>Betz, N. E.</w:t>
      </w:r>
      <w:r w:rsidR="00915151">
        <w:rPr>
          <w:rFonts w:ascii="Times New Roman" w:hAnsi="Times New Roman" w:cs="Times New Roman"/>
          <w:sz w:val="24"/>
          <w:szCs w:val="24"/>
          <w:lang w:val="en-US"/>
        </w:rPr>
        <w:t xml:space="preserve"> and</w:t>
      </w:r>
      <w:r w:rsidRPr="00514B68">
        <w:rPr>
          <w:rFonts w:ascii="Times New Roman" w:hAnsi="Times New Roman" w:cs="Times New Roman"/>
          <w:sz w:val="24"/>
          <w:szCs w:val="24"/>
          <w:lang w:val="en-US"/>
        </w:rPr>
        <w:t xml:space="preserve"> Hackett, G. (1983). The relationship of mathematics self-efficacy expectations to the selection of science-based college majors. </w:t>
      </w:r>
      <w:r w:rsidRPr="00514B68">
        <w:rPr>
          <w:rFonts w:ascii="Times New Roman" w:hAnsi="Times New Roman" w:cs="Times New Roman"/>
          <w:i/>
          <w:sz w:val="24"/>
          <w:szCs w:val="24"/>
          <w:lang w:val="en-US"/>
        </w:rPr>
        <w:t>Journal of Vocational Behavior</w:t>
      </w:r>
      <w:r w:rsidRPr="00514B68">
        <w:rPr>
          <w:rFonts w:ascii="Times New Roman" w:hAnsi="Times New Roman" w:cs="Times New Roman"/>
          <w:sz w:val="24"/>
          <w:szCs w:val="24"/>
          <w:lang w:val="en-US"/>
        </w:rPr>
        <w:t xml:space="preserve">, </w:t>
      </w:r>
      <w:r w:rsidRPr="00514B68">
        <w:rPr>
          <w:rFonts w:ascii="Times New Roman" w:hAnsi="Times New Roman" w:cs="Times New Roman"/>
          <w:i/>
          <w:sz w:val="24"/>
          <w:szCs w:val="24"/>
          <w:lang w:val="en-US"/>
        </w:rPr>
        <w:t>23</w:t>
      </w:r>
      <w:r w:rsidRPr="00514B68">
        <w:rPr>
          <w:rFonts w:ascii="Times New Roman" w:hAnsi="Times New Roman" w:cs="Times New Roman"/>
          <w:sz w:val="24"/>
          <w:szCs w:val="24"/>
          <w:lang w:val="en-US"/>
        </w:rPr>
        <w:t>(3), 329</w:t>
      </w:r>
      <w:r w:rsidR="00915151">
        <w:rPr>
          <w:rFonts w:ascii="Times New Roman" w:hAnsi="Times New Roman" w:cs="Times New Roman"/>
          <w:sz w:val="24"/>
          <w:szCs w:val="24"/>
          <w:lang w:val="en-US"/>
        </w:rPr>
        <w:t>-</w:t>
      </w:r>
      <w:r w:rsidRPr="00514B68">
        <w:rPr>
          <w:rFonts w:ascii="Times New Roman" w:hAnsi="Times New Roman" w:cs="Times New Roman"/>
          <w:sz w:val="24"/>
          <w:szCs w:val="24"/>
          <w:lang w:val="en-US"/>
        </w:rPr>
        <w:t xml:space="preserve">345. </w:t>
      </w:r>
    </w:p>
    <w:p w14:paraId="0B73AEC3" w14:textId="65D6A83F" w:rsidR="00AE6459" w:rsidRPr="00514B68" w:rsidRDefault="00AE6459" w:rsidP="00514B68">
      <w:pPr>
        <w:spacing w:after="0" w:line="360" w:lineRule="auto"/>
        <w:ind w:left="709" w:hanging="709"/>
        <w:jc w:val="both"/>
        <w:rPr>
          <w:rFonts w:ascii="Times New Roman" w:hAnsi="Times New Roman" w:cs="Times New Roman"/>
          <w:sz w:val="24"/>
          <w:szCs w:val="24"/>
        </w:rPr>
      </w:pPr>
      <w:r w:rsidRPr="00514B68">
        <w:rPr>
          <w:rFonts w:ascii="Times New Roman" w:hAnsi="Times New Roman" w:cs="Times New Roman"/>
          <w:sz w:val="24"/>
          <w:szCs w:val="24"/>
          <w:lang w:val="en-US"/>
        </w:rPr>
        <w:t>Brown, S.</w:t>
      </w:r>
      <w:r w:rsidR="00915151">
        <w:rPr>
          <w:rFonts w:ascii="Times New Roman" w:hAnsi="Times New Roman" w:cs="Times New Roman"/>
          <w:sz w:val="24"/>
          <w:szCs w:val="24"/>
          <w:lang w:val="en-US"/>
        </w:rPr>
        <w:t xml:space="preserve"> and</w:t>
      </w:r>
      <w:r w:rsidRPr="00514B68">
        <w:rPr>
          <w:rFonts w:ascii="Times New Roman" w:hAnsi="Times New Roman" w:cs="Times New Roman"/>
          <w:sz w:val="24"/>
          <w:szCs w:val="24"/>
          <w:lang w:val="en-US"/>
        </w:rPr>
        <w:t xml:space="preserve"> Burnham, J. (2012). Engineering student’s mathematics self-efficacy development in a freshmen engineering mathematics course. </w:t>
      </w:r>
      <w:r w:rsidRPr="00514B68">
        <w:rPr>
          <w:rFonts w:ascii="Times New Roman" w:hAnsi="Times New Roman" w:cs="Times New Roman"/>
          <w:i/>
          <w:sz w:val="24"/>
          <w:szCs w:val="24"/>
        </w:rPr>
        <w:t>International Journal of Engineering Education</w:t>
      </w:r>
      <w:r w:rsidRPr="00514B68">
        <w:rPr>
          <w:rFonts w:ascii="Times New Roman" w:hAnsi="Times New Roman" w:cs="Times New Roman"/>
          <w:sz w:val="24"/>
          <w:szCs w:val="24"/>
        </w:rPr>
        <w:t xml:space="preserve">, </w:t>
      </w:r>
      <w:r w:rsidRPr="00514B68">
        <w:rPr>
          <w:rFonts w:ascii="Times New Roman" w:hAnsi="Times New Roman" w:cs="Times New Roman"/>
          <w:i/>
          <w:sz w:val="24"/>
          <w:szCs w:val="24"/>
        </w:rPr>
        <w:t>28</w:t>
      </w:r>
      <w:r w:rsidRPr="00514B68">
        <w:rPr>
          <w:rFonts w:ascii="Times New Roman" w:hAnsi="Times New Roman" w:cs="Times New Roman"/>
          <w:sz w:val="24"/>
          <w:szCs w:val="24"/>
        </w:rPr>
        <w:t>(1), 113</w:t>
      </w:r>
      <w:r w:rsidR="00915151">
        <w:rPr>
          <w:rFonts w:ascii="Times New Roman" w:hAnsi="Times New Roman" w:cs="Times New Roman"/>
          <w:sz w:val="24"/>
          <w:szCs w:val="24"/>
        </w:rPr>
        <w:t>-</w:t>
      </w:r>
      <w:r w:rsidRPr="00514B68">
        <w:rPr>
          <w:rFonts w:ascii="Times New Roman" w:hAnsi="Times New Roman" w:cs="Times New Roman"/>
          <w:sz w:val="24"/>
          <w:szCs w:val="24"/>
        </w:rPr>
        <w:t>129.</w:t>
      </w:r>
    </w:p>
    <w:p w14:paraId="68469EE0" w14:textId="3E1988B1" w:rsidR="00AE6459" w:rsidRPr="00514B68" w:rsidRDefault="00AE6459" w:rsidP="00514B68">
      <w:pPr>
        <w:spacing w:after="0" w:line="360" w:lineRule="auto"/>
        <w:ind w:left="709" w:hanging="709"/>
        <w:jc w:val="both"/>
        <w:rPr>
          <w:rFonts w:ascii="Times New Roman" w:hAnsi="Times New Roman" w:cs="Times New Roman"/>
          <w:sz w:val="24"/>
          <w:szCs w:val="24"/>
        </w:rPr>
      </w:pPr>
      <w:bookmarkStart w:id="4" w:name="_Hlk526241766"/>
      <w:r w:rsidRPr="00514B68">
        <w:rPr>
          <w:rFonts w:ascii="Times New Roman" w:hAnsi="Times New Roman" w:cs="Times New Roman"/>
          <w:sz w:val="24"/>
          <w:szCs w:val="24"/>
        </w:rPr>
        <w:t>Centro Nacional de Evaluación para la Educación Superior</w:t>
      </w:r>
      <w:bookmarkEnd w:id="4"/>
      <w:r w:rsidR="007E4F36" w:rsidRPr="00514B68">
        <w:rPr>
          <w:rFonts w:ascii="Times New Roman" w:hAnsi="Times New Roman" w:cs="Times New Roman"/>
          <w:sz w:val="24"/>
          <w:szCs w:val="24"/>
        </w:rPr>
        <w:t xml:space="preserve"> [Ceneval]</w:t>
      </w:r>
      <w:r w:rsidRPr="00514B68">
        <w:rPr>
          <w:rFonts w:ascii="Times New Roman" w:hAnsi="Times New Roman" w:cs="Times New Roman"/>
          <w:sz w:val="24"/>
          <w:szCs w:val="24"/>
        </w:rPr>
        <w:t xml:space="preserve">. (2017). </w:t>
      </w:r>
      <w:r w:rsidRPr="00514B68">
        <w:rPr>
          <w:rFonts w:ascii="Times New Roman" w:hAnsi="Times New Roman" w:cs="Times New Roman"/>
          <w:i/>
          <w:sz w:val="24"/>
          <w:szCs w:val="24"/>
        </w:rPr>
        <w:t>Exámenes Diagnósticos</w:t>
      </w:r>
      <w:r w:rsidRPr="00514B68">
        <w:rPr>
          <w:rFonts w:ascii="Times New Roman" w:hAnsi="Times New Roman" w:cs="Times New Roman"/>
          <w:sz w:val="24"/>
          <w:szCs w:val="24"/>
        </w:rPr>
        <w:t>. México</w:t>
      </w:r>
      <w:r w:rsidR="00915151">
        <w:rPr>
          <w:rFonts w:ascii="Times New Roman" w:hAnsi="Times New Roman" w:cs="Times New Roman"/>
          <w:sz w:val="24"/>
          <w:szCs w:val="24"/>
        </w:rPr>
        <w:t xml:space="preserve">: </w:t>
      </w:r>
      <w:r w:rsidR="00915151" w:rsidRPr="00B9542D">
        <w:rPr>
          <w:rFonts w:ascii="Times New Roman" w:hAnsi="Times New Roman" w:cs="Times New Roman"/>
          <w:sz w:val="24"/>
          <w:szCs w:val="24"/>
        </w:rPr>
        <w:t>Centro Nacional de Evaluación para la Educación Superior</w:t>
      </w:r>
      <w:r w:rsidRPr="00514B68">
        <w:rPr>
          <w:rFonts w:ascii="Times New Roman" w:hAnsi="Times New Roman" w:cs="Times New Roman"/>
          <w:sz w:val="24"/>
          <w:szCs w:val="24"/>
        </w:rPr>
        <w:t>. Recuperado de http://www.ceneval.edu.mx/examenes-de-diagnostico</w:t>
      </w:r>
      <w:r w:rsidR="00915151">
        <w:rPr>
          <w:rFonts w:ascii="Times New Roman" w:hAnsi="Times New Roman" w:cs="Times New Roman"/>
          <w:sz w:val="24"/>
          <w:szCs w:val="24"/>
        </w:rPr>
        <w:t>.</w:t>
      </w:r>
    </w:p>
    <w:p w14:paraId="4375F672" w14:textId="54852B2A" w:rsidR="00AE6459" w:rsidRPr="00514B68" w:rsidRDefault="00AE6459" w:rsidP="00514B68">
      <w:pPr>
        <w:spacing w:after="0" w:line="360" w:lineRule="auto"/>
        <w:ind w:left="709" w:hanging="709"/>
        <w:jc w:val="both"/>
        <w:rPr>
          <w:rFonts w:ascii="Times New Roman" w:hAnsi="Times New Roman" w:cs="Times New Roman"/>
          <w:noProof/>
          <w:sz w:val="24"/>
          <w:szCs w:val="24"/>
          <w:lang w:val="en-US"/>
        </w:rPr>
      </w:pPr>
      <w:r w:rsidRPr="00514B68">
        <w:rPr>
          <w:rFonts w:ascii="Times New Roman" w:hAnsi="Times New Roman" w:cs="Times New Roman"/>
          <w:noProof/>
          <w:sz w:val="24"/>
          <w:szCs w:val="24"/>
          <w:lang w:val="en-US"/>
        </w:rPr>
        <w:t xml:space="preserve">Collett, D. (1991). </w:t>
      </w:r>
      <w:r w:rsidRPr="00514B68">
        <w:rPr>
          <w:rFonts w:ascii="Times New Roman" w:hAnsi="Times New Roman" w:cs="Times New Roman"/>
          <w:i/>
          <w:iCs/>
          <w:noProof/>
          <w:sz w:val="24"/>
          <w:szCs w:val="24"/>
          <w:lang w:val="en-US"/>
        </w:rPr>
        <w:t>Modelling binary data</w:t>
      </w:r>
      <w:r w:rsidRPr="00514B68">
        <w:rPr>
          <w:rFonts w:ascii="Times New Roman" w:hAnsi="Times New Roman" w:cs="Times New Roman"/>
          <w:noProof/>
          <w:sz w:val="24"/>
          <w:szCs w:val="24"/>
          <w:lang w:val="en-US"/>
        </w:rPr>
        <w:t>. London</w:t>
      </w:r>
      <w:r w:rsidR="00915151">
        <w:rPr>
          <w:rFonts w:ascii="Times New Roman" w:hAnsi="Times New Roman" w:cs="Times New Roman"/>
          <w:noProof/>
          <w:sz w:val="24"/>
          <w:szCs w:val="24"/>
          <w:lang w:val="en-US"/>
        </w:rPr>
        <w:t>, England</w:t>
      </w:r>
      <w:r w:rsidRPr="00514B68">
        <w:rPr>
          <w:rFonts w:ascii="Times New Roman" w:hAnsi="Times New Roman" w:cs="Times New Roman"/>
          <w:noProof/>
          <w:sz w:val="24"/>
          <w:szCs w:val="24"/>
          <w:lang w:val="en-US"/>
        </w:rPr>
        <w:t>: Chapman and Hall.</w:t>
      </w:r>
    </w:p>
    <w:p w14:paraId="7DBB1325" w14:textId="2E2B61D6" w:rsidR="00AE6459" w:rsidRPr="00E24F2C" w:rsidRDefault="00AE6459" w:rsidP="00514B68">
      <w:pPr>
        <w:spacing w:after="0" w:line="360" w:lineRule="auto"/>
        <w:ind w:left="709" w:hanging="709"/>
        <w:jc w:val="both"/>
        <w:rPr>
          <w:rFonts w:ascii="Times New Roman" w:hAnsi="Times New Roman" w:cs="Times New Roman"/>
          <w:sz w:val="24"/>
          <w:szCs w:val="24"/>
          <w:lang w:val="en-US"/>
        </w:rPr>
      </w:pPr>
      <w:r w:rsidRPr="00514B68">
        <w:rPr>
          <w:rFonts w:ascii="Times New Roman" w:hAnsi="Times New Roman" w:cs="Times New Roman"/>
          <w:sz w:val="24"/>
          <w:szCs w:val="24"/>
          <w:lang w:val="en-US"/>
        </w:rPr>
        <w:t xml:space="preserve">Committee on STEM Education. (2013). </w:t>
      </w:r>
      <w:r w:rsidRPr="00514B68">
        <w:rPr>
          <w:rFonts w:ascii="Times New Roman" w:hAnsi="Times New Roman" w:cs="Times New Roman"/>
          <w:i/>
          <w:sz w:val="24"/>
          <w:szCs w:val="24"/>
          <w:lang w:val="en-US"/>
        </w:rPr>
        <w:t>Federal Science, Technology, Engineering, and Mathematics (STEM) Education. 5-Year Strategic Plan</w:t>
      </w:r>
      <w:r w:rsidRPr="00514B68">
        <w:rPr>
          <w:rFonts w:ascii="Times New Roman" w:hAnsi="Times New Roman" w:cs="Times New Roman"/>
          <w:sz w:val="24"/>
          <w:szCs w:val="24"/>
          <w:lang w:val="en-US"/>
        </w:rPr>
        <w:t>. D.C.</w:t>
      </w:r>
      <w:r w:rsidR="00915151">
        <w:rPr>
          <w:rFonts w:ascii="Times New Roman" w:hAnsi="Times New Roman" w:cs="Times New Roman"/>
          <w:sz w:val="24"/>
          <w:szCs w:val="24"/>
          <w:lang w:val="en-US"/>
        </w:rPr>
        <w:t>, United States</w:t>
      </w:r>
      <w:r w:rsidRPr="00514B68">
        <w:rPr>
          <w:rFonts w:ascii="Times New Roman" w:hAnsi="Times New Roman" w:cs="Times New Roman"/>
          <w:sz w:val="24"/>
          <w:szCs w:val="24"/>
          <w:lang w:val="en-US"/>
        </w:rPr>
        <w:t xml:space="preserve">: National Science and Technology Council. </w:t>
      </w:r>
      <w:r w:rsidR="00915151" w:rsidRPr="00E24F2C">
        <w:rPr>
          <w:rFonts w:ascii="Times New Roman" w:hAnsi="Times New Roman" w:cs="Times New Roman"/>
          <w:sz w:val="24"/>
          <w:szCs w:val="24"/>
          <w:lang w:val="en-US"/>
        </w:rPr>
        <w:t>Retrieved from</w:t>
      </w:r>
      <w:r w:rsidRPr="00E24F2C">
        <w:rPr>
          <w:rFonts w:ascii="Times New Roman" w:hAnsi="Times New Roman" w:cs="Times New Roman"/>
          <w:sz w:val="24"/>
          <w:szCs w:val="24"/>
          <w:lang w:val="en-US"/>
        </w:rPr>
        <w:t xml:space="preserve"> http://obamawhitehouse.archives.gov/sites/default/files/microsites/ostp/stem_stratplan_2013.pdf</w:t>
      </w:r>
      <w:r w:rsidR="00915151" w:rsidRPr="00E24F2C">
        <w:rPr>
          <w:rFonts w:ascii="Times New Roman" w:hAnsi="Times New Roman" w:cs="Times New Roman"/>
          <w:sz w:val="24"/>
          <w:szCs w:val="24"/>
          <w:lang w:val="en-US"/>
        </w:rPr>
        <w:t>.</w:t>
      </w:r>
    </w:p>
    <w:p w14:paraId="337E34EA" w14:textId="1A08A3F1" w:rsidR="00AE6459" w:rsidRPr="00514B68" w:rsidRDefault="00AE6459" w:rsidP="00514B68">
      <w:pPr>
        <w:spacing w:after="0" w:line="360" w:lineRule="auto"/>
        <w:ind w:left="709" w:hanging="709"/>
        <w:jc w:val="both"/>
        <w:rPr>
          <w:rFonts w:ascii="Times New Roman" w:hAnsi="Times New Roman" w:cs="Times New Roman"/>
          <w:sz w:val="24"/>
          <w:szCs w:val="24"/>
        </w:rPr>
      </w:pPr>
      <w:r w:rsidRPr="00514B68">
        <w:rPr>
          <w:rFonts w:ascii="Times New Roman" w:hAnsi="Times New Roman" w:cs="Times New Roman"/>
          <w:sz w:val="24"/>
          <w:szCs w:val="24"/>
        </w:rPr>
        <w:t>Consejo Nacional de Ciencia y Tecnología</w:t>
      </w:r>
      <w:r w:rsidR="007E4F36" w:rsidRPr="00514B68">
        <w:rPr>
          <w:rFonts w:ascii="Times New Roman" w:hAnsi="Times New Roman" w:cs="Times New Roman"/>
          <w:sz w:val="24"/>
          <w:szCs w:val="24"/>
        </w:rPr>
        <w:t xml:space="preserve"> [Conacyt]</w:t>
      </w:r>
      <w:r w:rsidRPr="00514B68">
        <w:rPr>
          <w:rFonts w:ascii="Times New Roman" w:hAnsi="Times New Roman" w:cs="Times New Roman"/>
          <w:sz w:val="24"/>
          <w:szCs w:val="24"/>
        </w:rPr>
        <w:t>. (2014). Programa Especial de Ciencia, Tecnología e Innovación 2014-2018. México</w:t>
      </w:r>
      <w:r w:rsidR="00915151">
        <w:rPr>
          <w:rFonts w:ascii="Times New Roman" w:hAnsi="Times New Roman" w:cs="Times New Roman"/>
          <w:sz w:val="24"/>
          <w:szCs w:val="24"/>
        </w:rPr>
        <w:t xml:space="preserve">: </w:t>
      </w:r>
      <w:r w:rsidR="00915151" w:rsidRPr="00B9542D">
        <w:rPr>
          <w:rFonts w:ascii="Times New Roman" w:hAnsi="Times New Roman" w:cs="Times New Roman"/>
          <w:sz w:val="24"/>
          <w:szCs w:val="24"/>
        </w:rPr>
        <w:t>Consejo Nacional de Ciencia y Tecnología</w:t>
      </w:r>
      <w:r w:rsidRPr="00514B68">
        <w:rPr>
          <w:rFonts w:ascii="Times New Roman" w:hAnsi="Times New Roman" w:cs="Times New Roman"/>
          <w:sz w:val="24"/>
          <w:szCs w:val="24"/>
        </w:rPr>
        <w:t>. Recuperado de http://www.conacyt.gob.mx/images/conacyt/PECiTI_2014-2018.pdf</w:t>
      </w:r>
      <w:r w:rsidR="00915151">
        <w:rPr>
          <w:rFonts w:ascii="Times New Roman" w:hAnsi="Times New Roman" w:cs="Times New Roman"/>
          <w:sz w:val="24"/>
          <w:szCs w:val="24"/>
        </w:rPr>
        <w:t>.</w:t>
      </w:r>
    </w:p>
    <w:p w14:paraId="7C11ABED" w14:textId="4A78B402" w:rsidR="00AE6459" w:rsidRPr="00514B68" w:rsidRDefault="00AE6459" w:rsidP="00514B68">
      <w:pPr>
        <w:widowControl w:val="0"/>
        <w:autoSpaceDE w:val="0"/>
        <w:autoSpaceDN w:val="0"/>
        <w:adjustRightInd w:val="0"/>
        <w:spacing w:after="0" w:line="360" w:lineRule="auto"/>
        <w:ind w:left="709" w:hanging="709"/>
        <w:jc w:val="both"/>
        <w:rPr>
          <w:rFonts w:ascii="Times New Roman" w:hAnsi="Times New Roman" w:cs="Times New Roman"/>
          <w:noProof/>
          <w:sz w:val="24"/>
          <w:szCs w:val="24"/>
          <w:lang w:val="en-US"/>
        </w:rPr>
      </w:pPr>
      <w:r w:rsidRPr="00514B68">
        <w:rPr>
          <w:rFonts w:ascii="Times New Roman" w:hAnsi="Times New Roman" w:cs="Times New Roman"/>
          <w:noProof/>
          <w:sz w:val="24"/>
          <w:szCs w:val="24"/>
          <w:lang w:val="en-US"/>
        </w:rPr>
        <w:t xml:space="preserve">Creswell, J. W. (2009). </w:t>
      </w:r>
      <w:r w:rsidRPr="00514B68">
        <w:rPr>
          <w:rFonts w:ascii="Times New Roman" w:hAnsi="Times New Roman" w:cs="Times New Roman"/>
          <w:i/>
          <w:iCs/>
          <w:noProof/>
          <w:sz w:val="24"/>
          <w:szCs w:val="24"/>
          <w:lang w:val="en-US"/>
        </w:rPr>
        <w:t>Research design: Qualitative, quantitative and mixed methods research</w:t>
      </w:r>
      <w:r w:rsidRPr="00514B68">
        <w:rPr>
          <w:rFonts w:ascii="Times New Roman" w:hAnsi="Times New Roman" w:cs="Times New Roman"/>
          <w:noProof/>
          <w:sz w:val="24"/>
          <w:szCs w:val="24"/>
          <w:lang w:val="en-US"/>
        </w:rPr>
        <w:t xml:space="preserve">. </w:t>
      </w:r>
      <w:r w:rsidR="00915151">
        <w:rPr>
          <w:rFonts w:ascii="Times New Roman" w:hAnsi="Times New Roman" w:cs="Times New Roman"/>
          <w:noProof/>
          <w:sz w:val="24"/>
          <w:szCs w:val="24"/>
          <w:lang w:val="en-US"/>
        </w:rPr>
        <w:t>California, United States</w:t>
      </w:r>
      <w:r w:rsidRPr="00514B68">
        <w:rPr>
          <w:rFonts w:ascii="Times New Roman" w:hAnsi="Times New Roman" w:cs="Times New Roman"/>
          <w:noProof/>
          <w:sz w:val="24"/>
          <w:szCs w:val="24"/>
          <w:lang w:val="en-US"/>
        </w:rPr>
        <w:t>: Sage Publications.</w:t>
      </w:r>
    </w:p>
    <w:p w14:paraId="4CFDA6D2" w14:textId="450B64C7" w:rsidR="00AE6459" w:rsidRPr="00514B68" w:rsidRDefault="00AE6459" w:rsidP="00514B68">
      <w:pPr>
        <w:spacing w:after="0" w:line="360" w:lineRule="auto"/>
        <w:ind w:left="709" w:hanging="709"/>
        <w:jc w:val="both"/>
        <w:rPr>
          <w:rFonts w:ascii="Times New Roman" w:hAnsi="Times New Roman" w:cs="Times New Roman"/>
          <w:sz w:val="24"/>
          <w:szCs w:val="24"/>
          <w:lang w:val="en-US"/>
        </w:rPr>
      </w:pPr>
      <w:r w:rsidRPr="00514B68">
        <w:rPr>
          <w:rFonts w:ascii="Times New Roman" w:hAnsi="Times New Roman" w:cs="Times New Roman"/>
          <w:noProof/>
          <w:sz w:val="24"/>
          <w:szCs w:val="24"/>
          <w:lang w:val="en-US"/>
        </w:rPr>
        <w:t>Creswell, J. W.</w:t>
      </w:r>
      <w:r w:rsidR="00915151">
        <w:rPr>
          <w:rFonts w:ascii="Times New Roman" w:hAnsi="Times New Roman" w:cs="Times New Roman"/>
          <w:noProof/>
          <w:sz w:val="24"/>
          <w:szCs w:val="24"/>
          <w:lang w:val="en-US"/>
        </w:rPr>
        <w:t xml:space="preserve"> and</w:t>
      </w:r>
      <w:r w:rsidRPr="00514B68">
        <w:rPr>
          <w:rFonts w:ascii="Times New Roman" w:hAnsi="Times New Roman" w:cs="Times New Roman"/>
          <w:noProof/>
          <w:sz w:val="24"/>
          <w:szCs w:val="24"/>
          <w:lang w:val="en-US"/>
        </w:rPr>
        <w:t xml:space="preserve"> Clark, V. (2011). </w:t>
      </w:r>
      <w:r w:rsidRPr="00514B68">
        <w:rPr>
          <w:rFonts w:ascii="Times New Roman" w:hAnsi="Times New Roman" w:cs="Times New Roman"/>
          <w:i/>
          <w:iCs/>
          <w:noProof/>
          <w:sz w:val="24"/>
          <w:szCs w:val="24"/>
          <w:lang w:val="en-US"/>
        </w:rPr>
        <w:t>Designing and conducting mixed methods research</w:t>
      </w:r>
      <w:r w:rsidRPr="00514B68">
        <w:rPr>
          <w:rFonts w:ascii="Times New Roman" w:hAnsi="Times New Roman" w:cs="Times New Roman"/>
          <w:noProof/>
          <w:sz w:val="24"/>
          <w:szCs w:val="24"/>
          <w:lang w:val="en-US"/>
        </w:rPr>
        <w:t xml:space="preserve">. </w:t>
      </w:r>
      <w:r w:rsidR="00915151">
        <w:rPr>
          <w:rFonts w:ascii="Times New Roman" w:hAnsi="Times New Roman" w:cs="Times New Roman"/>
          <w:noProof/>
          <w:sz w:val="24"/>
          <w:szCs w:val="24"/>
          <w:lang w:val="en-US"/>
        </w:rPr>
        <w:t>California, United States</w:t>
      </w:r>
      <w:r w:rsidR="00915151" w:rsidRPr="00B9542D">
        <w:rPr>
          <w:rFonts w:ascii="Times New Roman" w:hAnsi="Times New Roman" w:cs="Times New Roman"/>
          <w:noProof/>
          <w:sz w:val="24"/>
          <w:szCs w:val="24"/>
          <w:lang w:val="en-US"/>
        </w:rPr>
        <w:t>: Sage Publications.</w:t>
      </w:r>
    </w:p>
    <w:p w14:paraId="20EFCDF0" w14:textId="0438EBD7" w:rsidR="00AE6459" w:rsidRPr="00514B68" w:rsidRDefault="00AE6459" w:rsidP="00514B68">
      <w:pPr>
        <w:spacing w:after="0" w:line="360" w:lineRule="auto"/>
        <w:ind w:left="709" w:hanging="709"/>
        <w:jc w:val="both"/>
        <w:rPr>
          <w:rFonts w:ascii="Times New Roman" w:hAnsi="Times New Roman" w:cs="Times New Roman"/>
          <w:sz w:val="24"/>
          <w:szCs w:val="24"/>
          <w:lang w:val="en-US"/>
        </w:rPr>
      </w:pPr>
      <w:r w:rsidRPr="00514B68">
        <w:rPr>
          <w:rFonts w:ascii="Times New Roman" w:hAnsi="Times New Roman" w:cs="Times New Roman"/>
          <w:sz w:val="24"/>
          <w:szCs w:val="24"/>
          <w:lang w:val="en-US"/>
        </w:rPr>
        <w:lastRenderedPageBreak/>
        <w:t>Cunningham, C.</w:t>
      </w:r>
      <w:r w:rsidR="00915151">
        <w:rPr>
          <w:rFonts w:ascii="Times New Roman" w:hAnsi="Times New Roman" w:cs="Times New Roman"/>
          <w:sz w:val="24"/>
          <w:szCs w:val="24"/>
          <w:lang w:val="en-US"/>
        </w:rPr>
        <w:t xml:space="preserve"> and</w:t>
      </w:r>
      <w:r w:rsidRPr="00514B68">
        <w:rPr>
          <w:rFonts w:ascii="Times New Roman" w:hAnsi="Times New Roman" w:cs="Times New Roman"/>
          <w:sz w:val="24"/>
          <w:szCs w:val="24"/>
          <w:lang w:val="en-US"/>
        </w:rPr>
        <w:t xml:space="preserve"> Knight, M. (2004). Draw an </w:t>
      </w:r>
      <w:r w:rsidR="00667CD1" w:rsidRPr="00514B68">
        <w:rPr>
          <w:rFonts w:ascii="Times New Roman" w:hAnsi="Times New Roman" w:cs="Times New Roman"/>
          <w:sz w:val="24"/>
          <w:szCs w:val="24"/>
          <w:lang w:val="en-US"/>
        </w:rPr>
        <w:t>e</w:t>
      </w:r>
      <w:r w:rsidRPr="00514B68">
        <w:rPr>
          <w:rFonts w:ascii="Times New Roman" w:hAnsi="Times New Roman" w:cs="Times New Roman"/>
          <w:sz w:val="24"/>
          <w:szCs w:val="24"/>
          <w:lang w:val="en-US"/>
        </w:rPr>
        <w:t xml:space="preserve">ngineer </w:t>
      </w:r>
      <w:r w:rsidR="00667CD1" w:rsidRPr="00514B68">
        <w:rPr>
          <w:rFonts w:ascii="Times New Roman" w:hAnsi="Times New Roman" w:cs="Times New Roman"/>
          <w:sz w:val="24"/>
          <w:szCs w:val="24"/>
          <w:lang w:val="en-US"/>
        </w:rPr>
        <w:t>t</w:t>
      </w:r>
      <w:r w:rsidRPr="00514B68">
        <w:rPr>
          <w:rFonts w:ascii="Times New Roman" w:hAnsi="Times New Roman" w:cs="Times New Roman"/>
          <w:sz w:val="24"/>
          <w:szCs w:val="24"/>
          <w:lang w:val="en-US"/>
        </w:rPr>
        <w:t xml:space="preserve">est: Development of a </w:t>
      </w:r>
      <w:r w:rsidR="00667CD1" w:rsidRPr="00514B68">
        <w:rPr>
          <w:rFonts w:ascii="Times New Roman" w:hAnsi="Times New Roman" w:cs="Times New Roman"/>
          <w:sz w:val="24"/>
          <w:szCs w:val="24"/>
          <w:lang w:val="en-US"/>
        </w:rPr>
        <w:t>t</w:t>
      </w:r>
      <w:r w:rsidRPr="00514B68">
        <w:rPr>
          <w:rFonts w:ascii="Times New Roman" w:hAnsi="Times New Roman" w:cs="Times New Roman"/>
          <w:sz w:val="24"/>
          <w:szCs w:val="24"/>
          <w:lang w:val="en-US"/>
        </w:rPr>
        <w:t xml:space="preserve">ool to investigate </w:t>
      </w:r>
      <w:r w:rsidR="00667CD1" w:rsidRPr="00514B68">
        <w:rPr>
          <w:rFonts w:ascii="Times New Roman" w:hAnsi="Times New Roman" w:cs="Times New Roman"/>
          <w:sz w:val="24"/>
          <w:szCs w:val="24"/>
          <w:lang w:val="en-US"/>
        </w:rPr>
        <w:t>s</w:t>
      </w:r>
      <w:r w:rsidRPr="00514B68">
        <w:rPr>
          <w:rFonts w:ascii="Times New Roman" w:hAnsi="Times New Roman" w:cs="Times New Roman"/>
          <w:sz w:val="24"/>
          <w:szCs w:val="24"/>
          <w:lang w:val="en-US"/>
        </w:rPr>
        <w:t xml:space="preserve">tudents’ </w:t>
      </w:r>
      <w:r w:rsidR="00667CD1" w:rsidRPr="00514B68">
        <w:rPr>
          <w:rFonts w:ascii="Times New Roman" w:hAnsi="Times New Roman" w:cs="Times New Roman"/>
          <w:sz w:val="24"/>
          <w:szCs w:val="24"/>
          <w:lang w:val="en-US"/>
        </w:rPr>
        <w:t>i</w:t>
      </w:r>
      <w:r w:rsidRPr="00514B68">
        <w:rPr>
          <w:rFonts w:ascii="Times New Roman" w:hAnsi="Times New Roman" w:cs="Times New Roman"/>
          <w:sz w:val="24"/>
          <w:szCs w:val="24"/>
          <w:lang w:val="en-US"/>
        </w:rPr>
        <w:t xml:space="preserve">deas about </w:t>
      </w:r>
      <w:r w:rsidR="00667CD1" w:rsidRPr="00514B68">
        <w:rPr>
          <w:rFonts w:ascii="Times New Roman" w:hAnsi="Times New Roman" w:cs="Times New Roman"/>
          <w:sz w:val="24"/>
          <w:szCs w:val="24"/>
          <w:lang w:val="en-US"/>
        </w:rPr>
        <w:t>e</w:t>
      </w:r>
      <w:r w:rsidRPr="00514B68">
        <w:rPr>
          <w:rFonts w:ascii="Times New Roman" w:hAnsi="Times New Roman" w:cs="Times New Roman"/>
          <w:sz w:val="24"/>
          <w:szCs w:val="24"/>
          <w:lang w:val="en-US"/>
        </w:rPr>
        <w:t xml:space="preserve">ngineers and </w:t>
      </w:r>
      <w:r w:rsidR="00667CD1" w:rsidRPr="00514B68">
        <w:rPr>
          <w:rFonts w:ascii="Times New Roman" w:hAnsi="Times New Roman" w:cs="Times New Roman"/>
          <w:sz w:val="24"/>
          <w:szCs w:val="24"/>
          <w:lang w:val="en-US"/>
        </w:rPr>
        <w:t>e</w:t>
      </w:r>
      <w:r w:rsidRPr="00514B68">
        <w:rPr>
          <w:rFonts w:ascii="Times New Roman" w:hAnsi="Times New Roman" w:cs="Times New Roman"/>
          <w:sz w:val="24"/>
          <w:szCs w:val="24"/>
          <w:lang w:val="en-US"/>
        </w:rPr>
        <w:t xml:space="preserve">ngineering. </w:t>
      </w:r>
      <w:r w:rsidR="00915151">
        <w:rPr>
          <w:rFonts w:ascii="Times New Roman" w:hAnsi="Times New Roman" w:cs="Times New Roman"/>
          <w:sz w:val="24"/>
          <w:szCs w:val="24"/>
          <w:lang w:val="en-US"/>
        </w:rPr>
        <w:t>Paper presented at</w:t>
      </w:r>
      <w:r w:rsidRPr="00514B68">
        <w:rPr>
          <w:rFonts w:ascii="Times New Roman" w:hAnsi="Times New Roman" w:cs="Times New Roman"/>
          <w:sz w:val="24"/>
          <w:szCs w:val="24"/>
          <w:lang w:val="en-US"/>
        </w:rPr>
        <w:t xml:space="preserve"> the 2004 American Society for Engineering Education Annual Conference and Exposition. Salt Lake City, </w:t>
      </w:r>
      <w:r w:rsidR="00AD0CD6" w:rsidRPr="00514B68">
        <w:rPr>
          <w:rFonts w:ascii="Times New Roman" w:hAnsi="Times New Roman" w:cs="Times New Roman"/>
          <w:sz w:val="24"/>
          <w:szCs w:val="24"/>
          <w:lang w:val="en-US"/>
        </w:rPr>
        <w:t>U</w:t>
      </w:r>
      <w:r w:rsidR="00AD0CD6">
        <w:rPr>
          <w:rFonts w:ascii="Times New Roman" w:hAnsi="Times New Roman" w:cs="Times New Roman"/>
          <w:sz w:val="24"/>
          <w:szCs w:val="24"/>
          <w:lang w:val="en-US"/>
        </w:rPr>
        <w:t>tah</w:t>
      </w:r>
      <w:r w:rsidRPr="00514B68">
        <w:rPr>
          <w:rFonts w:ascii="Times New Roman" w:hAnsi="Times New Roman" w:cs="Times New Roman"/>
          <w:sz w:val="24"/>
          <w:szCs w:val="24"/>
          <w:lang w:val="en-US"/>
        </w:rPr>
        <w:t>, June 20</w:t>
      </w:r>
      <w:r w:rsidR="00AD0CD6">
        <w:rPr>
          <w:rFonts w:ascii="Times New Roman" w:hAnsi="Times New Roman" w:cs="Times New Roman"/>
          <w:sz w:val="24"/>
          <w:szCs w:val="24"/>
          <w:lang w:val="en-US"/>
        </w:rPr>
        <w:t>-</w:t>
      </w:r>
      <w:r w:rsidRPr="00514B68">
        <w:rPr>
          <w:rFonts w:ascii="Times New Roman" w:hAnsi="Times New Roman" w:cs="Times New Roman"/>
          <w:sz w:val="24"/>
          <w:szCs w:val="24"/>
          <w:lang w:val="en-US"/>
        </w:rPr>
        <w:t>23</w:t>
      </w:r>
      <w:r w:rsidR="005721F4">
        <w:rPr>
          <w:rFonts w:ascii="Times New Roman" w:hAnsi="Times New Roman" w:cs="Times New Roman"/>
          <w:sz w:val="24"/>
          <w:szCs w:val="24"/>
          <w:lang w:val="en-US"/>
        </w:rPr>
        <w:t>, 2004</w:t>
      </w:r>
      <w:r w:rsidRPr="00514B68">
        <w:rPr>
          <w:rFonts w:ascii="Times New Roman" w:hAnsi="Times New Roman" w:cs="Times New Roman"/>
          <w:sz w:val="24"/>
          <w:szCs w:val="24"/>
          <w:lang w:val="en-US"/>
        </w:rPr>
        <w:t xml:space="preserve">. </w:t>
      </w:r>
    </w:p>
    <w:p w14:paraId="4B76A6A1" w14:textId="37C8D454" w:rsidR="00AE6459" w:rsidRPr="00514B68" w:rsidRDefault="00AE6459" w:rsidP="00514B68">
      <w:pPr>
        <w:spacing w:after="0" w:line="360" w:lineRule="auto"/>
        <w:ind w:left="709" w:hanging="709"/>
        <w:jc w:val="both"/>
        <w:rPr>
          <w:rFonts w:ascii="Times New Roman" w:hAnsi="Times New Roman" w:cs="Times New Roman"/>
          <w:sz w:val="24"/>
          <w:szCs w:val="24"/>
          <w:lang w:val="en-US"/>
        </w:rPr>
      </w:pPr>
      <w:proofErr w:type="spellStart"/>
      <w:r w:rsidRPr="00514B68">
        <w:rPr>
          <w:rFonts w:ascii="Times New Roman" w:hAnsi="Times New Roman" w:cs="Times New Roman"/>
          <w:sz w:val="24"/>
          <w:szCs w:val="24"/>
          <w:lang w:val="en-US"/>
        </w:rPr>
        <w:t>Dillman</w:t>
      </w:r>
      <w:proofErr w:type="spellEnd"/>
      <w:r w:rsidRPr="00514B68">
        <w:rPr>
          <w:rFonts w:ascii="Times New Roman" w:hAnsi="Times New Roman" w:cs="Times New Roman"/>
          <w:sz w:val="24"/>
          <w:szCs w:val="24"/>
          <w:lang w:val="en-US"/>
        </w:rPr>
        <w:t xml:space="preserve">, D. A. (2007). </w:t>
      </w:r>
      <w:r w:rsidRPr="00514B68">
        <w:rPr>
          <w:rFonts w:ascii="Times New Roman" w:hAnsi="Times New Roman" w:cs="Times New Roman"/>
          <w:i/>
          <w:sz w:val="24"/>
          <w:szCs w:val="24"/>
          <w:lang w:val="en-US"/>
        </w:rPr>
        <w:t>Mail and internet surveys: The tailored design method</w:t>
      </w:r>
      <w:r w:rsidRPr="00514B68">
        <w:rPr>
          <w:rFonts w:ascii="Times New Roman" w:hAnsi="Times New Roman" w:cs="Times New Roman"/>
          <w:sz w:val="24"/>
          <w:szCs w:val="24"/>
          <w:lang w:val="en-US"/>
        </w:rPr>
        <w:t>. New York</w:t>
      </w:r>
      <w:r w:rsidR="005721F4">
        <w:rPr>
          <w:rFonts w:ascii="Times New Roman" w:hAnsi="Times New Roman" w:cs="Times New Roman"/>
          <w:sz w:val="24"/>
          <w:szCs w:val="24"/>
          <w:lang w:val="en-US"/>
        </w:rPr>
        <w:t>, United States</w:t>
      </w:r>
      <w:r w:rsidRPr="00514B68">
        <w:rPr>
          <w:rFonts w:ascii="Times New Roman" w:hAnsi="Times New Roman" w:cs="Times New Roman"/>
          <w:sz w:val="24"/>
          <w:szCs w:val="24"/>
          <w:lang w:val="en-US"/>
        </w:rPr>
        <w:t>: Wiley.</w:t>
      </w:r>
    </w:p>
    <w:p w14:paraId="21E357D7" w14:textId="4FEDAEA8" w:rsidR="00AE6459" w:rsidRPr="00514B68" w:rsidRDefault="00AE6459" w:rsidP="00514B68">
      <w:pPr>
        <w:spacing w:after="0" w:line="360" w:lineRule="auto"/>
        <w:ind w:left="709" w:hanging="709"/>
        <w:jc w:val="both"/>
        <w:rPr>
          <w:rFonts w:ascii="Times New Roman" w:hAnsi="Times New Roman" w:cs="Times New Roman"/>
          <w:sz w:val="24"/>
          <w:szCs w:val="24"/>
          <w:lang w:val="en-US"/>
        </w:rPr>
      </w:pPr>
      <w:r w:rsidRPr="00514B68">
        <w:rPr>
          <w:rFonts w:ascii="Times New Roman" w:hAnsi="Times New Roman" w:cs="Times New Roman"/>
          <w:sz w:val="24"/>
          <w:szCs w:val="24"/>
          <w:lang w:val="en-US"/>
        </w:rPr>
        <w:t>Erdmann, V.</w:t>
      </w:r>
      <w:r w:rsidR="005721F4">
        <w:rPr>
          <w:rFonts w:ascii="Times New Roman" w:hAnsi="Times New Roman" w:cs="Times New Roman"/>
          <w:sz w:val="24"/>
          <w:szCs w:val="24"/>
          <w:lang w:val="en-US"/>
        </w:rPr>
        <w:t xml:space="preserve"> and</w:t>
      </w:r>
      <w:r w:rsidRPr="00514B68">
        <w:rPr>
          <w:rFonts w:ascii="Times New Roman" w:hAnsi="Times New Roman" w:cs="Times New Roman"/>
          <w:sz w:val="24"/>
          <w:szCs w:val="24"/>
          <w:lang w:val="en-US"/>
        </w:rPr>
        <w:t xml:space="preserve"> Schumann, T. (2010). </w:t>
      </w:r>
      <w:r w:rsidRPr="00514B68">
        <w:rPr>
          <w:rFonts w:ascii="Times New Roman" w:hAnsi="Times New Roman" w:cs="Times New Roman"/>
          <w:i/>
          <w:sz w:val="24"/>
          <w:szCs w:val="24"/>
          <w:lang w:val="en-US"/>
        </w:rPr>
        <w:t>European Engineering Report</w:t>
      </w:r>
      <w:r w:rsidRPr="00514B68">
        <w:rPr>
          <w:rFonts w:ascii="Times New Roman" w:hAnsi="Times New Roman" w:cs="Times New Roman"/>
          <w:sz w:val="24"/>
          <w:szCs w:val="24"/>
          <w:lang w:val="en-US"/>
        </w:rPr>
        <w:t xml:space="preserve">. Koln, </w:t>
      </w:r>
      <w:proofErr w:type="spellStart"/>
      <w:r w:rsidRPr="00514B68">
        <w:rPr>
          <w:rFonts w:ascii="Times New Roman" w:hAnsi="Times New Roman" w:cs="Times New Roman"/>
          <w:sz w:val="24"/>
          <w:szCs w:val="24"/>
          <w:lang w:val="en-US"/>
        </w:rPr>
        <w:t>Alemania</w:t>
      </w:r>
      <w:proofErr w:type="spellEnd"/>
      <w:r w:rsidRPr="00514B68">
        <w:rPr>
          <w:rFonts w:ascii="Times New Roman" w:hAnsi="Times New Roman" w:cs="Times New Roman"/>
          <w:sz w:val="24"/>
          <w:szCs w:val="24"/>
          <w:lang w:val="en-US"/>
        </w:rPr>
        <w:t xml:space="preserve">: </w:t>
      </w:r>
      <w:proofErr w:type="spellStart"/>
      <w:r w:rsidRPr="00514B68">
        <w:rPr>
          <w:rFonts w:ascii="Times New Roman" w:hAnsi="Times New Roman" w:cs="Times New Roman"/>
          <w:sz w:val="24"/>
          <w:szCs w:val="24"/>
          <w:lang w:val="en-US"/>
        </w:rPr>
        <w:t>Institut</w:t>
      </w:r>
      <w:proofErr w:type="spellEnd"/>
      <w:r w:rsidRPr="00514B68">
        <w:rPr>
          <w:rFonts w:ascii="Times New Roman" w:hAnsi="Times New Roman" w:cs="Times New Roman"/>
          <w:sz w:val="24"/>
          <w:szCs w:val="24"/>
          <w:lang w:val="en-US"/>
        </w:rPr>
        <w:t xml:space="preserve"> der </w:t>
      </w:r>
      <w:proofErr w:type="spellStart"/>
      <w:r w:rsidRPr="00514B68">
        <w:rPr>
          <w:rFonts w:ascii="Times New Roman" w:hAnsi="Times New Roman" w:cs="Times New Roman"/>
          <w:sz w:val="24"/>
          <w:szCs w:val="24"/>
          <w:lang w:val="en-US"/>
        </w:rPr>
        <w:t>deutschen</w:t>
      </w:r>
      <w:proofErr w:type="spellEnd"/>
      <w:r w:rsidRPr="00514B68">
        <w:rPr>
          <w:rFonts w:ascii="Times New Roman" w:hAnsi="Times New Roman" w:cs="Times New Roman"/>
          <w:sz w:val="24"/>
          <w:szCs w:val="24"/>
          <w:lang w:val="en-US"/>
        </w:rPr>
        <w:t xml:space="preserve"> </w:t>
      </w:r>
      <w:proofErr w:type="spellStart"/>
      <w:r w:rsidRPr="00514B68">
        <w:rPr>
          <w:rFonts w:ascii="Times New Roman" w:hAnsi="Times New Roman" w:cs="Times New Roman"/>
          <w:sz w:val="24"/>
          <w:szCs w:val="24"/>
          <w:lang w:val="en-US"/>
        </w:rPr>
        <w:t>wirtschaft</w:t>
      </w:r>
      <w:proofErr w:type="spellEnd"/>
      <w:r w:rsidR="00667CD1" w:rsidRPr="00514B68">
        <w:rPr>
          <w:rFonts w:ascii="Times New Roman" w:hAnsi="Times New Roman" w:cs="Times New Roman"/>
          <w:sz w:val="24"/>
          <w:szCs w:val="24"/>
          <w:lang w:val="en-US"/>
        </w:rPr>
        <w:t>.</w:t>
      </w:r>
      <w:r w:rsidRPr="00514B68">
        <w:rPr>
          <w:rFonts w:ascii="Times New Roman" w:hAnsi="Times New Roman" w:cs="Times New Roman"/>
          <w:sz w:val="24"/>
          <w:szCs w:val="24"/>
          <w:lang w:val="en-US"/>
        </w:rPr>
        <w:t xml:space="preserve"> </w:t>
      </w:r>
      <w:r w:rsidR="005721F4">
        <w:rPr>
          <w:rFonts w:ascii="Times New Roman" w:hAnsi="Times New Roman" w:cs="Times New Roman"/>
          <w:sz w:val="24"/>
          <w:szCs w:val="24"/>
          <w:lang w:val="en-US"/>
        </w:rPr>
        <w:t>Retrieved from</w:t>
      </w:r>
      <w:r w:rsidRPr="00514B68">
        <w:rPr>
          <w:rFonts w:ascii="Times New Roman" w:hAnsi="Times New Roman" w:cs="Times New Roman"/>
          <w:sz w:val="24"/>
          <w:szCs w:val="24"/>
          <w:lang w:val="en-US"/>
        </w:rPr>
        <w:t xml:space="preserve"> https://www.vdi.de/uploads/media/2010-04_IW_European_Engineering_Report_02.pdf</w:t>
      </w:r>
      <w:r w:rsidR="005721F4">
        <w:rPr>
          <w:rFonts w:ascii="Times New Roman" w:hAnsi="Times New Roman" w:cs="Times New Roman"/>
          <w:sz w:val="24"/>
          <w:szCs w:val="24"/>
          <w:lang w:val="en-US"/>
        </w:rPr>
        <w:t>.</w:t>
      </w:r>
    </w:p>
    <w:p w14:paraId="0349FA33" w14:textId="6C5230A8" w:rsidR="00AE6459" w:rsidRPr="00514B68" w:rsidRDefault="00AE6459" w:rsidP="00514B68">
      <w:pPr>
        <w:spacing w:after="0" w:line="360" w:lineRule="auto"/>
        <w:ind w:left="709" w:hanging="709"/>
        <w:jc w:val="both"/>
        <w:rPr>
          <w:rFonts w:ascii="Times New Roman" w:hAnsi="Times New Roman" w:cs="Times New Roman"/>
          <w:sz w:val="24"/>
          <w:szCs w:val="24"/>
          <w:lang w:val="en-US"/>
        </w:rPr>
      </w:pPr>
      <w:r w:rsidRPr="00514B68">
        <w:rPr>
          <w:rFonts w:ascii="Times New Roman" w:hAnsi="Times New Roman" w:cs="Times New Roman"/>
          <w:sz w:val="24"/>
          <w:szCs w:val="24"/>
          <w:lang w:val="en-US"/>
        </w:rPr>
        <w:t xml:space="preserve">Eris, O., </w:t>
      </w:r>
      <w:proofErr w:type="spellStart"/>
      <w:r w:rsidRPr="00514B68">
        <w:rPr>
          <w:rFonts w:ascii="Times New Roman" w:hAnsi="Times New Roman" w:cs="Times New Roman"/>
          <w:sz w:val="24"/>
          <w:szCs w:val="24"/>
          <w:lang w:val="en-US"/>
        </w:rPr>
        <w:t>Chachra</w:t>
      </w:r>
      <w:proofErr w:type="spellEnd"/>
      <w:r w:rsidRPr="00514B68">
        <w:rPr>
          <w:rFonts w:ascii="Times New Roman" w:hAnsi="Times New Roman" w:cs="Times New Roman"/>
          <w:sz w:val="24"/>
          <w:szCs w:val="24"/>
          <w:lang w:val="en-US"/>
        </w:rPr>
        <w:t>, D., Chen, H. L., Sheppard, S., Ludlow, L.</w:t>
      </w:r>
      <w:r w:rsidR="005721F4">
        <w:rPr>
          <w:rFonts w:ascii="Times New Roman" w:hAnsi="Times New Roman" w:cs="Times New Roman"/>
          <w:sz w:val="24"/>
          <w:szCs w:val="24"/>
          <w:lang w:val="en-US"/>
        </w:rPr>
        <w:t xml:space="preserve"> and</w:t>
      </w:r>
      <w:r w:rsidRPr="00514B68">
        <w:rPr>
          <w:rFonts w:ascii="Times New Roman" w:hAnsi="Times New Roman" w:cs="Times New Roman"/>
          <w:sz w:val="24"/>
          <w:szCs w:val="24"/>
          <w:lang w:val="en-US"/>
        </w:rPr>
        <w:t xml:space="preserve"> </w:t>
      </w:r>
      <w:proofErr w:type="spellStart"/>
      <w:r w:rsidRPr="00514B68">
        <w:rPr>
          <w:rFonts w:ascii="Times New Roman" w:hAnsi="Times New Roman" w:cs="Times New Roman"/>
          <w:sz w:val="24"/>
          <w:szCs w:val="24"/>
          <w:lang w:val="en-US"/>
        </w:rPr>
        <w:t>Rosca</w:t>
      </w:r>
      <w:proofErr w:type="spellEnd"/>
      <w:r w:rsidRPr="00514B68">
        <w:rPr>
          <w:rFonts w:ascii="Times New Roman" w:hAnsi="Times New Roman" w:cs="Times New Roman"/>
          <w:sz w:val="24"/>
          <w:szCs w:val="24"/>
          <w:lang w:val="en-US"/>
        </w:rPr>
        <w:t xml:space="preserve">, C. (2010). Outcomes of a longitudinal administration of the persistence in engineering survey. </w:t>
      </w:r>
      <w:r w:rsidRPr="00514B68">
        <w:rPr>
          <w:rFonts w:ascii="Times New Roman" w:hAnsi="Times New Roman" w:cs="Times New Roman"/>
          <w:i/>
          <w:sz w:val="24"/>
          <w:szCs w:val="24"/>
          <w:lang w:val="en-US"/>
        </w:rPr>
        <w:t>Journal of Engineering Education</w:t>
      </w:r>
      <w:r w:rsidRPr="00514B68">
        <w:rPr>
          <w:rFonts w:ascii="Times New Roman" w:hAnsi="Times New Roman" w:cs="Times New Roman"/>
          <w:sz w:val="24"/>
          <w:szCs w:val="24"/>
          <w:lang w:val="en-US"/>
        </w:rPr>
        <w:t xml:space="preserve">, </w:t>
      </w:r>
      <w:r w:rsidRPr="00514B68">
        <w:rPr>
          <w:rFonts w:ascii="Times New Roman" w:hAnsi="Times New Roman" w:cs="Times New Roman"/>
          <w:i/>
          <w:sz w:val="24"/>
          <w:szCs w:val="24"/>
          <w:lang w:val="en-US"/>
        </w:rPr>
        <w:t>99</w:t>
      </w:r>
      <w:r w:rsidRPr="00514B68">
        <w:rPr>
          <w:rFonts w:ascii="Times New Roman" w:hAnsi="Times New Roman" w:cs="Times New Roman"/>
          <w:sz w:val="24"/>
          <w:szCs w:val="24"/>
          <w:lang w:val="en-US"/>
        </w:rPr>
        <w:t>(4), 371-395.</w:t>
      </w:r>
    </w:p>
    <w:p w14:paraId="2D8A4CA9" w14:textId="27E28EDD" w:rsidR="00AE6459" w:rsidRPr="00514B68" w:rsidRDefault="00AE6459" w:rsidP="00514B68">
      <w:pPr>
        <w:spacing w:after="0" w:line="360" w:lineRule="auto"/>
        <w:ind w:left="709" w:hanging="709"/>
        <w:jc w:val="both"/>
        <w:rPr>
          <w:rFonts w:ascii="Times New Roman" w:hAnsi="Times New Roman" w:cs="Times New Roman"/>
          <w:sz w:val="24"/>
          <w:szCs w:val="24"/>
          <w:lang w:val="en-US"/>
        </w:rPr>
      </w:pPr>
      <w:r w:rsidRPr="00514B68">
        <w:rPr>
          <w:rFonts w:ascii="Times New Roman" w:hAnsi="Times New Roman" w:cs="Times New Roman"/>
          <w:noProof/>
          <w:sz w:val="24"/>
          <w:szCs w:val="24"/>
          <w:lang w:val="en-US"/>
        </w:rPr>
        <w:t>Falk, R.</w:t>
      </w:r>
      <w:r w:rsidR="005721F4">
        <w:rPr>
          <w:rFonts w:ascii="Times New Roman" w:hAnsi="Times New Roman" w:cs="Times New Roman"/>
          <w:noProof/>
          <w:sz w:val="24"/>
          <w:szCs w:val="24"/>
          <w:lang w:val="en-US"/>
        </w:rPr>
        <w:t xml:space="preserve"> and</w:t>
      </w:r>
      <w:r w:rsidRPr="00514B68">
        <w:rPr>
          <w:rFonts w:ascii="Times New Roman" w:hAnsi="Times New Roman" w:cs="Times New Roman"/>
          <w:noProof/>
          <w:sz w:val="24"/>
          <w:szCs w:val="24"/>
          <w:lang w:val="en-US"/>
        </w:rPr>
        <w:t xml:space="preserve"> Well, A. V. (1997). Many faces of the correlation coefficient. </w:t>
      </w:r>
      <w:r w:rsidRPr="00514B68">
        <w:rPr>
          <w:rFonts w:ascii="Times New Roman" w:hAnsi="Times New Roman" w:cs="Times New Roman"/>
          <w:i/>
          <w:iCs/>
          <w:noProof/>
          <w:sz w:val="24"/>
          <w:szCs w:val="24"/>
          <w:lang w:val="en-US"/>
        </w:rPr>
        <w:t>Journal of Statistics Education</w:t>
      </w:r>
      <w:r w:rsidRPr="00514B68">
        <w:rPr>
          <w:rFonts w:ascii="Times New Roman" w:hAnsi="Times New Roman" w:cs="Times New Roman"/>
          <w:noProof/>
          <w:sz w:val="24"/>
          <w:szCs w:val="24"/>
          <w:lang w:val="en-US"/>
        </w:rPr>
        <w:t xml:space="preserve">, </w:t>
      </w:r>
      <w:r w:rsidRPr="00514B68">
        <w:rPr>
          <w:rFonts w:ascii="Times New Roman" w:hAnsi="Times New Roman" w:cs="Times New Roman"/>
          <w:i/>
          <w:iCs/>
          <w:noProof/>
          <w:sz w:val="24"/>
          <w:szCs w:val="24"/>
          <w:lang w:val="en-US"/>
        </w:rPr>
        <w:t>5</w:t>
      </w:r>
      <w:r w:rsidRPr="00514B68">
        <w:rPr>
          <w:rFonts w:ascii="Times New Roman" w:hAnsi="Times New Roman" w:cs="Times New Roman"/>
          <w:noProof/>
          <w:sz w:val="24"/>
          <w:szCs w:val="24"/>
          <w:lang w:val="en-US"/>
        </w:rPr>
        <w:t xml:space="preserve">. </w:t>
      </w:r>
      <w:r w:rsidR="005721F4">
        <w:rPr>
          <w:rFonts w:ascii="Times New Roman" w:hAnsi="Times New Roman" w:cs="Times New Roman"/>
          <w:noProof/>
          <w:sz w:val="24"/>
          <w:szCs w:val="24"/>
          <w:lang w:val="en-US"/>
        </w:rPr>
        <w:t>Retrieved from</w:t>
      </w:r>
      <w:r w:rsidRPr="00514B68">
        <w:rPr>
          <w:rFonts w:ascii="Times New Roman" w:hAnsi="Times New Roman" w:cs="Times New Roman"/>
          <w:noProof/>
          <w:sz w:val="24"/>
          <w:szCs w:val="24"/>
          <w:lang w:val="en-US"/>
        </w:rPr>
        <w:t xml:space="preserve"> http://www.amstat.org/publications/jse/v5n3/falk.html</w:t>
      </w:r>
      <w:r w:rsidR="005721F4">
        <w:rPr>
          <w:rFonts w:ascii="Times New Roman" w:hAnsi="Times New Roman" w:cs="Times New Roman"/>
          <w:noProof/>
          <w:sz w:val="24"/>
          <w:szCs w:val="24"/>
          <w:lang w:val="en-US"/>
        </w:rPr>
        <w:t>.</w:t>
      </w:r>
    </w:p>
    <w:p w14:paraId="32A730B8" w14:textId="398F72C7" w:rsidR="00AE6459" w:rsidRPr="00514B68" w:rsidRDefault="00AE6459" w:rsidP="00514B68">
      <w:pPr>
        <w:spacing w:after="0" w:line="360" w:lineRule="auto"/>
        <w:ind w:left="709" w:hanging="709"/>
        <w:jc w:val="both"/>
        <w:rPr>
          <w:rFonts w:ascii="Times New Roman" w:hAnsi="Times New Roman" w:cs="Times New Roman"/>
          <w:sz w:val="24"/>
          <w:szCs w:val="24"/>
        </w:rPr>
      </w:pPr>
      <w:r w:rsidRPr="00514B68">
        <w:rPr>
          <w:rFonts w:ascii="Times New Roman" w:hAnsi="Times New Roman" w:cs="Times New Roman"/>
          <w:sz w:val="24"/>
          <w:szCs w:val="24"/>
        </w:rPr>
        <w:t xml:space="preserve">Gobierno de la República. (2013). </w:t>
      </w:r>
      <w:r w:rsidRPr="00514B68">
        <w:rPr>
          <w:rFonts w:ascii="Times New Roman" w:hAnsi="Times New Roman" w:cs="Times New Roman"/>
          <w:i/>
          <w:sz w:val="24"/>
          <w:szCs w:val="24"/>
        </w:rPr>
        <w:t>Plan Nacional de Desarrollo 2013</w:t>
      </w:r>
      <w:r w:rsidR="005721F4" w:rsidRPr="00514B68">
        <w:rPr>
          <w:rFonts w:ascii="Times New Roman" w:hAnsi="Times New Roman" w:cs="Times New Roman"/>
          <w:i/>
          <w:sz w:val="24"/>
          <w:szCs w:val="24"/>
        </w:rPr>
        <w:t>-</w:t>
      </w:r>
      <w:r w:rsidRPr="00514B68">
        <w:rPr>
          <w:rFonts w:ascii="Times New Roman" w:hAnsi="Times New Roman" w:cs="Times New Roman"/>
          <w:i/>
          <w:sz w:val="24"/>
          <w:szCs w:val="24"/>
        </w:rPr>
        <w:t>2018</w:t>
      </w:r>
      <w:r w:rsidRPr="00514B68">
        <w:rPr>
          <w:rFonts w:ascii="Times New Roman" w:hAnsi="Times New Roman" w:cs="Times New Roman"/>
          <w:sz w:val="24"/>
          <w:szCs w:val="24"/>
        </w:rPr>
        <w:t>. México</w:t>
      </w:r>
      <w:r w:rsidR="005721F4">
        <w:rPr>
          <w:rFonts w:ascii="Times New Roman" w:hAnsi="Times New Roman" w:cs="Times New Roman"/>
          <w:sz w:val="24"/>
          <w:szCs w:val="24"/>
        </w:rPr>
        <w:t xml:space="preserve">: </w:t>
      </w:r>
      <w:r w:rsidR="005721F4" w:rsidRPr="00B9542D">
        <w:rPr>
          <w:rFonts w:ascii="Times New Roman" w:hAnsi="Times New Roman" w:cs="Times New Roman"/>
          <w:sz w:val="24"/>
          <w:szCs w:val="24"/>
        </w:rPr>
        <w:t>Gobierno de la República</w:t>
      </w:r>
      <w:r w:rsidRPr="00514B68">
        <w:rPr>
          <w:rFonts w:ascii="Times New Roman" w:hAnsi="Times New Roman" w:cs="Times New Roman"/>
          <w:sz w:val="24"/>
          <w:szCs w:val="24"/>
        </w:rPr>
        <w:t xml:space="preserve">. Recuperado de </w:t>
      </w:r>
      <w:hyperlink r:id="rId8" w:history="1">
        <w:r w:rsidRPr="00514B68">
          <w:rPr>
            <w:rStyle w:val="Hipervnculo"/>
            <w:rFonts w:ascii="Times New Roman" w:hAnsi="Times New Roman" w:cs="Times New Roman"/>
            <w:color w:val="auto"/>
            <w:sz w:val="24"/>
            <w:szCs w:val="24"/>
            <w:u w:val="none"/>
          </w:rPr>
          <w:t>http://pnd.gob.mx/wp-content/uploads/2013/05/PND.pdf</w:t>
        </w:r>
      </w:hyperlink>
      <w:r w:rsidR="005721F4">
        <w:rPr>
          <w:rStyle w:val="Hipervnculo"/>
          <w:rFonts w:ascii="Times New Roman" w:hAnsi="Times New Roman" w:cs="Times New Roman"/>
          <w:color w:val="auto"/>
          <w:sz w:val="24"/>
          <w:szCs w:val="24"/>
          <w:u w:val="none"/>
        </w:rPr>
        <w:t>.</w:t>
      </w:r>
    </w:p>
    <w:p w14:paraId="7BD81FA6" w14:textId="72F3C9E7" w:rsidR="00AE6459" w:rsidRPr="00514B68" w:rsidRDefault="00AE6459" w:rsidP="00514B68">
      <w:pPr>
        <w:spacing w:after="0" w:line="360" w:lineRule="auto"/>
        <w:ind w:left="709" w:hanging="709"/>
        <w:jc w:val="both"/>
        <w:rPr>
          <w:rFonts w:ascii="Times New Roman" w:hAnsi="Times New Roman" w:cs="Times New Roman"/>
          <w:sz w:val="24"/>
          <w:szCs w:val="24"/>
          <w:lang w:val="en-US"/>
        </w:rPr>
      </w:pPr>
      <w:r w:rsidRPr="00E24F2C">
        <w:rPr>
          <w:rFonts w:ascii="Times New Roman" w:hAnsi="Times New Roman" w:cs="Times New Roman"/>
          <w:sz w:val="24"/>
          <w:szCs w:val="24"/>
          <w:lang w:val="en-US"/>
        </w:rPr>
        <w:t xml:space="preserve">Goetz, T., </w:t>
      </w:r>
      <w:proofErr w:type="spellStart"/>
      <w:r w:rsidRPr="00E24F2C">
        <w:rPr>
          <w:rFonts w:ascii="Times New Roman" w:hAnsi="Times New Roman" w:cs="Times New Roman"/>
          <w:sz w:val="24"/>
          <w:szCs w:val="24"/>
          <w:lang w:val="en-US"/>
        </w:rPr>
        <w:t>Bieg</w:t>
      </w:r>
      <w:proofErr w:type="spellEnd"/>
      <w:r w:rsidRPr="00E24F2C">
        <w:rPr>
          <w:rFonts w:ascii="Times New Roman" w:hAnsi="Times New Roman" w:cs="Times New Roman"/>
          <w:sz w:val="24"/>
          <w:szCs w:val="24"/>
          <w:lang w:val="en-US"/>
        </w:rPr>
        <w:t xml:space="preserve">, M., </w:t>
      </w:r>
      <w:proofErr w:type="spellStart"/>
      <w:r w:rsidRPr="00E24F2C">
        <w:rPr>
          <w:rFonts w:ascii="Times New Roman" w:hAnsi="Times New Roman" w:cs="Times New Roman"/>
          <w:sz w:val="24"/>
          <w:szCs w:val="24"/>
          <w:lang w:val="en-US"/>
        </w:rPr>
        <w:t>Lüdtke</w:t>
      </w:r>
      <w:proofErr w:type="spellEnd"/>
      <w:r w:rsidRPr="00E24F2C">
        <w:rPr>
          <w:rFonts w:ascii="Times New Roman" w:hAnsi="Times New Roman" w:cs="Times New Roman"/>
          <w:sz w:val="24"/>
          <w:szCs w:val="24"/>
          <w:lang w:val="en-US"/>
        </w:rPr>
        <w:t xml:space="preserve">, O., </w:t>
      </w:r>
      <w:proofErr w:type="spellStart"/>
      <w:r w:rsidRPr="00E24F2C">
        <w:rPr>
          <w:rFonts w:ascii="Times New Roman" w:hAnsi="Times New Roman" w:cs="Times New Roman"/>
          <w:sz w:val="24"/>
          <w:szCs w:val="24"/>
          <w:lang w:val="en-US"/>
        </w:rPr>
        <w:t>Pekrun</w:t>
      </w:r>
      <w:proofErr w:type="spellEnd"/>
      <w:r w:rsidRPr="00E24F2C">
        <w:rPr>
          <w:rFonts w:ascii="Times New Roman" w:hAnsi="Times New Roman" w:cs="Times New Roman"/>
          <w:sz w:val="24"/>
          <w:szCs w:val="24"/>
          <w:lang w:val="en-US"/>
        </w:rPr>
        <w:t>, R.</w:t>
      </w:r>
      <w:r w:rsidR="005721F4" w:rsidRPr="00E24F2C">
        <w:rPr>
          <w:rFonts w:ascii="Times New Roman" w:hAnsi="Times New Roman" w:cs="Times New Roman"/>
          <w:sz w:val="24"/>
          <w:szCs w:val="24"/>
          <w:lang w:val="en-US"/>
        </w:rPr>
        <w:t xml:space="preserve"> and</w:t>
      </w:r>
      <w:r w:rsidRPr="00E24F2C">
        <w:rPr>
          <w:rFonts w:ascii="Times New Roman" w:hAnsi="Times New Roman" w:cs="Times New Roman"/>
          <w:sz w:val="24"/>
          <w:szCs w:val="24"/>
          <w:lang w:val="en-US"/>
        </w:rPr>
        <w:t xml:space="preserve"> Hall, N. C. (2013). </w:t>
      </w:r>
      <w:r w:rsidRPr="00514B68">
        <w:rPr>
          <w:rFonts w:ascii="Times New Roman" w:hAnsi="Times New Roman" w:cs="Times New Roman"/>
          <w:sz w:val="24"/>
          <w:szCs w:val="24"/>
          <w:lang w:val="en-US"/>
        </w:rPr>
        <w:t xml:space="preserve">Do girls really experience more anxiety in mathematics? </w:t>
      </w:r>
      <w:r w:rsidRPr="00514B68">
        <w:rPr>
          <w:rFonts w:ascii="Times New Roman" w:hAnsi="Times New Roman" w:cs="Times New Roman"/>
          <w:i/>
          <w:sz w:val="24"/>
          <w:szCs w:val="24"/>
          <w:lang w:val="en-US"/>
        </w:rPr>
        <w:t>Psychological Science</w:t>
      </w:r>
      <w:r w:rsidRPr="00514B68">
        <w:rPr>
          <w:rFonts w:ascii="Times New Roman" w:hAnsi="Times New Roman" w:cs="Times New Roman"/>
          <w:sz w:val="24"/>
          <w:szCs w:val="24"/>
          <w:lang w:val="en-US"/>
        </w:rPr>
        <w:t xml:space="preserve">, </w:t>
      </w:r>
      <w:r w:rsidRPr="00514B68">
        <w:rPr>
          <w:rFonts w:ascii="Times New Roman" w:hAnsi="Times New Roman" w:cs="Times New Roman"/>
          <w:i/>
          <w:sz w:val="24"/>
          <w:szCs w:val="24"/>
          <w:lang w:val="en-US"/>
        </w:rPr>
        <w:t>24</w:t>
      </w:r>
      <w:r w:rsidRPr="00514B68">
        <w:rPr>
          <w:rFonts w:ascii="Times New Roman" w:hAnsi="Times New Roman" w:cs="Times New Roman"/>
          <w:sz w:val="24"/>
          <w:szCs w:val="24"/>
          <w:lang w:val="en-US"/>
        </w:rPr>
        <w:t xml:space="preserve">(10), 2079-2087. </w:t>
      </w:r>
    </w:p>
    <w:p w14:paraId="038AE5D8" w14:textId="41632537" w:rsidR="00AE6459" w:rsidRPr="00514B68" w:rsidRDefault="00AE6459" w:rsidP="00514B68">
      <w:pPr>
        <w:spacing w:after="0" w:line="360" w:lineRule="auto"/>
        <w:ind w:left="709" w:hanging="709"/>
        <w:jc w:val="both"/>
        <w:rPr>
          <w:rFonts w:ascii="Times New Roman" w:hAnsi="Times New Roman" w:cs="Times New Roman"/>
          <w:sz w:val="24"/>
          <w:szCs w:val="24"/>
          <w:lang w:val="en-US"/>
        </w:rPr>
      </w:pPr>
      <w:r w:rsidRPr="00514B68">
        <w:rPr>
          <w:rFonts w:ascii="Times New Roman" w:hAnsi="Times New Roman" w:cs="Times New Roman"/>
          <w:sz w:val="24"/>
          <w:szCs w:val="24"/>
          <w:lang w:val="en-US"/>
        </w:rPr>
        <w:t xml:space="preserve">Hackett, G. (1985). Role of mathematics self-efficacy in the choice of math-related majors of college women and men: A path analysis. </w:t>
      </w:r>
      <w:r w:rsidRPr="00514B68">
        <w:rPr>
          <w:rFonts w:ascii="Times New Roman" w:hAnsi="Times New Roman" w:cs="Times New Roman"/>
          <w:i/>
          <w:sz w:val="24"/>
          <w:szCs w:val="24"/>
          <w:lang w:val="en-US"/>
        </w:rPr>
        <w:t>Journal of Counseling Psychology</w:t>
      </w:r>
      <w:r w:rsidRPr="00514B68">
        <w:rPr>
          <w:rFonts w:ascii="Times New Roman" w:hAnsi="Times New Roman" w:cs="Times New Roman"/>
          <w:sz w:val="24"/>
          <w:szCs w:val="24"/>
          <w:lang w:val="en-US"/>
        </w:rPr>
        <w:t xml:space="preserve">, </w:t>
      </w:r>
      <w:r w:rsidRPr="00514B68">
        <w:rPr>
          <w:rFonts w:ascii="Times New Roman" w:hAnsi="Times New Roman" w:cs="Times New Roman"/>
          <w:i/>
          <w:sz w:val="24"/>
          <w:szCs w:val="24"/>
          <w:lang w:val="en-US"/>
        </w:rPr>
        <w:t>32</w:t>
      </w:r>
      <w:r w:rsidRPr="00514B68">
        <w:rPr>
          <w:rFonts w:ascii="Times New Roman" w:hAnsi="Times New Roman" w:cs="Times New Roman"/>
          <w:sz w:val="24"/>
          <w:szCs w:val="24"/>
          <w:lang w:val="en-US"/>
        </w:rPr>
        <w:t>(1), 47</w:t>
      </w:r>
      <w:r w:rsidR="005721F4">
        <w:rPr>
          <w:rFonts w:ascii="Times New Roman" w:hAnsi="Times New Roman" w:cs="Times New Roman"/>
          <w:sz w:val="24"/>
          <w:szCs w:val="24"/>
          <w:lang w:val="en-US"/>
        </w:rPr>
        <w:t>-</w:t>
      </w:r>
      <w:r w:rsidRPr="00514B68">
        <w:rPr>
          <w:rFonts w:ascii="Times New Roman" w:hAnsi="Times New Roman" w:cs="Times New Roman"/>
          <w:sz w:val="24"/>
          <w:szCs w:val="24"/>
          <w:lang w:val="en-US"/>
        </w:rPr>
        <w:t xml:space="preserve">56. </w:t>
      </w:r>
    </w:p>
    <w:p w14:paraId="56E7CA19" w14:textId="36A25AE3" w:rsidR="00AE6459" w:rsidRPr="00514B68" w:rsidRDefault="00AE6459" w:rsidP="00514B68">
      <w:pPr>
        <w:spacing w:after="0" w:line="360" w:lineRule="auto"/>
        <w:ind w:left="709" w:hanging="709"/>
        <w:jc w:val="both"/>
        <w:rPr>
          <w:rFonts w:ascii="Times New Roman" w:hAnsi="Times New Roman" w:cs="Times New Roman"/>
          <w:sz w:val="24"/>
          <w:szCs w:val="24"/>
          <w:lang w:val="en-US"/>
        </w:rPr>
      </w:pPr>
      <w:r w:rsidRPr="00514B68">
        <w:rPr>
          <w:rFonts w:ascii="Times New Roman" w:hAnsi="Times New Roman" w:cs="Times New Roman"/>
          <w:sz w:val="24"/>
          <w:szCs w:val="24"/>
          <w:lang w:val="en-US"/>
        </w:rPr>
        <w:t>Hackett, G.</w:t>
      </w:r>
      <w:r w:rsidR="005721F4">
        <w:rPr>
          <w:rFonts w:ascii="Times New Roman" w:hAnsi="Times New Roman" w:cs="Times New Roman"/>
          <w:sz w:val="24"/>
          <w:szCs w:val="24"/>
          <w:lang w:val="en-US"/>
        </w:rPr>
        <w:t xml:space="preserve"> and</w:t>
      </w:r>
      <w:r w:rsidRPr="00514B68">
        <w:rPr>
          <w:rFonts w:ascii="Times New Roman" w:hAnsi="Times New Roman" w:cs="Times New Roman"/>
          <w:sz w:val="24"/>
          <w:szCs w:val="24"/>
          <w:lang w:val="en-US"/>
        </w:rPr>
        <w:t xml:space="preserve"> Betz, N. E. (1989). An exploration of the mathematics self-efficacy/mathematics performance correspondence. </w:t>
      </w:r>
      <w:r w:rsidRPr="00514B68">
        <w:rPr>
          <w:rFonts w:ascii="Times New Roman" w:hAnsi="Times New Roman" w:cs="Times New Roman"/>
          <w:i/>
          <w:sz w:val="24"/>
          <w:szCs w:val="24"/>
          <w:lang w:val="en-US"/>
        </w:rPr>
        <w:t>Journal for Research in Mathematics Education</w:t>
      </w:r>
      <w:r w:rsidRPr="00514B68">
        <w:rPr>
          <w:rFonts w:ascii="Times New Roman" w:hAnsi="Times New Roman" w:cs="Times New Roman"/>
          <w:sz w:val="24"/>
          <w:szCs w:val="24"/>
          <w:lang w:val="en-US"/>
        </w:rPr>
        <w:t xml:space="preserve">, </w:t>
      </w:r>
      <w:r w:rsidRPr="00514B68">
        <w:rPr>
          <w:rFonts w:ascii="Times New Roman" w:hAnsi="Times New Roman" w:cs="Times New Roman"/>
          <w:i/>
          <w:sz w:val="24"/>
          <w:szCs w:val="24"/>
          <w:lang w:val="en-US"/>
        </w:rPr>
        <w:t>20</w:t>
      </w:r>
      <w:r w:rsidRPr="00514B68">
        <w:rPr>
          <w:rFonts w:ascii="Times New Roman" w:hAnsi="Times New Roman" w:cs="Times New Roman"/>
          <w:sz w:val="24"/>
          <w:szCs w:val="24"/>
          <w:lang w:val="en-US"/>
        </w:rPr>
        <w:t xml:space="preserve">(3), 261–273. </w:t>
      </w:r>
    </w:p>
    <w:p w14:paraId="78F577C2" w14:textId="0D85794E" w:rsidR="00AE6459" w:rsidRPr="00514B68" w:rsidRDefault="00AE6459" w:rsidP="00514B68">
      <w:pPr>
        <w:spacing w:after="0" w:line="360" w:lineRule="auto"/>
        <w:ind w:left="709" w:hanging="709"/>
        <w:jc w:val="both"/>
        <w:rPr>
          <w:rFonts w:ascii="Times New Roman" w:hAnsi="Times New Roman" w:cs="Times New Roman"/>
          <w:noProof/>
          <w:sz w:val="24"/>
          <w:szCs w:val="24"/>
          <w:lang w:val="en-US"/>
        </w:rPr>
      </w:pPr>
      <w:r w:rsidRPr="00514B68">
        <w:rPr>
          <w:rFonts w:ascii="Times New Roman" w:hAnsi="Times New Roman" w:cs="Times New Roman"/>
          <w:noProof/>
          <w:sz w:val="24"/>
          <w:szCs w:val="24"/>
          <w:lang w:val="en-US"/>
        </w:rPr>
        <w:t xml:space="preserve">Hayes, A. F. (2013). </w:t>
      </w:r>
      <w:r w:rsidRPr="00514B68">
        <w:rPr>
          <w:rFonts w:ascii="Times New Roman" w:hAnsi="Times New Roman" w:cs="Times New Roman"/>
          <w:i/>
          <w:iCs/>
          <w:noProof/>
          <w:sz w:val="24"/>
          <w:szCs w:val="24"/>
          <w:lang w:val="en-US"/>
        </w:rPr>
        <w:t>Methodology in the social sciences. Introduction to mediation, moderation, and conditional process analysis: A regression-based approach</w:t>
      </w:r>
      <w:r w:rsidRPr="00514B68">
        <w:rPr>
          <w:rFonts w:ascii="Times New Roman" w:hAnsi="Times New Roman" w:cs="Times New Roman"/>
          <w:i/>
          <w:noProof/>
          <w:sz w:val="24"/>
          <w:szCs w:val="24"/>
          <w:lang w:val="en-US"/>
        </w:rPr>
        <w:t>.</w:t>
      </w:r>
      <w:r w:rsidRPr="00514B68">
        <w:rPr>
          <w:rFonts w:ascii="Times New Roman" w:hAnsi="Times New Roman" w:cs="Times New Roman"/>
          <w:noProof/>
          <w:sz w:val="24"/>
          <w:szCs w:val="24"/>
          <w:lang w:val="en-US"/>
        </w:rPr>
        <w:t xml:space="preserve"> New York, </w:t>
      </w:r>
      <w:r w:rsidR="005721F4">
        <w:rPr>
          <w:rFonts w:ascii="Times New Roman" w:hAnsi="Times New Roman" w:cs="Times New Roman"/>
          <w:noProof/>
          <w:sz w:val="24"/>
          <w:szCs w:val="24"/>
          <w:lang w:val="en-US"/>
        </w:rPr>
        <w:t>United States</w:t>
      </w:r>
      <w:r w:rsidRPr="00514B68">
        <w:rPr>
          <w:rFonts w:ascii="Times New Roman" w:hAnsi="Times New Roman" w:cs="Times New Roman"/>
          <w:noProof/>
          <w:sz w:val="24"/>
          <w:szCs w:val="24"/>
          <w:lang w:val="en-US"/>
        </w:rPr>
        <w:t>: Guilford Press.</w:t>
      </w:r>
    </w:p>
    <w:p w14:paraId="33ED0FBC" w14:textId="085DA472" w:rsidR="00AE6459" w:rsidRPr="00514B68" w:rsidRDefault="00AE6459" w:rsidP="00514B68">
      <w:pPr>
        <w:spacing w:after="0" w:line="360" w:lineRule="auto"/>
        <w:ind w:left="709" w:hanging="709"/>
        <w:jc w:val="both"/>
        <w:rPr>
          <w:rFonts w:ascii="Times New Roman" w:hAnsi="Times New Roman" w:cs="Times New Roman"/>
          <w:sz w:val="24"/>
          <w:szCs w:val="24"/>
          <w:lang w:val="en-US"/>
        </w:rPr>
      </w:pPr>
      <w:proofErr w:type="spellStart"/>
      <w:r w:rsidRPr="00514B68">
        <w:rPr>
          <w:rFonts w:ascii="Times New Roman" w:hAnsi="Times New Roman" w:cs="Times New Roman"/>
          <w:sz w:val="24"/>
          <w:szCs w:val="24"/>
          <w:lang w:val="en-US"/>
        </w:rPr>
        <w:lastRenderedPageBreak/>
        <w:t>Kokkelenberg</w:t>
      </w:r>
      <w:proofErr w:type="spellEnd"/>
      <w:r w:rsidRPr="00514B68">
        <w:rPr>
          <w:rFonts w:ascii="Times New Roman" w:hAnsi="Times New Roman" w:cs="Times New Roman"/>
          <w:sz w:val="24"/>
          <w:szCs w:val="24"/>
          <w:lang w:val="en-US"/>
        </w:rPr>
        <w:t>, E. C.</w:t>
      </w:r>
      <w:r w:rsidR="005721F4">
        <w:rPr>
          <w:rFonts w:ascii="Times New Roman" w:hAnsi="Times New Roman" w:cs="Times New Roman"/>
          <w:sz w:val="24"/>
          <w:szCs w:val="24"/>
          <w:lang w:val="en-US"/>
        </w:rPr>
        <w:t xml:space="preserve"> and</w:t>
      </w:r>
      <w:r w:rsidRPr="00514B68">
        <w:rPr>
          <w:rFonts w:ascii="Times New Roman" w:hAnsi="Times New Roman" w:cs="Times New Roman"/>
          <w:sz w:val="24"/>
          <w:szCs w:val="24"/>
          <w:lang w:val="en-US"/>
        </w:rPr>
        <w:t xml:space="preserve"> Sinha, E. (2010). Economics of education review who succeeds in STEM studies</w:t>
      </w:r>
      <w:r w:rsidR="005721F4">
        <w:rPr>
          <w:rFonts w:ascii="Times New Roman" w:hAnsi="Times New Roman" w:cs="Times New Roman"/>
          <w:sz w:val="24"/>
          <w:szCs w:val="24"/>
          <w:lang w:val="en-US"/>
        </w:rPr>
        <w:t>.</w:t>
      </w:r>
      <w:r w:rsidR="005721F4" w:rsidRPr="00514B68">
        <w:rPr>
          <w:rFonts w:ascii="Times New Roman" w:hAnsi="Times New Roman" w:cs="Times New Roman"/>
          <w:sz w:val="24"/>
          <w:szCs w:val="24"/>
          <w:lang w:val="en-US"/>
        </w:rPr>
        <w:t xml:space="preserve"> </w:t>
      </w:r>
      <w:r w:rsidRPr="00514B68">
        <w:rPr>
          <w:rFonts w:ascii="Times New Roman" w:hAnsi="Times New Roman" w:cs="Times New Roman"/>
          <w:sz w:val="24"/>
          <w:szCs w:val="24"/>
          <w:lang w:val="en-US"/>
        </w:rPr>
        <w:t xml:space="preserve">An analysis of Binghamton University undergraduate students. </w:t>
      </w:r>
      <w:r w:rsidRPr="00514B68">
        <w:rPr>
          <w:rFonts w:ascii="Times New Roman" w:hAnsi="Times New Roman" w:cs="Times New Roman"/>
          <w:i/>
          <w:sz w:val="24"/>
          <w:szCs w:val="24"/>
          <w:lang w:val="en-US"/>
        </w:rPr>
        <w:t>Economics of Education Review</w:t>
      </w:r>
      <w:r w:rsidRPr="00514B68">
        <w:rPr>
          <w:rFonts w:ascii="Times New Roman" w:hAnsi="Times New Roman" w:cs="Times New Roman"/>
          <w:sz w:val="24"/>
          <w:szCs w:val="24"/>
          <w:lang w:val="en-US"/>
        </w:rPr>
        <w:t xml:space="preserve">, </w:t>
      </w:r>
      <w:r w:rsidRPr="00514B68">
        <w:rPr>
          <w:rFonts w:ascii="Times New Roman" w:hAnsi="Times New Roman" w:cs="Times New Roman"/>
          <w:i/>
          <w:sz w:val="24"/>
          <w:szCs w:val="24"/>
          <w:lang w:val="en-US"/>
        </w:rPr>
        <w:t>29</w:t>
      </w:r>
      <w:r w:rsidRPr="00514B68">
        <w:rPr>
          <w:rFonts w:ascii="Times New Roman" w:hAnsi="Times New Roman" w:cs="Times New Roman"/>
          <w:sz w:val="24"/>
          <w:szCs w:val="24"/>
          <w:lang w:val="en-US"/>
        </w:rPr>
        <w:t>(6), 935</w:t>
      </w:r>
      <w:r w:rsidR="005721F4">
        <w:rPr>
          <w:rFonts w:ascii="Times New Roman" w:hAnsi="Times New Roman" w:cs="Times New Roman"/>
          <w:sz w:val="24"/>
          <w:szCs w:val="24"/>
          <w:lang w:val="en-US"/>
        </w:rPr>
        <w:t>-</w:t>
      </w:r>
      <w:r w:rsidRPr="00514B68">
        <w:rPr>
          <w:rFonts w:ascii="Times New Roman" w:hAnsi="Times New Roman" w:cs="Times New Roman"/>
          <w:sz w:val="24"/>
          <w:szCs w:val="24"/>
          <w:lang w:val="en-US"/>
        </w:rPr>
        <w:t xml:space="preserve">946. </w:t>
      </w:r>
    </w:p>
    <w:p w14:paraId="065C7011" w14:textId="662E7781" w:rsidR="00AE6459" w:rsidRPr="00514B68" w:rsidRDefault="00AE6459" w:rsidP="00514B68">
      <w:pPr>
        <w:spacing w:after="0" w:line="360" w:lineRule="auto"/>
        <w:ind w:left="709" w:hanging="709"/>
        <w:jc w:val="both"/>
        <w:rPr>
          <w:rFonts w:ascii="Times New Roman" w:hAnsi="Times New Roman" w:cs="Times New Roman"/>
          <w:sz w:val="24"/>
          <w:szCs w:val="24"/>
          <w:lang w:val="en-US"/>
        </w:rPr>
      </w:pPr>
      <w:r w:rsidRPr="00514B68">
        <w:rPr>
          <w:rFonts w:ascii="Times New Roman" w:hAnsi="Times New Roman" w:cs="Times New Roman"/>
          <w:sz w:val="24"/>
          <w:szCs w:val="24"/>
          <w:lang w:val="en-US"/>
        </w:rPr>
        <w:t>Lent, R., Lopez, F.</w:t>
      </w:r>
      <w:r w:rsidR="005721F4">
        <w:rPr>
          <w:rFonts w:ascii="Times New Roman" w:hAnsi="Times New Roman" w:cs="Times New Roman"/>
          <w:sz w:val="24"/>
          <w:szCs w:val="24"/>
          <w:lang w:val="en-US"/>
        </w:rPr>
        <w:t xml:space="preserve"> and</w:t>
      </w:r>
      <w:r w:rsidRPr="00514B68">
        <w:rPr>
          <w:rFonts w:ascii="Times New Roman" w:hAnsi="Times New Roman" w:cs="Times New Roman"/>
          <w:sz w:val="24"/>
          <w:szCs w:val="24"/>
          <w:lang w:val="en-US"/>
        </w:rPr>
        <w:t xml:space="preserve"> </w:t>
      </w:r>
      <w:proofErr w:type="spellStart"/>
      <w:r w:rsidRPr="00514B68">
        <w:rPr>
          <w:rFonts w:ascii="Times New Roman" w:hAnsi="Times New Roman" w:cs="Times New Roman"/>
          <w:sz w:val="24"/>
          <w:szCs w:val="24"/>
          <w:lang w:val="en-US"/>
        </w:rPr>
        <w:t>Bieschke</w:t>
      </w:r>
      <w:proofErr w:type="spellEnd"/>
      <w:r w:rsidRPr="00514B68">
        <w:rPr>
          <w:rFonts w:ascii="Times New Roman" w:hAnsi="Times New Roman" w:cs="Times New Roman"/>
          <w:sz w:val="24"/>
          <w:szCs w:val="24"/>
          <w:lang w:val="en-US"/>
        </w:rPr>
        <w:t xml:space="preserve">, K. (1991). Mathematics self- efficacy sources and relation to science-based career choice. </w:t>
      </w:r>
      <w:r w:rsidRPr="00514B68">
        <w:rPr>
          <w:rFonts w:ascii="Times New Roman" w:hAnsi="Times New Roman" w:cs="Times New Roman"/>
          <w:i/>
          <w:sz w:val="24"/>
          <w:szCs w:val="24"/>
          <w:lang w:val="en-US"/>
        </w:rPr>
        <w:t>Journal of Counseling Psychology</w:t>
      </w:r>
      <w:r w:rsidRPr="00514B68">
        <w:rPr>
          <w:rFonts w:ascii="Times New Roman" w:hAnsi="Times New Roman" w:cs="Times New Roman"/>
          <w:sz w:val="24"/>
          <w:szCs w:val="24"/>
          <w:lang w:val="en-US"/>
        </w:rPr>
        <w:t xml:space="preserve">, </w:t>
      </w:r>
      <w:r w:rsidRPr="00514B68">
        <w:rPr>
          <w:rFonts w:ascii="Times New Roman" w:hAnsi="Times New Roman" w:cs="Times New Roman"/>
          <w:i/>
          <w:sz w:val="24"/>
          <w:szCs w:val="24"/>
          <w:lang w:val="en-US"/>
        </w:rPr>
        <w:t>3</w:t>
      </w:r>
      <w:r w:rsidRPr="00514B68">
        <w:rPr>
          <w:rFonts w:ascii="Times New Roman" w:hAnsi="Times New Roman" w:cs="Times New Roman"/>
          <w:sz w:val="24"/>
          <w:szCs w:val="24"/>
          <w:lang w:val="en-US"/>
        </w:rPr>
        <w:t>8(4), 424</w:t>
      </w:r>
      <w:r w:rsidR="005721F4">
        <w:rPr>
          <w:rFonts w:ascii="Times New Roman" w:hAnsi="Times New Roman" w:cs="Times New Roman"/>
          <w:sz w:val="24"/>
          <w:szCs w:val="24"/>
          <w:lang w:val="en-US"/>
        </w:rPr>
        <w:t>-</w:t>
      </w:r>
      <w:r w:rsidRPr="00514B68">
        <w:rPr>
          <w:rFonts w:ascii="Times New Roman" w:hAnsi="Times New Roman" w:cs="Times New Roman"/>
          <w:sz w:val="24"/>
          <w:szCs w:val="24"/>
          <w:lang w:val="en-US"/>
        </w:rPr>
        <w:t xml:space="preserve">430. </w:t>
      </w:r>
    </w:p>
    <w:p w14:paraId="02D18E60" w14:textId="38D15A2F" w:rsidR="00AE6459" w:rsidRPr="00514B68" w:rsidRDefault="00AE6459" w:rsidP="00514B68">
      <w:pPr>
        <w:spacing w:after="0" w:line="360" w:lineRule="auto"/>
        <w:ind w:left="709" w:hanging="709"/>
        <w:jc w:val="both"/>
        <w:rPr>
          <w:rFonts w:ascii="Times New Roman" w:hAnsi="Times New Roman" w:cs="Times New Roman"/>
          <w:sz w:val="24"/>
          <w:szCs w:val="24"/>
          <w:lang w:val="en-US"/>
        </w:rPr>
      </w:pPr>
      <w:r w:rsidRPr="00514B68">
        <w:rPr>
          <w:rFonts w:ascii="Times New Roman" w:hAnsi="Times New Roman" w:cs="Times New Roman"/>
          <w:sz w:val="24"/>
          <w:szCs w:val="24"/>
          <w:lang w:val="en-US"/>
        </w:rPr>
        <w:t>Lent, R. W., Brown, S. D.</w:t>
      </w:r>
      <w:r w:rsidR="005721F4">
        <w:rPr>
          <w:rFonts w:ascii="Times New Roman" w:hAnsi="Times New Roman" w:cs="Times New Roman"/>
          <w:sz w:val="24"/>
          <w:szCs w:val="24"/>
          <w:lang w:val="en-US"/>
        </w:rPr>
        <w:t xml:space="preserve"> and</w:t>
      </w:r>
      <w:r w:rsidRPr="00514B68">
        <w:rPr>
          <w:rFonts w:ascii="Times New Roman" w:hAnsi="Times New Roman" w:cs="Times New Roman"/>
          <w:sz w:val="24"/>
          <w:szCs w:val="24"/>
          <w:lang w:val="en-US"/>
        </w:rPr>
        <w:t xml:space="preserve"> Hackett, G. (1994). Toward a unifying social cognitive theory of career and academic interest, choice, and performance. </w:t>
      </w:r>
      <w:r w:rsidRPr="00514B68">
        <w:rPr>
          <w:rFonts w:ascii="Times New Roman" w:hAnsi="Times New Roman" w:cs="Times New Roman"/>
          <w:i/>
          <w:sz w:val="24"/>
          <w:szCs w:val="24"/>
          <w:lang w:val="en-US"/>
        </w:rPr>
        <w:t>Journal of Vocational Behavior</w:t>
      </w:r>
      <w:r w:rsidRPr="00514B68">
        <w:rPr>
          <w:rFonts w:ascii="Times New Roman" w:hAnsi="Times New Roman" w:cs="Times New Roman"/>
          <w:sz w:val="24"/>
          <w:szCs w:val="24"/>
          <w:lang w:val="en-US"/>
        </w:rPr>
        <w:t xml:space="preserve">, </w:t>
      </w:r>
      <w:r w:rsidRPr="00514B68">
        <w:rPr>
          <w:rFonts w:ascii="Times New Roman" w:hAnsi="Times New Roman" w:cs="Times New Roman"/>
          <w:i/>
          <w:sz w:val="24"/>
          <w:szCs w:val="24"/>
          <w:lang w:val="en-US"/>
        </w:rPr>
        <w:t>45</w:t>
      </w:r>
      <w:r w:rsidRPr="00514B68">
        <w:rPr>
          <w:rFonts w:ascii="Times New Roman" w:hAnsi="Times New Roman" w:cs="Times New Roman"/>
          <w:sz w:val="24"/>
          <w:szCs w:val="24"/>
          <w:lang w:val="en-US"/>
        </w:rPr>
        <w:t>(1), 79</w:t>
      </w:r>
      <w:r w:rsidR="005721F4">
        <w:rPr>
          <w:rFonts w:ascii="Times New Roman" w:hAnsi="Times New Roman" w:cs="Times New Roman"/>
          <w:sz w:val="24"/>
          <w:szCs w:val="24"/>
          <w:lang w:val="en-US"/>
        </w:rPr>
        <w:t>-</w:t>
      </w:r>
      <w:r w:rsidRPr="00514B68">
        <w:rPr>
          <w:rFonts w:ascii="Times New Roman" w:hAnsi="Times New Roman" w:cs="Times New Roman"/>
          <w:sz w:val="24"/>
          <w:szCs w:val="24"/>
          <w:lang w:val="en-US"/>
        </w:rPr>
        <w:t xml:space="preserve">122. </w:t>
      </w:r>
    </w:p>
    <w:p w14:paraId="0EAE79F4" w14:textId="131C63F4" w:rsidR="00AE6459" w:rsidRPr="00514B68" w:rsidRDefault="00AE6459" w:rsidP="00514B68">
      <w:pPr>
        <w:spacing w:after="0" w:line="360" w:lineRule="auto"/>
        <w:ind w:left="709" w:hanging="709"/>
        <w:jc w:val="both"/>
        <w:rPr>
          <w:rFonts w:ascii="Times New Roman" w:hAnsi="Times New Roman" w:cs="Times New Roman"/>
          <w:sz w:val="24"/>
          <w:szCs w:val="24"/>
          <w:lang w:val="en-US"/>
        </w:rPr>
      </w:pPr>
      <w:r w:rsidRPr="00514B68">
        <w:rPr>
          <w:rFonts w:ascii="Times New Roman" w:hAnsi="Times New Roman" w:cs="Times New Roman"/>
          <w:sz w:val="24"/>
          <w:szCs w:val="24"/>
          <w:lang w:val="en-US"/>
        </w:rPr>
        <w:t>Levin, J.</w:t>
      </w:r>
      <w:r w:rsidR="005721F4">
        <w:rPr>
          <w:rFonts w:ascii="Times New Roman" w:hAnsi="Times New Roman" w:cs="Times New Roman"/>
          <w:sz w:val="24"/>
          <w:szCs w:val="24"/>
          <w:lang w:val="en-US"/>
        </w:rPr>
        <w:t xml:space="preserve"> and</w:t>
      </w:r>
      <w:r w:rsidRPr="00514B68">
        <w:rPr>
          <w:rFonts w:ascii="Times New Roman" w:hAnsi="Times New Roman" w:cs="Times New Roman"/>
          <w:sz w:val="24"/>
          <w:szCs w:val="24"/>
          <w:lang w:val="en-US"/>
        </w:rPr>
        <w:t xml:space="preserve"> Wyckoff, J. (1988). Effective advising: Identifying students most likely to persist and succeed in engineering. </w:t>
      </w:r>
      <w:r w:rsidRPr="00514B68">
        <w:rPr>
          <w:rFonts w:ascii="Times New Roman" w:hAnsi="Times New Roman" w:cs="Times New Roman"/>
          <w:i/>
          <w:sz w:val="24"/>
          <w:szCs w:val="24"/>
          <w:lang w:val="en-US"/>
        </w:rPr>
        <w:t>Engineering Education</w:t>
      </w:r>
      <w:r w:rsidRPr="00514B68">
        <w:rPr>
          <w:rFonts w:ascii="Times New Roman" w:hAnsi="Times New Roman" w:cs="Times New Roman"/>
          <w:sz w:val="24"/>
          <w:szCs w:val="24"/>
          <w:lang w:val="en-US"/>
        </w:rPr>
        <w:t xml:space="preserve">, </w:t>
      </w:r>
      <w:r w:rsidRPr="00514B68">
        <w:rPr>
          <w:rFonts w:ascii="Times New Roman" w:hAnsi="Times New Roman" w:cs="Times New Roman"/>
          <w:i/>
          <w:sz w:val="24"/>
          <w:szCs w:val="24"/>
          <w:lang w:val="en-US"/>
        </w:rPr>
        <w:t>78</w:t>
      </w:r>
      <w:r w:rsidRPr="00514B68">
        <w:rPr>
          <w:rFonts w:ascii="Times New Roman" w:hAnsi="Times New Roman" w:cs="Times New Roman"/>
          <w:sz w:val="24"/>
          <w:szCs w:val="24"/>
          <w:lang w:val="en-US"/>
        </w:rPr>
        <w:t>(11), 178–182.</w:t>
      </w:r>
    </w:p>
    <w:p w14:paraId="6A35BBFF" w14:textId="7A3F0C98" w:rsidR="00AE6459" w:rsidRPr="00514B68" w:rsidRDefault="00AE6459" w:rsidP="00514B68">
      <w:pPr>
        <w:spacing w:after="0" w:line="360" w:lineRule="auto"/>
        <w:ind w:left="709" w:hanging="709"/>
        <w:jc w:val="both"/>
        <w:rPr>
          <w:rFonts w:ascii="Times New Roman" w:hAnsi="Times New Roman" w:cs="Times New Roman"/>
          <w:sz w:val="24"/>
          <w:szCs w:val="24"/>
        </w:rPr>
      </w:pPr>
      <w:r w:rsidRPr="00514B68">
        <w:rPr>
          <w:rFonts w:ascii="Times New Roman" w:hAnsi="Times New Roman" w:cs="Times New Roman"/>
          <w:sz w:val="24"/>
          <w:szCs w:val="24"/>
          <w:lang w:val="en-US"/>
        </w:rPr>
        <w:t xml:space="preserve">National Academy of Engineering. (2015). </w:t>
      </w:r>
      <w:r w:rsidRPr="00514B68">
        <w:rPr>
          <w:rFonts w:ascii="Times New Roman" w:hAnsi="Times New Roman" w:cs="Times New Roman"/>
          <w:i/>
          <w:sz w:val="24"/>
          <w:szCs w:val="24"/>
          <w:lang w:val="en-US"/>
        </w:rPr>
        <w:t>Introduction to the grand challenges for engineering</w:t>
      </w:r>
      <w:r w:rsidRPr="00514B68">
        <w:rPr>
          <w:rFonts w:ascii="Times New Roman" w:hAnsi="Times New Roman" w:cs="Times New Roman"/>
          <w:sz w:val="24"/>
          <w:szCs w:val="24"/>
          <w:lang w:val="en-US"/>
        </w:rPr>
        <w:t xml:space="preserve">. </w:t>
      </w:r>
      <w:r w:rsidRPr="00514B68">
        <w:rPr>
          <w:rFonts w:ascii="Times New Roman" w:hAnsi="Times New Roman" w:cs="Times New Roman"/>
          <w:sz w:val="24"/>
          <w:szCs w:val="24"/>
        </w:rPr>
        <w:t>Washington, D.C. Recuperado de http://www.engineeringchallenges.org/challenges/16091.aspx</w:t>
      </w:r>
    </w:p>
    <w:p w14:paraId="2B43F831" w14:textId="3CBA8185" w:rsidR="00AE6459" w:rsidRPr="00514B68" w:rsidRDefault="00AE6459" w:rsidP="00514B68">
      <w:pPr>
        <w:spacing w:after="0" w:line="360" w:lineRule="auto"/>
        <w:ind w:left="709" w:hanging="709"/>
        <w:jc w:val="both"/>
        <w:rPr>
          <w:rFonts w:ascii="Times New Roman" w:hAnsi="Times New Roman" w:cs="Times New Roman"/>
          <w:sz w:val="24"/>
          <w:szCs w:val="24"/>
          <w:lang w:val="en-US"/>
        </w:rPr>
      </w:pPr>
      <w:r w:rsidRPr="00514B68">
        <w:rPr>
          <w:rFonts w:ascii="Times New Roman" w:hAnsi="Times New Roman" w:cs="Times New Roman"/>
          <w:sz w:val="24"/>
          <w:szCs w:val="24"/>
          <w:lang w:val="en-US"/>
        </w:rPr>
        <w:t xml:space="preserve">Nicholls, G. M., Wolfe, H., </w:t>
      </w:r>
      <w:proofErr w:type="spellStart"/>
      <w:r w:rsidRPr="00514B68">
        <w:rPr>
          <w:rFonts w:ascii="Times New Roman" w:hAnsi="Times New Roman" w:cs="Times New Roman"/>
          <w:sz w:val="24"/>
          <w:szCs w:val="24"/>
          <w:lang w:val="en-US"/>
        </w:rPr>
        <w:t>Besterfield</w:t>
      </w:r>
      <w:proofErr w:type="spellEnd"/>
      <w:r w:rsidRPr="00514B68">
        <w:rPr>
          <w:rFonts w:ascii="Times New Roman" w:hAnsi="Times New Roman" w:cs="Times New Roman"/>
          <w:sz w:val="24"/>
          <w:szCs w:val="24"/>
          <w:lang w:val="en-US"/>
        </w:rPr>
        <w:t>, M., Shuman, L. J.</w:t>
      </w:r>
      <w:r w:rsidR="005721F4">
        <w:rPr>
          <w:rFonts w:ascii="Times New Roman" w:hAnsi="Times New Roman" w:cs="Times New Roman"/>
          <w:sz w:val="24"/>
          <w:szCs w:val="24"/>
          <w:lang w:val="en-US"/>
        </w:rPr>
        <w:t xml:space="preserve"> and</w:t>
      </w:r>
      <w:r w:rsidRPr="00514B68">
        <w:rPr>
          <w:rFonts w:ascii="Times New Roman" w:hAnsi="Times New Roman" w:cs="Times New Roman"/>
          <w:sz w:val="24"/>
          <w:szCs w:val="24"/>
          <w:lang w:val="en-US"/>
        </w:rPr>
        <w:t xml:space="preserve"> </w:t>
      </w:r>
      <w:proofErr w:type="spellStart"/>
      <w:r w:rsidRPr="00514B68">
        <w:rPr>
          <w:rFonts w:ascii="Times New Roman" w:hAnsi="Times New Roman" w:cs="Times New Roman"/>
          <w:sz w:val="24"/>
          <w:szCs w:val="24"/>
          <w:lang w:val="en-US"/>
        </w:rPr>
        <w:t>Larpkiattaworn</w:t>
      </w:r>
      <w:proofErr w:type="spellEnd"/>
      <w:r w:rsidRPr="00514B68">
        <w:rPr>
          <w:rFonts w:ascii="Times New Roman" w:hAnsi="Times New Roman" w:cs="Times New Roman"/>
          <w:sz w:val="24"/>
          <w:szCs w:val="24"/>
          <w:lang w:val="en-US"/>
        </w:rPr>
        <w:t xml:space="preserve">, S. (2007). A method for identifying variables for predicting STEM enrollment. </w:t>
      </w:r>
      <w:r w:rsidRPr="00514B68">
        <w:rPr>
          <w:rFonts w:ascii="Times New Roman" w:hAnsi="Times New Roman" w:cs="Times New Roman"/>
          <w:i/>
          <w:sz w:val="24"/>
          <w:szCs w:val="24"/>
          <w:lang w:val="en-US"/>
        </w:rPr>
        <w:t>Journal of Engineering Education</w:t>
      </w:r>
      <w:r w:rsidRPr="00514B68">
        <w:rPr>
          <w:rFonts w:ascii="Times New Roman" w:hAnsi="Times New Roman" w:cs="Times New Roman"/>
          <w:sz w:val="24"/>
          <w:szCs w:val="24"/>
          <w:lang w:val="en-US"/>
        </w:rPr>
        <w:t xml:space="preserve">, </w:t>
      </w:r>
      <w:r w:rsidRPr="00514B68">
        <w:rPr>
          <w:rFonts w:ascii="Times New Roman" w:hAnsi="Times New Roman" w:cs="Times New Roman"/>
          <w:i/>
          <w:sz w:val="24"/>
          <w:szCs w:val="24"/>
          <w:lang w:val="en-US"/>
        </w:rPr>
        <w:t>96</w:t>
      </w:r>
      <w:r w:rsidRPr="00514B68">
        <w:rPr>
          <w:rFonts w:ascii="Times New Roman" w:hAnsi="Times New Roman" w:cs="Times New Roman"/>
          <w:sz w:val="24"/>
          <w:szCs w:val="24"/>
          <w:lang w:val="en-US"/>
        </w:rPr>
        <w:t xml:space="preserve">(1), 33–44. </w:t>
      </w:r>
    </w:p>
    <w:p w14:paraId="5B5A1B2D" w14:textId="120860B4" w:rsidR="00AE6459" w:rsidRPr="00514B68" w:rsidRDefault="00AE6459" w:rsidP="00514B68">
      <w:pPr>
        <w:spacing w:after="0" w:line="360" w:lineRule="auto"/>
        <w:ind w:left="709" w:hanging="709"/>
        <w:jc w:val="both"/>
        <w:rPr>
          <w:rFonts w:ascii="Times New Roman" w:hAnsi="Times New Roman" w:cs="Times New Roman"/>
          <w:sz w:val="24"/>
          <w:szCs w:val="24"/>
          <w:lang w:val="en-US"/>
        </w:rPr>
      </w:pPr>
      <w:proofErr w:type="spellStart"/>
      <w:r w:rsidRPr="00514B68">
        <w:rPr>
          <w:rFonts w:ascii="Times New Roman" w:hAnsi="Times New Roman" w:cs="Times New Roman"/>
          <w:sz w:val="24"/>
          <w:szCs w:val="24"/>
          <w:lang w:val="en-US"/>
        </w:rPr>
        <w:t>Ohland</w:t>
      </w:r>
      <w:proofErr w:type="spellEnd"/>
      <w:r w:rsidRPr="00514B68">
        <w:rPr>
          <w:rFonts w:ascii="Times New Roman" w:hAnsi="Times New Roman" w:cs="Times New Roman"/>
          <w:sz w:val="24"/>
          <w:szCs w:val="24"/>
          <w:lang w:val="en-US"/>
        </w:rPr>
        <w:t>, M. W., Brawner, C. E., Camacho, M. M., Layton, R. A., Long, R. A., Lord, S. M.</w:t>
      </w:r>
      <w:r w:rsidR="005721F4">
        <w:rPr>
          <w:rFonts w:ascii="Times New Roman" w:hAnsi="Times New Roman" w:cs="Times New Roman"/>
          <w:sz w:val="24"/>
          <w:szCs w:val="24"/>
          <w:lang w:val="en-US"/>
        </w:rPr>
        <w:t xml:space="preserve"> and</w:t>
      </w:r>
      <w:r w:rsidRPr="00514B68">
        <w:rPr>
          <w:rFonts w:ascii="Times New Roman" w:hAnsi="Times New Roman" w:cs="Times New Roman"/>
          <w:sz w:val="24"/>
          <w:szCs w:val="24"/>
          <w:lang w:val="en-US"/>
        </w:rPr>
        <w:t xml:space="preserve"> </w:t>
      </w:r>
      <w:proofErr w:type="spellStart"/>
      <w:r w:rsidRPr="00514B68">
        <w:rPr>
          <w:rFonts w:ascii="Times New Roman" w:hAnsi="Times New Roman" w:cs="Times New Roman"/>
          <w:sz w:val="24"/>
          <w:szCs w:val="24"/>
          <w:lang w:val="en-US"/>
        </w:rPr>
        <w:t>Wasburn</w:t>
      </w:r>
      <w:proofErr w:type="spellEnd"/>
      <w:r w:rsidRPr="00514B68">
        <w:rPr>
          <w:rFonts w:ascii="Times New Roman" w:hAnsi="Times New Roman" w:cs="Times New Roman"/>
          <w:sz w:val="24"/>
          <w:szCs w:val="24"/>
          <w:lang w:val="en-US"/>
        </w:rPr>
        <w:t xml:space="preserve">, M. H. (2011). Race, gender, and measures of success in engineering education. </w:t>
      </w:r>
      <w:r w:rsidRPr="00514B68">
        <w:rPr>
          <w:rFonts w:ascii="Times New Roman" w:hAnsi="Times New Roman" w:cs="Times New Roman"/>
          <w:i/>
          <w:sz w:val="24"/>
          <w:szCs w:val="24"/>
          <w:lang w:val="en-US"/>
        </w:rPr>
        <w:t>Journal of Engineering Education</w:t>
      </w:r>
      <w:r w:rsidRPr="00514B68">
        <w:rPr>
          <w:rFonts w:ascii="Times New Roman" w:hAnsi="Times New Roman" w:cs="Times New Roman"/>
          <w:sz w:val="24"/>
          <w:szCs w:val="24"/>
          <w:lang w:val="en-US"/>
        </w:rPr>
        <w:t xml:space="preserve">, </w:t>
      </w:r>
      <w:r w:rsidRPr="00514B68">
        <w:rPr>
          <w:rFonts w:ascii="Times New Roman" w:hAnsi="Times New Roman" w:cs="Times New Roman"/>
          <w:i/>
          <w:sz w:val="24"/>
          <w:szCs w:val="24"/>
          <w:lang w:val="en-US"/>
        </w:rPr>
        <w:t>100</w:t>
      </w:r>
      <w:r w:rsidRPr="00514B68">
        <w:rPr>
          <w:rFonts w:ascii="Times New Roman" w:hAnsi="Times New Roman" w:cs="Times New Roman"/>
          <w:sz w:val="24"/>
          <w:szCs w:val="24"/>
          <w:lang w:val="en-US"/>
        </w:rPr>
        <w:t xml:space="preserve">(2), 225–252. </w:t>
      </w:r>
    </w:p>
    <w:p w14:paraId="10A5BBBE" w14:textId="0663B736" w:rsidR="0026409C" w:rsidRPr="00514B68" w:rsidRDefault="005721F4" w:rsidP="00514B68">
      <w:pPr>
        <w:spacing w:after="0" w:line="360" w:lineRule="auto"/>
        <w:ind w:left="709" w:hanging="709"/>
        <w:jc w:val="both"/>
        <w:rPr>
          <w:rFonts w:ascii="Times New Roman" w:hAnsi="Times New Roman" w:cs="Times New Roman"/>
          <w:noProof/>
          <w:sz w:val="24"/>
          <w:szCs w:val="24"/>
        </w:rPr>
      </w:pPr>
      <w:r>
        <w:rPr>
          <w:rFonts w:ascii="Times New Roman" w:hAnsi="Times New Roman" w:cs="Times New Roman"/>
          <w:sz w:val="24"/>
          <w:szCs w:val="24"/>
        </w:rPr>
        <w:t xml:space="preserve">Organización para la Cooperación y el Desarrollo Económicos [OCDE]. </w:t>
      </w:r>
      <w:r w:rsidR="0026409C" w:rsidRPr="00514B68">
        <w:rPr>
          <w:rFonts w:ascii="Times New Roman" w:hAnsi="Times New Roman" w:cs="Times New Roman"/>
          <w:sz w:val="24"/>
          <w:szCs w:val="24"/>
          <w:lang w:val="en-US"/>
        </w:rPr>
        <w:t xml:space="preserve">(2014). </w:t>
      </w:r>
      <w:r w:rsidR="0026409C" w:rsidRPr="00514B68">
        <w:rPr>
          <w:rFonts w:ascii="Times New Roman" w:hAnsi="Times New Roman" w:cs="Times New Roman"/>
          <w:i/>
          <w:sz w:val="24"/>
          <w:szCs w:val="24"/>
          <w:lang w:val="en-US"/>
        </w:rPr>
        <w:t xml:space="preserve">PISA 2012 Results: What </w:t>
      </w:r>
      <w:r w:rsidR="00BB7E16" w:rsidRPr="00514B68">
        <w:rPr>
          <w:rFonts w:ascii="Times New Roman" w:hAnsi="Times New Roman" w:cs="Times New Roman"/>
          <w:i/>
          <w:sz w:val="24"/>
          <w:szCs w:val="24"/>
          <w:lang w:val="en-US"/>
        </w:rPr>
        <w:t>s</w:t>
      </w:r>
      <w:r w:rsidR="0026409C" w:rsidRPr="00514B68">
        <w:rPr>
          <w:rFonts w:ascii="Times New Roman" w:hAnsi="Times New Roman" w:cs="Times New Roman"/>
          <w:i/>
          <w:sz w:val="24"/>
          <w:szCs w:val="24"/>
          <w:lang w:val="en-US"/>
        </w:rPr>
        <w:t xml:space="preserve">tudents </w:t>
      </w:r>
      <w:r w:rsidR="001B0FA9" w:rsidRPr="00514B68">
        <w:rPr>
          <w:rFonts w:ascii="Times New Roman" w:hAnsi="Times New Roman" w:cs="Times New Roman"/>
          <w:i/>
          <w:sz w:val="24"/>
          <w:szCs w:val="24"/>
          <w:lang w:val="en-US"/>
        </w:rPr>
        <w:t>k</w:t>
      </w:r>
      <w:r w:rsidR="0026409C" w:rsidRPr="00514B68">
        <w:rPr>
          <w:rFonts w:ascii="Times New Roman" w:hAnsi="Times New Roman" w:cs="Times New Roman"/>
          <w:i/>
          <w:sz w:val="24"/>
          <w:szCs w:val="24"/>
          <w:lang w:val="en-US"/>
        </w:rPr>
        <w:t xml:space="preserve">now and </w:t>
      </w:r>
      <w:r w:rsidR="001B0FA9" w:rsidRPr="00514B68">
        <w:rPr>
          <w:rFonts w:ascii="Times New Roman" w:hAnsi="Times New Roman" w:cs="Times New Roman"/>
          <w:i/>
          <w:sz w:val="24"/>
          <w:szCs w:val="24"/>
          <w:lang w:val="en-US"/>
        </w:rPr>
        <w:t>c</w:t>
      </w:r>
      <w:r w:rsidR="0026409C" w:rsidRPr="00514B68">
        <w:rPr>
          <w:rFonts w:ascii="Times New Roman" w:hAnsi="Times New Roman" w:cs="Times New Roman"/>
          <w:i/>
          <w:sz w:val="24"/>
          <w:szCs w:val="24"/>
          <w:lang w:val="en-US"/>
        </w:rPr>
        <w:t xml:space="preserve">an </w:t>
      </w:r>
      <w:r w:rsidR="001B0FA9" w:rsidRPr="00514B68">
        <w:rPr>
          <w:rFonts w:ascii="Times New Roman" w:hAnsi="Times New Roman" w:cs="Times New Roman"/>
          <w:i/>
          <w:sz w:val="24"/>
          <w:szCs w:val="24"/>
          <w:lang w:val="en-US"/>
        </w:rPr>
        <w:t>d</w:t>
      </w:r>
      <w:r w:rsidR="0026409C" w:rsidRPr="00514B68">
        <w:rPr>
          <w:rFonts w:ascii="Times New Roman" w:hAnsi="Times New Roman" w:cs="Times New Roman"/>
          <w:i/>
          <w:sz w:val="24"/>
          <w:szCs w:val="24"/>
          <w:lang w:val="en-US"/>
        </w:rPr>
        <w:t xml:space="preserve">o – </w:t>
      </w:r>
      <w:r w:rsidR="001B0FA9" w:rsidRPr="00514B68">
        <w:rPr>
          <w:rFonts w:ascii="Times New Roman" w:hAnsi="Times New Roman" w:cs="Times New Roman"/>
          <w:i/>
          <w:sz w:val="24"/>
          <w:szCs w:val="24"/>
          <w:lang w:val="en-US"/>
        </w:rPr>
        <w:t>s</w:t>
      </w:r>
      <w:r w:rsidR="0026409C" w:rsidRPr="00514B68">
        <w:rPr>
          <w:rFonts w:ascii="Times New Roman" w:hAnsi="Times New Roman" w:cs="Times New Roman"/>
          <w:i/>
          <w:sz w:val="24"/>
          <w:szCs w:val="24"/>
          <w:lang w:val="en-US"/>
        </w:rPr>
        <w:t xml:space="preserve">tudent </w:t>
      </w:r>
      <w:r w:rsidR="001B0FA9" w:rsidRPr="00514B68">
        <w:rPr>
          <w:rFonts w:ascii="Times New Roman" w:hAnsi="Times New Roman" w:cs="Times New Roman"/>
          <w:i/>
          <w:sz w:val="24"/>
          <w:szCs w:val="24"/>
          <w:lang w:val="en-US"/>
        </w:rPr>
        <w:t>p</w:t>
      </w:r>
      <w:r w:rsidR="0026409C" w:rsidRPr="00514B68">
        <w:rPr>
          <w:rFonts w:ascii="Times New Roman" w:hAnsi="Times New Roman" w:cs="Times New Roman"/>
          <w:i/>
          <w:sz w:val="24"/>
          <w:szCs w:val="24"/>
          <w:lang w:val="en-US"/>
        </w:rPr>
        <w:t xml:space="preserve">erformance in </w:t>
      </w:r>
      <w:r w:rsidR="001B0FA9" w:rsidRPr="00514B68">
        <w:rPr>
          <w:rFonts w:ascii="Times New Roman" w:hAnsi="Times New Roman" w:cs="Times New Roman"/>
          <w:i/>
          <w:sz w:val="24"/>
          <w:szCs w:val="24"/>
          <w:lang w:val="en-US"/>
        </w:rPr>
        <w:t>m</w:t>
      </w:r>
      <w:r w:rsidR="0026409C" w:rsidRPr="00514B68">
        <w:rPr>
          <w:rFonts w:ascii="Times New Roman" w:hAnsi="Times New Roman" w:cs="Times New Roman"/>
          <w:i/>
          <w:sz w:val="24"/>
          <w:szCs w:val="24"/>
          <w:lang w:val="en-US"/>
        </w:rPr>
        <w:t xml:space="preserve">athematics, </w:t>
      </w:r>
      <w:r w:rsidR="001B0FA9" w:rsidRPr="00514B68">
        <w:rPr>
          <w:rFonts w:ascii="Times New Roman" w:hAnsi="Times New Roman" w:cs="Times New Roman"/>
          <w:i/>
          <w:sz w:val="24"/>
          <w:szCs w:val="24"/>
          <w:lang w:val="en-US"/>
        </w:rPr>
        <w:t>r</w:t>
      </w:r>
      <w:r w:rsidR="0026409C" w:rsidRPr="00514B68">
        <w:rPr>
          <w:rFonts w:ascii="Times New Roman" w:hAnsi="Times New Roman" w:cs="Times New Roman"/>
          <w:i/>
          <w:sz w:val="24"/>
          <w:szCs w:val="24"/>
          <w:lang w:val="en-US"/>
        </w:rPr>
        <w:t xml:space="preserve">eading and </w:t>
      </w:r>
      <w:r w:rsidR="001B0FA9" w:rsidRPr="00514B68">
        <w:rPr>
          <w:rFonts w:ascii="Times New Roman" w:hAnsi="Times New Roman" w:cs="Times New Roman"/>
          <w:i/>
          <w:sz w:val="24"/>
          <w:szCs w:val="24"/>
          <w:lang w:val="en-US"/>
        </w:rPr>
        <w:t>s</w:t>
      </w:r>
      <w:r w:rsidR="0026409C" w:rsidRPr="00514B68">
        <w:rPr>
          <w:rFonts w:ascii="Times New Roman" w:hAnsi="Times New Roman" w:cs="Times New Roman"/>
          <w:i/>
          <w:sz w:val="24"/>
          <w:szCs w:val="24"/>
          <w:lang w:val="en-US"/>
        </w:rPr>
        <w:t>cience</w:t>
      </w:r>
      <w:r w:rsidR="0026409C" w:rsidRPr="00514B68">
        <w:rPr>
          <w:rFonts w:ascii="Times New Roman" w:hAnsi="Times New Roman" w:cs="Times New Roman"/>
          <w:sz w:val="24"/>
          <w:szCs w:val="24"/>
          <w:lang w:val="en-US"/>
        </w:rPr>
        <w:t xml:space="preserve">. </w:t>
      </w:r>
      <w:r w:rsidR="00C66A39">
        <w:rPr>
          <w:rFonts w:ascii="Times New Roman" w:hAnsi="Times New Roman" w:cs="Times New Roman"/>
          <w:sz w:val="24"/>
          <w:szCs w:val="24"/>
        </w:rPr>
        <w:t>Paris, France:</w:t>
      </w:r>
      <w:r w:rsidR="0026409C" w:rsidRPr="00514B68">
        <w:rPr>
          <w:rFonts w:ascii="Times New Roman" w:hAnsi="Times New Roman" w:cs="Times New Roman"/>
          <w:sz w:val="24"/>
          <w:szCs w:val="24"/>
        </w:rPr>
        <w:t xml:space="preserve"> OECD Publishing.</w:t>
      </w:r>
    </w:p>
    <w:p w14:paraId="3F5C2381" w14:textId="78C58A13" w:rsidR="00AE6459" w:rsidRPr="00514B68" w:rsidRDefault="00AE6459" w:rsidP="00514B68">
      <w:pPr>
        <w:spacing w:after="0" w:line="360" w:lineRule="auto"/>
        <w:ind w:left="709" w:hanging="709"/>
        <w:jc w:val="both"/>
        <w:rPr>
          <w:rFonts w:ascii="Times New Roman" w:hAnsi="Times New Roman" w:cs="Times New Roman"/>
          <w:sz w:val="24"/>
          <w:szCs w:val="24"/>
          <w:lang w:val="en-US"/>
        </w:rPr>
      </w:pPr>
      <w:r w:rsidRPr="00514B68">
        <w:rPr>
          <w:rFonts w:ascii="Times New Roman" w:hAnsi="Times New Roman" w:cs="Times New Roman"/>
          <w:noProof/>
          <w:sz w:val="24"/>
          <w:szCs w:val="24"/>
        </w:rPr>
        <w:t>Paderewski, P., García-Arenas, M. I., Gil, R. M., González, C. S., Ortigosa, E. M.</w:t>
      </w:r>
      <w:r w:rsidR="00C66A39">
        <w:rPr>
          <w:rFonts w:ascii="Times New Roman" w:hAnsi="Times New Roman" w:cs="Times New Roman"/>
          <w:noProof/>
          <w:sz w:val="24"/>
          <w:szCs w:val="24"/>
        </w:rPr>
        <w:t xml:space="preserve"> and</w:t>
      </w:r>
      <w:r w:rsidRPr="00514B68">
        <w:rPr>
          <w:rFonts w:ascii="Times New Roman" w:hAnsi="Times New Roman" w:cs="Times New Roman"/>
          <w:noProof/>
          <w:sz w:val="24"/>
          <w:szCs w:val="24"/>
        </w:rPr>
        <w:t xml:space="preserve"> Padilla, N. (2017). </w:t>
      </w:r>
      <w:r w:rsidRPr="00514B68">
        <w:rPr>
          <w:rFonts w:ascii="Times New Roman" w:hAnsi="Times New Roman" w:cs="Times New Roman"/>
          <w:noProof/>
          <w:sz w:val="24"/>
          <w:szCs w:val="24"/>
          <w:lang w:val="en-US"/>
        </w:rPr>
        <w:t xml:space="preserve">Initiatives and strategies to encourage women into engineering. </w:t>
      </w:r>
      <w:r w:rsidRPr="00514B68">
        <w:rPr>
          <w:rFonts w:ascii="Times New Roman" w:hAnsi="Times New Roman" w:cs="Times New Roman"/>
          <w:i/>
          <w:iCs/>
          <w:noProof/>
          <w:sz w:val="24"/>
          <w:szCs w:val="24"/>
          <w:lang w:val="en-US"/>
        </w:rPr>
        <w:t>IEEE Revista Iberoamericana de Tecnolog</w:t>
      </w:r>
      <w:r w:rsidR="00414987">
        <w:rPr>
          <w:rFonts w:ascii="Times New Roman" w:hAnsi="Times New Roman" w:cs="Times New Roman"/>
          <w:i/>
          <w:iCs/>
          <w:noProof/>
          <w:sz w:val="24"/>
          <w:szCs w:val="24"/>
          <w:lang w:val="en-US"/>
        </w:rPr>
        <w:t>í</w:t>
      </w:r>
      <w:r w:rsidRPr="00514B68">
        <w:rPr>
          <w:rFonts w:ascii="Times New Roman" w:hAnsi="Times New Roman" w:cs="Times New Roman"/>
          <w:i/>
          <w:iCs/>
          <w:noProof/>
          <w:sz w:val="24"/>
          <w:szCs w:val="24"/>
          <w:lang w:val="en-US"/>
        </w:rPr>
        <w:t xml:space="preserve">as </w:t>
      </w:r>
      <w:r w:rsidR="00414987">
        <w:rPr>
          <w:rFonts w:ascii="Times New Roman" w:hAnsi="Times New Roman" w:cs="Times New Roman"/>
          <w:i/>
          <w:iCs/>
          <w:noProof/>
          <w:sz w:val="24"/>
          <w:szCs w:val="24"/>
          <w:lang w:val="en-US"/>
        </w:rPr>
        <w:t>d</w:t>
      </w:r>
      <w:r w:rsidR="00414987" w:rsidRPr="00514B68">
        <w:rPr>
          <w:rFonts w:ascii="Times New Roman" w:hAnsi="Times New Roman" w:cs="Times New Roman"/>
          <w:i/>
          <w:iCs/>
          <w:noProof/>
          <w:sz w:val="24"/>
          <w:szCs w:val="24"/>
          <w:lang w:val="en-US"/>
        </w:rPr>
        <w:t xml:space="preserve">el </w:t>
      </w:r>
      <w:r w:rsidRPr="00514B68">
        <w:rPr>
          <w:rFonts w:ascii="Times New Roman" w:hAnsi="Times New Roman" w:cs="Times New Roman"/>
          <w:i/>
          <w:iCs/>
          <w:noProof/>
          <w:sz w:val="24"/>
          <w:szCs w:val="24"/>
          <w:lang w:val="en-US"/>
        </w:rPr>
        <w:t>Aprendizaje</w:t>
      </w:r>
      <w:r w:rsidRPr="00514B68">
        <w:rPr>
          <w:rFonts w:ascii="Times New Roman" w:hAnsi="Times New Roman" w:cs="Times New Roman"/>
          <w:noProof/>
          <w:sz w:val="24"/>
          <w:szCs w:val="24"/>
          <w:lang w:val="en-US"/>
        </w:rPr>
        <w:t xml:space="preserve">, </w:t>
      </w:r>
      <w:r w:rsidRPr="00514B68">
        <w:rPr>
          <w:rFonts w:ascii="Times New Roman" w:hAnsi="Times New Roman" w:cs="Times New Roman"/>
          <w:i/>
          <w:iCs/>
          <w:noProof/>
          <w:sz w:val="24"/>
          <w:szCs w:val="24"/>
          <w:lang w:val="en-US"/>
        </w:rPr>
        <w:t>12</w:t>
      </w:r>
      <w:r w:rsidRPr="00514B68">
        <w:rPr>
          <w:rFonts w:ascii="Times New Roman" w:hAnsi="Times New Roman" w:cs="Times New Roman"/>
          <w:noProof/>
          <w:sz w:val="24"/>
          <w:szCs w:val="24"/>
          <w:lang w:val="en-US"/>
        </w:rPr>
        <w:t>(2), 106–114.</w:t>
      </w:r>
    </w:p>
    <w:p w14:paraId="1FE3702B" w14:textId="6B45FE12" w:rsidR="00AE6459" w:rsidRPr="00514B68" w:rsidRDefault="00AE6459" w:rsidP="00514B68">
      <w:pPr>
        <w:spacing w:after="0" w:line="360" w:lineRule="auto"/>
        <w:ind w:left="709" w:hanging="709"/>
        <w:jc w:val="both"/>
        <w:rPr>
          <w:rFonts w:ascii="Times New Roman" w:hAnsi="Times New Roman" w:cs="Times New Roman"/>
          <w:sz w:val="24"/>
          <w:szCs w:val="24"/>
          <w:lang w:val="en-US"/>
        </w:rPr>
      </w:pPr>
      <w:r w:rsidRPr="00514B68">
        <w:rPr>
          <w:rFonts w:ascii="Times New Roman" w:hAnsi="Times New Roman" w:cs="Times New Roman"/>
          <w:sz w:val="24"/>
          <w:szCs w:val="24"/>
          <w:lang w:val="en-US"/>
        </w:rPr>
        <w:t>Porter, C. H. (2011). An examination of variables which influence high school students to enroll in an undergraduate engineering or physical science major</w:t>
      </w:r>
      <w:r w:rsidR="00C66A39">
        <w:rPr>
          <w:rFonts w:ascii="Times New Roman" w:hAnsi="Times New Roman" w:cs="Times New Roman"/>
          <w:sz w:val="24"/>
          <w:szCs w:val="24"/>
          <w:lang w:val="en-US"/>
        </w:rPr>
        <w:t>.</w:t>
      </w:r>
      <w:r w:rsidR="003725CF" w:rsidRPr="00514B68">
        <w:rPr>
          <w:rFonts w:ascii="Times New Roman" w:hAnsi="Times New Roman" w:cs="Times New Roman"/>
          <w:sz w:val="24"/>
          <w:szCs w:val="24"/>
          <w:lang w:val="en-US"/>
        </w:rPr>
        <w:t xml:space="preserve"> (doctoral</w:t>
      </w:r>
      <w:r w:rsidR="00F37D69">
        <w:rPr>
          <w:rFonts w:ascii="Times New Roman" w:hAnsi="Times New Roman" w:cs="Times New Roman"/>
          <w:sz w:val="24"/>
          <w:szCs w:val="24"/>
          <w:lang w:val="en-US"/>
        </w:rPr>
        <w:t xml:space="preserve"> thesis</w:t>
      </w:r>
      <w:r w:rsidR="003725CF" w:rsidRPr="00514B68">
        <w:rPr>
          <w:rFonts w:ascii="Times New Roman" w:hAnsi="Times New Roman" w:cs="Times New Roman"/>
          <w:sz w:val="24"/>
          <w:szCs w:val="24"/>
          <w:lang w:val="en-US"/>
        </w:rPr>
        <w:t>)</w:t>
      </w:r>
      <w:r w:rsidRPr="00514B68">
        <w:rPr>
          <w:rFonts w:ascii="Times New Roman" w:hAnsi="Times New Roman" w:cs="Times New Roman"/>
          <w:sz w:val="24"/>
          <w:szCs w:val="24"/>
          <w:lang w:val="en-US"/>
        </w:rPr>
        <w:t>. Clemson University, Clemson.</w:t>
      </w:r>
      <w:bookmarkStart w:id="5" w:name="_GoBack"/>
      <w:bookmarkEnd w:id="5"/>
    </w:p>
    <w:p w14:paraId="4C612AC5" w14:textId="67677616" w:rsidR="00AE6459" w:rsidRPr="00514B68" w:rsidRDefault="00AE6459" w:rsidP="00514B68">
      <w:pPr>
        <w:widowControl w:val="0"/>
        <w:autoSpaceDE w:val="0"/>
        <w:autoSpaceDN w:val="0"/>
        <w:adjustRightInd w:val="0"/>
        <w:spacing w:after="0" w:line="360" w:lineRule="auto"/>
        <w:ind w:left="709" w:hanging="709"/>
        <w:jc w:val="both"/>
        <w:rPr>
          <w:rFonts w:ascii="Times New Roman" w:hAnsi="Times New Roman" w:cs="Times New Roman"/>
          <w:noProof/>
          <w:sz w:val="24"/>
          <w:szCs w:val="24"/>
          <w:lang w:val="en-US"/>
        </w:rPr>
      </w:pPr>
      <w:r w:rsidRPr="00514B68">
        <w:rPr>
          <w:rFonts w:ascii="Times New Roman" w:hAnsi="Times New Roman" w:cs="Times New Roman"/>
          <w:sz w:val="24"/>
          <w:szCs w:val="24"/>
          <w:lang w:val="en-US"/>
        </w:rPr>
        <w:t>R Development Core Team. (2012). R</w:t>
      </w:r>
      <w:r w:rsidRPr="00514B68">
        <w:rPr>
          <w:rFonts w:ascii="Times New Roman" w:hAnsi="Times New Roman" w:cs="Times New Roman"/>
          <w:i/>
          <w:sz w:val="24"/>
          <w:szCs w:val="24"/>
          <w:lang w:val="en-US"/>
        </w:rPr>
        <w:t>: A language and environment for statistical computing</w:t>
      </w:r>
      <w:r w:rsidRPr="00514B68">
        <w:rPr>
          <w:rFonts w:ascii="Times New Roman" w:hAnsi="Times New Roman" w:cs="Times New Roman"/>
          <w:sz w:val="24"/>
          <w:szCs w:val="24"/>
          <w:lang w:val="en-US"/>
        </w:rPr>
        <w:t>. Vienna</w:t>
      </w:r>
      <w:r w:rsidR="00F6363F">
        <w:rPr>
          <w:rFonts w:ascii="Times New Roman" w:hAnsi="Times New Roman" w:cs="Times New Roman"/>
          <w:sz w:val="24"/>
          <w:szCs w:val="24"/>
          <w:lang w:val="en-US"/>
        </w:rPr>
        <w:t>, Germany</w:t>
      </w:r>
      <w:r w:rsidRPr="00514B68">
        <w:rPr>
          <w:rFonts w:ascii="Times New Roman" w:hAnsi="Times New Roman" w:cs="Times New Roman"/>
          <w:sz w:val="24"/>
          <w:szCs w:val="24"/>
          <w:lang w:val="en-US"/>
        </w:rPr>
        <w:t xml:space="preserve">: R Foundation for Statistical Computing. </w:t>
      </w:r>
      <w:r w:rsidR="00F6363F">
        <w:rPr>
          <w:rFonts w:ascii="Times New Roman" w:hAnsi="Times New Roman" w:cs="Times New Roman"/>
          <w:sz w:val="24"/>
          <w:szCs w:val="24"/>
          <w:lang w:val="en-US"/>
        </w:rPr>
        <w:t xml:space="preserve">Retrieved </w:t>
      </w:r>
      <w:r w:rsidR="00F6363F">
        <w:rPr>
          <w:rFonts w:ascii="Times New Roman" w:hAnsi="Times New Roman" w:cs="Times New Roman"/>
          <w:sz w:val="24"/>
          <w:szCs w:val="24"/>
          <w:lang w:val="en-US"/>
        </w:rPr>
        <w:lastRenderedPageBreak/>
        <w:t xml:space="preserve">from </w:t>
      </w:r>
      <w:r w:rsidRPr="00514B68">
        <w:rPr>
          <w:rFonts w:ascii="Times New Roman" w:hAnsi="Times New Roman" w:cs="Times New Roman"/>
          <w:sz w:val="24"/>
          <w:szCs w:val="24"/>
          <w:lang w:val="en-US"/>
        </w:rPr>
        <w:t>https://www.gbif.org/tool/81287/r-a-language-and-environment-for-statistical-computing</w:t>
      </w:r>
      <w:r w:rsidR="00F6363F">
        <w:rPr>
          <w:rFonts w:ascii="Times New Roman" w:hAnsi="Times New Roman" w:cs="Times New Roman"/>
          <w:sz w:val="24"/>
          <w:szCs w:val="24"/>
          <w:lang w:val="en-US"/>
        </w:rPr>
        <w:t>.</w:t>
      </w:r>
    </w:p>
    <w:p w14:paraId="46B2A899" w14:textId="53E6821A" w:rsidR="00AE6459" w:rsidRPr="00514B68" w:rsidRDefault="00AE6459" w:rsidP="00514B68">
      <w:pPr>
        <w:widowControl w:val="0"/>
        <w:autoSpaceDE w:val="0"/>
        <w:autoSpaceDN w:val="0"/>
        <w:adjustRightInd w:val="0"/>
        <w:spacing w:after="0" w:line="360" w:lineRule="auto"/>
        <w:ind w:left="709" w:hanging="709"/>
        <w:jc w:val="both"/>
        <w:rPr>
          <w:rFonts w:ascii="Times New Roman" w:hAnsi="Times New Roman" w:cs="Times New Roman"/>
          <w:noProof/>
          <w:sz w:val="24"/>
          <w:szCs w:val="24"/>
          <w:lang w:val="en-US"/>
        </w:rPr>
      </w:pPr>
      <w:r w:rsidRPr="00514B68">
        <w:rPr>
          <w:rFonts w:ascii="Times New Roman" w:hAnsi="Times New Roman" w:cs="Times New Roman"/>
          <w:noProof/>
          <w:sz w:val="24"/>
          <w:szCs w:val="24"/>
          <w:lang w:val="en-US"/>
        </w:rPr>
        <w:t>Rovine, M. L.</w:t>
      </w:r>
      <w:r w:rsidR="00F6363F">
        <w:rPr>
          <w:rFonts w:ascii="Times New Roman" w:hAnsi="Times New Roman" w:cs="Times New Roman"/>
          <w:noProof/>
          <w:sz w:val="24"/>
          <w:szCs w:val="24"/>
          <w:lang w:val="en-US"/>
        </w:rPr>
        <w:t xml:space="preserve"> and</w:t>
      </w:r>
      <w:r w:rsidRPr="00514B68">
        <w:rPr>
          <w:rFonts w:ascii="Times New Roman" w:hAnsi="Times New Roman" w:cs="Times New Roman"/>
          <w:noProof/>
          <w:sz w:val="24"/>
          <w:szCs w:val="24"/>
          <w:lang w:val="en-US"/>
        </w:rPr>
        <w:t xml:space="preserve"> Von Eye, A. (1997). A 14th way to look at a correlation coefficient: Correlation as the proportion of matches. </w:t>
      </w:r>
      <w:r w:rsidRPr="00514B68">
        <w:rPr>
          <w:rFonts w:ascii="Times New Roman" w:hAnsi="Times New Roman" w:cs="Times New Roman"/>
          <w:i/>
          <w:iCs/>
          <w:noProof/>
          <w:sz w:val="24"/>
          <w:szCs w:val="24"/>
          <w:lang w:val="en-US"/>
        </w:rPr>
        <w:t>American Statistician</w:t>
      </w:r>
      <w:r w:rsidRPr="00514B68">
        <w:rPr>
          <w:rFonts w:ascii="Times New Roman" w:hAnsi="Times New Roman" w:cs="Times New Roman"/>
          <w:noProof/>
          <w:sz w:val="24"/>
          <w:szCs w:val="24"/>
          <w:lang w:val="en-US"/>
        </w:rPr>
        <w:t xml:space="preserve">, </w:t>
      </w:r>
      <w:r w:rsidRPr="00514B68">
        <w:rPr>
          <w:rFonts w:ascii="Times New Roman" w:hAnsi="Times New Roman" w:cs="Times New Roman"/>
          <w:i/>
          <w:iCs/>
          <w:noProof/>
          <w:sz w:val="24"/>
          <w:szCs w:val="24"/>
          <w:lang w:val="en-US"/>
        </w:rPr>
        <w:t>51</w:t>
      </w:r>
      <w:r w:rsidRPr="00514B68">
        <w:rPr>
          <w:rFonts w:ascii="Times New Roman" w:hAnsi="Times New Roman" w:cs="Times New Roman"/>
          <w:noProof/>
          <w:sz w:val="24"/>
          <w:szCs w:val="24"/>
          <w:lang w:val="en-US"/>
        </w:rPr>
        <w:t>, 42</w:t>
      </w:r>
      <w:r w:rsidR="00F6363F">
        <w:rPr>
          <w:rFonts w:ascii="Times New Roman" w:hAnsi="Times New Roman" w:cs="Times New Roman"/>
          <w:noProof/>
          <w:sz w:val="24"/>
          <w:szCs w:val="24"/>
          <w:lang w:val="en-US"/>
        </w:rPr>
        <w:t>-</w:t>
      </w:r>
      <w:r w:rsidRPr="00514B68">
        <w:rPr>
          <w:rFonts w:ascii="Times New Roman" w:hAnsi="Times New Roman" w:cs="Times New Roman"/>
          <w:noProof/>
          <w:sz w:val="24"/>
          <w:szCs w:val="24"/>
          <w:lang w:val="en-US"/>
        </w:rPr>
        <w:t xml:space="preserve">46. </w:t>
      </w:r>
    </w:p>
    <w:p w14:paraId="4EFAD80A" w14:textId="4AF1C113" w:rsidR="00AE6459" w:rsidRPr="00514B68" w:rsidRDefault="00AE6459" w:rsidP="00514B68">
      <w:pPr>
        <w:spacing w:after="0" w:line="360" w:lineRule="auto"/>
        <w:ind w:left="709" w:hanging="709"/>
        <w:jc w:val="both"/>
        <w:rPr>
          <w:rFonts w:ascii="Times New Roman" w:hAnsi="Times New Roman" w:cs="Times New Roman"/>
          <w:sz w:val="24"/>
          <w:szCs w:val="24"/>
          <w:lang w:val="en-US"/>
        </w:rPr>
      </w:pPr>
      <w:r w:rsidRPr="00514B68">
        <w:rPr>
          <w:rFonts w:ascii="Times New Roman" w:hAnsi="Times New Roman" w:cs="Times New Roman"/>
          <w:noProof/>
          <w:sz w:val="24"/>
          <w:szCs w:val="24"/>
          <w:lang w:val="en-US"/>
        </w:rPr>
        <w:t>Sadler, P. M., Sonnert, G., Hazari, Z.</w:t>
      </w:r>
      <w:r w:rsidR="00F6363F">
        <w:rPr>
          <w:rFonts w:ascii="Times New Roman" w:hAnsi="Times New Roman" w:cs="Times New Roman"/>
          <w:noProof/>
          <w:sz w:val="24"/>
          <w:szCs w:val="24"/>
          <w:lang w:val="en-US"/>
        </w:rPr>
        <w:t xml:space="preserve"> and</w:t>
      </w:r>
      <w:r w:rsidRPr="00514B68">
        <w:rPr>
          <w:rFonts w:ascii="Times New Roman" w:hAnsi="Times New Roman" w:cs="Times New Roman"/>
          <w:noProof/>
          <w:sz w:val="24"/>
          <w:szCs w:val="24"/>
          <w:lang w:val="en-US"/>
        </w:rPr>
        <w:t xml:space="preserve"> Tai, R. (2012). Stability and volatility of STEM career interest in high school: A gender study. </w:t>
      </w:r>
      <w:r w:rsidRPr="00514B68">
        <w:rPr>
          <w:rFonts w:ascii="Times New Roman" w:hAnsi="Times New Roman" w:cs="Times New Roman"/>
          <w:i/>
          <w:iCs/>
          <w:noProof/>
          <w:sz w:val="24"/>
          <w:szCs w:val="24"/>
          <w:lang w:val="en-US"/>
        </w:rPr>
        <w:t>Science Education</w:t>
      </w:r>
      <w:r w:rsidRPr="00514B68">
        <w:rPr>
          <w:rFonts w:ascii="Times New Roman" w:hAnsi="Times New Roman" w:cs="Times New Roman"/>
          <w:noProof/>
          <w:sz w:val="24"/>
          <w:szCs w:val="24"/>
          <w:lang w:val="en-US"/>
        </w:rPr>
        <w:t xml:space="preserve">, </w:t>
      </w:r>
      <w:r w:rsidRPr="00514B68">
        <w:rPr>
          <w:rFonts w:ascii="Times New Roman" w:hAnsi="Times New Roman" w:cs="Times New Roman"/>
          <w:i/>
          <w:iCs/>
          <w:noProof/>
          <w:sz w:val="24"/>
          <w:szCs w:val="24"/>
          <w:lang w:val="en-US"/>
        </w:rPr>
        <w:t>96</w:t>
      </w:r>
      <w:r w:rsidRPr="00514B68">
        <w:rPr>
          <w:rFonts w:ascii="Times New Roman" w:hAnsi="Times New Roman" w:cs="Times New Roman"/>
          <w:noProof/>
          <w:sz w:val="24"/>
          <w:szCs w:val="24"/>
          <w:lang w:val="en-US"/>
        </w:rPr>
        <w:t>, 411</w:t>
      </w:r>
      <w:r w:rsidR="00F6363F">
        <w:rPr>
          <w:rFonts w:ascii="Times New Roman" w:hAnsi="Times New Roman" w:cs="Times New Roman"/>
          <w:noProof/>
          <w:sz w:val="24"/>
          <w:szCs w:val="24"/>
          <w:lang w:val="en-US"/>
        </w:rPr>
        <w:t>-</w:t>
      </w:r>
      <w:r w:rsidRPr="00514B68">
        <w:rPr>
          <w:rFonts w:ascii="Times New Roman" w:hAnsi="Times New Roman" w:cs="Times New Roman"/>
          <w:noProof/>
          <w:sz w:val="24"/>
          <w:szCs w:val="24"/>
          <w:lang w:val="en-US"/>
        </w:rPr>
        <w:t xml:space="preserve">427. </w:t>
      </w:r>
    </w:p>
    <w:p w14:paraId="6B19B618" w14:textId="453BA38F" w:rsidR="00AE6459" w:rsidRPr="00514B68" w:rsidRDefault="00AE6459" w:rsidP="00514B68">
      <w:pPr>
        <w:spacing w:after="0" w:line="360" w:lineRule="auto"/>
        <w:ind w:left="709" w:hanging="709"/>
        <w:jc w:val="both"/>
        <w:rPr>
          <w:rFonts w:ascii="Times New Roman" w:hAnsi="Times New Roman" w:cs="Times New Roman"/>
          <w:sz w:val="24"/>
          <w:szCs w:val="24"/>
          <w:lang w:val="en-US"/>
        </w:rPr>
      </w:pPr>
      <w:proofErr w:type="spellStart"/>
      <w:r w:rsidRPr="00514B68">
        <w:rPr>
          <w:rFonts w:ascii="Times New Roman" w:hAnsi="Times New Roman" w:cs="Times New Roman"/>
          <w:sz w:val="24"/>
          <w:szCs w:val="24"/>
          <w:lang w:val="en-US"/>
        </w:rPr>
        <w:t>Saldaña</w:t>
      </w:r>
      <w:proofErr w:type="spellEnd"/>
      <w:r w:rsidRPr="00514B68">
        <w:rPr>
          <w:rFonts w:ascii="Times New Roman" w:hAnsi="Times New Roman" w:cs="Times New Roman"/>
          <w:sz w:val="24"/>
          <w:szCs w:val="24"/>
          <w:lang w:val="en-US"/>
        </w:rPr>
        <w:t xml:space="preserve">, J. (2009). </w:t>
      </w:r>
      <w:r w:rsidRPr="00514B68">
        <w:rPr>
          <w:rFonts w:ascii="Times New Roman" w:hAnsi="Times New Roman" w:cs="Times New Roman"/>
          <w:i/>
          <w:sz w:val="24"/>
          <w:szCs w:val="24"/>
          <w:lang w:val="en-US"/>
        </w:rPr>
        <w:t>The Coding Manual for Qualitative Researchers</w:t>
      </w:r>
      <w:r w:rsidRPr="00514B68">
        <w:rPr>
          <w:rFonts w:ascii="Times New Roman" w:hAnsi="Times New Roman" w:cs="Times New Roman"/>
          <w:sz w:val="24"/>
          <w:szCs w:val="24"/>
          <w:lang w:val="en-US"/>
        </w:rPr>
        <w:t>. London</w:t>
      </w:r>
      <w:r w:rsidR="00F6363F">
        <w:rPr>
          <w:rFonts w:ascii="Times New Roman" w:hAnsi="Times New Roman" w:cs="Times New Roman"/>
          <w:sz w:val="24"/>
          <w:szCs w:val="24"/>
          <w:lang w:val="en-US"/>
        </w:rPr>
        <w:t>, England</w:t>
      </w:r>
      <w:r w:rsidRPr="00514B68">
        <w:rPr>
          <w:rFonts w:ascii="Times New Roman" w:hAnsi="Times New Roman" w:cs="Times New Roman"/>
          <w:sz w:val="24"/>
          <w:szCs w:val="24"/>
          <w:lang w:val="en-US"/>
        </w:rPr>
        <w:t>: SAGE.</w:t>
      </w:r>
    </w:p>
    <w:p w14:paraId="424CD961" w14:textId="5B6E9446" w:rsidR="00AE6459" w:rsidRPr="00E24F2C" w:rsidRDefault="00AE6459" w:rsidP="00514B68">
      <w:pPr>
        <w:spacing w:after="0" w:line="360" w:lineRule="auto"/>
        <w:ind w:left="709" w:hanging="709"/>
        <w:jc w:val="both"/>
        <w:rPr>
          <w:rFonts w:ascii="Times New Roman" w:hAnsi="Times New Roman" w:cs="Times New Roman"/>
          <w:sz w:val="24"/>
          <w:szCs w:val="24"/>
          <w:lang w:val="en-US"/>
        </w:rPr>
      </w:pPr>
      <w:proofErr w:type="spellStart"/>
      <w:r w:rsidRPr="00514B68">
        <w:rPr>
          <w:rFonts w:ascii="Times New Roman" w:hAnsi="Times New Roman" w:cs="Times New Roman"/>
          <w:sz w:val="24"/>
          <w:szCs w:val="24"/>
          <w:lang w:val="en-US"/>
        </w:rPr>
        <w:t>Sandelowski</w:t>
      </w:r>
      <w:proofErr w:type="spellEnd"/>
      <w:r w:rsidRPr="00514B68">
        <w:rPr>
          <w:rFonts w:ascii="Times New Roman" w:hAnsi="Times New Roman" w:cs="Times New Roman"/>
          <w:sz w:val="24"/>
          <w:szCs w:val="24"/>
          <w:lang w:val="en-US"/>
        </w:rPr>
        <w:t xml:space="preserve">, M., </w:t>
      </w:r>
      <w:proofErr w:type="spellStart"/>
      <w:r w:rsidRPr="00514B68">
        <w:rPr>
          <w:rFonts w:ascii="Times New Roman" w:hAnsi="Times New Roman" w:cs="Times New Roman"/>
          <w:sz w:val="24"/>
          <w:szCs w:val="24"/>
          <w:lang w:val="en-US"/>
        </w:rPr>
        <w:t>Voils</w:t>
      </w:r>
      <w:proofErr w:type="spellEnd"/>
      <w:r w:rsidRPr="00514B68">
        <w:rPr>
          <w:rFonts w:ascii="Times New Roman" w:hAnsi="Times New Roman" w:cs="Times New Roman"/>
          <w:sz w:val="24"/>
          <w:szCs w:val="24"/>
          <w:lang w:val="en-US"/>
        </w:rPr>
        <w:t>, C. I.</w:t>
      </w:r>
      <w:r w:rsidR="00F6363F">
        <w:rPr>
          <w:rFonts w:ascii="Times New Roman" w:hAnsi="Times New Roman" w:cs="Times New Roman"/>
          <w:sz w:val="24"/>
          <w:szCs w:val="24"/>
          <w:lang w:val="en-US"/>
        </w:rPr>
        <w:t xml:space="preserve"> and</w:t>
      </w:r>
      <w:r w:rsidRPr="00514B68">
        <w:rPr>
          <w:rFonts w:ascii="Times New Roman" w:hAnsi="Times New Roman" w:cs="Times New Roman"/>
          <w:sz w:val="24"/>
          <w:szCs w:val="24"/>
          <w:lang w:val="en-US"/>
        </w:rPr>
        <w:t xml:space="preserve"> </w:t>
      </w:r>
      <w:proofErr w:type="spellStart"/>
      <w:r w:rsidRPr="00514B68">
        <w:rPr>
          <w:rFonts w:ascii="Times New Roman" w:hAnsi="Times New Roman" w:cs="Times New Roman"/>
          <w:sz w:val="24"/>
          <w:szCs w:val="24"/>
          <w:lang w:val="en-US"/>
        </w:rPr>
        <w:t>Knafl</w:t>
      </w:r>
      <w:proofErr w:type="spellEnd"/>
      <w:r w:rsidRPr="00514B68">
        <w:rPr>
          <w:rFonts w:ascii="Times New Roman" w:hAnsi="Times New Roman" w:cs="Times New Roman"/>
          <w:sz w:val="24"/>
          <w:szCs w:val="24"/>
          <w:lang w:val="en-US"/>
        </w:rPr>
        <w:t xml:space="preserve">, G. (2009). On </w:t>
      </w:r>
      <w:proofErr w:type="spellStart"/>
      <w:r w:rsidRPr="00514B68">
        <w:rPr>
          <w:rFonts w:ascii="Times New Roman" w:hAnsi="Times New Roman" w:cs="Times New Roman"/>
          <w:sz w:val="24"/>
          <w:szCs w:val="24"/>
          <w:lang w:val="en-US"/>
        </w:rPr>
        <w:t>quantitizing</w:t>
      </w:r>
      <w:proofErr w:type="spellEnd"/>
      <w:r w:rsidRPr="00514B68">
        <w:rPr>
          <w:rFonts w:ascii="Times New Roman" w:hAnsi="Times New Roman" w:cs="Times New Roman"/>
          <w:sz w:val="24"/>
          <w:szCs w:val="24"/>
          <w:lang w:val="en-US"/>
        </w:rPr>
        <w:t xml:space="preserve">. </w:t>
      </w:r>
      <w:r w:rsidRPr="00E24F2C">
        <w:rPr>
          <w:rFonts w:ascii="Times New Roman" w:hAnsi="Times New Roman" w:cs="Times New Roman"/>
          <w:i/>
          <w:sz w:val="24"/>
          <w:szCs w:val="24"/>
          <w:lang w:val="en-US"/>
        </w:rPr>
        <w:t>Journal of Mixed Methods Research</w:t>
      </w:r>
      <w:r w:rsidRPr="00E24F2C">
        <w:rPr>
          <w:rFonts w:ascii="Times New Roman" w:hAnsi="Times New Roman" w:cs="Times New Roman"/>
          <w:sz w:val="24"/>
          <w:szCs w:val="24"/>
          <w:lang w:val="en-US"/>
        </w:rPr>
        <w:t xml:space="preserve">, </w:t>
      </w:r>
      <w:r w:rsidRPr="00E24F2C">
        <w:rPr>
          <w:rFonts w:ascii="Times New Roman" w:hAnsi="Times New Roman" w:cs="Times New Roman"/>
          <w:i/>
          <w:sz w:val="24"/>
          <w:szCs w:val="24"/>
          <w:lang w:val="en-US"/>
        </w:rPr>
        <w:t>3</w:t>
      </w:r>
      <w:r w:rsidRPr="00E24F2C">
        <w:rPr>
          <w:rFonts w:ascii="Times New Roman" w:hAnsi="Times New Roman" w:cs="Times New Roman"/>
          <w:sz w:val="24"/>
          <w:szCs w:val="24"/>
          <w:lang w:val="en-US"/>
        </w:rPr>
        <w:t>(3), 208</w:t>
      </w:r>
      <w:r w:rsidR="00F6363F" w:rsidRPr="00E24F2C">
        <w:rPr>
          <w:rFonts w:ascii="Times New Roman" w:hAnsi="Times New Roman" w:cs="Times New Roman"/>
          <w:sz w:val="24"/>
          <w:szCs w:val="24"/>
          <w:lang w:val="en-US"/>
        </w:rPr>
        <w:t>-</w:t>
      </w:r>
      <w:r w:rsidRPr="00E24F2C">
        <w:rPr>
          <w:rFonts w:ascii="Times New Roman" w:hAnsi="Times New Roman" w:cs="Times New Roman"/>
          <w:sz w:val="24"/>
          <w:szCs w:val="24"/>
          <w:lang w:val="en-US"/>
        </w:rPr>
        <w:t xml:space="preserve">222. </w:t>
      </w:r>
    </w:p>
    <w:p w14:paraId="368DC572" w14:textId="3C3292B2" w:rsidR="00AE6459" w:rsidRPr="00E24F2C" w:rsidRDefault="00AE6459" w:rsidP="00514B68">
      <w:pPr>
        <w:spacing w:after="0" w:line="360" w:lineRule="auto"/>
        <w:ind w:left="709" w:hanging="709"/>
        <w:jc w:val="both"/>
        <w:rPr>
          <w:rFonts w:ascii="Times New Roman" w:hAnsi="Times New Roman" w:cs="Times New Roman"/>
          <w:sz w:val="24"/>
          <w:szCs w:val="24"/>
        </w:rPr>
      </w:pPr>
      <w:r w:rsidRPr="00514B68">
        <w:rPr>
          <w:rFonts w:ascii="Times New Roman" w:hAnsi="Times New Roman" w:cs="Times New Roman"/>
          <w:sz w:val="24"/>
          <w:szCs w:val="24"/>
        </w:rPr>
        <w:t>Secretaría de Educación Pública</w:t>
      </w:r>
      <w:r w:rsidR="007E4F36" w:rsidRPr="00514B68">
        <w:rPr>
          <w:rFonts w:ascii="Times New Roman" w:hAnsi="Times New Roman" w:cs="Times New Roman"/>
          <w:sz w:val="24"/>
          <w:szCs w:val="24"/>
        </w:rPr>
        <w:t xml:space="preserve"> [Sep]</w:t>
      </w:r>
      <w:r w:rsidRPr="00514B68">
        <w:rPr>
          <w:rFonts w:ascii="Times New Roman" w:hAnsi="Times New Roman" w:cs="Times New Roman"/>
          <w:sz w:val="24"/>
          <w:szCs w:val="24"/>
        </w:rPr>
        <w:t xml:space="preserve">. (2007). Programa </w:t>
      </w:r>
      <w:r w:rsidR="0026409C" w:rsidRPr="00514B68">
        <w:rPr>
          <w:rFonts w:ascii="Times New Roman" w:hAnsi="Times New Roman" w:cs="Times New Roman"/>
          <w:sz w:val="24"/>
          <w:szCs w:val="24"/>
        </w:rPr>
        <w:t>s</w:t>
      </w:r>
      <w:r w:rsidRPr="00514B68">
        <w:rPr>
          <w:rFonts w:ascii="Times New Roman" w:hAnsi="Times New Roman" w:cs="Times New Roman"/>
          <w:sz w:val="24"/>
          <w:szCs w:val="24"/>
        </w:rPr>
        <w:t xml:space="preserve">ectorial de </w:t>
      </w:r>
      <w:r w:rsidR="0026409C" w:rsidRPr="00514B68">
        <w:rPr>
          <w:rFonts w:ascii="Times New Roman" w:hAnsi="Times New Roman" w:cs="Times New Roman"/>
          <w:sz w:val="24"/>
          <w:szCs w:val="24"/>
        </w:rPr>
        <w:t>e</w:t>
      </w:r>
      <w:r w:rsidRPr="00514B68">
        <w:rPr>
          <w:rFonts w:ascii="Times New Roman" w:hAnsi="Times New Roman" w:cs="Times New Roman"/>
          <w:sz w:val="24"/>
          <w:szCs w:val="24"/>
        </w:rPr>
        <w:t xml:space="preserve">ducación 2007-2012. </w:t>
      </w:r>
      <w:r w:rsidRPr="00E24F2C">
        <w:rPr>
          <w:rFonts w:ascii="Times New Roman" w:hAnsi="Times New Roman" w:cs="Times New Roman"/>
          <w:sz w:val="24"/>
          <w:szCs w:val="24"/>
        </w:rPr>
        <w:t>México</w:t>
      </w:r>
      <w:r w:rsidR="00F6363F" w:rsidRPr="00E24F2C">
        <w:rPr>
          <w:rFonts w:ascii="Times New Roman" w:hAnsi="Times New Roman" w:cs="Times New Roman"/>
          <w:sz w:val="24"/>
          <w:szCs w:val="24"/>
        </w:rPr>
        <w:t>:</w:t>
      </w:r>
      <w:r w:rsidR="00F6363F" w:rsidRPr="00F6363F">
        <w:rPr>
          <w:rFonts w:ascii="Times New Roman" w:hAnsi="Times New Roman" w:cs="Times New Roman"/>
          <w:sz w:val="24"/>
          <w:szCs w:val="24"/>
        </w:rPr>
        <w:t xml:space="preserve"> </w:t>
      </w:r>
      <w:r w:rsidR="00F6363F" w:rsidRPr="00B9542D">
        <w:rPr>
          <w:rFonts w:ascii="Times New Roman" w:hAnsi="Times New Roman" w:cs="Times New Roman"/>
          <w:sz w:val="24"/>
          <w:szCs w:val="24"/>
        </w:rPr>
        <w:t>Secretaría de Educación Pública</w:t>
      </w:r>
      <w:r w:rsidRPr="00E24F2C">
        <w:rPr>
          <w:rFonts w:ascii="Times New Roman" w:hAnsi="Times New Roman" w:cs="Times New Roman"/>
          <w:sz w:val="24"/>
          <w:szCs w:val="24"/>
        </w:rPr>
        <w:t>.</w:t>
      </w:r>
    </w:p>
    <w:p w14:paraId="60342916" w14:textId="397C041A" w:rsidR="00A43E1A" w:rsidRPr="00514B68" w:rsidRDefault="00AE6459" w:rsidP="00514B68">
      <w:pPr>
        <w:spacing w:after="0" w:line="360" w:lineRule="auto"/>
        <w:ind w:left="709" w:hanging="709"/>
        <w:jc w:val="both"/>
        <w:rPr>
          <w:rFonts w:ascii="Times New Roman" w:hAnsi="Times New Roman" w:cs="Times New Roman"/>
          <w:b/>
          <w:sz w:val="24"/>
          <w:szCs w:val="24"/>
          <w:lang w:val="en-US"/>
        </w:rPr>
      </w:pPr>
      <w:r w:rsidRPr="00514B68">
        <w:rPr>
          <w:rFonts w:ascii="Times New Roman" w:hAnsi="Times New Roman" w:cs="Times New Roman"/>
          <w:sz w:val="24"/>
          <w:szCs w:val="24"/>
          <w:lang w:val="en-US"/>
        </w:rPr>
        <w:t>Seymour, E.</w:t>
      </w:r>
      <w:r w:rsidR="00F6363F">
        <w:rPr>
          <w:rFonts w:ascii="Times New Roman" w:hAnsi="Times New Roman" w:cs="Times New Roman"/>
          <w:sz w:val="24"/>
          <w:szCs w:val="24"/>
          <w:lang w:val="en-US"/>
        </w:rPr>
        <w:t xml:space="preserve"> and</w:t>
      </w:r>
      <w:r w:rsidRPr="00514B68">
        <w:rPr>
          <w:rFonts w:ascii="Times New Roman" w:hAnsi="Times New Roman" w:cs="Times New Roman"/>
          <w:sz w:val="24"/>
          <w:szCs w:val="24"/>
          <w:lang w:val="en-US"/>
        </w:rPr>
        <w:t xml:space="preserve"> Hewitt, N. M. (1997). </w:t>
      </w:r>
      <w:r w:rsidRPr="00514B68">
        <w:rPr>
          <w:rFonts w:ascii="Times New Roman" w:hAnsi="Times New Roman" w:cs="Times New Roman"/>
          <w:i/>
          <w:sz w:val="24"/>
          <w:szCs w:val="24"/>
          <w:lang w:val="en-US"/>
        </w:rPr>
        <w:t xml:space="preserve">Talking </w:t>
      </w:r>
      <w:r w:rsidR="0026409C" w:rsidRPr="00514B68">
        <w:rPr>
          <w:rFonts w:ascii="Times New Roman" w:hAnsi="Times New Roman" w:cs="Times New Roman"/>
          <w:i/>
          <w:sz w:val="24"/>
          <w:szCs w:val="24"/>
          <w:lang w:val="en-US"/>
        </w:rPr>
        <w:t>a</w:t>
      </w:r>
      <w:r w:rsidRPr="00514B68">
        <w:rPr>
          <w:rFonts w:ascii="Times New Roman" w:hAnsi="Times New Roman" w:cs="Times New Roman"/>
          <w:i/>
          <w:sz w:val="24"/>
          <w:szCs w:val="24"/>
          <w:lang w:val="en-US"/>
        </w:rPr>
        <w:t>bout</w:t>
      </w:r>
      <w:r w:rsidR="0026409C" w:rsidRPr="00514B68">
        <w:rPr>
          <w:rFonts w:ascii="Times New Roman" w:hAnsi="Times New Roman" w:cs="Times New Roman"/>
          <w:i/>
          <w:sz w:val="24"/>
          <w:szCs w:val="24"/>
          <w:lang w:val="en-US"/>
        </w:rPr>
        <w:t xml:space="preserve"> l</w:t>
      </w:r>
      <w:r w:rsidRPr="00514B68">
        <w:rPr>
          <w:rFonts w:ascii="Times New Roman" w:hAnsi="Times New Roman" w:cs="Times New Roman"/>
          <w:i/>
          <w:sz w:val="24"/>
          <w:szCs w:val="24"/>
          <w:lang w:val="en-US"/>
        </w:rPr>
        <w:t xml:space="preserve">eaving: Why </w:t>
      </w:r>
      <w:r w:rsidR="0026409C" w:rsidRPr="00514B68">
        <w:rPr>
          <w:rFonts w:ascii="Times New Roman" w:hAnsi="Times New Roman" w:cs="Times New Roman"/>
          <w:i/>
          <w:sz w:val="24"/>
          <w:szCs w:val="24"/>
          <w:lang w:val="en-US"/>
        </w:rPr>
        <w:t>u</w:t>
      </w:r>
      <w:r w:rsidRPr="00514B68">
        <w:rPr>
          <w:rFonts w:ascii="Times New Roman" w:hAnsi="Times New Roman" w:cs="Times New Roman"/>
          <w:i/>
          <w:sz w:val="24"/>
          <w:szCs w:val="24"/>
          <w:lang w:val="en-US"/>
        </w:rPr>
        <w:t xml:space="preserve">ndergraduates </w:t>
      </w:r>
      <w:r w:rsidR="0026409C" w:rsidRPr="00514B68">
        <w:rPr>
          <w:rFonts w:ascii="Times New Roman" w:hAnsi="Times New Roman" w:cs="Times New Roman"/>
          <w:i/>
          <w:sz w:val="24"/>
          <w:szCs w:val="24"/>
          <w:lang w:val="en-US"/>
        </w:rPr>
        <w:t>l</w:t>
      </w:r>
      <w:r w:rsidRPr="00514B68">
        <w:rPr>
          <w:rFonts w:ascii="Times New Roman" w:hAnsi="Times New Roman" w:cs="Times New Roman"/>
          <w:i/>
          <w:sz w:val="24"/>
          <w:szCs w:val="24"/>
          <w:lang w:val="en-US"/>
        </w:rPr>
        <w:t xml:space="preserve">eave the </w:t>
      </w:r>
      <w:r w:rsidR="0026409C" w:rsidRPr="00514B68">
        <w:rPr>
          <w:rFonts w:ascii="Times New Roman" w:hAnsi="Times New Roman" w:cs="Times New Roman"/>
          <w:i/>
          <w:sz w:val="24"/>
          <w:szCs w:val="24"/>
          <w:lang w:val="en-US"/>
        </w:rPr>
        <w:t>s</w:t>
      </w:r>
      <w:r w:rsidRPr="00514B68">
        <w:rPr>
          <w:rFonts w:ascii="Times New Roman" w:hAnsi="Times New Roman" w:cs="Times New Roman"/>
          <w:i/>
          <w:sz w:val="24"/>
          <w:szCs w:val="24"/>
          <w:lang w:val="en-US"/>
        </w:rPr>
        <w:t>ciences</w:t>
      </w:r>
      <w:r w:rsidRPr="00514B68">
        <w:rPr>
          <w:rFonts w:ascii="Times New Roman" w:hAnsi="Times New Roman" w:cs="Times New Roman"/>
          <w:sz w:val="24"/>
          <w:szCs w:val="24"/>
          <w:lang w:val="en-US"/>
        </w:rPr>
        <w:t xml:space="preserve">. </w:t>
      </w:r>
      <w:r w:rsidR="000D5AFD">
        <w:rPr>
          <w:rFonts w:ascii="Times New Roman" w:hAnsi="Times New Roman" w:cs="Times New Roman"/>
          <w:sz w:val="24"/>
          <w:szCs w:val="24"/>
          <w:lang w:val="en-US"/>
        </w:rPr>
        <w:t>Colorado</w:t>
      </w:r>
      <w:r w:rsidRPr="00514B68">
        <w:rPr>
          <w:rFonts w:ascii="Times New Roman" w:hAnsi="Times New Roman" w:cs="Times New Roman"/>
          <w:sz w:val="24"/>
          <w:szCs w:val="24"/>
          <w:lang w:val="en-US"/>
        </w:rPr>
        <w:t xml:space="preserve">, </w:t>
      </w:r>
      <w:r w:rsidR="000D5AFD">
        <w:rPr>
          <w:rFonts w:ascii="Times New Roman" w:hAnsi="Times New Roman" w:cs="Times New Roman"/>
          <w:sz w:val="24"/>
          <w:szCs w:val="24"/>
          <w:lang w:val="en-US"/>
        </w:rPr>
        <w:t>United States</w:t>
      </w:r>
      <w:r w:rsidRPr="00514B68">
        <w:rPr>
          <w:rFonts w:ascii="Times New Roman" w:hAnsi="Times New Roman" w:cs="Times New Roman"/>
          <w:sz w:val="24"/>
          <w:szCs w:val="24"/>
          <w:lang w:val="en-US"/>
        </w:rPr>
        <w:t>: Westview Press.</w:t>
      </w:r>
    </w:p>
    <w:p w14:paraId="4C191EB0" w14:textId="7A2A6FC5" w:rsidR="00A43E1A" w:rsidRDefault="00A43E1A" w:rsidP="00514B68">
      <w:pPr>
        <w:spacing w:after="0" w:line="360" w:lineRule="auto"/>
        <w:jc w:val="both"/>
        <w:rPr>
          <w:rFonts w:ascii="Times New Roman" w:hAnsi="Times New Roman" w:cs="Times New Roman"/>
          <w:b/>
          <w:sz w:val="24"/>
          <w:szCs w:val="24"/>
          <w:lang w:val="en-US"/>
        </w:rPr>
      </w:pPr>
    </w:p>
    <w:p w14:paraId="490ECEE1" w14:textId="58236062" w:rsidR="00586E48" w:rsidRDefault="00586E48" w:rsidP="00514B68">
      <w:pPr>
        <w:spacing w:after="0" w:line="360" w:lineRule="auto"/>
        <w:jc w:val="both"/>
        <w:rPr>
          <w:rFonts w:ascii="Times New Roman" w:hAnsi="Times New Roman" w:cs="Times New Roman"/>
          <w:b/>
          <w:sz w:val="24"/>
          <w:szCs w:val="24"/>
          <w:lang w:val="en-US"/>
        </w:rPr>
      </w:pPr>
    </w:p>
    <w:p w14:paraId="603576DA" w14:textId="7E1D6E92" w:rsidR="00586E48" w:rsidRDefault="00586E48" w:rsidP="00514B68">
      <w:pPr>
        <w:spacing w:after="0" w:line="360" w:lineRule="auto"/>
        <w:jc w:val="both"/>
        <w:rPr>
          <w:rFonts w:ascii="Times New Roman" w:hAnsi="Times New Roman" w:cs="Times New Roman"/>
          <w:b/>
          <w:sz w:val="24"/>
          <w:szCs w:val="24"/>
          <w:lang w:val="en-US"/>
        </w:rPr>
      </w:pPr>
    </w:p>
    <w:p w14:paraId="4A27CE06" w14:textId="7417A719" w:rsidR="00586E48" w:rsidRDefault="00586E48" w:rsidP="00514B68">
      <w:pPr>
        <w:spacing w:after="0" w:line="360" w:lineRule="auto"/>
        <w:jc w:val="both"/>
        <w:rPr>
          <w:rFonts w:ascii="Times New Roman" w:hAnsi="Times New Roman" w:cs="Times New Roman"/>
          <w:b/>
          <w:sz w:val="24"/>
          <w:szCs w:val="24"/>
          <w:lang w:val="en-US"/>
        </w:rPr>
      </w:pPr>
    </w:p>
    <w:p w14:paraId="4A727200" w14:textId="238C5706" w:rsidR="00586E48" w:rsidRDefault="00586E48" w:rsidP="00514B68">
      <w:pPr>
        <w:spacing w:after="0" w:line="360" w:lineRule="auto"/>
        <w:jc w:val="both"/>
        <w:rPr>
          <w:rFonts w:ascii="Times New Roman" w:hAnsi="Times New Roman" w:cs="Times New Roman"/>
          <w:b/>
          <w:sz w:val="24"/>
          <w:szCs w:val="24"/>
          <w:lang w:val="en-US"/>
        </w:rPr>
      </w:pPr>
    </w:p>
    <w:p w14:paraId="59F33FAB" w14:textId="63DE6FB1" w:rsidR="00586E48" w:rsidRDefault="00586E48" w:rsidP="00514B68">
      <w:pPr>
        <w:spacing w:after="0" w:line="360" w:lineRule="auto"/>
        <w:jc w:val="both"/>
        <w:rPr>
          <w:rFonts w:ascii="Times New Roman" w:hAnsi="Times New Roman" w:cs="Times New Roman"/>
          <w:b/>
          <w:sz w:val="24"/>
          <w:szCs w:val="24"/>
          <w:lang w:val="en-US"/>
        </w:rPr>
      </w:pPr>
    </w:p>
    <w:p w14:paraId="676FBAB5" w14:textId="445A90B0" w:rsidR="00586E48" w:rsidRDefault="00586E48" w:rsidP="00514B68">
      <w:pPr>
        <w:spacing w:after="0" w:line="360" w:lineRule="auto"/>
        <w:jc w:val="both"/>
        <w:rPr>
          <w:rFonts w:ascii="Times New Roman" w:hAnsi="Times New Roman" w:cs="Times New Roman"/>
          <w:b/>
          <w:sz w:val="24"/>
          <w:szCs w:val="24"/>
          <w:lang w:val="en-US"/>
        </w:rPr>
      </w:pPr>
    </w:p>
    <w:p w14:paraId="616D8F18" w14:textId="43177FC8" w:rsidR="00586E48" w:rsidRDefault="00586E48" w:rsidP="00514B68">
      <w:pPr>
        <w:spacing w:after="0" w:line="360" w:lineRule="auto"/>
        <w:jc w:val="both"/>
        <w:rPr>
          <w:rFonts w:ascii="Times New Roman" w:hAnsi="Times New Roman" w:cs="Times New Roman"/>
          <w:b/>
          <w:sz w:val="24"/>
          <w:szCs w:val="24"/>
          <w:lang w:val="en-US"/>
        </w:rPr>
      </w:pPr>
    </w:p>
    <w:p w14:paraId="778E035B" w14:textId="1E23A2E3" w:rsidR="00586E48" w:rsidRDefault="00586E48" w:rsidP="00514B68">
      <w:pPr>
        <w:spacing w:after="0" w:line="360" w:lineRule="auto"/>
        <w:jc w:val="both"/>
        <w:rPr>
          <w:rFonts w:ascii="Times New Roman" w:hAnsi="Times New Roman" w:cs="Times New Roman"/>
          <w:b/>
          <w:sz w:val="24"/>
          <w:szCs w:val="24"/>
          <w:lang w:val="en-US"/>
        </w:rPr>
      </w:pPr>
    </w:p>
    <w:p w14:paraId="582C966F" w14:textId="41941477" w:rsidR="00586E48" w:rsidRDefault="00586E48" w:rsidP="00514B68">
      <w:pPr>
        <w:spacing w:after="0" w:line="360" w:lineRule="auto"/>
        <w:jc w:val="both"/>
        <w:rPr>
          <w:rFonts w:ascii="Times New Roman" w:hAnsi="Times New Roman" w:cs="Times New Roman"/>
          <w:b/>
          <w:sz w:val="24"/>
          <w:szCs w:val="24"/>
          <w:lang w:val="en-US"/>
        </w:rPr>
      </w:pPr>
    </w:p>
    <w:p w14:paraId="68E1E189" w14:textId="3C962979" w:rsidR="00586E48" w:rsidRDefault="00586E48" w:rsidP="00514B68">
      <w:pPr>
        <w:spacing w:after="0" w:line="360" w:lineRule="auto"/>
        <w:jc w:val="both"/>
        <w:rPr>
          <w:rFonts w:ascii="Times New Roman" w:hAnsi="Times New Roman" w:cs="Times New Roman"/>
          <w:b/>
          <w:sz w:val="24"/>
          <w:szCs w:val="24"/>
          <w:lang w:val="en-US"/>
        </w:rPr>
      </w:pPr>
    </w:p>
    <w:p w14:paraId="67C1E597" w14:textId="1491BB82" w:rsidR="00586E48" w:rsidRDefault="00586E48" w:rsidP="00514B68">
      <w:pPr>
        <w:spacing w:after="0" w:line="360" w:lineRule="auto"/>
        <w:jc w:val="both"/>
        <w:rPr>
          <w:rFonts w:ascii="Times New Roman" w:hAnsi="Times New Roman" w:cs="Times New Roman"/>
          <w:b/>
          <w:sz w:val="24"/>
          <w:szCs w:val="24"/>
          <w:lang w:val="en-US"/>
        </w:rPr>
      </w:pPr>
    </w:p>
    <w:p w14:paraId="35D3220D" w14:textId="7FCE0C8F" w:rsidR="00586E48" w:rsidRDefault="00586E48" w:rsidP="00514B68">
      <w:pPr>
        <w:spacing w:after="0" w:line="360" w:lineRule="auto"/>
        <w:jc w:val="both"/>
        <w:rPr>
          <w:rFonts w:ascii="Times New Roman" w:hAnsi="Times New Roman" w:cs="Times New Roman"/>
          <w:b/>
          <w:sz w:val="24"/>
          <w:szCs w:val="24"/>
          <w:lang w:val="en-US"/>
        </w:rPr>
      </w:pPr>
    </w:p>
    <w:p w14:paraId="1EC4C0DD" w14:textId="7D279BF3" w:rsidR="00586E48" w:rsidRDefault="00586E48" w:rsidP="00514B68">
      <w:pPr>
        <w:spacing w:after="0" w:line="360" w:lineRule="auto"/>
        <w:jc w:val="both"/>
        <w:rPr>
          <w:rFonts w:ascii="Times New Roman" w:hAnsi="Times New Roman" w:cs="Times New Roman"/>
          <w:b/>
          <w:sz w:val="24"/>
          <w:szCs w:val="24"/>
          <w:lang w:val="en-US"/>
        </w:rPr>
      </w:pPr>
    </w:p>
    <w:p w14:paraId="7396A5EC" w14:textId="75683742" w:rsidR="00586E48" w:rsidRDefault="00586E48" w:rsidP="00514B68">
      <w:pPr>
        <w:spacing w:after="0" w:line="360" w:lineRule="auto"/>
        <w:jc w:val="both"/>
        <w:rPr>
          <w:rFonts w:ascii="Times New Roman" w:hAnsi="Times New Roman" w:cs="Times New Roman"/>
          <w:b/>
          <w:sz w:val="24"/>
          <w:szCs w:val="24"/>
          <w:lang w:val="en-US"/>
        </w:rPr>
      </w:pPr>
    </w:p>
    <w:p w14:paraId="3A1CC7CD" w14:textId="7D29E1CE" w:rsidR="00586E48" w:rsidRDefault="00586E48" w:rsidP="00514B68">
      <w:pPr>
        <w:spacing w:after="0" w:line="360" w:lineRule="auto"/>
        <w:jc w:val="both"/>
        <w:rPr>
          <w:rFonts w:ascii="Times New Roman" w:hAnsi="Times New Roman" w:cs="Times New Roman"/>
          <w:b/>
          <w:sz w:val="24"/>
          <w:szCs w:val="24"/>
          <w:lang w:val="en-U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586E48" w:rsidRPr="00DC210D" w14:paraId="04A74557" w14:textId="77777777" w:rsidTr="006D3EF6">
        <w:tc>
          <w:tcPr>
            <w:tcW w:w="3045" w:type="dxa"/>
            <w:shd w:val="clear" w:color="auto" w:fill="auto"/>
            <w:tcMar>
              <w:top w:w="100" w:type="dxa"/>
              <w:left w:w="100" w:type="dxa"/>
              <w:bottom w:w="100" w:type="dxa"/>
              <w:right w:w="100" w:type="dxa"/>
            </w:tcMar>
          </w:tcPr>
          <w:p w14:paraId="7A9412BA" w14:textId="77777777" w:rsidR="00586E48" w:rsidRPr="0048642A" w:rsidRDefault="00586E48" w:rsidP="006D3EF6">
            <w:pPr>
              <w:pStyle w:val="Ttulo3"/>
              <w:widowControl w:val="0"/>
              <w:spacing w:before="0" w:line="240" w:lineRule="auto"/>
              <w:ind w:left="0"/>
              <w:rPr>
                <w:sz w:val="20"/>
                <w:szCs w:val="20"/>
                <w:lang w:val="es-MX"/>
              </w:rPr>
            </w:pPr>
            <w:r>
              <w:rPr>
                <w:sz w:val="20"/>
                <w:szCs w:val="20"/>
                <w:lang w:val="es-MX"/>
              </w:rPr>
              <w:lastRenderedPageBreak/>
              <w:t>Rol de Contribución</w:t>
            </w:r>
          </w:p>
        </w:tc>
        <w:tc>
          <w:tcPr>
            <w:tcW w:w="6315" w:type="dxa"/>
            <w:shd w:val="clear" w:color="auto" w:fill="auto"/>
            <w:tcMar>
              <w:top w:w="100" w:type="dxa"/>
              <w:left w:w="100" w:type="dxa"/>
              <w:bottom w:w="100" w:type="dxa"/>
              <w:right w:w="100" w:type="dxa"/>
            </w:tcMar>
          </w:tcPr>
          <w:p w14:paraId="1D9F55B2" w14:textId="7C557C5B" w:rsidR="00586E48" w:rsidRPr="0048642A" w:rsidRDefault="00586E48" w:rsidP="006D3EF6">
            <w:pPr>
              <w:pStyle w:val="Ttulo3"/>
              <w:widowControl w:val="0"/>
              <w:spacing w:before="0" w:line="240" w:lineRule="auto"/>
              <w:ind w:left="0"/>
              <w:rPr>
                <w:sz w:val="20"/>
                <w:szCs w:val="20"/>
                <w:lang w:val="es-MX"/>
              </w:rPr>
            </w:pPr>
            <w:bookmarkStart w:id="6" w:name="_btsjgdfgjwkr" w:colFirst="0" w:colLast="0"/>
            <w:bookmarkEnd w:id="6"/>
            <w:r>
              <w:rPr>
                <w:sz w:val="20"/>
                <w:szCs w:val="20"/>
                <w:lang w:val="es-MX"/>
              </w:rPr>
              <w:t>Autor (es)</w:t>
            </w:r>
          </w:p>
        </w:tc>
      </w:tr>
      <w:tr w:rsidR="00586E48" w:rsidRPr="00DC210D" w14:paraId="31B32CA9" w14:textId="77777777" w:rsidTr="006D3EF6">
        <w:tc>
          <w:tcPr>
            <w:tcW w:w="3045" w:type="dxa"/>
            <w:shd w:val="clear" w:color="auto" w:fill="auto"/>
            <w:tcMar>
              <w:top w:w="100" w:type="dxa"/>
              <w:left w:w="100" w:type="dxa"/>
              <w:bottom w:w="100" w:type="dxa"/>
              <w:right w:w="100" w:type="dxa"/>
            </w:tcMar>
          </w:tcPr>
          <w:p w14:paraId="201BCC83" w14:textId="77777777" w:rsidR="00586E48" w:rsidRPr="0048642A" w:rsidRDefault="00586E48" w:rsidP="006D3EF6">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65817004" w14:textId="778B906F" w:rsidR="00586E48" w:rsidRPr="0048642A" w:rsidRDefault="00586E48" w:rsidP="006D3EF6">
            <w:pPr>
              <w:widowControl w:val="0"/>
              <w:spacing w:line="240" w:lineRule="auto"/>
              <w:rPr>
                <w:sz w:val="18"/>
                <w:szCs w:val="18"/>
              </w:rPr>
            </w:pPr>
            <w:r w:rsidRPr="00DC210D">
              <w:rPr>
                <w:b/>
                <w:sz w:val="18"/>
                <w:szCs w:val="18"/>
              </w:rPr>
              <w:t>Gustavo Morán Soto</w:t>
            </w:r>
          </w:p>
        </w:tc>
      </w:tr>
      <w:tr w:rsidR="00586E48" w:rsidRPr="00DC210D" w14:paraId="7953AD68" w14:textId="77777777" w:rsidTr="006D3EF6">
        <w:tc>
          <w:tcPr>
            <w:tcW w:w="3045" w:type="dxa"/>
            <w:shd w:val="clear" w:color="auto" w:fill="auto"/>
            <w:tcMar>
              <w:top w:w="100" w:type="dxa"/>
              <w:left w:w="100" w:type="dxa"/>
              <w:bottom w:w="100" w:type="dxa"/>
              <w:right w:w="100" w:type="dxa"/>
            </w:tcMar>
          </w:tcPr>
          <w:p w14:paraId="41C515C1" w14:textId="77777777" w:rsidR="00586E48" w:rsidRPr="0048642A" w:rsidRDefault="00586E48" w:rsidP="006D3EF6">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40E05618" w14:textId="4030DEBF" w:rsidR="00586E48" w:rsidRPr="0048642A" w:rsidRDefault="00586E48" w:rsidP="006D3EF6">
            <w:pPr>
              <w:widowControl w:val="0"/>
              <w:spacing w:line="240" w:lineRule="auto"/>
              <w:rPr>
                <w:sz w:val="18"/>
                <w:szCs w:val="18"/>
              </w:rPr>
            </w:pPr>
            <w:r w:rsidRPr="00DC210D">
              <w:rPr>
                <w:b/>
                <w:sz w:val="18"/>
                <w:szCs w:val="18"/>
              </w:rPr>
              <w:t>Gustavo Morán Soto y Lisa Benson – Igual</w:t>
            </w:r>
            <w:r>
              <w:rPr>
                <w:sz w:val="18"/>
                <w:szCs w:val="18"/>
              </w:rPr>
              <w:t xml:space="preserve"> </w:t>
            </w:r>
          </w:p>
        </w:tc>
      </w:tr>
      <w:tr w:rsidR="00586E48" w:rsidRPr="00DC210D" w14:paraId="46173DE0" w14:textId="77777777" w:rsidTr="006D3EF6">
        <w:tc>
          <w:tcPr>
            <w:tcW w:w="3045" w:type="dxa"/>
            <w:shd w:val="clear" w:color="auto" w:fill="auto"/>
            <w:tcMar>
              <w:top w:w="100" w:type="dxa"/>
              <w:left w:w="100" w:type="dxa"/>
              <w:bottom w:w="100" w:type="dxa"/>
              <w:right w:w="100" w:type="dxa"/>
            </w:tcMar>
          </w:tcPr>
          <w:p w14:paraId="1A30750E" w14:textId="77777777" w:rsidR="00586E48" w:rsidRPr="0048642A" w:rsidRDefault="00586E48" w:rsidP="006D3EF6">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500760BE" w14:textId="2DDE18EF" w:rsidR="00586E48" w:rsidRPr="0048642A" w:rsidRDefault="00586E48" w:rsidP="006D3EF6">
            <w:pPr>
              <w:widowControl w:val="0"/>
              <w:spacing w:line="240" w:lineRule="auto"/>
              <w:rPr>
                <w:sz w:val="18"/>
                <w:szCs w:val="18"/>
              </w:rPr>
            </w:pPr>
            <w:r w:rsidRPr="00DC210D">
              <w:rPr>
                <w:b/>
                <w:sz w:val="18"/>
                <w:szCs w:val="18"/>
              </w:rPr>
              <w:t>Gustavo Morán Soto</w:t>
            </w:r>
          </w:p>
        </w:tc>
      </w:tr>
      <w:tr w:rsidR="00586E48" w:rsidRPr="00DC210D" w14:paraId="0156EFBA" w14:textId="77777777" w:rsidTr="006D3EF6">
        <w:tc>
          <w:tcPr>
            <w:tcW w:w="3045" w:type="dxa"/>
            <w:shd w:val="clear" w:color="auto" w:fill="auto"/>
            <w:tcMar>
              <w:top w:w="100" w:type="dxa"/>
              <w:left w:w="100" w:type="dxa"/>
              <w:bottom w:w="100" w:type="dxa"/>
              <w:right w:w="100" w:type="dxa"/>
            </w:tcMar>
          </w:tcPr>
          <w:p w14:paraId="04ADA6F3" w14:textId="77777777" w:rsidR="00586E48" w:rsidRPr="0048642A" w:rsidRDefault="00586E48" w:rsidP="006D3EF6">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14EA7353" w14:textId="3C6F509B" w:rsidR="00586E48" w:rsidRPr="0048642A" w:rsidRDefault="00586E48" w:rsidP="006D3EF6">
            <w:pPr>
              <w:widowControl w:val="0"/>
              <w:spacing w:line="240" w:lineRule="auto"/>
              <w:rPr>
                <w:sz w:val="18"/>
                <w:szCs w:val="18"/>
              </w:rPr>
            </w:pPr>
            <w:r w:rsidRPr="00DC210D">
              <w:rPr>
                <w:b/>
                <w:sz w:val="18"/>
                <w:szCs w:val="18"/>
              </w:rPr>
              <w:t>Gustavo Morán Soto y Lisa Benson – Igual</w:t>
            </w:r>
            <w:r>
              <w:rPr>
                <w:sz w:val="18"/>
                <w:szCs w:val="18"/>
              </w:rPr>
              <w:t xml:space="preserve"> </w:t>
            </w:r>
          </w:p>
        </w:tc>
      </w:tr>
      <w:tr w:rsidR="00586E48" w:rsidRPr="00DC210D" w14:paraId="1325F226" w14:textId="77777777" w:rsidTr="006D3EF6">
        <w:tc>
          <w:tcPr>
            <w:tcW w:w="3045" w:type="dxa"/>
            <w:shd w:val="clear" w:color="auto" w:fill="auto"/>
            <w:tcMar>
              <w:top w:w="100" w:type="dxa"/>
              <w:left w:w="100" w:type="dxa"/>
              <w:bottom w:w="100" w:type="dxa"/>
              <w:right w:w="100" w:type="dxa"/>
            </w:tcMar>
          </w:tcPr>
          <w:p w14:paraId="7F376B5D" w14:textId="77777777" w:rsidR="00586E48" w:rsidRPr="0048642A" w:rsidRDefault="00586E48" w:rsidP="006D3EF6">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0C1EC2DB" w14:textId="1574249A" w:rsidR="00586E48" w:rsidRPr="0048642A" w:rsidRDefault="00586E48" w:rsidP="006D3EF6">
            <w:pPr>
              <w:widowControl w:val="0"/>
              <w:spacing w:line="240" w:lineRule="auto"/>
              <w:rPr>
                <w:sz w:val="18"/>
                <w:szCs w:val="18"/>
              </w:rPr>
            </w:pPr>
            <w:r w:rsidRPr="00DC210D">
              <w:rPr>
                <w:b/>
                <w:sz w:val="18"/>
                <w:szCs w:val="18"/>
              </w:rPr>
              <w:t>Gustavo Morán Soto</w:t>
            </w:r>
          </w:p>
        </w:tc>
      </w:tr>
      <w:tr w:rsidR="00586E48" w:rsidRPr="00DC210D" w14:paraId="4E4F5BE6" w14:textId="77777777" w:rsidTr="006D3EF6">
        <w:tc>
          <w:tcPr>
            <w:tcW w:w="3045" w:type="dxa"/>
            <w:shd w:val="clear" w:color="auto" w:fill="auto"/>
            <w:tcMar>
              <w:top w:w="100" w:type="dxa"/>
              <w:left w:w="100" w:type="dxa"/>
              <w:bottom w:w="100" w:type="dxa"/>
              <w:right w:w="100" w:type="dxa"/>
            </w:tcMar>
          </w:tcPr>
          <w:p w14:paraId="31C76430" w14:textId="77777777" w:rsidR="00586E48" w:rsidRPr="0048642A" w:rsidRDefault="00586E48" w:rsidP="006D3EF6">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495B4ABF" w14:textId="23ACD6B4" w:rsidR="00586E48" w:rsidRPr="0048642A" w:rsidRDefault="00586E48" w:rsidP="006D3EF6">
            <w:pPr>
              <w:widowControl w:val="0"/>
              <w:spacing w:line="240" w:lineRule="auto"/>
              <w:rPr>
                <w:sz w:val="18"/>
                <w:szCs w:val="18"/>
              </w:rPr>
            </w:pPr>
            <w:r w:rsidRPr="00DC210D">
              <w:rPr>
                <w:b/>
                <w:sz w:val="18"/>
                <w:szCs w:val="18"/>
              </w:rPr>
              <w:t>Gustavo Morán Soto y Lisa Benson – Igual</w:t>
            </w:r>
          </w:p>
        </w:tc>
      </w:tr>
      <w:tr w:rsidR="00586E48" w:rsidRPr="00DC210D" w14:paraId="637C258E" w14:textId="77777777" w:rsidTr="006D3EF6">
        <w:tc>
          <w:tcPr>
            <w:tcW w:w="3045" w:type="dxa"/>
            <w:shd w:val="clear" w:color="auto" w:fill="auto"/>
            <w:tcMar>
              <w:top w:w="100" w:type="dxa"/>
              <w:left w:w="100" w:type="dxa"/>
              <w:bottom w:w="100" w:type="dxa"/>
              <w:right w:w="100" w:type="dxa"/>
            </w:tcMar>
          </w:tcPr>
          <w:p w14:paraId="55857094" w14:textId="77777777" w:rsidR="00586E48" w:rsidRPr="0048642A" w:rsidRDefault="00586E48" w:rsidP="006D3EF6">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7B3CB86D" w14:textId="38B5780E" w:rsidR="00586E48" w:rsidRPr="0048642A" w:rsidRDefault="00586E48" w:rsidP="006D3EF6">
            <w:pPr>
              <w:widowControl w:val="0"/>
              <w:spacing w:line="240" w:lineRule="auto"/>
              <w:rPr>
                <w:sz w:val="18"/>
                <w:szCs w:val="18"/>
              </w:rPr>
            </w:pPr>
            <w:r w:rsidRPr="00DC210D">
              <w:rPr>
                <w:b/>
                <w:sz w:val="18"/>
                <w:szCs w:val="18"/>
              </w:rPr>
              <w:t>Lisa Benson</w:t>
            </w:r>
          </w:p>
        </w:tc>
      </w:tr>
      <w:tr w:rsidR="00586E48" w:rsidRPr="00DC210D" w14:paraId="2AD53C31" w14:textId="77777777" w:rsidTr="006D3EF6">
        <w:tc>
          <w:tcPr>
            <w:tcW w:w="3045" w:type="dxa"/>
            <w:shd w:val="clear" w:color="auto" w:fill="auto"/>
            <w:tcMar>
              <w:top w:w="100" w:type="dxa"/>
              <w:left w:w="100" w:type="dxa"/>
              <w:bottom w:w="100" w:type="dxa"/>
              <w:right w:w="100" w:type="dxa"/>
            </w:tcMar>
          </w:tcPr>
          <w:p w14:paraId="2CB9B172" w14:textId="77777777" w:rsidR="00586E48" w:rsidRPr="0048642A" w:rsidRDefault="00586E48" w:rsidP="006D3EF6">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6AD93BBA" w14:textId="6EA6E59F" w:rsidR="00586E48" w:rsidRPr="0048642A" w:rsidRDefault="00586E48" w:rsidP="006D3EF6">
            <w:pPr>
              <w:widowControl w:val="0"/>
              <w:spacing w:line="240" w:lineRule="auto"/>
              <w:rPr>
                <w:sz w:val="18"/>
                <w:szCs w:val="18"/>
              </w:rPr>
            </w:pPr>
            <w:r w:rsidRPr="00DC210D">
              <w:rPr>
                <w:b/>
                <w:sz w:val="18"/>
                <w:szCs w:val="18"/>
              </w:rPr>
              <w:t>Gustavo Morán Soto</w:t>
            </w:r>
          </w:p>
        </w:tc>
      </w:tr>
      <w:tr w:rsidR="00586E48" w:rsidRPr="00DC210D" w14:paraId="436D2D12" w14:textId="77777777" w:rsidTr="006D3EF6">
        <w:tc>
          <w:tcPr>
            <w:tcW w:w="3045" w:type="dxa"/>
            <w:shd w:val="clear" w:color="auto" w:fill="auto"/>
            <w:tcMar>
              <w:top w:w="100" w:type="dxa"/>
              <w:left w:w="100" w:type="dxa"/>
              <w:bottom w:w="100" w:type="dxa"/>
              <w:right w:w="100" w:type="dxa"/>
            </w:tcMar>
          </w:tcPr>
          <w:p w14:paraId="5172F3C0" w14:textId="77777777" w:rsidR="00586E48" w:rsidRPr="0048642A" w:rsidRDefault="00586E48" w:rsidP="006D3EF6">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41FDDF52" w14:textId="13C3F0E3" w:rsidR="00586E48" w:rsidRPr="0048642A" w:rsidRDefault="00586E48" w:rsidP="006D3EF6">
            <w:pPr>
              <w:widowControl w:val="0"/>
              <w:spacing w:line="240" w:lineRule="auto"/>
              <w:rPr>
                <w:sz w:val="18"/>
                <w:szCs w:val="18"/>
              </w:rPr>
            </w:pPr>
            <w:r w:rsidRPr="00DC210D">
              <w:rPr>
                <w:b/>
                <w:sz w:val="18"/>
                <w:szCs w:val="18"/>
              </w:rPr>
              <w:t>Gustavo Morán Soto</w:t>
            </w:r>
          </w:p>
        </w:tc>
      </w:tr>
      <w:tr w:rsidR="00586E48" w:rsidRPr="00DC210D" w14:paraId="6BD2B62E" w14:textId="77777777" w:rsidTr="006D3EF6">
        <w:tc>
          <w:tcPr>
            <w:tcW w:w="3045" w:type="dxa"/>
            <w:shd w:val="clear" w:color="auto" w:fill="auto"/>
            <w:tcMar>
              <w:top w:w="100" w:type="dxa"/>
              <w:left w:w="100" w:type="dxa"/>
              <w:bottom w:w="100" w:type="dxa"/>
              <w:right w:w="100" w:type="dxa"/>
            </w:tcMar>
          </w:tcPr>
          <w:p w14:paraId="4E66F50A" w14:textId="77777777" w:rsidR="00586E48" w:rsidRPr="0048642A" w:rsidRDefault="00586E48" w:rsidP="006D3EF6">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5ED350E1" w14:textId="5EFCEC23" w:rsidR="00586E48" w:rsidRPr="0048642A" w:rsidRDefault="00586E48" w:rsidP="006D3EF6">
            <w:pPr>
              <w:widowControl w:val="0"/>
              <w:spacing w:line="240" w:lineRule="auto"/>
              <w:rPr>
                <w:sz w:val="18"/>
                <w:szCs w:val="18"/>
              </w:rPr>
            </w:pPr>
            <w:r w:rsidRPr="00DC210D">
              <w:rPr>
                <w:b/>
                <w:sz w:val="18"/>
                <w:szCs w:val="18"/>
              </w:rPr>
              <w:t>Gustavo Morán Soto y Lisa Benson – Igual</w:t>
            </w:r>
          </w:p>
        </w:tc>
      </w:tr>
      <w:tr w:rsidR="00586E48" w:rsidRPr="00DC210D" w14:paraId="277F0B20" w14:textId="77777777" w:rsidTr="006D3EF6">
        <w:tc>
          <w:tcPr>
            <w:tcW w:w="3045" w:type="dxa"/>
            <w:shd w:val="clear" w:color="auto" w:fill="auto"/>
            <w:tcMar>
              <w:top w:w="100" w:type="dxa"/>
              <w:left w:w="100" w:type="dxa"/>
              <w:bottom w:w="100" w:type="dxa"/>
              <w:right w:w="100" w:type="dxa"/>
            </w:tcMar>
          </w:tcPr>
          <w:p w14:paraId="0DA3F8E0" w14:textId="77777777" w:rsidR="00586E48" w:rsidRPr="0048642A" w:rsidRDefault="00586E48" w:rsidP="006D3EF6">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668F6E15" w14:textId="27FBD2FB" w:rsidR="00586E48" w:rsidRPr="0048642A" w:rsidRDefault="00586E48" w:rsidP="006D3EF6">
            <w:pPr>
              <w:widowControl w:val="0"/>
              <w:spacing w:line="240" w:lineRule="auto"/>
              <w:rPr>
                <w:sz w:val="18"/>
                <w:szCs w:val="18"/>
              </w:rPr>
            </w:pPr>
            <w:r w:rsidRPr="00DC210D">
              <w:rPr>
                <w:b/>
                <w:sz w:val="18"/>
                <w:szCs w:val="18"/>
              </w:rPr>
              <w:t>Gustavo Morán Soto</w:t>
            </w:r>
          </w:p>
        </w:tc>
      </w:tr>
      <w:tr w:rsidR="00586E48" w:rsidRPr="00DC210D" w14:paraId="767C518A" w14:textId="77777777" w:rsidTr="006D3EF6">
        <w:tc>
          <w:tcPr>
            <w:tcW w:w="3045" w:type="dxa"/>
            <w:shd w:val="clear" w:color="auto" w:fill="auto"/>
            <w:tcMar>
              <w:top w:w="100" w:type="dxa"/>
              <w:left w:w="100" w:type="dxa"/>
              <w:bottom w:w="100" w:type="dxa"/>
              <w:right w:w="100" w:type="dxa"/>
            </w:tcMar>
          </w:tcPr>
          <w:p w14:paraId="4FDA88E4" w14:textId="77777777" w:rsidR="00586E48" w:rsidRPr="0048642A" w:rsidRDefault="00586E48" w:rsidP="006D3EF6">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0DC26A7F" w14:textId="02D9BFFA" w:rsidR="00586E48" w:rsidRPr="0048642A" w:rsidRDefault="00586E48" w:rsidP="006D3EF6">
            <w:pPr>
              <w:widowControl w:val="0"/>
              <w:spacing w:line="240" w:lineRule="auto"/>
              <w:rPr>
                <w:sz w:val="18"/>
                <w:szCs w:val="18"/>
              </w:rPr>
            </w:pPr>
            <w:r w:rsidRPr="00DC210D">
              <w:rPr>
                <w:b/>
                <w:sz w:val="18"/>
                <w:szCs w:val="18"/>
              </w:rPr>
              <w:t>Lisa Benson</w:t>
            </w:r>
          </w:p>
        </w:tc>
      </w:tr>
      <w:tr w:rsidR="00586E48" w:rsidRPr="00DC210D" w14:paraId="486F6D9A" w14:textId="77777777" w:rsidTr="006D3EF6">
        <w:tc>
          <w:tcPr>
            <w:tcW w:w="3045" w:type="dxa"/>
            <w:shd w:val="clear" w:color="auto" w:fill="auto"/>
            <w:tcMar>
              <w:top w:w="100" w:type="dxa"/>
              <w:left w:w="100" w:type="dxa"/>
              <w:bottom w:w="100" w:type="dxa"/>
              <w:right w:w="100" w:type="dxa"/>
            </w:tcMar>
          </w:tcPr>
          <w:p w14:paraId="1A511F4F" w14:textId="77777777" w:rsidR="00586E48" w:rsidRPr="0048642A" w:rsidRDefault="00586E48" w:rsidP="006D3EF6">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352ADD10" w14:textId="76A696A9" w:rsidR="00586E48" w:rsidRPr="0048642A" w:rsidRDefault="00586E48" w:rsidP="006D3EF6">
            <w:pPr>
              <w:widowControl w:val="0"/>
              <w:spacing w:line="240" w:lineRule="auto"/>
              <w:rPr>
                <w:sz w:val="18"/>
                <w:szCs w:val="18"/>
              </w:rPr>
            </w:pPr>
            <w:r w:rsidRPr="00DC210D">
              <w:rPr>
                <w:b/>
                <w:sz w:val="18"/>
                <w:szCs w:val="18"/>
              </w:rPr>
              <w:t>Lisa Benson</w:t>
            </w:r>
          </w:p>
        </w:tc>
      </w:tr>
      <w:tr w:rsidR="00586E48" w:rsidRPr="00DC210D" w14:paraId="322545AA" w14:textId="77777777" w:rsidTr="006D3EF6">
        <w:tc>
          <w:tcPr>
            <w:tcW w:w="3045" w:type="dxa"/>
            <w:shd w:val="clear" w:color="auto" w:fill="auto"/>
            <w:tcMar>
              <w:top w:w="100" w:type="dxa"/>
              <w:left w:w="100" w:type="dxa"/>
              <w:bottom w:w="100" w:type="dxa"/>
              <w:right w:w="100" w:type="dxa"/>
            </w:tcMar>
          </w:tcPr>
          <w:p w14:paraId="75CC8F06" w14:textId="77777777" w:rsidR="00586E48" w:rsidRPr="0048642A" w:rsidRDefault="00586E48" w:rsidP="006D3EF6">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4397D077" w14:textId="6FEEBE1D" w:rsidR="00586E48" w:rsidRPr="0048642A" w:rsidRDefault="00586E48" w:rsidP="006D3EF6">
            <w:pPr>
              <w:widowControl w:val="0"/>
              <w:spacing w:line="240" w:lineRule="auto"/>
              <w:rPr>
                <w:sz w:val="18"/>
                <w:szCs w:val="18"/>
              </w:rPr>
            </w:pPr>
            <w:r w:rsidRPr="00DC210D">
              <w:rPr>
                <w:b/>
                <w:sz w:val="18"/>
                <w:szCs w:val="18"/>
              </w:rPr>
              <w:t>Gustavo Morán Soto</w:t>
            </w:r>
          </w:p>
        </w:tc>
      </w:tr>
    </w:tbl>
    <w:p w14:paraId="186A7C10" w14:textId="77777777" w:rsidR="00586E48" w:rsidRPr="00514B68" w:rsidRDefault="00586E48" w:rsidP="00514B68">
      <w:pPr>
        <w:spacing w:after="0" w:line="360" w:lineRule="auto"/>
        <w:jc w:val="both"/>
        <w:rPr>
          <w:rFonts w:ascii="Times New Roman" w:hAnsi="Times New Roman" w:cs="Times New Roman"/>
          <w:b/>
          <w:sz w:val="24"/>
          <w:szCs w:val="24"/>
          <w:lang w:val="en-US"/>
        </w:rPr>
      </w:pPr>
    </w:p>
    <w:sectPr w:rsidR="00586E48" w:rsidRPr="00514B68" w:rsidSect="00737371">
      <w:headerReference w:type="default" r:id="rId9"/>
      <w:footerReference w:type="default" r:id="rId10"/>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3481F" w14:textId="77777777" w:rsidR="00A336A1" w:rsidRDefault="00A336A1" w:rsidP="001E39AA">
      <w:pPr>
        <w:spacing w:after="0" w:line="240" w:lineRule="auto"/>
      </w:pPr>
      <w:r>
        <w:separator/>
      </w:r>
    </w:p>
  </w:endnote>
  <w:endnote w:type="continuationSeparator" w:id="0">
    <w:p w14:paraId="267A3364" w14:textId="77777777" w:rsidR="00A336A1" w:rsidRDefault="00A336A1" w:rsidP="001E3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74099" w14:textId="5243BE57" w:rsidR="00674F69" w:rsidRDefault="00674F69" w:rsidP="00737371">
    <w:pPr>
      <w:pStyle w:val="Piedepgina"/>
      <w:jc w:val="center"/>
    </w:pPr>
    <w:r w:rsidRPr="00851D08">
      <w:rPr>
        <w:rFonts w:cstheme="minorHAnsi"/>
        <w:b/>
      </w:rPr>
      <w:t>Vol. 9, Núm. 18                   Enero - Junio 2019                       DOI:</w:t>
    </w:r>
    <w:r w:rsidR="00796345">
      <w:rPr>
        <w:rFonts w:cstheme="minorHAnsi"/>
        <w:b/>
      </w:rPr>
      <w:t xml:space="preserve"> </w:t>
    </w:r>
    <w:hyperlink r:id="rId1" w:history="1">
      <w:r w:rsidR="00796345" w:rsidRPr="00796345">
        <w:rPr>
          <w:rFonts w:cstheme="minorHAnsi"/>
          <w:b/>
        </w:rPr>
        <w:t>10.23913/</w:t>
      </w:r>
      <w:proofErr w:type="gramStart"/>
      <w:r w:rsidR="00796345" w:rsidRPr="00796345">
        <w:rPr>
          <w:rFonts w:cstheme="minorHAnsi"/>
          <w:b/>
        </w:rPr>
        <w:t>ride.v</w:t>
      </w:r>
      <w:proofErr w:type="gramEnd"/>
      <w:r w:rsidR="00796345" w:rsidRPr="00796345">
        <w:rPr>
          <w:rFonts w:cstheme="minorHAnsi"/>
          <w:b/>
        </w:rPr>
        <w:t>9i18.440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371E2" w14:textId="77777777" w:rsidR="00A336A1" w:rsidRDefault="00A336A1" w:rsidP="001E39AA">
      <w:pPr>
        <w:spacing w:after="0" w:line="240" w:lineRule="auto"/>
      </w:pPr>
      <w:r>
        <w:separator/>
      </w:r>
    </w:p>
  </w:footnote>
  <w:footnote w:type="continuationSeparator" w:id="0">
    <w:p w14:paraId="72A3D087" w14:textId="77777777" w:rsidR="00A336A1" w:rsidRDefault="00A336A1" w:rsidP="001E3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0A1F3" w14:textId="4088C0EE" w:rsidR="00674F69" w:rsidRDefault="00674F69" w:rsidP="00737371">
    <w:pPr>
      <w:pStyle w:val="Encabezado"/>
      <w:jc w:val="center"/>
    </w:pPr>
    <w:r w:rsidRPr="005A563C">
      <w:rPr>
        <w:noProof/>
      </w:rPr>
      <w:drawing>
        <wp:inline distT="0" distB="0" distL="0" distR="0" wp14:anchorId="595E3011" wp14:editId="0D66F291">
          <wp:extent cx="5257800" cy="66738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8" cy="6681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8F643F"/>
    <w:multiLevelType w:val="hybridMultilevel"/>
    <w:tmpl w:val="3D728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982"/>
    <w:rsid w:val="00001A86"/>
    <w:rsid w:val="00001AE6"/>
    <w:rsid w:val="00004614"/>
    <w:rsid w:val="000053CD"/>
    <w:rsid w:val="00005772"/>
    <w:rsid w:val="0000582A"/>
    <w:rsid w:val="00005F4F"/>
    <w:rsid w:val="00007183"/>
    <w:rsid w:val="00010735"/>
    <w:rsid w:val="0001081D"/>
    <w:rsid w:val="00011D98"/>
    <w:rsid w:val="0001378C"/>
    <w:rsid w:val="00014F08"/>
    <w:rsid w:val="00015D12"/>
    <w:rsid w:val="000175F4"/>
    <w:rsid w:val="00017DF8"/>
    <w:rsid w:val="0002374A"/>
    <w:rsid w:val="00023DD5"/>
    <w:rsid w:val="0002410C"/>
    <w:rsid w:val="000254EA"/>
    <w:rsid w:val="000267CC"/>
    <w:rsid w:val="000270A2"/>
    <w:rsid w:val="00033245"/>
    <w:rsid w:val="00033AB2"/>
    <w:rsid w:val="00036213"/>
    <w:rsid w:val="000367F5"/>
    <w:rsid w:val="00037801"/>
    <w:rsid w:val="00037F36"/>
    <w:rsid w:val="0004112B"/>
    <w:rsid w:val="00041160"/>
    <w:rsid w:val="00041190"/>
    <w:rsid w:val="00041734"/>
    <w:rsid w:val="00043560"/>
    <w:rsid w:val="000465B3"/>
    <w:rsid w:val="00046DB2"/>
    <w:rsid w:val="000501B3"/>
    <w:rsid w:val="00050A4D"/>
    <w:rsid w:val="0005380A"/>
    <w:rsid w:val="00053EE4"/>
    <w:rsid w:val="00055365"/>
    <w:rsid w:val="0005775B"/>
    <w:rsid w:val="00057A1B"/>
    <w:rsid w:val="00060200"/>
    <w:rsid w:val="0006067A"/>
    <w:rsid w:val="00060FAF"/>
    <w:rsid w:val="00061028"/>
    <w:rsid w:val="00061BA5"/>
    <w:rsid w:val="0006428E"/>
    <w:rsid w:val="00066036"/>
    <w:rsid w:val="0007063C"/>
    <w:rsid w:val="0007087C"/>
    <w:rsid w:val="00070C14"/>
    <w:rsid w:val="000726C0"/>
    <w:rsid w:val="00073247"/>
    <w:rsid w:val="000733D4"/>
    <w:rsid w:val="00073683"/>
    <w:rsid w:val="0007427B"/>
    <w:rsid w:val="00074803"/>
    <w:rsid w:val="000748A3"/>
    <w:rsid w:val="00074E3D"/>
    <w:rsid w:val="000805AD"/>
    <w:rsid w:val="000807A6"/>
    <w:rsid w:val="00080D7A"/>
    <w:rsid w:val="00082648"/>
    <w:rsid w:val="0008271F"/>
    <w:rsid w:val="000847B7"/>
    <w:rsid w:val="0008489C"/>
    <w:rsid w:val="00084C51"/>
    <w:rsid w:val="000851E9"/>
    <w:rsid w:val="00085768"/>
    <w:rsid w:val="00086D75"/>
    <w:rsid w:val="00091462"/>
    <w:rsid w:val="00091568"/>
    <w:rsid w:val="00091975"/>
    <w:rsid w:val="0009270C"/>
    <w:rsid w:val="00093283"/>
    <w:rsid w:val="000938E1"/>
    <w:rsid w:val="00095B1F"/>
    <w:rsid w:val="0009677B"/>
    <w:rsid w:val="000A07E4"/>
    <w:rsid w:val="000A1981"/>
    <w:rsid w:val="000A2750"/>
    <w:rsid w:val="000A342A"/>
    <w:rsid w:val="000A3AD3"/>
    <w:rsid w:val="000A5A34"/>
    <w:rsid w:val="000A5EB4"/>
    <w:rsid w:val="000A7163"/>
    <w:rsid w:val="000A761C"/>
    <w:rsid w:val="000A7AB3"/>
    <w:rsid w:val="000B07CC"/>
    <w:rsid w:val="000B1250"/>
    <w:rsid w:val="000B14DB"/>
    <w:rsid w:val="000B175E"/>
    <w:rsid w:val="000B1993"/>
    <w:rsid w:val="000B7292"/>
    <w:rsid w:val="000B7631"/>
    <w:rsid w:val="000C0DFC"/>
    <w:rsid w:val="000C1C33"/>
    <w:rsid w:val="000C25D6"/>
    <w:rsid w:val="000C3290"/>
    <w:rsid w:val="000C4FC6"/>
    <w:rsid w:val="000C5EAA"/>
    <w:rsid w:val="000C6C5E"/>
    <w:rsid w:val="000C7B58"/>
    <w:rsid w:val="000C7D32"/>
    <w:rsid w:val="000D0140"/>
    <w:rsid w:val="000D0A4C"/>
    <w:rsid w:val="000D1237"/>
    <w:rsid w:val="000D17CB"/>
    <w:rsid w:val="000D258E"/>
    <w:rsid w:val="000D480A"/>
    <w:rsid w:val="000D5AFD"/>
    <w:rsid w:val="000E1A38"/>
    <w:rsid w:val="000E21E5"/>
    <w:rsid w:val="000E273F"/>
    <w:rsid w:val="000E5AEC"/>
    <w:rsid w:val="000F069D"/>
    <w:rsid w:val="000F2FF2"/>
    <w:rsid w:val="000F35F5"/>
    <w:rsid w:val="000F3AAE"/>
    <w:rsid w:val="000F4856"/>
    <w:rsid w:val="001000A0"/>
    <w:rsid w:val="00101059"/>
    <w:rsid w:val="00101472"/>
    <w:rsid w:val="00103067"/>
    <w:rsid w:val="00103262"/>
    <w:rsid w:val="0010522C"/>
    <w:rsid w:val="001073BF"/>
    <w:rsid w:val="00107A1A"/>
    <w:rsid w:val="00110272"/>
    <w:rsid w:val="0011029A"/>
    <w:rsid w:val="00110CB0"/>
    <w:rsid w:val="00111332"/>
    <w:rsid w:val="00114285"/>
    <w:rsid w:val="00114DA7"/>
    <w:rsid w:val="001157AB"/>
    <w:rsid w:val="0011658D"/>
    <w:rsid w:val="00116618"/>
    <w:rsid w:val="00116982"/>
    <w:rsid w:val="0012257B"/>
    <w:rsid w:val="001227AD"/>
    <w:rsid w:val="00123C12"/>
    <w:rsid w:val="001240BB"/>
    <w:rsid w:val="0012429B"/>
    <w:rsid w:val="00124902"/>
    <w:rsid w:val="00126056"/>
    <w:rsid w:val="001262D3"/>
    <w:rsid w:val="00127CE2"/>
    <w:rsid w:val="00127D78"/>
    <w:rsid w:val="00127EDC"/>
    <w:rsid w:val="00127F95"/>
    <w:rsid w:val="001308B4"/>
    <w:rsid w:val="00131F47"/>
    <w:rsid w:val="0013252B"/>
    <w:rsid w:val="00136432"/>
    <w:rsid w:val="001412F2"/>
    <w:rsid w:val="001417A9"/>
    <w:rsid w:val="00142BA3"/>
    <w:rsid w:val="001438ED"/>
    <w:rsid w:val="0014429D"/>
    <w:rsid w:val="0014728B"/>
    <w:rsid w:val="00152343"/>
    <w:rsid w:val="00152EA6"/>
    <w:rsid w:val="00153731"/>
    <w:rsid w:val="001538D1"/>
    <w:rsid w:val="00153C7C"/>
    <w:rsid w:val="001600EA"/>
    <w:rsid w:val="00161191"/>
    <w:rsid w:val="001633D8"/>
    <w:rsid w:val="001649F1"/>
    <w:rsid w:val="00164D1B"/>
    <w:rsid w:val="00164DA0"/>
    <w:rsid w:val="00165291"/>
    <w:rsid w:val="0017146C"/>
    <w:rsid w:val="0017171E"/>
    <w:rsid w:val="00172E98"/>
    <w:rsid w:val="00173894"/>
    <w:rsid w:val="00177AC1"/>
    <w:rsid w:val="00181042"/>
    <w:rsid w:val="00181692"/>
    <w:rsid w:val="00184848"/>
    <w:rsid w:val="001854A9"/>
    <w:rsid w:val="001857D2"/>
    <w:rsid w:val="001867D5"/>
    <w:rsid w:val="0019011D"/>
    <w:rsid w:val="00190156"/>
    <w:rsid w:val="0019133C"/>
    <w:rsid w:val="00191B31"/>
    <w:rsid w:val="00192082"/>
    <w:rsid w:val="00193470"/>
    <w:rsid w:val="001936AD"/>
    <w:rsid w:val="00194AE6"/>
    <w:rsid w:val="00196306"/>
    <w:rsid w:val="00196ED8"/>
    <w:rsid w:val="001973FE"/>
    <w:rsid w:val="001A0602"/>
    <w:rsid w:val="001A1589"/>
    <w:rsid w:val="001A3D63"/>
    <w:rsid w:val="001A3FAB"/>
    <w:rsid w:val="001A41BA"/>
    <w:rsid w:val="001A7C72"/>
    <w:rsid w:val="001B0FA9"/>
    <w:rsid w:val="001B12D4"/>
    <w:rsid w:val="001B2730"/>
    <w:rsid w:val="001B2A9C"/>
    <w:rsid w:val="001B2AD2"/>
    <w:rsid w:val="001B2DC7"/>
    <w:rsid w:val="001B2F8A"/>
    <w:rsid w:val="001B3945"/>
    <w:rsid w:val="001B4B89"/>
    <w:rsid w:val="001B5D00"/>
    <w:rsid w:val="001C07BA"/>
    <w:rsid w:val="001C26E3"/>
    <w:rsid w:val="001C2F07"/>
    <w:rsid w:val="001C4DF2"/>
    <w:rsid w:val="001C5A4B"/>
    <w:rsid w:val="001D1ACE"/>
    <w:rsid w:val="001D5CA6"/>
    <w:rsid w:val="001D5E72"/>
    <w:rsid w:val="001D60C5"/>
    <w:rsid w:val="001E1C95"/>
    <w:rsid w:val="001E246D"/>
    <w:rsid w:val="001E24B3"/>
    <w:rsid w:val="001E2BB9"/>
    <w:rsid w:val="001E2CC9"/>
    <w:rsid w:val="001E39AA"/>
    <w:rsid w:val="001E4F9D"/>
    <w:rsid w:val="001E55C2"/>
    <w:rsid w:val="001E6B1C"/>
    <w:rsid w:val="001E7105"/>
    <w:rsid w:val="001F0F5F"/>
    <w:rsid w:val="001F1466"/>
    <w:rsid w:val="001F1582"/>
    <w:rsid w:val="001F57D7"/>
    <w:rsid w:val="001F6F27"/>
    <w:rsid w:val="001F7546"/>
    <w:rsid w:val="001F7B5C"/>
    <w:rsid w:val="00200A6C"/>
    <w:rsid w:val="00201169"/>
    <w:rsid w:val="002027A4"/>
    <w:rsid w:val="002046BD"/>
    <w:rsid w:val="00205AFF"/>
    <w:rsid w:val="002104C1"/>
    <w:rsid w:val="0021082B"/>
    <w:rsid w:val="00210D73"/>
    <w:rsid w:val="00211FB0"/>
    <w:rsid w:val="0021493E"/>
    <w:rsid w:val="00216D55"/>
    <w:rsid w:val="0021777A"/>
    <w:rsid w:val="00220981"/>
    <w:rsid w:val="00221559"/>
    <w:rsid w:val="0022372A"/>
    <w:rsid w:val="002242E3"/>
    <w:rsid w:val="00224A10"/>
    <w:rsid w:val="00224DE1"/>
    <w:rsid w:val="0023287A"/>
    <w:rsid w:val="002351AC"/>
    <w:rsid w:val="00240159"/>
    <w:rsid w:val="002430A5"/>
    <w:rsid w:val="00244A96"/>
    <w:rsid w:val="00244AA9"/>
    <w:rsid w:val="00244AC9"/>
    <w:rsid w:val="00245476"/>
    <w:rsid w:val="00245CAE"/>
    <w:rsid w:val="00247427"/>
    <w:rsid w:val="00250368"/>
    <w:rsid w:val="00252F95"/>
    <w:rsid w:val="002531BF"/>
    <w:rsid w:val="00253496"/>
    <w:rsid w:val="00255735"/>
    <w:rsid w:val="00255C86"/>
    <w:rsid w:val="0025609D"/>
    <w:rsid w:val="00256850"/>
    <w:rsid w:val="0026165E"/>
    <w:rsid w:val="002616FF"/>
    <w:rsid w:val="0026174B"/>
    <w:rsid w:val="002618BF"/>
    <w:rsid w:val="002618F8"/>
    <w:rsid w:val="00262DC6"/>
    <w:rsid w:val="00263AAA"/>
    <w:rsid w:val="00263AE4"/>
    <w:rsid w:val="0026409C"/>
    <w:rsid w:val="002667C1"/>
    <w:rsid w:val="00266821"/>
    <w:rsid w:val="002673E1"/>
    <w:rsid w:val="00270379"/>
    <w:rsid w:val="002706E7"/>
    <w:rsid w:val="002710BB"/>
    <w:rsid w:val="0027128E"/>
    <w:rsid w:val="00271686"/>
    <w:rsid w:val="002716EC"/>
    <w:rsid w:val="002718A9"/>
    <w:rsid w:val="0027247B"/>
    <w:rsid w:val="00273B3F"/>
    <w:rsid w:val="00277619"/>
    <w:rsid w:val="00277A8F"/>
    <w:rsid w:val="00277D2C"/>
    <w:rsid w:val="0028006E"/>
    <w:rsid w:val="00280329"/>
    <w:rsid w:val="00280479"/>
    <w:rsid w:val="00280872"/>
    <w:rsid w:val="00281FDB"/>
    <w:rsid w:val="002828D3"/>
    <w:rsid w:val="00283F8D"/>
    <w:rsid w:val="00284319"/>
    <w:rsid w:val="002858B7"/>
    <w:rsid w:val="00286F1F"/>
    <w:rsid w:val="00287835"/>
    <w:rsid w:val="00290077"/>
    <w:rsid w:val="002A57E7"/>
    <w:rsid w:val="002A752D"/>
    <w:rsid w:val="002A7FDE"/>
    <w:rsid w:val="002B115E"/>
    <w:rsid w:val="002B3569"/>
    <w:rsid w:val="002B39A3"/>
    <w:rsid w:val="002B401B"/>
    <w:rsid w:val="002B6441"/>
    <w:rsid w:val="002B7E34"/>
    <w:rsid w:val="002C0497"/>
    <w:rsid w:val="002C06F3"/>
    <w:rsid w:val="002C1478"/>
    <w:rsid w:val="002C22EF"/>
    <w:rsid w:val="002C42F8"/>
    <w:rsid w:val="002C4715"/>
    <w:rsid w:val="002C5976"/>
    <w:rsid w:val="002C6DCC"/>
    <w:rsid w:val="002D0B14"/>
    <w:rsid w:val="002D26D2"/>
    <w:rsid w:val="002D3393"/>
    <w:rsid w:val="002D47E8"/>
    <w:rsid w:val="002D4A66"/>
    <w:rsid w:val="002D5A6A"/>
    <w:rsid w:val="002E100A"/>
    <w:rsid w:val="002E13C0"/>
    <w:rsid w:val="002E1656"/>
    <w:rsid w:val="002E3001"/>
    <w:rsid w:val="002E3851"/>
    <w:rsid w:val="002E580D"/>
    <w:rsid w:val="002E6657"/>
    <w:rsid w:val="002E6994"/>
    <w:rsid w:val="002F171E"/>
    <w:rsid w:val="002F1BF1"/>
    <w:rsid w:val="002F1F94"/>
    <w:rsid w:val="002F511B"/>
    <w:rsid w:val="002F63F4"/>
    <w:rsid w:val="002F754C"/>
    <w:rsid w:val="003019D8"/>
    <w:rsid w:val="00301BBA"/>
    <w:rsid w:val="0030268B"/>
    <w:rsid w:val="0030524D"/>
    <w:rsid w:val="00305298"/>
    <w:rsid w:val="0030793C"/>
    <w:rsid w:val="00310EDF"/>
    <w:rsid w:val="00313444"/>
    <w:rsid w:val="00313DBE"/>
    <w:rsid w:val="00313E94"/>
    <w:rsid w:val="003141AA"/>
    <w:rsid w:val="003148AE"/>
    <w:rsid w:val="00314CB2"/>
    <w:rsid w:val="00315E10"/>
    <w:rsid w:val="003163E6"/>
    <w:rsid w:val="0031680F"/>
    <w:rsid w:val="00320B39"/>
    <w:rsid w:val="00322189"/>
    <w:rsid w:val="0032314E"/>
    <w:rsid w:val="00324656"/>
    <w:rsid w:val="003249A3"/>
    <w:rsid w:val="003269A5"/>
    <w:rsid w:val="003276D1"/>
    <w:rsid w:val="00330A0A"/>
    <w:rsid w:val="00330E28"/>
    <w:rsid w:val="00331451"/>
    <w:rsid w:val="0033181F"/>
    <w:rsid w:val="00332DFB"/>
    <w:rsid w:val="00333119"/>
    <w:rsid w:val="00334132"/>
    <w:rsid w:val="003348AC"/>
    <w:rsid w:val="00335056"/>
    <w:rsid w:val="00336566"/>
    <w:rsid w:val="00342553"/>
    <w:rsid w:val="00344478"/>
    <w:rsid w:val="00350A89"/>
    <w:rsid w:val="003518C5"/>
    <w:rsid w:val="00352727"/>
    <w:rsid w:val="0035370F"/>
    <w:rsid w:val="00353E4A"/>
    <w:rsid w:val="00354DC6"/>
    <w:rsid w:val="003607E3"/>
    <w:rsid w:val="00360A58"/>
    <w:rsid w:val="00361151"/>
    <w:rsid w:val="00361B4E"/>
    <w:rsid w:val="00361E67"/>
    <w:rsid w:val="00365B5B"/>
    <w:rsid w:val="00365CF3"/>
    <w:rsid w:val="0036781D"/>
    <w:rsid w:val="00371D93"/>
    <w:rsid w:val="003725CF"/>
    <w:rsid w:val="003736BB"/>
    <w:rsid w:val="003739F5"/>
    <w:rsid w:val="003754BD"/>
    <w:rsid w:val="003766BF"/>
    <w:rsid w:val="0037685F"/>
    <w:rsid w:val="00376D59"/>
    <w:rsid w:val="0037700A"/>
    <w:rsid w:val="00380896"/>
    <w:rsid w:val="00380912"/>
    <w:rsid w:val="003823A2"/>
    <w:rsid w:val="00382EBF"/>
    <w:rsid w:val="003830B0"/>
    <w:rsid w:val="00383CB1"/>
    <w:rsid w:val="00384535"/>
    <w:rsid w:val="00384B00"/>
    <w:rsid w:val="00384BC7"/>
    <w:rsid w:val="00385C7A"/>
    <w:rsid w:val="003867BB"/>
    <w:rsid w:val="003868A9"/>
    <w:rsid w:val="00390CAE"/>
    <w:rsid w:val="00391867"/>
    <w:rsid w:val="00394C6A"/>
    <w:rsid w:val="00396361"/>
    <w:rsid w:val="003969BB"/>
    <w:rsid w:val="003A14C3"/>
    <w:rsid w:val="003A17D1"/>
    <w:rsid w:val="003A292E"/>
    <w:rsid w:val="003A694B"/>
    <w:rsid w:val="003A6BC3"/>
    <w:rsid w:val="003A7A2D"/>
    <w:rsid w:val="003B0273"/>
    <w:rsid w:val="003B16E8"/>
    <w:rsid w:val="003B2AA3"/>
    <w:rsid w:val="003B3045"/>
    <w:rsid w:val="003B39F0"/>
    <w:rsid w:val="003B4A56"/>
    <w:rsid w:val="003B5160"/>
    <w:rsid w:val="003B64AE"/>
    <w:rsid w:val="003B698A"/>
    <w:rsid w:val="003B72E4"/>
    <w:rsid w:val="003B7EBD"/>
    <w:rsid w:val="003C237E"/>
    <w:rsid w:val="003C248F"/>
    <w:rsid w:val="003C2A90"/>
    <w:rsid w:val="003D1292"/>
    <w:rsid w:val="003D13F9"/>
    <w:rsid w:val="003D25E4"/>
    <w:rsid w:val="003D3355"/>
    <w:rsid w:val="003D4AC2"/>
    <w:rsid w:val="003D57A4"/>
    <w:rsid w:val="003D6242"/>
    <w:rsid w:val="003E058E"/>
    <w:rsid w:val="003E08AA"/>
    <w:rsid w:val="003E0D2D"/>
    <w:rsid w:val="003E18A3"/>
    <w:rsid w:val="003E226E"/>
    <w:rsid w:val="003E3851"/>
    <w:rsid w:val="003E3AE4"/>
    <w:rsid w:val="003E4655"/>
    <w:rsid w:val="003E762C"/>
    <w:rsid w:val="003F04C5"/>
    <w:rsid w:val="003F334C"/>
    <w:rsid w:val="003F49E8"/>
    <w:rsid w:val="003F5579"/>
    <w:rsid w:val="003F7127"/>
    <w:rsid w:val="00401167"/>
    <w:rsid w:val="00402A46"/>
    <w:rsid w:val="00402F70"/>
    <w:rsid w:val="00403A52"/>
    <w:rsid w:val="00403EA4"/>
    <w:rsid w:val="004062A6"/>
    <w:rsid w:val="00410B1E"/>
    <w:rsid w:val="0041174F"/>
    <w:rsid w:val="00413232"/>
    <w:rsid w:val="00414987"/>
    <w:rsid w:val="00414C05"/>
    <w:rsid w:val="00417BA4"/>
    <w:rsid w:val="0042092B"/>
    <w:rsid w:val="00421E3F"/>
    <w:rsid w:val="00423965"/>
    <w:rsid w:val="00424C20"/>
    <w:rsid w:val="00424CFD"/>
    <w:rsid w:val="00425593"/>
    <w:rsid w:val="00427046"/>
    <w:rsid w:val="00427867"/>
    <w:rsid w:val="00427983"/>
    <w:rsid w:val="00431B82"/>
    <w:rsid w:val="004326B1"/>
    <w:rsid w:val="00432D60"/>
    <w:rsid w:val="004331E9"/>
    <w:rsid w:val="00433A82"/>
    <w:rsid w:val="004346D8"/>
    <w:rsid w:val="00434D4B"/>
    <w:rsid w:val="004360D1"/>
    <w:rsid w:val="00436108"/>
    <w:rsid w:val="00437311"/>
    <w:rsid w:val="004419C3"/>
    <w:rsid w:val="00442C27"/>
    <w:rsid w:val="004438A0"/>
    <w:rsid w:val="00443DEE"/>
    <w:rsid w:val="00444005"/>
    <w:rsid w:val="00444FF8"/>
    <w:rsid w:val="00445A0B"/>
    <w:rsid w:val="00445ACD"/>
    <w:rsid w:val="00445C67"/>
    <w:rsid w:val="00447052"/>
    <w:rsid w:val="00447A10"/>
    <w:rsid w:val="00450CD5"/>
    <w:rsid w:val="004579FA"/>
    <w:rsid w:val="004635AE"/>
    <w:rsid w:val="00464E7C"/>
    <w:rsid w:val="004657E3"/>
    <w:rsid w:val="00466CD8"/>
    <w:rsid w:val="00467022"/>
    <w:rsid w:val="00471223"/>
    <w:rsid w:val="0047241A"/>
    <w:rsid w:val="004759DB"/>
    <w:rsid w:val="00475E25"/>
    <w:rsid w:val="00477A68"/>
    <w:rsid w:val="00477B82"/>
    <w:rsid w:val="00477F0B"/>
    <w:rsid w:val="00480634"/>
    <w:rsid w:val="00480B1A"/>
    <w:rsid w:val="004815E8"/>
    <w:rsid w:val="004821F5"/>
    <w:rsid w:val="004834CD"/>
    <w:rsid w:val="00483E16"/>
    <w:rsid w:val="0048512E"/>
    <w:rsid w:val="004851DD"/>
    <w:rsid w:val="00491436"/>
    <w:rsid w:val="0049263F"/>
    <w:rsid w:val="00494BE0"/>
    <w:rsid w:val="0049735D"/>
    <w:rsid w:val="00497516"/>
    <w:rsid w:val="004A0297"/>
    <w:rsid w:val="004A052A"/>
    <w:rsid w:val="004A0A4D"/>
    <w:rsid w:val="004A1F5B"/>
    <w:rsid w:val="004A27C1"/>
    <w:rsid w:val="004A2C34"/>
    <w:rsid w:val="004A3714"/>
    <w:rsid w:val="004A5415"/>
    <w:rsid w:val="004A59C1"/>
    <w:rsid w:val="004A5B23"/>
    <w:rsid w:val="004A6761"/>
    <w:rsid w:val="004A689D"/>
    <w:rsid w:val="004A7628"/>
    <w:rsid w:val="004A78BA"/>
    <w:rsid w:val="004B039D"/>
    <w:rsid w:val="004B2969"/>
    <w:rsid w:val="004B3B18"/>
    <w:rsid w:val="004B4B09"/>
    <w:rsid w:val="004B547A"/>
    <w:rsid w:val="004B5B95"/>
    <w:rsid w:val="004C0674"/>
    <w:rsid w:val="004C2083"/>
    <w:rsid w:val="004C2D4E"/>
    <w:rsid w:val="004C6BCA"/>
    <w:rsid w:val="004C6C37"/>
    <w:rsid w:val="004C6D86"/>
    <w:rsid w:val="004C7B3D"/>
    <w:rsid w:val="004C7DC8"/>
    <w:rsid w:val="004D0295"/>
    <w:rsid w:val="004D0309"/>
    <w:rsid w:val="004D06FE"/>
    <w:rsid w:val="004D0EFE"/>
    <w:rsid w:val="004D1CF0"/>
    <w:rsid w:val="004D2CDF"/>
    <w:rsid w:val="004D6444"/>
    <w:rsid w:val="004E2AE4"/>
    <w:rsid w:val="004E44E7"/>
    <w:rsid w:val="004E4EA0"/>
    <w:rsid w:val="004E5294"/>
    <w:rsid w:val="004E5FEF"/>
    <w:rsid w:val="004E7BB2"/>
    <w:rsid w:val="004F09B1"/>
    <w:rsid w:val="004F35B5"/>
    <w:rsid w:val="004F3A2D"/>
    <w:rsid w:val="004F59A7"/>
    <w:rsid w:val="004F6708"/>
    <w:rsid w:val="004F67D9"/>
    <w:rsid w:val="004F67F8"/>
    <w:rsid w:val="004F6D71"/>
    <w:rsid w:val="004F7CD1"/>
    <w:rsid w:val="00501E21"/>
    <w:rsid w:val="00502E4B"/>
    <w:rsid w:val="00505577"/>
    <w:rsid w:val="00507DD8"/>
    <w:rsid w:val="0051029A"/>
    <w:rsid w:val="00510340"/>
    <w:rsid w:val="00512022"/>
    <w:rsid w:val="00512B35"/>
    <w:rsid w:val="005143E8"/>
    <w:rsid w:val="00514496"/>
    <w:rsid w:val="00514B68"/>
    <w:rsid w:val="0051575E"/>
    <w:rsid w:val="00516A2E"/>
    <w:rsid w:val="005178C2"/>
    <w:rsid w:val="0052079A"/>
    <w:rsid w:val="00520C36"/>
    <w:rsid w:val="00522D97"/>
    <w:rsid w:val="00523E82"/>
    <w:rsid w:val="005250B5"/>
    <w:rsid w:val="00525E5D"/>
    <w:rsid w:val="00525F68"/>
    <w:rsid w:val="00526A67"/>
    <w:rsid w:val="00527764"/>
    <w:rsid w:val="005300AD"/>
    <w:rsid w:val="00530A53"/>
    <w:rsid w:val="00530C8C"/>
    <w:rsid w:val="005314BD"/>
    <w:rsid w:val="00534B95"/>
    <w:rsid w:val="00535CB5"/>
    <w:rsid w:val="00536DD6"/>
    <w:rsid w:val="00536DFF"/>
    <w:rsid w:val="00537121"/>
    <w:rsid w:val="00540218"/>
    <w:rsid w:val="00545421"/>
    <w:rsid w:val="0054577C"/>
    <w:rsid w:val="00545803"/>
    <w:rsid w:val="0054595C"/>
    <w:rsid w:val="00546462"/>
    <w:rsid w:val="00546DD7"/>
    <w:rsid w:val="00550E47"/>
    <w:rsid w:val="00550FA3"/>
    <w:rsid w:val="00551F2D"/>
    <w:rsid w:val="005528BC"/>
    <w:rsid w:val="00552C22"/>
    <w:rsid w:val="0055376B"/>
    <w:rsid w:val="00553941"/>
    <w:rsid w:val="00553D6B"/>
    <w:rsid w:val="005542C9"/>
    <w:rsid w:val="00554F19"/>
    <w:rsid w:val="005575C6"/>
    <w:rsid w:val="00561161"/>
    <w:rsid w:val="00561297"/>
    <w:rsid w:val="0056152E"/>
    <w:rsid w:val="00562A99"/>
    <w:rsid w:val="00564BB0"/>
    <w:rsid w:val="00565AC3"/>
    <w:rsid w:val="005663EB"/>
    <w:rsid w:val="00570813"/>
    <w:rsid w:val="005721F4"/>
    <w:rsid w:val="005729D2"/>
    <w:rsid w:val="00572B86"/>
    <w:rsid w:val="00573CDE"/>
    <w:rsid w:val="00574286"/>
    <w:rsid w:val="00575690"/>
    <w:rsid w:val="0057667F"/>
    <w:rsid w:val="00577F84"/>
    <w:rsid w:val="00580B34"/>
    <w:rsid w:val="0058170C"/>
    <w:rsid w:val="00581F9F"/>
    <w:rsid w:val="0058353C"/>
    <w:rsid w:val="005835B0"/>
    <w:rsid w:val="00583949"/>
    <w:rsid w:val="00583FD0"/>
    <w:rsid w:val="00584937"/>
    <w:rsid w:val="005868C7"/>
    <w:rsid w:val="00586E48"/>
    <w:rsid w:val="00587B94"/>
    <w:rsid w:val="0059055C"/>
    <w:rsid w:val="00591395"/>
    <w:rsid w:val="00592DCE"/>
    <w:rsid w:val="00593519"/>
    <w:rsid w:val="00594DE8"/>
    <w:rsid w:val="005950EA"/>
    <w:rsid w:val="005953F4"/>
    <w:rsid w:val="00595A5E"/>
    <w:rsid w:val="00595E69"/>
    <w:rsid w:val="00595FEC"/>
    <w:rsid w:val="00596118"/>
    <w:rsid w:val="00596AB2"/>
    <w:rsid w:val="005A059F"/>
    <w:rsid w:val="005A1715"/>
    <w:rsid w:val="005A30C9"/>
    <w:rsid w:val="005A4B1A"/>
    <w:rsid w:val="005A6C8A"/>
    <w:rsid w:val="005B06D2"/>
    <w:rsid w:val="005B0781"/>
    <w:rsid w:val="005B09AB"/>
    <w:rsid w:val="005B19AE"/>
    <w:rsid w:val="005B2CF4"/>
    <w:rsid w:val="005B2CFD"/>
    <w:rsid w:val="005B3F10"/>
    <w:rsid w:val="005B4EFB"/>
    <w:rsid w:val="005B5B64"/>
    <w:rsid w:val="005B5BC3"/>
    <w:rsid w:val="005B6B49"/>
    <w:rsid w:val="005C044A"/>
    <w:rsid w:val="005C2178"/>
    <w:rsid w:val="005C3206"/>
    <w:rsid w:val="005C3593"/>
    <w:rsid w:val="005C52BA"/>
    <w:rsid w:val="005C5D78"/>
    <w:rsid w:val="005D0D7E"/>
    <w:rsid w:val="005D0FC9"/>
    <w:rsid w:val="005D1197"/>
    <w:rsid w:val="005D13B0"/>
    <w:rsid w:val="005D16BD"/>
    <w:rsid w:val="005D4DFE"/>
    <w:rsid w:val="005D5842"/>
    <w:rsid w:val="005D600D"/>
    <w:rsid w:val="005D7125"/>
    <w:rsid w:val="005D7279"/>
    <w:rsid w:val="005D79D2"/>
    <w:rsid w:val="005E1DFA"/>
    <w:rsid w:val="005E2E42"/>
    <w:rsid w:val="005E30F2"/>
    <w:rsid w:val="005E52AA"/>
    <w:rsid w:val="005F1831"/>
    <w:rsid w:val="005F2946"/>
    <w:rsid w:val="005F2E55"/>
    <w:rsid w:val="005F326D"/>
    <w:rsid w:val="005F3DF9"/>
    <w:rsid w:val="005F5D39"/>
    <w:rsid w:val="00600658"/>
    <w:rsid w:val="00601428"/>
    <w:rsid w:val="0060278D"/>
    <w:rsid w:val="00602AF7"/>
    <w:rsid w:val="00603DFB"/>
    <w:rsid w:val="00605EE0"/>
    <w:rsid w:val="00606DC3"/>
    <w:rsid w:val="006072B6"/>
    <w:rsid w:val="00607ECB"/>
    <w:rsid w:val="006103E1"/>
    <w:rsid w:val="006112A3"/>
    <w:rsid w:val="006120DF"/>
    <w:rsid w:val="006135EE"/>
    <w:rsid w:val="006136DA"/>
    <w:rsid w:val="00614C7E"/>
    <w:rsid w:val="00616E4E"/>
    <w:rsid w:val="0061767C"/>
    <w:rsid w:val="00617E82"/>
    <w:rsid w:val="0062004F"/>
    <w:rsid w:val="00620E1D"/>
    <w:rsid w:val="006210E9"/>
    <w:rsid w:val="006212D3"/>
    <w:rsid w:val="00623825"/>
    <w:rsid w:val="00627CC6"/>
    <w:rsid w:val="00632453"/>
    <w:rsid w:val="00634CB6"/>
    <w:rsid w:val="0063524D"/>
    <w:rsid w:val="006367C2"/>
    <w:rsid w:val="006403CB"/>
    <w:rsid w:val="006405CC"/>
    <w:rsid w:val="00640E91"/>
    <w:rsid w:val="006411A7"/>
    <w:rsid w:val="006414D1"/>
    <w:rsid w:val="00642661"/>
    <w:rsid w:val="006430A2"/>
    <w:rsid w:val="006437AB"/>
    <w:rsid w:val="006460E5"/>
    <w:rsid w:val="00646C8D"/>
    <w:rsid w:val="006472CD"/>
    <w:rsid w:val="0065147D"/>
    <w:rsid w:val="006539BD"/>
    <w:rsid w:val="00654111"/>
    <w:rsid w:val="00655B73"/>
    <w:rsid w:val="00656911"/>
    <w:rsid w:val="006570B6"/>
    <w:rsid w:val="0065722E"/>
    <w:rsid w:val="00657AC5"/>
    <w:rsid w:val="00660C0E"/>
    <w:rsid w:val="0066260D"/>
    <w:rsid w:val="00662852"/>
    <w:rsid w:val="00664FD2"/>
    <w:rsid w:val="006651EC"/>
    <w:rsid w:val="0066571A"/>
    <w:rsid w:val="00667CD1"/>
    <w:rsid w:val="00670548"/>
    <w:rsid w:val="006705B4"/>
    <w:rsid w:val="0067113D"/>
    <w:rsid w:val="00672B0B"/>
    <w:rsid w:val="00672D61"/>
    <w:rsid w:val="00673E2A"/>
    <w:rsid w:val="00674B0C"/>
    <w:rsid w:val="00674E27"/>
    <w:rsid w:val="00674F69"/>
    <w:rsid w:val="006750A0"/>
    <w:rsid w:val="00675365"/>
    <w:rsid w:val="00677177"/>
    <w:rsid w:val="00680187"/>
    <w:rsid w:val="00682935"/>
    <w:rsid w:val="006849AF"/>
    <w:rsid w:val="00685293"/>
    <w:rsid w:val="00687CF0"/>
    <w:rsid w:val="006904A2"/>
    <w:rsid w:val="00690848"/>
    <w:rsid w:val="00694126"/>
    <w:rsid w:val="006944F0"/>
    <w:rsid w:val="00695060"/>
    <w:rsid w:val="00696B96"/>
    <w:rsid w:val="00697CBC"/>
    <w:rsid w:val="006A19D6"/>
    <w:rsid w:val="006A34D9"/>
    <w:rsid w:val="006A3985"/>
    <w:rsid w:val="006A3DBF"/>
    <w:rsid w:val="006A4149"/>
    <w:rsid w:val="006A553D"/>
    <w:rsid w:val="006A57DC"/>
    <w:rsid w:val="006A7C8B"/>
    <w:rsid w:val="006B0E4F"/>
    <w:rsid w:val="006B1D54"/>
    <w:rsid w:val="006B20BC"/>
    <w:rsid w:val="006B2A0B"/>
    <w:rsid w:val="006B3B31"/>
    <w:rsid w:val="006B410E"/>
    <w:rsid w:val="006B4F78"/>
    <w:rsid w:val="006C1322"/>
    <w:rsid w:val="006C1BA5"/>
    <w:rsid w:val="006C2CC8"/>
    <w:rsid w:val="006C3C1B"/>
    <w:rsid w:val="006C6562"/>
    <w:rsid w:val="006C6E9E"/>
    <w:rsid w:val="006C7C44"/>
    <w:rsid w:val="006D27AF"/>
    <w:rsid w:val="006D3BD3"/>
    <w:rsid w:val="006D3D8D"/>
    <w:rsid w:val="006D5242"/>
    <w:rsid w:val="006D6A24"/>
    <w:rsid w:val="006E00B2"/>
    <w:rsid w:val="006E07F2"/>
    <w:rsid w:val="006E0E83"/>
    <w:rsid w:val="006E11E2"/>
    <w:rsid w:val="006E197F"/>
    <w:rsid w:val="006E1F99"/>
    <w:rsid w:val="006E5262"/>
    <w:rsid w:val="006E5DC8"/>
    <w:rsid w:val="006E63FB"/>
    <w:rsid w:val="006F06F3"/>
    <w:rsid w:val="006F0F19"/>
    <w:rsid w:val="006F2B6B"/>
    <w:rsid w:val="006F2C88"/>
    <w:rsid w:val="006F3E96"/>
    <w:rsid w:val="006F563B"/>
    <w:rsid w:val="006F59DC"/>
    <w:rsid w:val="006F620A"/>
    <w:rsid w:val="006F6A70"/>
    <w:rsid w:val="006F6D4D"/>
    <w:rsid w:val="00700A10"/>
    <w:rsid w:val="00701831"/>
    <w:rsid w:val="0070373F"/>
    <w:rsid w:val="00703A28"/>
    <w:rsid w:val="0070422F"/>
    <w:rsid w:val="007053D5"/>
    <w:rsid w:val="0070608B"/>
    <w:rsid w:val="00706C69"/>
    <w:rsid w:val="00710C8A"/>
    <w:rsid w:val="00711C62"/>
    <w:rsid w:val="00713054"/>
    <w:rsid w:val="00713F1A"/>
    <w:rsid w:val="007140A3"/>
    <w:rsid w:val="00715F17"/>
    <w:rsid w:val="0071783E"/>
    <w:rsid w:val="00717DC0"/>
    <w:rsid w:val="00720145"/>
    <w:rsid w:val="00720E9F"/>
    <w:rsid w:val="00721E20"/>
    <w:rsid w:val="00721FC7"/>
    <w:rsid w:val="007226D1"/>
    <w:rsid w:val="00723FD9"/>
    <w:rsid w:val="00724ECC"/>
    <w:rsid w:val="00727424"/>
    <w:rsid w:val="00727C3A"/>
    <w:rsid w:val="00731BD3"/>
    <w:rsid w:val="007322EE"/>
    <w:rsid w:val="00733A3F"/>
    <w:rsid w:val="00734BB6"/>
    <w:rsid w:val="007358DF"/>
    <w:rsid w:val="00736B94"/>
    <w:rsid w:val="0073727D"/>
    <w:rsid w:val="00737320"/>
    <w:rsid w:val="00737371"/>
    <w:rsid w:val="007401B2"/>
    <w:rsid w:val="00740593"/>
    <w:rsid w:val="00740CFC"/>
    <w:rsid w:val="00740EF6"/>
    <w:rsid w:val="007413D2"/>
    <w:rsid w:val="00741C3B"/>
    <w:rsid w:val="00742187"/>
    <w:rsid w:val="007426AB"/>
    <w:rsid w:val="00743085"/>
    <w:rsid w:val="0074574E"/>
    <w:rsid w:val="007467FA"/>
    <w:rsid w:val="00750DDC"/>
    <w:rsid w:val="007530FC"/>
    <w:rsid w:val="007535E0"/>
    <w:rsid w:val="00753AFD"/>
    <w:rsid w:val="007554F6"/>
    <w:rsid w:val="0075719A"/>
    <w:rsid w:val="007652DC"/>
    <w:rsid w:val="0076598F"/>
    <w:rsid w:val="00765BE3"/>
    <w:rsid w:val="00765D04"/>
    <w:rsid w:val="00765E3A"/>
    <w:rsid w:val="007661DA"/>
    <w:rsid w:val="00767FC1"/>
    <w:rsid w:val="007716CC"/>
    <w:rsid w:val="007724E1"/>
    <w:rsid w:val="00776CBB"/>
    <w:rsid w:val="00777608"/>
    <w:rsid w:val="00780BA7"/>
    <w:rsid w:val="0078231A"/>
    <w:rsid w:val="00786751"/>
    <w:rsid w:val="00786BE2"/>
    <w:rsid w:val="00787841"/>
    <w:rsid w:val="00790453"/>
    <w:rsid w:val="0079186C"/>
    <w:rsid w:val="00791937"/>
    <w:rsid w:val="00791D13"/>
    <w:rsid w:val="007958B4"/>
    <w:rsid w:val="00796345"/>
    <w:rsid w:val="00796F2F"/>
    <w:rsid w:val="00797ACA"/>
    <w:rsid w:val="007A0379"/>
    <w:rsid w:val="007A079D"/>
    <w:rsid w:val="007A0FD9"/>
    <w:rsid w:val="007A103C"/>
    <w:rsid w:val="007A24F9"/>
    <w:rsid w:val="007A4428"/>
    <w:rsid w:val="007A64D9"/>
    <w:rsid w:val="007A6997"/>
    <w:rsid w:val="007A7658"/>
    <w:rsid w:val="007A7840"/>
    <w:rsid w:val="007A7DC6"/>
    <w:rsid w:val="007B0B4B"/>
    <w:rsid w:val="007B16D5"/>
    <w:rsid w:val="007B19B9"/>
    <w:rsid w:val="007B270A"/>
    <w:rsid w:val="007B4EB5"/>
    <w:rsid w:val="007B5FF8"/>
    <w:rsid w:val="007C00A8"/>
    <w:rsid w:val="007C15E8"/>
    <w:rsid w:val="007C2D91"/>
    <w:rsid w:val="007C44E2"/>
    <w:rsid w:val="007C467C"/>
    <w:rsid w:val="007C51DB"/>
    <w:rsid w:val="007C62D5"/>
    <w:rsid w:val="007C6719"/>
    <w:rsid w:val="007C741B"/>
    <w:rsid w:val="007D22F1"/>
    <w:rsid w:val="007D245A"/>
    <w:rsid w:val="007D340C"/>
    <w:rsid w:val="007D50CB"/>
    <w:rsid w:val="007D52FC"/>
    <w:rsid w:val="007D7669"/>
    <w:rsid w:val="007E0E57"/>
    <w:rsid w:val="007E11BB"/>
    <w:rsid w:val="007E1606"/>
    <w:rsid w:val="007E1863"/>
    <w:rsid w:val="007E19CD"/>
    <w:rsid w:val="007E3D91"/>
    <w:rsid w:val="007E434A"/>
    <w:rsid w:val="007E4F36"/>
    <w:rsid w:val="007F19FC"/>
    <w:rsid w:val="007F29A3"/>
    <w:rsid w:val="007F42CE"/>
    <w:rsid w:val="007F570A"/>
    <w:rsid w:val="007F6B01"/>
    <w:rsid w:val="00801E7E"/>
    <w:rsid w:val="00803E36"/>
    <w:rsid w:val="00806794"/>
    <w:rsid w:val="008071A7"/>
    <w:rsid w:val="008071FD"/>
    <w:rsid w:val="00810229"/>
    <w:rsid w:val="00810F15"/>
    <w:rsid w:val="00811381"/>
    <w:rsid w:val="008124B5"/>
    <w:rsid w:val="00814243"/>
    <w:rsid w:val="00814E41"/>
    <w:rsid w:val="00815063"/>
    <w:rsid w:val="00815820"/>
    <w:rsid w:val="00816404"/>
    <w:rsid w:val="008170CA"/>
    <w:rsid w:val="00820565"/>
    <w:rsid w:val="00821387"/>
    <w:rsid w:val="008217AF"/>
    <w:rsid w:val="008218AD"/>
    <w:rsid w:val="00821A28"/>
    <w:rsid w:val="00821D33"/>
    <w:rsid w:val="00822113"/>
    <w:rsid w:val="008230FD"/>
    <w:rsid w:val="00824B08"/>
    <w:rsid w:val="008277A5"/>
    <w:rsid w:val="008300CA"/>
    <w:rsid w:val="00830A6A"/>
    <w:rsid w:val="008333BC"/>
    <w:rsid w:val="00834494"/>
    <w:rsid w:val="008354D7"/>
    <w:rsid w:val="008411FB"/>
    <w:rsid w:val="008413EA"/>
    <w:rsid w:val="00841712"/>
    <w:rsid w:val="0084187D"/>
    <w:rsid w:val="0084211F"/>
    <w:rsid w:val="008441D9"/>
    <w:rsid w:val="008444D7"/>
    <w:rsid w:val="00846149"/>
    <w:rsid w:val="008509A6"/>
    <w:rsid w:val="008524C1"/>
    <w:rsid w:val="00852709"/>
    <w:rsid w:val="00857236"/>
    <w:rsid w:val="00857671"/>
    <w:rsid w:val="00857D97"/>
    <w:rsid w:val="008604EF"/>
    <w:rsid w:val="008605D1"/>
    <w:rsid w:val="00860933"/>
    <w:rsid w:val="00860A9E"/>
    <w:rsid w:val="00860C95"/>
    <w:rsid w:val="008622F8"/>
    <w:rsid w:val="00862A6A"/>
    <w:rsid w:val="0086343C"/>
    <w:rsid w:val="008637F2"/>
    <w:rsid w:val="00864462"/>
    <w:rsid w:val="00864661"/>
    <w:rsid w:val="00864921"/>
    <w:rsid w:val="00865D53"/>
    <w:rsid w:val="00865F8D"/>
    <w:rsid w:val="00866109"/>
    <w:rsid w:val="00866AF0"/>
    <w:rsid w:val="00866DD1"/>
    <w:rsid w:val="008673FD"/>
    <w:rsid w:val="00870EA7"/>
    <w:rsid w:val="00870FE4"/>
    <w:rsid w:val="008714AF"/>
    <w:rsid w:val="00873AFF"/>
    <w:rsid w:val="0087492C"/>
    <w:rsid w:val="008750A4"/>
    <w:rsid w:val="00875141"/>
    <w:rsid w:val="0087541D"/>
    <w:rsid w:val="00877D29"/>
    <w:rsid w:val="00880AE0"/>
    <w:rsid w:val="00881288"/>
    <w:rsid w:val="00884F0D"/>
    <w:rsid w:val="00885822"/>
    <w:rsid w:val="00885C5B"/>
    <w:rsid w:val="00886680"/>
    <w:rsid w:val="00887A2B"/>
    <w:rsid w:val="00890554"/>
    <w:rsid w:val="00891FD0"/>
    <w:rsid w:val="00893E07"/>
    <w:rsid w:val="00893EB5"/>
    <w:rsid w:val="00896CF5"/>
    <w:rsid w:val="008977F1"/>
    <w:rsid w:val="00897CFF"/>
    <w:rsid w:val="008A1BB5"/>
    <w:rsid w:val="008A3801"/>
    <w:rsid w:val="008A56D5"/>
    <w:rsid w:val="008A5E69"/>
    <w:rsid w:val="008A62DC"/>
    <w:rsid w:val="008A6A72"/>
    <w:rsid w:val="008A6B39"/>
    <w:rsid w:val="008A70EA"/>
    <w:rsid w:val="008A7870"/>
    <w:rsid w:val="008A7899"/>
    <w:rsid w:val="008B1133"/>
    <w:rsid w:val="008B1F21"/>
    <w:rsid w:val="008B20FF"/>
    <w:rsid w:val="008B227C"/>
    <w:rsid w:val="008B2EF3"/>
    <w:rsid w:val="008B396E"/>
    <w:rsid w:val="008B5C41"/>
    <w:rsid w:val="008B6013"/>
    <w:rsid w:val="008B6137"/>
    <w:rsid w:val="008B7CB4"/>
    <w:rsid w:val="008C0123"/>
    <w:rsid w:val="008C2AAD"/>
    <w:rsid w:val="008C31A6"/>
    <w:rsid w:val="008C35E7"/>
    <w:rsid w:val="008C716C"/>
    <w:rsid w:val="008C7AAA"/>
    <w:rsid w:val="008D2A33"/>
    <w:rsid w:val="008D4F01"/>
    <w:rsid w:val="008D6055"/>
    <w:rsid w:val="008D6543"/>
    <w:rsid w:val="008D781D"/>
    <w:rsid w:val="008D7B21"/>
    <w:rsid w:val="008E091A"/>
    <w:rsid w:val="008E1699"/>
    <w:rsid w:val="008E31B0"/>
    <w:rsid w:val="008E4806"/>
    <w:rsid w:val="008E4EDB"/>
    <w:rsid w:val="008E7E95"/>
    <w:rsid w:val="008F3E45"/>
    <w:rsid w:val="008F4A85"/>
    <w:rsid w:val="008F4F0D"/>
    <w:rsid w:val="00900ED4"/>
    <w:rsid w:val="00901088"/>
    <w:rsid w:val="0090173D"/>
    <w:rsid w:val="00901D39"/>
    <w:rsid w:val="00901EDB"/>
    <w:rsid w:val="00902FCB"/>
    <w:rsid w:val="0090496B"/>
    <w:rsid w:val="009049A7"/>
    <w:rsid w:val="0090595B"/>
    <w:rsid w:val="00907362"/>
    <w:rsid w:val="0091295C"/>
    <w:rsid w:val="00912AF0"/>
    <w:rsid w:val="009136DE"/>
    <w:rsid w:val="00914171"/>
    <w:rsid w:val="00915151"/>
    <w:rsid w:val="00915F23"/>
    <w:rsid w:val="00916055"/>
    <w:rsid w:val="00916835"/>
    <w:rsid w:val="00917054"/>
    <w:rsid w:val="00917BDF"/>
    <w:rsid w:val="00920441"/>
    <w:rsid w:val="00921427"/>
    <w:rsid w:val="00921CB0"/>
    <w:rsid w:val="00923C56"/>
    <w:rsid w:val="0092670F"/>
    <w:rsid w:val="00931181"/>
    <w:rsid w:val="00931615"/>
    <w:rsid w:val="00931DA4"/>
    <w:rsid w:val="00932F4D"/>
    <w:rsid w:val="0093415D"/>
    <w:rsid w:val="0093528A"/>
    <w:rsid w:val="00936A03"/>
    <w:rsid w:val="0094080B"/>
    <w:rsid w:val="009419A6"/>
    <w:rsid w:val="00941ED1"/>
    <w:rsid w:val="0094261C"/>
    <w:rsid w:val="009442DC"/>
    <w:rsid w:val="00944312"/>
    <w:rsid w:val="009466B1"/>
    <w:rsid w:val="00946C50"/>
    <w:rsid w:val="00950E07"/>
    <w:rsid w:val="00951044"/>
    <w:rsid w:val="0095270C"/>
    <w:rsid w:val="009538C1"/>
    <w:rsid w:val="00955036"/>
    <w:rsid w:val="00955087"/>
    <w:rsid w:val="0096183A"/>
    <w:rsid w:val="00961853"/>
    <w:rsid w:val="00961FBB"/>
    <w:rsid w:val="00964553"/>
    <w:rsid w:val="00965C9C"/>
    <w:rsid w:val="009662E4"/>
    <w:rsid w:val="00966E64"/>
    <w:rsid w:val="00970C2B"/>
    <w:rsid w:val="00971B7C"/>
    <w:rsid w:val="009722C6"/>
    <w:rsid w:val="009725ED"/>
    <w:rsid w:val="0097460B"/>
    <w:rsid w:val="00975477"/>
    <w:rsid w:val="0097637D"/>
    <w:rsid w:val="00976778"/>
    <w:rsid w:val="00977D89"/>
    <w:rsid w:val="00977FCF"/>
    <w:rsid w:val="009807A1"/>
    <w:rsid w:val="009809AA"/>
    <w:rsid w:val="00981139"/>
    <w:rsid w:val="009819F0"/>
    <w:rsid w:val="009821DE"/>
    <w:rsid w:val="0098347B"/>
    <w:rsid w:val="0098440C"/>
    <w:rsid w:val="009856A6"/>
    <w:rsid w:val="00990B79"/>
    <w:rsid w:val="00990D4B"/>
    <w:rsid w:val="00991338"/>
    <w:rsid w:val="00991F63"/>
    <w:rsid w:val="00994CF3"/>
    <w:rsid w:val="00994CF5"/>
    <w:rsid w:val="00995820"/>
    <w:rsid w:val="0099606A"/>
    <w:rsid w:val="009967FA"/>
    <w:rsid w:val="0099730B"/>
    <w:rsid w:val="009A03A5"/>
    <w:rsid w:val="009A0487"/>
    <w:rsid w:val="009A4CC2"/>
    <w:rsid w:val="009A6D3F"/>
    <w:rsid w:val="009A7E52"/>
    <w:rsid w:val="009B380B"/>
    <w:rsid w:val="009B49A4"/>
    <w:rsid w:val="009B5DBE"/>
    <w:rsid w:val="009B5EDC"/>
    <w:rsid w:val="009B7799"/>
    <w:rsid w:val="009C06A4"/>
    <w:rsid w:val="009C0819"/>
    <w:rsid w:val="009C0A7A"/>
    <w:rsid w:val="009C2B2E"/>
    <w:rsid w:val="009C3BD7"/>
    <w:rsid w:val="009C40D8"/>
    <w:rsid w:val="009C5CEE"/>
    <w:rsid w:val="009C62F6"/>
    <w:rsid w:val="009C6A5F"/>
    <w:rsid w:val="009D18EC"/>
    <w:rsid w:val="009D242E"/>
    <w:rsid w:val="009D32D5"/>
    <w:rsid w:val="009D48D5"/>
    <w:rsid w:val="009D4F99"/>
    <w:rsid w:val="009D5096"/>
    <w:rsid w:val="009D5178"/>
    <w:rsid w:val="009D5C64"/>
    <w:rsid w:val="009D785C"/>
    <w:rsid w:val="009E1017"/>
    <w:rsid w:val="009E14B8"/>
    <w:rsid w:val="009E16E8"/>
    <w:rsid w:val="009E1907"/>
    <w:rsid w:val="009E2646"/>
    <w:rsid w:val="009E2BB0"/>
    <w:rsid w:val="009E313C"/>
    <w:rsid w:val="009E32EE"/>
    <w:rsid w:val="009E4E2F"/>
    <w:rsid w:val="009E565A"/>
    <w:rsid w:val="009E5FA7"/>
    <w:rsid w:val="009E646A"/>
    <w:rsid w:val="009E67D6"/>
    <w:rsid w:val="009E6D34"/>
    <w:rsid w:val="009F0F42"/>
    <w:rsid w:val="009F1E66"/>
    <w:rsid w:val="009F200B"/>
    <w:rsid w:val="009F2305"/>
    <w:rsid w:val="009F2409"/>
    <w:rsid w:val="009F2E61"/>
    <w:rsid w:val="009F2F35"/>
    <w:rsid w:val="009F3AE2"/>
    <w:rsid w:val="009F768B"/>
    <w:rsid w:val="009F78D9"/>
    <w:rsid w:val="009F7F50"/>
    <w:rsid w:val="00A044F7"/>
    <w:rsid w:val="00A05A42"/>
    <w:rsid w:val="00A06B10"/>
    <w:rsid w:val="00A0734F"/>
    <w:rsid w:val="00A07DA0"/>
    <w:rsid w:val="00A07F43"/>
    <w:rsid w:val="00A111AD"/>
    <w:rsid w:val="00A115F3"/>
    <w:rsid w:val="00A13D25"/>
    <w:rsid w:val="00A144F9"/>
    <w:rsid w:val="00A1484B"/>
    <w:rsid w:val="00A15058"/>
    <w:rsid w:val="00A152DF"/>
    <w:rsid w:val="00A15303"/>
    <w:rsid w:val="00A15C9A"/>
    <w:rsid w:val="00A16CCE"/>
    <w:rsid w:val="00A16EEB"/>
    <w:rsid w:val="00A20715"/>
    <w:rsid w:val="00A21E06"/>
    <w:rsid w:val="00A24411"/>
    <w:rsid w:val="00A24CF9"/>
    <w:rsid w:val="00A250F3"/>
    <w:rsid w:val="00A30BDB"/>
    <w:rsid w:val="00A32FE6"/>
    <w:rsid w:val="00A330C4"/>
    <w:rsid w:val="00A336A1"/>
    <w:rsid w:val="00A33845"/>
    <w:rsid w:val="00A3418D"/>
    <w:rsid w:val="00A34B72"/>
    <w:rsid w:val="00A36777"/>
    <w:rsid w:val="00A36D97"/>
    <w:rsid w:val="00A41386"/>
    <w:rsid w:val="00A41C20"/>
    <w:rsid w:val="00A41D54"/>
    <w:rsid w:val="00A424AB"/>
    <w:rsid w:val="00A43DBD"/>
    <w:rsid w:val="00A43E1A"/>
    <w:rsid w:val="00A452BB"/>
    <w:rsid w:val="00A458EF"/>
    <w:rsid w:val="00A46987"/>
    <w:rsid w:val="00A46F52"/>
    <w:rsid w:val="00A47130"/>
    <w:rsid w:val="00A4745B"/>
    <w:rsid w:val="00A47A76"/>
    <w:rsid w:val="00A50EAC"/>
    <w:rsid w:val="00A517FA"/>
    <w:rsid w:val="00A51AFD"/>
    <w:rsid w:val="00A52FD5"/>
    <w:rsid w:val="00A5310F"/>
    <w:rsid w:val="00A549E6"/>
    <w:rsid w:val="00A558C1"/>
    <w:rsid w:val="00A56134"/>
    <w:rsid w:val="00A56EB8"/>
    <w:rsid w:val="00A61CFC"/>
    <w:rsid w:val="00A61EB9"/>
    <w:rsid w:val="00A634C7"/>
    <w:rsid w:val="00A6373B"/>
    <w:rsid w:val="00A63B57"/>
    <w:rsid w:val="00A64902"/>
    <w:rsid w:val="00A65314"/>
    <w:rsid w:val="00A65373"/>
    <w:rsid w:val="00A655B0"/>
    <w:rsid w:val="00A67D16"/>
    <w:rsid w:val="00A7097F"/>
    <w:rsid w:val="00A72F35"/>
    <w:rsid w:val="00A74489"/>
    <w:rsid w:val="00A7531F"/>
    <w:rsid w:val="00A820FB"/>
    <w:rsid w:val="00A83D1E"/>
    <w:rsid w:val="00A84341"/>
    <w:rsid w:val="00A84FA5"/>
    <w:rsid w:val="00A92621"/>
    <w:rsid w:val="00A9333D"/>
    <w:rsid w:val="00A94318"/>
    <w:rsid w:val="00A94B4D"/>
    <w:rsid w:val="00A964B8"/>
    <w:rsid w:val="00A96636"/>
    <w:rsid w:val="00A966E9"/>
    <w:rsid w:val="00A9764E"/>
    <w:rsid w:val="00A97C27"/>
    <w:rsid w:val="00AA0F6F"/>
    <w:rsid w:val="00AA3BD8"/>
    <w:rsid w:val="00AA440A"/>
    <w:rsid w:val="00AA5B6D"/>
    <w:rsid w:val="00AA6800"/>
    <w:rsid w:val="00AA6865"/>
    <w:rsid w:val="00AA6FDD"/>
    <w:rsid w:val="00AB0224"/>
    <w:rsid w:val="00AB105E"/>
    <w:rsid w:val="00AB1B53"/>
    <w:rsid w:val="00AB1BB3"/>
    <w:rsid w:val="00AB1F18"/>
    <w:rsid w:val="00AB50AF"/>
    <w:rsid w:val="00AB591B"/>
    <w:rsid w:val="00AB67FC"/>
    <w:rsid w:val="00AC18EE"/>
    <w:rsid w:val="00AC215E"/>
    <w:rsid w:val="00AC2D93"/>
    <w:rsid w:val="00AC30E6"/>
    <w:rsid w:val="00AC3127"/>
    <w:rsid w:val="00AC36D4"/>
    <w:rsid w:val="00AC3925"/>
    <w:rsid w:val="00AC4B26"/>
    <w:rsid w:val="00AC4F6D"/>
    <w:rsid w:val="00AC5250"/>
    <w:rsid w:val="00AC5E24"/>
    <w:rsid w:val="00AC7E3D"/>
    <w:rsid w:val="00AD004D"/>
    <w:rsid w:val="00AD0CD6"/>
    <w:rsid w:val="00AD11B6"/>
    <w:rsid w:val="00AD14F4"/>
    <w:rsid w:val="00AD1C73"/>
    <w:rsid w:val="00AD2312"/>
    <w:rsid w:val="00AD366A"/>
    <w:rsid w:val="00AD3C8D"/>
    <w:rsid w:val="00AD61EE"/>
    <w:rsid w:val="00AD64DA"/>
    <w:rsid w:val="00AD6F9B"/>
    <w:rsid w:val="00AD7381"/>
    <w:rsid w:val="00AD74C4"/>
    <w:rsid w:val="00AD7F58"/>
    <w:rsid w:val="00AE0595"/>
    <w:rsid w:val="00AE2116"/>
    <w:rsid w:val="00AE3B63"/>
    <w:rsid w:val="00AE434C"/>
    <w:rsid w:val="00AE5069"/>
    <w:rsid w:val="00AE5168"/>
    <w:rsid w:val="00AE5478"/>
    <w:rsid w:val="00AE5920"/>
    <w:rsid w:val="00AE6459"/>
    <w:rsid w:val="00AE6876"/>
    <w:rsid w:val="00AF02B1"/>
    <w:rsid w:val="00AF0D92"/>
    <w:rsid w:val="00AF2084"/>
    <w:rsid w:val="00AF3A42"/>
    <w:rsid w:val="00AF4AA1"/>
    <w:rsid w:val="00AF4C5A"/>
    <w:rsid w:val="00AF5823"/>
    <w:rsid w:val="00AF6424"/>
    <w:rsid w:val="00B00186"/>
    <w:rsid w:val="00B00519"/>
    <w:rsid w:val="00B02119"/>
    <w:rsid w:val="00B021A3"/>
    <w:rsid w:val="00B036A5"/>
    <w:rsid w:val="00B044CB"/>
    <w:rsid w:val="00B04814"/>
    <w:rsid w:val="00B05B84"/>
    <w:rsid w:val="00B05FFA"/>
    <w:rsid w:val="00B0616E"/>
    <w:rsid w:val="00B06812"/>
    <w:rsid w:val="00B100CB"/>
    <w:rsid w:val="00B120F5"/>
    <w:rsid w:val="00B12143"/>
    <w:rsid w:val="00B13503"/>
    <w:rsid w:val="00B14E9D"/>
    <w:rsid w:val="00B15D61"/>
    <w:rsid w:val="00B17A36"/>
    <w:rsid w:val="00B21190"/>
    <w:rsid w:val="00B21530"/>
    <w:rsid w:val="00B21EB2"/>
    <w:rsid w:val="00B220CC"/>
    <w:rsid w:val="00B23F4D"/>
    <w:rsid w:val="00B2584C"/>
    <w:rsid w:val="00B25C76"/>
    <w:rsid w:val="00B268BC"/>
    <w:rsid w:val="00B3058A"/>
    <w:rsid w:val="00B306E1"/>
    <w:rsid w:val="00B309F5"/>
    <w:rsid w:val="00B31D4D"/>
    <w:rsid w:val="00B34159"/>
    <w:rsid w:val="00B342C7"/>
    <w:rsid w:val="00B34F6B"/>
    <w:rsid w:val="00B34FED"/>
    <w:rsid w:val="00B35709"/>
    <w:rsid w:val="00B3601D"/>
    <w:rsid w:val="00B371C0"/>
    <w:rsid w:val="00B37BCC"/>
    <w:rsid w:val="00B431B5"/>
    <w:rsid w:val="00B4346C"/>
    <w:rsid w:val="00B43AF7"/>
    <w:rsid w:val="00B44B54"/>
    <w:rsid w:val="00B4618F"/>
    <w:rsid w:val="00B461F0"/>
    <w:rsid w:val="00B47C7B"/>
    <w:rsid w:val="00B508CD"/>
    <w:rsid w:val="00B5129D"/>
    <w:rsid w:val="00B51611"/>
    <w:rsid w:val="00B516B4"/>
    <w:rsid w:val="00B549E9"/>
    <w:rsid w:val="00B55121"/>
    <w:rsid w:val="00B55672"/>
    <w:rsid w:val="00B55773"/>
    <w:rsid w:val="00B55A2B"/>
    <w:rsid w:val="00B55B0B"/>
    <w:rsid w:val="00B55CD7"/>
    <w:rsid w:val="00B572F9"/>
    <w:rsid w:val="00B57F3E"/>
    <w:rsid w:val="00B62DB8"/>
    <w:rsid w:val="00B6331F"/>
    <w:rsid w:val="00B64F56"/>
    <w:rsid w:val="00B66818"/>
    <w:rsid w:val="00B66E69"/>
    <w:rsid w:val="00B71BD3"/>
    <w:rsid w:val="00B71BFA"/>
    <w:rsid w:val="00B7215A"/>
    <w:rsid w:val="00B7219F"/>
    <w:rsid w:val="00B73445"/>
    <w:rsid w:val="00B73729"/>
    <w:rsid w:val="00B756E4"/>
    <w:rsid w:val="00B766A3"/>
    <w:rsid w:val="00B774EB"/>
    <w:rsid w:val="00B779AC"/>
    <w:rsid w:val="00B800BA"/>
    <w:rsid w:val="00B80FDC"/>
    <w:rsid w:val="00B81341"/>
    <w:rsid w:val="00B82642"/>
    <w:rsid w:val="00B85539"/>
    <w:rsid w:val="00B85FD7"/>
    <w:rsid w:val="00B878CD"/>
    <w:rsid w:val="00B9133C"/>
    <w:rsid w:val="00B91926"/>
    <w:rsid w:val="00B91BEF"/>
    <w:rsid w:val="00B91FD0"/>
    <w:rsid w:val="00B93D16"/>
    <w:rsid w:val="00BA044A"/>
    <w:rsid w:val="00BA149C"/>
    <w:rsid w:val="00BA2CCB"/>
    <w:rsid w:val="00BA2D3B"/>
    <w:rsid w:val="00BA3947"/>
    <w:rsid w:val="00BA4AC8"/>
    <w:rsid w:val="00BA5098"/>
    <w:rsid w:val="00BA5BF3"/>
    <w:rsid w:val="00BA5EBE"/>
    <w:rsid w:val="00BA630F"/>
    <w:rsid w:val="00BA72DF"/>
    <w:rsid w:val="00BB05D6"/>
    <w:rsid w:val="00BB0681"/>
    <w:rsid w:val="00BB2FEC"/>
    <w:rsid w:val="00BB3875"/>
    <w:rsid w:val="00BB448A"/>
    <w:rsid w:val="00BB4A26"/>
    <w:rsid w:val="00BB4D6E"/>
    <w:rsid w:val="00BB4E99"/>
    <w:rsid w:val="00BB5B9A"/>
    <w:rsid w:val="00BB6CA4"/>
    <w:rsid w:val="00BB7E16"/>
    <w:rsid w:val="00BC0248"/>
    <w:rsid w:val="00BC0CBC"/>
    <w:rsid w:val="00BC0F80"/>
    <w:rsid w:val="00BC1925"/>
    <w:rsid w:val="00BC2E65"/>
    <w:rsid w:val="00BC325D"/>
    <w:rsid w:val="00BC3304"/>
    <w:rsid w:val="00BC75B2"/>
    <w:rsid w:val="00BC79D0"/>
    <w:rsid w:val="00BD0C04"/>
    <w:rsid w:val="00BD1A5A"/>
    <w:rsid w:val="00BD2797"/>
    <w:rsid w:val="00BD4057"/>
    <w:rsid w:val="00BD4B40"/>
    <w:rsid w:val="00BD691B"/>
    <w:rsid w:val="00BD7277"/>
    <w:rsid w:val="00BD7EA6"/>
    <w:rsid w:val="00BE0869"/>
    <w:rsid w:val="00BE177D"/>
    <w:rsid w:val="00BE1A1B"/>
    <w:rsid w:val="00BE2646"/>
    <w:rsid w:val="00BE28A8"/>
    <w:rsid w:val="00BE2D3A"/>
    <w:rsid w:val="00BE30D7"/>
    <w:rsid w:val="00BE6564"/>
    <w:rsid w:val="00BF1790"/>
    <w:rsid w:val="00BF18EA"/>
    <w:rsid w:val="00BF25AD"/>
    <w:rsid w:val="00BF2602"/>
    <w:rsid w:val="00BF3CE2"/>
    <w:rsid w:val="00BF40E3"/>
    <w:rsid w:val="00BF45C0"/>
    <w:rsid w:val="00BF7B0C"/>
    <w:rsid w:val="00C00338"/>
    <w:rsid w:val="00C02CB2"/>
    <w:rsid w:val="00C04210"/>
    <w:rsid w:val="00C04715"/>
    <w:rsid w:val="00C05BAE"/>
    <w:rsid w:val="00C068D6"/>
    <w:rsid w:val="00C06F79"/>
    <w:rsid w:val="00C100A6"/>
    <w:rsid w:val="00C111D5"/>
    <w:rsid w:val="00C12CD5"/>
    <w:rsid w:val="00C13A21"/>
    <w:rsid w:val="00C14048"/>
    <w:rsid w:val="00C15160"/>
    <w:rsid w:val="00C15D66"/>
    <w:rsid w:val="00C15F28"/>
    <w:rsid w:val="00C160FF"/>
    <w:rsid w:val="00C161CC"/>
    <w:rsid w:val="00C162F4"/>
    <w:rsid w:val="00C17A28"/>
    <w:rsid w:val="00C2134F"/>
    <w:rsid w:val="00C21E12"/>
    <w:rsid w:val="00C22285"/>
    <w:rsid w:val="00C22A4B"/>
    <w:rsid w:val="00C25EBD"/>
    <w:rsid w:val="00C302AA"/>
    <w:rsid w:val="00C32B93"/>
    <w:rsid w:val="00C34680"/>
    <w:rsid w:val="00C35179"/>
    <w:rsid w:val="00C3787E"/>
    <w:rsid w:val="00C401DF"/>
    <w:rsid w:val="00C40320"/>
    <w:rsid w:val="00C409BC"/>
    <w:rsid w:val="00C41083"/>
    <w:rsid w:val="00C422C3"/>
    <w:rsid w:val="00C42F07"/>
    <w:rsid w:val="00C45069"/>
    <w:rsid w:val="00C45C9B"/>
    <w:rsid w:val="00C46C8F"/>
    <w:rsid w:val="00C506DA"/>
    <w:rsid w:val="00C50AA2"/>
    <w:rsid w:val="00C51CAB"/>
    <w:rsid w:val="00C51E68"/>
    <w:rsid w:val="00C528BB"/>
    <w:rsid w:val="00C54CB7"/>
    <w:rsid w:val="00C550C4"/>
    <w:rsid w:val="00C567E3"/>
    <w:rsid w:val="00C56897"/>
    <w:rsid w:val="00C568EB"/>
    <w:rsid w:val="00C57851"/>
    <w:rsid w:val="00C62C8C"/>
    <w:rsid w:val="00C64A2F"/>
    <w:rsid w:val="00C65B0E"/>
    <w:rsid w:val="00C66A39"/>
    <w:rsid w:val="00C67FCA"/>
    <w:rsid w:val="00C7037D"/>
    <w:rsid w:val="00C70E78"/>
    <w:rsid w:val="00C7324A"/>
    <w:rsid w:val="00C73751"/>
    <w:rsid w:val="00C75A7E"/>
    <w:rsid w:val="00C7667B"/>
    <w:rsid w:val="00C76BFE"/>
    <w:rsid w:val="00C76CD8"/>
    <w:rsid w:val="00C77D49"/>
    <w:rsid w:val="00C82F3D"/>
    <w:rsid w:val="00C832BC"/>
    <w:rsid w:val="00C83F67"/>
    <w:rsid w:val="00C84715"/>
    <w:rsid w:val="00C85848"/>
    <w:rsid w:val="00C85E11"/>
    <w:rsid w:val="00C86C2C"/>
    <w:rsid w:val="00C87C4C"/>
    <w:rsid w:val="00C91145"/>
    <w:rsid w:val="00C9142B"/>
    <w:rsid w:val="00C91790"/>
    <w:rsid w:val="00C92310"/>
    <w:rsid w:val="00C93789"/>
    <w:rsid w:val="00C93AB6"/>
    <w:rsid w:val="00C945BB"/>
    <w:rsid w:val="00C95EDD"/>
    <w:rsid w:val="00C965F8"/>
    <w:rsid w:val="00CA1ED6"/>
    <w:rsid w:val="00CA25B1"/>
    <w:rsid w:val="00CA3397"/>
    <w:rsid w:val="00CA4485"/>
    <w:rsid w:val="00CA5167"/>
    <w:rsid w:val="00CA6143"/>
    <w:rsid w:val="00CA66CC"/>
    <w:rsid w:val="00CB08B9"/>
    <w:rsid w:val="00CB2BE2"/>
    <w:rsid w:val="00CB563F"/>
    <w:rsid w:val="00CC035D"/>
    <w:rsid w:val="00CC106E"/>
    <w:rsid w:val="00CC1EC4"/>
    <w:rsid w:val="00CC3464"/>
    <w:rsid w:val="00CC4007"/>
    <w:rsid w:val="00CC54FE"/>
    <w:rsid w:val="00CC58BF"/>
    <w:rsid w:val="00CC620B"/>
    <w:rsid w:val="00CC6C66"/>
    <w:rsid w:val="00CC7092"/>
    <w:rsid w:val="00CC74CE"/>
    <w:rsid w:val="00CD00E6"/>
    <w:rsid w:val="00CD12AE"/>
    <w:rsid w:val="00CD14AF"/>
    <w:rsid w:val="00CD27EA"/>
    <w:rsid w:val="00CD3E70"/>
    <w:rsid w:val="00CD3F3E"/>
    <w:rsid w:val="00CD4ABD"/>
    <w:rsid w:val="00CD7FEF"/>
    <w:rsid w:val="00CE0864"/>
    <w:rsid w:val="00CE1D14"/>
    <w:rsid w:val="00CE2905"/>
    <w:rsid w:val="00CE34C1"/>
    <w:rsid w:val="00CE36A7"/>
    <w:rsid w:val="00CE4195"/>
    <w:rsid w:val="00CE41DD"/>
    <w:rsid w:val="00CE4621"/>
    <w:rsid w:val="00CF0EE4"/>
    <w:rsid w:val="00CF1E73"/>
    <w:rsid w:val="00CF2C9A"/>
    <w:rsid w:val="00CF39DB"/>
    <w:rsid w:val="00CF49CC"/>
    <w:rsid w:val="00CF56D3"/>
    <w:rsid w:val="00CF596F"/>
    <w:rsid w:val="00CF5EB9"/>
    <w:rsid w:val="00D00CAA"/>
    <w:rsid w:val="00D0114B"/>
    <w:rsid w:val="00D07E1B"/>
    <w:rsid w:val="00D1214E"/>
    <w:rsid w:val="00D12BA0"/>
    <w:rsid w:val="00D13546"/>
    <w:rsid w:val="00D13C92"/>
    <w:rsid w:val="00D17C2C"/>
    <w:rsid w:val="00D20FB6"/>
    <w:rsid w:val="00D22109"/>
    <w:rsid w:val="00D22CD4"/>
    <w:rsid w:val="00D23142"/>
    <w:rsid w:val="00D26E3E"/>
    <w:rsid w:val="00D275E4"/>
    <w:rsid w:val="00D307A0"/>
    <w:rsid w:val="00D30D7F"/>
    <w:rsid w:val="00D3271B"/>
    <w:rsid w:val="00D327C8"/>
    <w:rsid w:val="00D3412C"/>
    <w:rsid w:val="00D34BC7"/>
    <w:rsid w:val="00D3568A"/>
    <w:rsid w:val="00D36D05"/>
    <w:rsid w:val="00D36FFF"/>
    <w:rsid w:val="00D42DDF"/>
    <w:rsid w:val="00D43CE1"/>
    <w:rsid w:val="00D463FF"/>
    <w:rsid w:val="00D50664"/>
    <w:rsid w:val="00D50691"/>
    <w:rsid w:val="00D52F03"/>
    <w:rsid w:val="00D53048"/>
    <w:rsid w:val="00D5531C"/>
    <w:rsid w:val="00D556C2"/>
    <w:rsid w:val="00D558A6"/>
    <w:rsid w:val="00D57616"/>
    <w:rsid w:val="00D6192B"/>
    <w:rsid w:val="00D62219"/>
    <w:rsid w:val="00D62D3E"/>
    <w:rsid w:val="00D63C51"/>
    <w:rsid w:val="00D649FB"/>
    <w:rsid w:val="00D66138"/>
    <w:rsid w:val="00D67645"/>
    <w:rsid w:val="00D67B90"/>
    <w:rsid w:val="00D71EFF"/>
    <w:rsid w:val="00D72771"/>
    <w:rsid w:val="00D73847"/>
    <w:rsid w:val="00D74B89"/>
    <w:rsid w:val="00D752FB"/>
    <w:rsid w:val="00D77488"/>
    <w:rsid w:val="00D778D0"/>
    <w:rsid w:val="00D81CF1"/>
    <w:rsid w:val="00D82B1A"/>
    <w:rsid w:val="00D853B9"/>
    <w:rsid w:val="00D87EFD"/>
    <w:rsid w:val="00D87F29"/>
    <w:rsid w:val="00D90920"/>
    <w:rsid w:val="00D90D50"/>
    <w:rsid w:val="00D91270"/>
    <w:rsid w:val="00D925A7"/>
    <w:rsid w:val="00D92CCA"/>
    <w:rsid w:val="00D9382D"/>
    <w:rsid w:val="00D94E2E"/>
    <w:rsid w:val="00D9544E"/>
    <w:rsid w:val="00D95BCC"/>
    <w:rsid w:val="00D95BDD"/>
    <w:rsid w:val="00D96A15"/>
    <w:rsid w:val="00DA14E2"/>
    <w:rsid w:val="00DA261A"/>
    <w:rsid w:val="00DA3A52"/>
    <w:rsid w:val="00DA4D48"/>
    <w:rsid w:val="00DA5B1C"/>
    <w:rsid w:val="00DA6EC1"/>
    <w:rsid w:val="00DB0063"/>
    <w:rsid w:val="00DB0486"/>
    <w:rsid w:val="00DB1F86"/>
    <w:rsid w:val="00DB297E"/>
    <w:rsid w:val="00DB4E0F"/>
    <w:rsid w:val="00DB4F5C"/>
    <w:rsid w:val="00DB68EF"/>
    <w:rsid w:val="00DC18DB"/>
    <w:rsid w:val="00DC599E"/>
    <w:rsid w:val="00DC5E19"/>
    <w:rsid w:val="00DD0394"/>
    <w:rsid w:val="00DD1581"/>
    <w:rsid w:val="00DD469E"/>
    <w:rsid w:val="00DD5DDE"/>
    <w:rsid w:val="00DD6115"/>
    <w:rsid w:val="00DD71CA"/>
    <w:rsid w:val="00DE1D84"/>
    <w:rsid w:val="00DE3B86"/>
    <w:rsid w:val="00DE46DD"/>
    <w:rsid w:val="00DE4E8F"/>
    <w:rsid w:val="00DE664D"/>
    <w:rsid w:val="00DF03AE"/>
    <w:rsid w:val="00DF0FED"/>
    <w:rsid w:val="00DF14CB"/>
    <w:rsid w:val="00DF157F"/>
    <w:rsid w:val="00DF24E0"/>
    <w:rsid w:val="00DF32C2"/>
    <w:rsid w:val="00DF3C39"/>
    <w:rsid w:val="00DF3F92"/>
    <w:rsid w:val="00DF490C"/>
    <w:rsid w:val="00DF6247"/>
    <w:rsid w:val="00DF679A"/>
    <w:rsid w:val="00DF739E"/>
    <w:rsid w:val="00E009EA"/>
    <w:rsid w:val="00E00D39"/>
    <w:rsid w:val="00E01D57"/>
    <w:rsid w:val="00E0227D"/>
    <w:rsid w:val="00E02B1A"/>
    <w:rsid w:val="00E04F87"/>
    <w:rsid w:val="00E10179"/>
    <w:rsid w:val="00E12747"/>
    <w:rsid w:val="00E14882"/>
    <w:rsid w:val="00E15EEA"/>
    <w:rsid w:val="00E20499"/>
    <w:rsid w:val="00E20AE5"/>
    <w:rsid w:val="00E20ECC"/>
    <w:rsid w:val="00E21CE5"/>
    <w:rsid w:val="00E22F9E"/>
    <w:rsid w:val="00E23361"/>
    <w:rsid w:val="00E23E1F"/>
    <w:rsid w:val="00E24F2C"/>
    <w:rsid w:val="00E27676"/>
    <w:rsid w:val="00E30C56"/>
    <w:rsid w:val="00E32D9E"/>
    <w:rsid w:val="00E33D28"/>
    <w:rsid w:val="00E34349"/>
    <w:rsid w:val="00E35D8D"/>
    <w:rsid w:val="00E36614"/>
    <w:rsid w:val="00E3675A"/>
    <w:rsid w:val="00E378C5"/>
    <w:rsid w:val="00E408BF"/>
    <w:rsid w:val="00E412B5"/>
    <w:rsid w:val="00E4271F"/>
    <w:rsid w:val="00E42797"/>
    <w:rsid w:val="00E431CC"/>
    <w:rsid w:val="00E44509"/>
    <w:rsid w:val="00E46ED4"/>
    <w:rsid w:val="00E537B9"/>
    <w:rsid w:val="00E5433D"/>
    <w:rsid w:val="00E54D6E"/>
    <w:rsid w:val="00E55699"/>
    <w:rsid w:val="00E6207D"/>
    <w:rsid w:val="00E62409"/>
    <w:rsid w:val="00E63EBE"/>
    <w:rsid w:val="00E64E89"/>
    <w:rsid w:val="00E65F4C"/>
    <w:rsid w:val="00E66716"/>
    <w:rsid w:val="00E66C53"/>
    <w:rsid w:val="00E67F46"/>
    <w:rsid w:val="00E71041"/>
    <w:rsid w:val="00E710D9"/>
    <w:rsid w:val="00E7337F"/>
    <w:rsid w:val="00E75058"/>
    <w:rsid w:val="00E75F4F"/>
    <w:rsid w:val="00E76ADE"/>
    <w:rsid w:val="00E80C3C"/>
    <w:rsid w:val="00E815C6"/>
    <w:rsid w:val="00E82EFB"/>
    <w:rsid w:val="00E83230"/>
    <w:rsid w:val="00E84A7D"/>
    <w:rsid w:val="00E853AC"/>
    <w:rsid w:val="00E86B5D"/>
    <w:rsid w:val="00E87977"/>
    <w:rsid w:val="00E87D89"/>
    <w:rsid w:val="00E87FD7"/>
    <w:rsid w:val="00E9165C"/>
    <w:rsid w:val="00E95249"/>
    <w:rsid w:val="00E95340"/>
    <w:rsid w:val="00E96FD3"/>
    <w:rsid w:val="00E97391"/>
    <w:rsid w:val="00EA2AEA"/>
    <w:rsid w:val="00EA4A79"/>
    <w:rsid w:val="00EA4BC4"/>
    <w:rsid w:val="00EA5BD1"/>
    <w:rsid w:val="00EA5EF4"/>
    <w:rsid w:val="00EA5FE1"/>
    <w:rsid w:val="00EB1758"/>
    <w:rsid w:val="00EB25D1"/>
    <w:rsid w:val="00EB2FA8"/>
    <w:rsid w:val="00EB3262"/>
    <w:rsid w:val="00EB4B0A"/>
    <w:rsid w:val="00EB6769"/>
    <w:rsid w:val="00EC010E"/>
    <w:rsid w:val="00EC18DD"/>
    <w:rsid w:val="00EC265E"/>
    <w:rsid w:val="00EC2A2F"/>
    <w:rsid w:val="00EC2BAD"/>
    <w:rsid w:val="00EC3843"/>
    <w:rsid w:val="00EC41FF"/>
    <w:rsid w:val="00EC4C9F"/>
    <w:rsid w:val="00EC554B"/>
    <w:rsid w:val="00EC6222"/>
    <w:rsid w:val="00EC68E4"/>
    <w:rsid w:val="00ED0F84"/>
    <w:rsid w:val="00ED1461"/>
    <w:rsid w:val="00ED28A2"/>
    <w:rsid w:val="00ED29B4"/>
    <w:rsid w:val="00ED6C83"/>
    <w:rsid w:val="00ED74F8"/>
    <w:rsid w:val="00EE0062"/>
    <w:rsid w:val="00EE006F"/>
    <w:rsid w:val="00EE0556"/>
    <w:rsid w:val="00EE1AAE"/>
    <w:rsid w:val="00EE2016"/>
    <w:rsid w:val="00EE24B6"/>
    <w:rsid w:val="00EE5539"/>
    <w:rsid w:val="00EE5D9C"/>
    <w:rsid w:val="00EE651A"/>
    <w:rsid w:val="00EE7B34"/>
    <w:rsid w:val="00EF081D"/>
    <w:rsid w:val="00EF10E2"/>
    <w:rsid w:val="00EF1844"/>
    <w:rsid w:val="00EF38F6"/>
    <w:rsid w:val="00F00489"/>
    <w:rsid w:val="00F025B8"/>
    <w:rsid w:val="00F028BA"/>
    <w:rsid w:val="00F03086"/>
    <w:rsid w:val="00F03637"/>
    <w:rsid w:val="00F04074"/>
    <w:rsid w:val="00F04AC7"/>
    <w:rsid w:val="00F0504E"/>
    <w:rsid w:val="00F05672"/>
    <w:rsid w:val="00F07055"/>
    <w:rsid w:val="00F10D1B"/>
    <w:rsid w:val="00F12845"/>
    <w:rsid w:val="00F12F87"/>
    <w:rsid w:val="00F1331C"/>
    <w:rsid w:val="00F15E9E"/>
    <w:rsid w:val="00F16563"/>
    <w:rsid w:val="00F1691E"/>
    <w:rsid w:val="00F16A23"/>
    <w:rsid w:val="00F175AF"/>
    <w:rsid w:val="00F177E9"/>
    <w:rsid w:val="00F178F8"/>
    <w:rsid w:val="00F209CD"/>
    <w:rsid w:val="00F219AF"/>
    <w:rsid w:val="00F22C9A"/>
    <w:rsid w:val="00F25743"/>
    <w:rsid w:val="00F27A40"/>
    <w:rsid w:val="00F341D4"/>
    <w:rsid w:val="00F36303"/>
    <w:rsid w:val="00F3665E"/>
    <w:rsid w:val="00F36BEC"/>
    <w:rsid w:val="00F37C08"/>
    <w:rsid w:val="00F37D69"/>
    <w:rsid w:val="00F411A4"/>
    <w:rsid w:val="00F42950"/>
    <w:rsid w:val="00F4524A"/>
    <w:rsid w:val="00F4550E"/>
    <w:rsid w:val="00F47742"/>
    <w:rsid w:val="00F50286"/>
    <w:rsid w:val="00F527EE"/>
    <w:rsid w:val="00F53201"/>
    <w:rsid w:val="00F55866"/>
    <w:rsid w:val="00F570FA"/>
    <w:rsid w:val="00F6012C"/>
    <w:rsid w:val="00F60851"/>
    <w:rsid w:val="00F62745"/>
    <w:rsid w:val="00F6363F"/>
    <w:rsid w:val="00F6743A"/>
    <w:rsid w:val="00F7050D"/>
    <w:rsid w:val="00F7180F"/>
    <w:rsid w:val="00F7337E"/>
    <w:rsid w:val="00F750B3"/>
    <w:rsid w:val="00F760F6"/>
    <w:rsid w:val="00F8009B"/>
    <w:rsid w:val="00F80146"/>
    <w:rsid w:val="00F83328"/>
    <w:rsid w:val="00F843EA"/>
    <w:rsid w:val="00F852C3"/>
    <w:rsid w:val="00F85D7D"/>
    <w:rsid w:val="00F91224"/>
    <w:rsid w:val="00F91864"/>
    <w:rsid w:val="00F924A1"/>
    <w:rsid w:val="00F939BC"/>
    <w:rsid w:val="00F94300"/>
    <w:rsid w:val="00F94849"/>
    <w:rsid w:val="00F948BE"/>
    <w:rsid w:val="00F94ECA"/>
    <w:rsid w:val="00F96082"/>
    <w:rsid w:val="00F96792"/>
    <w:rsid w:val="00F97688"/>
    <w:rsid w:val="00FA0A71"/>
    <w:rsid w:val="00FA191C"/>
    <w:rsid w:val="00FA20C6"/>
    <w:rsid w:val="00FA2449"/>
    <w:rsid w:val="00FA3669"/>
    <w:rsid w:val="00FA73CB"/>
    <w:rsid w:val="00FB089E"/>
    <w:rsid w:val="00FB10C4"/>
    <w:rsid w:val="00FB10FE"/>
    <w:rsid w:val="00FB121A"/>
    <w:rsid w:val="00FB12F6"/>
    <w:rsid w:val="00FB159C"/>
    <w:rsid w:val="00FB36F3"/>
    <w:rsid w:val="00FB4C43"/>
    <w:rsid w:val="00FB4F32"/>
    <w:rsid w:val="00FB6897"/>
    <w:rsid w:val="00FB7F27"/>
    <w:rsid w:val="00FC2180"/>
    <w:rsid w:val="00FC280F"/>
    <w:rsid w:val="00FC494F"/>
    <w:rsid w:val="00FC4CB4"/>
    <w:rsid w:val="00FC5D42"/>
    <w:rsid w:val="00FD1075"/>
    <w:rsid w:val="00FD2108"/>
    <w:rsid w:val="00FD2E5B"/>
    <w:rsid w:val="00FD307D"/>
    <w:rsid w:val="00FD3F78"/>
    <w:rsid w:val="00FD4ACD"/>
    <w:rsid w:val="00FD56FA"/>
    <w:rsid w:val="00FD6916"/>
    <w:rsid w:val="00FD6A70"/>
    <w:rsid w:val="00FD6EB1"/>
    <w:rsid w:val="00FD73DE"/>
    <w:rsid w:val="00FD780F"/>
    <w:rsid w:val="00FD7E48"/>
    <w:rsid w:val="00FE0CC8"/>
    <w:rsid w:val="00FE1048"/>
    <w:rsid w:val="00FE23F1"/>
    <w:rsid w:val="00FE2760"/>
    <w:rsid w:val="00FE365D"/>
    <w:rsid w:val="00FE413F"/>
    <w:rsid w:val="00FE5FB1"/>
    <w:rsid w:val="00FE6AC1"/>
    <w:rsid w:val="00FE6F7E"/>
    <w:rsid w:val="00FF0ED5"/>
    <w:rsid w:val="00FF340B"/>
    <w:rsid w:val="00FF43DF"/>
    <w:rsid w:val="00FF4CEB"/>
    <w:rsid w:val="00FF56DC"/>
    <w:rsid w:val="00FF7A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40DA8"/>
  <w15:chartTrackingRefBased/>
  <w15:docId w15:val="{6123416F-AE0F-48C6-BF88-688CC69D0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16982"/>
  </w:style>
  <w:style w:type="paragraph" w:styleId="Ttulo3">
    <w:name w:val="heading 3"/>
    <w:basedOn w:val="Normal"/>
    <w:next w:val="Normal"/>
    <w:link w:val="Ttulo3Car"/>
    <w:rsid w:val="00586E48"/>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6982"/>
    <w:pPr>
      <w:ind w:left="720"/>
      <w:contextualSpacing/>
    </w:pPr>
  </w:style>
  <w:style w:type="table" w:styleId="Tablaconcuadrcula">
    <w:name w:val="Table Grid"/>
    <w:basedOn w:val="Tablanormal"/>
    <w:uiPriority w:val="39"/>
    <w:rsid w:val="00AA3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A5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A558C1"/>
    <w:rPr>
      <w:rFonts w:ascii="Courier New" w:eastAsia="Times New Roman" w:hAnsi="Courier New" w:cs="Courier New"/>
      <w:sz w:val="20"/>
      <w:szCs w:val="20"/>
      <w:lang w:eastAsia="es-MX"/>
    </w:rPr>
  </w:style>
  <w:style w:type="character" w:styleId="Refdecomentario">
    <w:name w:val="annotation reference"/>
    <w:basedOn w:val="Fuentedeprrafopredeter"/>
    <w:uiPriority w:val="99"/>
    <w:semiHidden/>
    <w:unhideWhenUsed/>
    <w:rsid w:val="009819F0"/>
    <w:rPr>
      <w:sz w:val="16"/>
      <w:szCs w:val="16"/>
    </w:rPr>
  </w:style>
  <w:style w:type="paragraph" w:styleId="Textocomentario">
    <w:name w:val="annotation text"/>
    <w:basedOn w:val="Normal"/>
    <w:link w:val="TextocomentarioCar"/>
    <w:uiPriority w:val="99"/>
    <w:semiHidden/>
    <w:unhideWhenUsed/>
    <w:rsid w:val="009819F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19F0"/>
    <w:rPr>
      <w:sz w:val="20"/>
      <w:szCs w:val="20"/>
    </w:rPr>
  </w:style>
  <w:style w:type="paragraph" w:styleId="Textodeglobo">
    <w:name w:val="Balloon Text"/>
    <w:basedOn w:val="Normal"/>
    <w:link w:val="TextodegloboCar"/>
    <w:uiPriority w:val="99"/>
    <w:semiHidden/>
    <w:unhideWhenUsed/>
    <w:rsid w:val="009819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19F0"/>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1A1589"/>
    <w:rPr>
      <w:b/>
      <w:bCs/>
    </w:rPr>
  </w:style>
  <w:style w:type="character" w:customStyle="1" w:styleId="AsuntodelcomentarioCar">
    <w:name w:val="Asunto del comentario Car"/>
    <w:basedOn w:val="TextocomentarioCar"/>
    <w:link w:val="Asuntodelcomentario"/>
    <w:uiPriority w:val="99"/>
    <w:semiHidden/>
    <w:rsid w:val="001A1589"/>
    <w:rPr>
      <w:b/>
      <w:bCs/>
      <w:sz w:val="20"/>
      <w:szCs w:val="20"/>
    </w:rPr>
  </w:style>
  <w:style w:type="character" w:styleId="Hipervnculo">
    <w:name w:val="Hyperlink"/>
    <w:basedOn w:val="Fuentedeprrafopredeter"/>
    <w:uiPriority w:val="99"/>
    <w:unhideWhenUsed/>
    <w:rsid w:val="00AE6459"/>
    <w:rPr>
      <w:color w:val="0563C1" w:themeColor="hyperlink"/>
      <w:u w:val="single"/>
    </w:rPr>
  </w:style>
  <w:style w:type="character" w:styleId="Textodelmarcadordeposicin">
    <w:name w:val="Placeholder Text"/>
    <w:basedOn w:val="Fuentedeprrafopredeter"/>
    <w:uiPriority w:val="99"/>
    <w:semiHidden/>
    <w:rsid w:val="008A56D5"/>
    <w:rPr>
      <w:color w:val="808080"/>
    </w:rPr>
  </w:style>
  <w:style w:type="character" w:styleId="Mencinsinresolver">
    <w:name w:val="Unresolved Mention"/>
    <w:basedOn w:val="Fuentedeprrafopredeter"/>
    <w:uiPriority w:val="99"/>
    <w:rsid w:val="00D22CD4"/>
    <w:rPr>
      <w:color w:val="605E5C"/>
      <w:shd w:val="clear" w:color="auto" w:fill="E1DFDD"/>
    </w:rPr>
  </w:style>
  <w:style w:type="paragraph" w:styleId="Textonotapie">
    <w:name w:val="footnote text"/>
    <w:basedOn w:val="Normal"/>
    <w:link w:val="TextonotapieCar"/>
    <w:uiPriority w:val="99"/>
    <w:semiHidden/>
    <w:unhideWhenUsed/>
    <w:rsid w:val="001E39A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E39AA"/>
    <w:rPr>
      <w:sz w:val="20"/>
      <w:szCs w:val="20"/>
    </w:rPr>
  </w:style>
  <w:style w:type="character" w:styleId="Refdenotaalpie">
    <w:name w:val="footnote reference"/>
    <w:basedOn w:val="Fuentedeprrafopredeter"/>
    <w:uiPriority w:val="99"/>
    <w:semiHidden/>
    <w:unhideWhenUsed/>
    <w:rsid w:val="001E39AA"/>
    <w:rPr>
      <w:vertAlign w:val="superscript"/>
    </w:rPr>
  </w:style>
  <w:style w:type="paragraph" w:styleId="Encabezado">
    <w:name w:val="header"/>
    <w:basedOn w:val="Normal"/>
    <w:link w:val="EncabezadoCar"/>
    <w:uiPriority w:val="99"/>
    <w:unhideWhenUsed/>
    <w:rsid w:val="007373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7371"/>
  </w:style>
  <w:style w:type="paragraph" w:styleId="Piedepgina">
    <w:name w:val="footer"/>
    <w:basedOn w:val="Normal"/>
    <w:link w:val="PiedepginaCar"/>
    <w:uiPriority w:val="99"/>
    <w:unhideWhenUsed/>
    <w:rsid w:val="007373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7371"/>
  </w:style>
  <w:style w:type="character" w:customStyle="1" w:styleId="Ttulo3Car">
    <w:name w:val="Título 3 Car"/>
    <w:basedOn w:val="Fuentedeprrafopredeter"/>
    <w:link w:val="Ttulo3"/>
    <w:rsid w:val="00586E48"/>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890267">
      <w:bodyDiv w:val="1"/>
      <w:marLeft w:val="0"/>
      <w:marRight w:val="0"/>
      <w:marTop w:val="0"/>
      <w:marBottom w:val="0"/>
      <w:divBdr>
        <w:top w:val="none" w:sz="0" w:space="0" w:color="auto"/>
        <w:left w:val="none" w:sz="0" w:space="0" w:color="auto"/>
        <w:bottom w:val="none" w:sz="0" w:space="0" w:color="auto"/>
        <w:right w:val="none" w:sz="0" w:space="0" w:color="auto"/>
      </w:divBdr>
    </w:div>
    <w:div w:id="194353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nd.gob.mx/wp-content/uploads/2013/05/PND.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9i18.4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BFC20-844B-4D28-ADEC-A9842B2D6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29</Pages>
  <Words>21103</Words>
  <Characters>116069</Characters>
  <Application>Microsoft Office Word</Application>
  <DocSecurity>0</DocSecurity>
  <Lines>967</Lines>
  <Paragraphs>273</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136899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Naira Niktè Santillan</cp:lastModifiedBy>
  <cp:revision>4</cp:revision>
  <cp:lastPrinted>2018-08-24T07:08:00Z</cp:lastPrinted>
  <dcterms:created xsi:type="dcterms:W3CDTF">2019-04-04T19:50:00Z</dcterms:created>
  <dcterms:modified xsi:type="dcterms:W3CDTF">2019-04-05T01:49:00Z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d028dbbd-4537-3ad5-a30e-895c30a2c826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