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1D6A" w14:textId="72684115" w:rsidR="003A5F2B" w:rsidRPr="004D7FF9" w:rsidRDefault="004D7FF9" w:rsidP="004D7FF9">
      <w:pPr>
        <w:pStyle w:val="Ttulo1"/>
        <w:spacing w:before="240" w:after="240"/>
        <w:jc w:val="right"/>
        <w:rPr>
          <w:i/>
          <w:szCs w:val="20"/>
        </w:rPr>
      </w:pPr>
      <w:bookmarkStart w:id="0" w:name="_Hlk9840256"/>
      <w:r w:rsidRPr="004D7FF9">
        <w:rPr>
          <w:i/>
          <w:szCs w:val="20"/>
        </w:rPr>
        <w:t>https://doi.org/10.23913/ride.v10i19.503</w:t>
      </w:r>
    </w:p>
    <w:p w14:paraId="75664B30" w14:textId="6FFBA2DE" w:rsidR="003A5F2B" w:rsidRPr="00474A1F" w:rsidRDefault="004D7FF9" w:rsidP="003A5F2B">
      <w:pPr>
        <w:pStyle w:val="Ttulo1"/>
        <w:spacing w:before="240" w:after="240"/>
        <w:jc w:val="right"/>
      </w:pPr>
      <w:r>
        <w:rPr>
          <w:i/>
          <w:szCs w:val="20"/>
        </w:rPr>
        <w:t>A</w:t>
      </w:r>
      <w:r w:rsidR="003A5F2B" w:rsidRPr="00474A1F">
        <w:rPr>
          <w:i/>
          <w:szCs w:val="20"/>
        </w:rPr>
        <w:t>rtículos Científicos</w:t>
      </w:r>
    </w:p>
    <w:p w14:paraId="2E702086" w14:textId="43786CCD" w:rsidR="005C46B7" w:rsidRPr="00D93FE6" w:rsidRDefault="005C46B7" w:rsidP="00D93FE6">
      <w:pPr>
        <w:pStyle w:val="Ttulo1"/>
        <w:spacing w:line="276" w:lineRule="auto"/>
        <w:jc w:val="right"/>
        <w:rPr>
          <w:rFonts w:ascii="Calibri" w:hAnsi="Calibri" w:cs="Calibri"/>
          <w:color w:val="000000"/>
          <w:sz w:val="36"/>
          <w:szCs w:val="36"/>
        </w:rPr>
      </w:pPr>
      <w:r w:rsidRPr="00D93FE6">
        <w:rPr>
          <w:rFonts w:ascii="Calibri" w:hAnsi="Calibri" w:cs="Calibri"/>
          <w:color w:val="000000"/>
          <w:sz w:val="36"/>
          <w:szCs w:val="36"/>
        </w:rPr>
        <w:t>I</w:t>
      </w:r>
      <w:r w:rsidR="00CB18A7" w:rsidRPr="00D93FE6">
        <w:rPr>
          <w:rFonts w:ascii="Calibri" w:hAnsi="Calibri" w:cs="Calibri"/>
          <w:color w:val="000000"/>
          <w:sz w:val="36"/>
          <w:szCs w:val="36"/>
        </w:rPr>
        <w:t>nnovación</w:t>
      </w:r>
      <w:r w:rsidR="004F6CE0" w:rsidRPr="00D93FE6">
        <w:rPr>
          <w:rFonts w:ascii="Calibri" w:hAnsi="Calibri" w:cs="Calibri"/>
          <w:color w:val="000000"/>
          <w:sz w:val="36"/>
          <w:szCs w:val="36"/>
        </w:rPr>
        <w:t xml:space="preserve"> </w:t>
      </w:r>
      <w:r w:rsidR="00CB18A7" w:rsidRPr="00D93FE6">
        <w:rPr>
          <w:rFonts w:ascii="Calibri" w:hAnsi="Calibri" w:cs="Calibri"/>
          <w:color w:val="000000"/>
          <w:sz w:val="36"/>
          <w:szCs w:val="36"/>
        </w:rPr>
        <w:t>y</w:t>
      </w:r>
      <w:r w:rsidRPr="00D93FE6">
        <w:rPr>
          <w:rFonts w:ascii="Calibri" w:hAnsi="Calibri" w:cs="Calibri"/>
          <w:color w:val="000000"/>
          <w:sz w:val="36"/>
          <w:szCs w:val="36"/>
        </w:rPr>
        <w:t xml:space="preserve"> </w:t>
      </w:r>
      <w:r w:rsidR="00CB18A7" w:rsidRPr="00D93FE6">
        <w:rPr>
          <w:rFonts w:ascii="Calibri" w:hAnsi="Calibri" w:cs="Calibri"/>
          <w:color w:val="000000"/>
          <w:sz w:val="36"/>
          <w:szCs w:val="36"/>
        </w:rPr>
        <w:t>transferencia de</w:t>
      </w:r>
      <w:r w:rsidR="00311568" w:rsidRPr="00D93FE6">
        <w:rPr>
          <w:rFonts w:ascii="Calibri" w:hAnsi="Calibri" w:cs="Calibri"/>
          <w:color w:val="000000"/>
          <w:sz w:val="36"/>
          <w:szCs w:val="36"/>
        </w:rPr>
        <w:t xml:space="preserve"> </w:t>
      </w:r>
      <w:r w:rsidR="00CB18A7" w:rsidRPr="00D93FE6">
        <w:rPr>
          <w:rFonts w:ascii="Calibri" w:hAnsi="Calibri" w:cs="Calibri"/>
          <w:color w:val="000000"/>
          <w:sz w:val="36"/>
          <w:szCs w:val="36"/>
        </w:rPr>
        <w:t>tecnología en</w:t>
      </w:r>
      <w:r w:rsidRPr="00D93FE6">
        <w:rPr>
          <w:rFonts w:ascii="Calibri" w:hAnsi="Calibri" w:cs="Calibri"/>
          <w:color w:val="000000"/>
          <w:sz w:val="36"/>
          <w:szCs w:val="36"/>
        </w:rPr>
        <w:t xml:space="preserve"> </w:t>
      </w:r>
      <w:r w:rsidR="00CB18A7" w:rsidRPr="00D93FE6">
        <w:rPr>
          <w:rFonts w:ascii="Calibri" w:hAnsi="Calibri" w:cs="Calibri"/>
          <w:color w:val="000000"/>
          <w:sz w:val="36"/>
          <w:szCs w:val="36"/>
        </w:rPr>
        <w:t>México.</w:t>
      </w:r>
      <w:r w:rsidR="003A5F2B" w:rsidRPr="00D93FE6">
        <w:rPr>
          <w:rFonts w:ascii="Calibri" w:hAnsi="Calibri" w:cs="Calibri"/>
          <w:color w:val="000000"/>
          <w:sz w:val="36"/>
          <w:szCs w:val="36"/>
        </w:rPr>
        <w:t xml:space="preserve"> </w:t>
      </w:r>
      <w:r w:rsidRPr="00D93FE6">
        <w:rPr>
          <w:rFonts w:ascii="Calibri" w:hAnsi="Calibri" w:cs="Calibri"/>
          <w:color w:val="000000"/>
          <w:sz w:val="36"/>
          <w:szCs w:val="36"/>
        </w:rPr>
        <w:t xml:space="preserve">Un análisis </w:t>
      </w:r>
      <w:r w:rsidR="006D5EA8" w:rsidRPr="00D93FE6">
        <w:rPr>
          <w:rFonts w:ascii="Calibri" w:hAnsi="Calibri" w:cs="Calibri"/>
          <w:color w:val="000000"/>
          <w:sz w:val="36"/>
          <w:szCs w:val="36"/>
        </w:rPr>
        <w:t xml:space="preserve">empírico </w:t>
      </w:r>
      <w:r w:rsidRPr="00D93FE6">
        <w:rPr>
          <w:rFonts w:ascii="Calibri" w:hAnsi="Calibri" w:cs="Calibri"/>
          <w:color w:val="000000"/>
          <w:sz w:val="36"/>
          <w:szCs w:val="36"/>
        </w:rPr>
        <w:t>de datos panel</w:t>
      </w:r>
    </w:p>
    <w:p w14:paraId="38B70CE7" w14:textId="10DF005E" w:rsidR="003A5F2B" w:rsidRPr="00D93FE6" w:rsidRDefault="003A5F2B" w:rsidP="00D93FE6">
      <w:pPr>
        <w:spacing w:after="0" w:line="276" w:lineRule="auto"/>
        <w:jc w:val="right"/>
        <w:rPr>
          <w:rFonts w:ascii="Calibri" w:eastAsia="Times New Roman" w:hAnsi="Calibri" w:cs="Calibri"/>
          <w:b/>
          <w:i/>
          <w:color w:val="000000"/>
          <w:sz w:val="28"/>
          <w:szCs w:val="36"/>
          <w:lang w:eastAsia="es-MX"/>
        </w:rPr>
      </w:pPr>
      <w:r w:rsidRPr="00D93FE6">
        <w:rPr>
          <w:rFonts w:ascii="Calibri" w:eastAsia="Times New Roman" w:hAnsi="Calibri" w:cs="Calibri"/>
          <w:b/>
          <w:color w:val="000000"/>
          <w:sz w:val="36"/>
          <w:szCs w:val="36"/>
          <w:lang w:eastAsia="es-MX"/>
        </w:rPr>
        <w:br/>
      </w:r>
      <w:proofErr w:type="spellStart"/>
      <w:r w:rsidRPr="00D93FE6">
        <w:rPr>
          <w:rFonts w:ascii="Calibri" w:eastAsia="Times New Roman" w:hAnsi="Calibri" w:cs="Calibri"/>
          <w:b/>
          <w:i/>
          <w:color w:val="000000"/>
          <w:sz w:val="28"/>
          <w:szCs w:val="36"/>
          <w:lang w:eastAsia="es-MX"/>
        </w:rPr>
        <w:t>Scientific</w:t>
      </w:r>
      <w:proofErr w:type="spellEnd"/>
      <w:r w:rsidRPr="00D93FE6">
        <w:rPr>
          <w:rFonts w:ascii="Calibri" w:eastAsia="Times New Roman" w:hAnsi="Calibri" w:cs="Calibri"/>
          <w:b/>
          <w:i/>
          <w:color w:val="000000"/>
          <w:sz w:val="28"/>
          <w:szCs w:val="36"/>
          <w:lang w:eastAsia="es-MX"/>
        </w:rPr>
        <w:t xml:space="preserve"> </w:t>
      </w:r>
      <w:proofErr w:type="spellStart"/>
      <w:r w:rsidRPr="00D93FE6">
        <w:rPr>
          <w:rFonts w:ascii="Calibri" w:eastAsia="Times New Roman" w:hAnsi="Calibri" w:cs="Calibri"/>
          <w:b/>
          <w:i/>
          <w:color w:val="000000"/>
          <w:sz w:val="28"/>
          <w:szCs w:val="36"/>
          <w:lang w:eastAsia="es-MX"/>
        </w:rPr>
        <w:t>Innovation</w:t>
      </w:r>
      <w:proofErr w:type="spellEnd"/>
      <w:r w:rsidRPr="00D93FE6">
        <w:rPr>
          <w:rFonts w:ascii="Calibri" w:eastAsia="Times New Roman" w:hAnsi="Calibri" w:cs="Calibri"/>
          <w:b/>
          <w:i/>
          <w:color w:val="000000"/>
          <w:sz w:val="28"/>
          <w:szCs w:val="36"/>
          <w:lang w:eastAsia="es-MX"/>
        </w:rPr>
        <w:t xml:space="preserve"> And Transfer </w:t>
      </w:r>
      <w:proofErr w:type="spellStart"/>
      <w:r w:rsidRPr="00D93FE6">
        <w:rPr>
          <w:rFonts w:ascii="Calibri" w:eastAsia="Times New Roman" w:hAnsi="Calibri" w:cs="Calibri"/>
          <w:b/>
          <w:i/>
          <w:color w:val="000000"/>
          <w:sz w:val="28"/>
          <w:szCs w:val="36"/>
          <w:lang w:eastAsia="es-MX"/>
        </w:rPr>
        <w:t>Of</w:t>
      </w:r>
      <w:proofErr w:type="spellEnd"/>
      <w:r w:rsidRPr="00D93FE6">
        <w:rPr>
          <w:rFonts w:ascii="Calibri" w:eastAsia="Times New Roman" w:hAnsi="Calibri" w:cs="Calibri"/>
          <w:b/>
          <w:i/>
          <w:color w:val="000000"/>
          <w:sz w:val="28"/>
          <w:szCs w:val="36"/>
          <w:lang w:eastAsia="es-MX"/>
        </w:rPr>
        <w:t xml:space="preserve"> </w:t>
      </w:r>
      <w:proofErr w:type="spellStart"/>
      <w:r w:rsidRPr="00D93FE6">
        <w:rPr>
          <w:rFonts w:ascii="Calibri" w:eastAsia="Times New Roman" w:hAnsi="Calibri" w:cs="Calibri"/>
          <w:b/>
          <w:i/>
          <w:color w:val="000000"/>
          <w:sz w:val="28"/>
          <w:szCs w:val="36"/>
          <w:lang w:eastAsia="es-MX"/>
        </w:rPr>
        <w:t>Technology</w:t>
      </w:r>
      <w:proofErr w:type="spellEnd"/>
      <w:r w:rsidRPr="00D93FE6">
        <w:rPr>
          <w:rFonts w:ascii="Calibri" w:eastAsia="Times New Roman" w:hAnsi="Calibri" w:cs="Calibri"/>
          <w:b/>
          <w:i/>
          <w:color w:val="000000"/>
          <w:sz w:val="28"/>
          <w:szCs w:val="36"/>
          <w:lang w:eastAsia="es-MX"/>
        </w:rPr>
        <w:t xml:space="preserve"> In </w:t>
      </w:r>
      <w:proofErr w:type="spellStart"/>
      <w:r w:rsidRPr="00D93FE6">
        <w:rPr>
          <w:rFonts w:ascii="Calibri" w:eastAsia="Times New Roman" w:hAnsi="Calibri" w:cs="Calibri"/>
          <w:b/>
          <w:i/>
          <w:color w:val="000000"/>
          <w:sz w:val="28"/>
          <w:szCs w:val="36"/>
          <w:lang w:eastAsia="es-MX"/>
        </w:rPr>
        <w:t>Mexico</w:t>
      </w:r>
      <w:proofErr w:type="spellEnd"/>
      <w:r w:rsidRPr="00D93FE6">
        <w:rPr>
          <w:rFonts w:ascii="Calibri" w:eastAsia="Times New Roman" w:hAnsi="Calibri" w:cs="Calibri"/>
          <w:b/>
          <w:i/>
          <w:color w:val="000000"/>
          <w:sz w:val="28"/>
          <w:szCs w:val="36"/>
          <w:lang w:eastAsia="es-MX"/>
        </w:rPr>
        <w:t xml:space="preserve">. A factor </w:t>
      </w:r>
      <w:proofErr w:type="spellStart"/>
      <w:r w:rsidRPr="00D93FE6">
        <w:rPr>
          <w:rFonts w:ascii="Calibri" w:eastAsia="Times New Roman" w:hAnsi="Calibri" w:cs="Calibri"/>
          <w:b/>
          <w:i/>
          <w:color w:val="000000"/>
          <w:sz w:val="28"/>
          <w:szCs w:val="36"/>
          <w:lang w:eastAsia="es-MX"/>
        </w:rPr>
        <w:t>analysis</w:t>
      </w:r>
      <w:proofErr w:type="spellEnd"/>
      <w:r w:rsidRPr="00D93FE6">
        <w:rPr>
          <w:rFonts w:ascii="Calibri" w:eastAsia="Times New Roman" w:hAnsi="Calibri" w:cs="Calibri"/>
          <w:b/>
          <w:i/>
          <w:color w:val="000000"/>
          <w:sz w:val="28"/>
          <w:szCs w:val="36"/>
          <w:lang w:eastAsia="es-MX"/>
        </w:rPr>
        <w:t xml:space="preserve"> </w:t>
      </w:r>
      <w:proofErr w:type="spellStart"/>
      <w:r w:rsidRPr="00D93FE6">
        <w:rPr>
          <w:rFonts w:ascii="Calibri" w:eastAsia="Times New Roman" w:hAnsi="Calibri" w:cs="Calibri"/>
          <w:b/>
          <w:i/>
          <w:color w:val="000000"/>
          <w:sz w:val="28"/>
          <w:szCs w:val="36"/>
          <w:lang w:eastAsia="es-MX"/>
        </w:rPr>
        <w:t>of</w:t>
      </w:r>
      <w:proofErr w:type="spellEnd"/>
      <w:r w:rsidRPr="00D93FE6">
        <w:rPr>
          <w:rFonts w:ascii="Calibri" w:eastAsia="Times New Roman" w:hAnsi="Calibri" w:cs="Calibri"/>
          <w:b/>
          <w:i/>
          <w:color w:val="000000"/>
          <w:sz w:val="28"/>
          <w:szCs w:val="36"/>
          <w:lang w:eastAsia="es-MX"/>
        </w:rPr>
        <w:t xml:space="preserve"> data panel</w:t>
      </w:r>
    </w:p>
    <w:p w14:paraId="2C8DCCCC" w14:textId="561DBEE9" w:rsidR="003A5F2B" w:rsidRPr="00D93FE6" w:rsidRDefault="003A5F2B" w:rsidP="00D93FE6">
      <w:pPr>
        <w:spacing w:after="0" w:line="276" w:lineRule="auto"/>
        <w:jc w:val="right"/>
        <w:rPr>
          <w:rFonts w:ascii="Calibri" w:eastAsia="Times New Roman" w:hAnsi="Calibri" w:cs="Calibri"/>
          <w:b/>
          <w:i/>
          <w:color w:val="000000"/>
          <w:sz w:val="28"/>
          <w:szCs w:val="36"/>
          <w:lang w:eastAsia="es-MX"/>
        </w:rPr>
      </w:pPr>
      <w:r w:rsidRPr="00D93FE6">
        <w:rPr>
          <w:rFonts w:ascii="Calibri" w:eastAsia="Times New Roman" w:hAnsi="Calibri" w:cs="Calibri"/>
          <w:b/>
          <w:i/>
          <w:color w:val="000000"/>
          <w:sz w:val="28"/>
          <w:szCs w:val="36"/>
          <w:lang w:eastAsia="es-MX"/>
        </w:rPr>
        <w:br/>
      </w:r>
      <w:proofErr w:type="spellStart"/>
      <w:r w:rsidRPr="00D93FE6">
        <w:rPr>
          <w:rFonts w:ascii="Calibri" w:eastAsia="Times New Roman" w:hAnsi="Calibri" w:cs="Calibri"/>
          <w:b/>
          <w:i/>
          <w:color w:val="000000"/>
          <w:sz w:val="28"/>
          <w:szCs w:val="36"/>
          <w:lang w:eastAsia="es-MX"/>
        </w:rPr>
        <w:t>Inovação</w:t>
      </w:r>
      <w:proofErr w:type="spellEnd"/>
      <w:r w:rsidRPr="00D93FE6">
        <w:rPr>
          <w:rFonts w:ascii="Calibri" w:eastAsia="Times New Roman" w:hAnsi="Calibri" w:cs="Calibri"/>
          <w:b/>
          <w:i/>
          <w:color w:val="000000"/>
          <w:sz w:val="28"/>
          <w:szCs w:val="36"/>
          <w:lang w:eastAsia="es-MX"/>
        </w:rPr>
        <w:t xml:space="preserve"> e </w:t>
      </w:r>
      <w:proofErr w:type="spellStart"/>
      <w:r w:rsidRPr="00D93FE6">
        <w:rPr>
          <w:rFonts w:ascii="Calibri" w:eastAsia="Times New Roman" w:hAnsi="Calibri" w:cs="Calibri"/>
          <w:b/>
          <w:i/>
          <w:color w:val="000000"/>
          <w:sz w:val="28"/>
          <w:szCs w:val="36"/>
          <w:lang w:eastAsia="es-MX"/>
        </w:rPr>
        <w:t>transferência</w:t>
      </w:r>
      <w:proofErr w:type="spellEnd"/>
      <w:r w:rsidRPr="00D93FE6">
        <w:rPr>
          <w:rFonts w:ascii="Calibri" w:eastAsia="Times New Roman" w:hAnsi="Calibri" w:cs="Calibri"/>
          <w:b/>
          <w:i/>
          <w:color w:val="000000"/>
          <w:sz w:val="28"/>
          <w:szCs w:val="36"/>
          <w:lang w:eastAsia="es-MX"/>
        </w:rPr>
        <w:t xml:space="preserve"> de </w:t>
      </w:r>
      <w:proofErr w:type="spellStart"/>
      <w:r w:rsidRPr="00D93FE6">
        <w:rPr>
          <w:rFonts w:ascii="Calibri" w:eastAsia="Times New Roman" w:hAnsi="Calibri" w:cs="Calibri"/>
          <w:b/>
          <w:i/>
          <w:color w:val="000000"/>
          <w:sz w:val="28"/>
          <w:szCs w:val="36"/>
          <w:lang w:eastAsia="es-MX"/>
        </w:rPr>
        <w:t>tecnologia</w:t>
      </w:r>
      <w:proofErr w:type="spellEnd"/>
      <w:r w:rsidRPr="00D93FE6">
        <w:rPr>
          <w:rFonts w:ascii="Calibri" w:eastAsia="Times New Roman" w:hAnsi="Calibri" w:cs="Calibri"/>
          <w:b/>
          <w:i/>
          <w:color w:val="000000"/>
          <w:sz w:val="28"/>
          <w:szCs w:val="36"/>
          <w:lang w:eastAsia="es-MX"/>
        </w:rPr>
        <w:t xml:space="preserve"> no México. </w:t>
      </w:r>
      <w:proofErr w:type="spellStart"/>
      <w:r w:rsidRPr="00D93FE6">
        <w:rPr>
          <w:rFonts w:ascii="Calibri" w:eastAsia="Times New Roman" w:hAnsi="Calibri" w:cs="Calibri"/>
          <w:b/>
          <w:i/>
          <w:color w:val="000000"/>
          <w:sz w:val="28"/>
          <w:szCs w:val="36"/>
          <w:lang w:eastAsia="es-MX"/>
        </w:rPr>
        <w:t>Uma</w:t>
      </w:r>
      <w:proofErr w:type="spellEnd"/>
      <w:r w:rsidRPr="00D93FE6">
        <w:rPr>
          <w:rFonts w:ascii="Calibri" w:eastAsia="Times New Roman" w:hAnsi="Calibri" w:cs="Calibri"/>
          <w:b/>
          <w:i/>
          <w:color w:val="000000"/>
          <w:sz w:val="28"/>
          <w:szCs w:val="36"/>
          <w:lang w:eastAsia="es-MX"/>
        </w:rPr>
        <w:t xml:space="preserve"> </w:t>
      </w:r>
      <w:proofErr w:type="spellStart"/>
      <w:r w:rsidRPr="00D93FE6">
        <w:rPr>
          <w:rFonts w:ascii="Calibri" w:eastAsia="Times New Roman" w:hAnsi="Calibri" w:cs="Calibri"/>
          <w:b/>
          <w:i/>
          <w:color w:val="000000"/>
          <w:sz w:val="28"/>
          <w:szCs w:val="36"/>
          <w:lang w:eastAsia="es-MX"/>
        </w:rPr>
        <w:t>análise</w:t>
      </w:r>
      <w:proofErr w:type="spellEnd"/>
      <w:r w:rsidRPr="00D93FE6">
        <w:rPr>
          <w:rFonts w:ascii="Calibri" w:eastAsia="Times New Roman" w:hAnsi="Calibri" w:cs="Calibri"/>
          <w:b/>
          <w:i/>
          <w:color w:val="000000"/>
          <w:sz w:val="28"/>
          <w:szCs w:val="36"/>
          <w:lang w:eastAsia="es-MX"/>
        </w:rPr>
        <w:t xml:space="preserve"> empírica do painel de dados</w:t>
      </w:r>
    </w:p>
    <w:p w14:paraId="56867CCF" w14:textId="77777777" w:rsidR="00474A1F" w:rsidRPr="00474A1F" w:rsidRDefault="00474A1F" w:rsidP="00474A1F">
      <w:pPr>
        <w:jc w:val="right"/>
        <w:rPr>
          <w:rFonts w:ascii="Times New Roman" w:hAnsi="Times New Roman" w:cs="Times New Roman"/>
          <w:b/>
          <w:bCs/>
          <w:lang w:eastAsia="es-MX"/>
        </w:rPr>
      </w:pPr>
    </w:p>
    <w:p w14:paraId="0C141852" w14:textId="7BC9065D" w:rsidR="00474A1F" w:rsidRPr="00D93FE6" w:rsidRDefault="00474A1F" w:rsidP="00D93FE6">
      <w:pPr>
        <w:spacing w:line="276" w:lineRule="auto"/>
        <w:jc w:val="right"/>
        <w:rPr>
          <w:rFonts w:ascii="Times New Roman" w:hAnsi="Times New Roman" w:cs="Times New Roman"/>
          <w:sz w:val="32"/>
          <w:lang w:eastAsia="es-MX"/>
        </w:rPr>
      </w:pPr>
      <w:r w:rsidRPr="00D93FE6">
        <w:rPr>
          <w:rFonts w:ascii="Calibri" w:hAnsi="Calibri" w:cs="Calibri"/>
          <w:b/>
          <w:sz w:val="24"/>
          <w:szCs w:val="24"/>
          <w:u w:color="000000"/>
          <w:lang w:val="es-ES_tradnl" w:eastAsia="es-ES_tradnl"/>
        </w:rPr>
        <w:t>Omar Alejandro Pérez Cruz</w:t>
      </w:r>
      <w:r w:rsidR="00D93FE6" w:rsidRPr="00D93FE6">
        <w:rPr>
          <w:rFonts w:ascii="Calibri" w:hAnsi="Calibri" w:cs="Calibri"/>
          <w:b/>
          <w:sz w:val="24"/>
          <w:szCs w:val="24"/>
          <w:u w:color="000000"/>
          <w:lang w:val="es-ES_tradnl" w:eastAsia="es-ES_tradnl"/>
        </w:rPr>
        <w:br/>
      </w:r>
      <w:r w:rsidRPr="00D93FE6">
        <w:rPr>
          <w:rFonts w:ascii="Times New Roman" w:hAnsi="Times New Roman" w:cs="Times New Roman"/>
          <w:sz w:val="24"/>
          <w:lang w:eastAsia="es-MX"/>
        </w:rPr>
        <w:t>Universidad de Colima, México</w:t>
      </w:r>
      <w:r w:rsidR="00D93FE6">
        <w:rPr>
          <w:rFonts w:ascii="Times New Roman" w:hAnsi="Times New Roman" w:cs="Times New Roman"/>
          <w:lang w:eastAsia="es-MX"/>
        </w:rPr>
        <w:br/>
      </w:r>
      <w:r w:rsidR="00D93FE6" w:rsidRPr="00D93FE6">
        <w:rPr>
          <w:rStyle w:val="Hipervnculo"/>
          <w:rFonts w:ascii="Calibri" w:hAnsi="Calibri" w:cs="Calibri"/>
          <w:color w:val="FF0000"/>
          <w:sz w:val="24"/>
          <w:u w:val="none" w:color="000000"/>
          <w:lang w:val="es-ES_tradnl" w:eastAsia="es-ES_tradnl"/>
        </w:rPr>
        <w:t>omar_perez@ucol.mx</w:t>
      </w:r>
      <w:r w:rsidR="00D93FE6" w:rsidRPr="00D93FE6">
        <w:rPr>
          <w:rStyle w:val="Hipervnculo"/>
          <w:rFonts w:ascii="Calibri" w:hAnsi="Calibri" w:cs="Calibri"/>
          <w:color w:val="FF0000"/>
          <w:sz w:val="24"/>
          <w:u w:val="none" w:color="000000"/>
          <w:lang w:val="es-ES_tradnl" w:eastAsia="es-ES_tradnl"/>
        </w:rPr>
        <w:br/>
      </w:r>
      <w:r w:rsidRPr="00D93FE6">
        <w:rPr>
          <w:rFonts w:ascii="Times New Roman" w:hAnsi="Times New Roman" w:cs="Times New Roman"/>
          <w:sz w:val="24"/>
          <w:szCs w:val="18"/>
          <w:shd w:val="clear" w:color="auto" w:fill="FFFFFF"/>
        </w:rPr>
        <w:t>https://orcid.org/0000-0003-3367-8259</w:t>
      </w:r>
      <w:r w:rsidRPr="00D93FE6">
        <w:rPr>
          <w:rFonts w:ascii="Times New Roman" w:hAnsi="Times New Roman" w:cs="Times New Roman"/>
          <w:color w:val="494A4C"/>
          <w:sz w:val="24"/>
          <w:szCs w:val="18"/>
          <w:shd w:val="clear" w:color="auto" w:fill="FFFFFF"/>
        </w:rPr>
        <w:t xml:space="preserve"> </w:t>
      </w:r>
    </w:p>
    <w:p w14:paraId="1FBA37AC" w14:textId="77777777" w:rsidR="00474A1F" w:rsidRPr="00474A1F" w:rsidRDefault="00474A1F" w:rsidP="003A5F2B">
      <w:pPr>
        <w:rPr>
          <w:rFonts w:ascii="Times New Roman" w:hAnsi="Times New Roman" w:cs="Times New Roman"/>
          <w:lang w:eastAsia="es-MX"/>
        </w:rPr>
      </w:pPr>
    </w:p>
    <w:bookmarkEnd w:id="0"/>
    <w:p w14:paraId="2994028E" w14:textId="1FDBF0E3" w:rsidR="005C46B7" w:rsidRPr="00D93FE6" w:rsidRDefault="005C46B7" w:rsidP="00196F77">
      <w:pPr>
        <w:pStyle w:val="Ttulo1"/>
        <w:rPr>
          <w:rFonts w:ascii="Calibri" w:eastAsiaTheme="minorHAnsi" w:hAnsi="Calibri" w:cs="Calibri"/>
          <w:sz w:val="28"/>
          <w:lang w:val="es-ES" w:eastAsia="en-US"/>
        </w:rPr>
      </w:pPr>
      <w:r w:rsidRPr="00D93FE6">
        <w:rPr>
          <w:rFonts w:ascii="Calibri" w:eastAsiaTheme="minorHAnsi" w:hAnsi="Calibri" w:cs="Calibri"/>
          <w:sz w:val="28"/>
          <w:lang w:val="es-ES" w:eastAsia="en-US"/>
        </w:rPr>
        <w:t>Resumen</w:t>
      </w:r>
    </w:p>
    <w:p w14:paraId="575D4A89" w14:textId="39985135" w:rsidR="0022568B" w:rsidRPr="00474A1F" w:rsidRDefault="00544A79" w:rsidP="0004756F">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474A1F">
        <w:rPr>
          <w:rFonts w:ascii="Times New Roman" w:hAnsi="Times New Roman" w:cs="Times New Roman"/>
          <w:color w:val="000000"/>
          <w:sz w:val="24"/>
          <w:szCs w:val="24"/>
        </w:rPr>
        <w:t>La innovación y la transferencia tecnológica en México no siempre se generan en el ámbito empresarial</w:t>
      </w:r>
      <w:r w:rsidR="00A22DE5" w:rsidRPr="00474A1F">
        <w:rPr>
          <w:rFonts w:ascii="Times New Roman" w:hAnsi="Times New Roman" w:cs="Times New Roman"/>
          <w:color w:val="000000"/>
          <w:sz w:val="24"/>
          <w:szCs w:val="24"/>
        </w:rPr>
        <w:t>,</w:t>
      </w:r>
      <w:r w:rsidR="001E63DB" w:rsidRPr="00474A1F">
        <w:rPr>
          <w:rFonts w:ascii="Times New Roman" w:hAnsi="Times New Roman" w:cs="Times New Roman"/>
          <w:color w:val="000000"/>
          <w:sz w:val="24"/>
          <w:szCs w:val="24"/>
        </w:rPr>
        <w:t xml:space="preserve"> </w:t>
      </w:r>
      <w:r w:rsidR="00F273CE" w:rsidRPr="00474A1F">
        <w:rPr>
          <w:rFonts w:ascii="Times New Roman" w:hAnsi="Times New Roman" w:cs="Times New Roman"/>
          <w:color w:val="000000"/>
          <w:sz w:val="24"/>
          <w:szCs w:val="24"/>
        </w:rPr>
        <w:t>p</w:t>
      </w:r>
      <w:r w:rsidR="00A22DE5" w:rsidRPr="00474A1F">
        <w:rPr>
          <w:rFonts w:ascii="Times New Roman" w:hAnsi="Times New Roman" w:cs="Times New Roman"/>
          <w:color w:val="000000"/>
          <w:sz w:val="24"/>
          <w:szCs w:val="24"/>
        </w:rPr>
        <w:t>ues en</w:t>
      </w:r>
      <w:r w:rsidR="00D7193E" w:rsidRPr="00474A1F">
        <w:rPr>
          <w:rFonts w:ascii="Times New Roman" w:hAnsi="Times New Roman" w:cs="Times New Roman"/>
          <w:color w:val="000000"/>
          <w:sz w:val="24"/>
          <w:szCs w:val="24"/>
        </w:rPr>
        <w:t xml:space="preserve"> su génesis intervienen diversos agentes sociales</w:t>
      </w:r>
      <w:r w:rsidR="00003F27" w:rsidRPr="00474A1F">
        <w:rPr>
          <w:rFonts w:ascii="Times New Roman" w:hAnsi="Times New Roman" w:cs="Times New Roman"/>
          <w:color w:val="000000"/>
          <w:sz w:val="24"/>
          <w:szCs w:val="24"/>
        </w:rPr>
        <w:t xml:space="preserve"> que </w:t>
      </w:r>
      <w:r w:rsidR="00524AC5" w:rsidRPr="00474A1F">
        <w:rPr>
          <w:rFonts w:ascii="Times New Roman" w:hAnsi="Times New Roman" w:cs="Times New Roman"/>
          <w:color w:val="000000"/>
          <w:sz w:val="24"/>
          <w:szCs w:val="24"/>
        </w:rPr>
        <w:t xml:space="preserve">solo de forma habitual </w:t>
      </w:r>
      <w:r w:rsidR="00003F27" w:rsidRPr="00474A1F">
        <w:rPr>
          <w:rFonts w:ascii="Times New Roman" w:hAnsi="Times New Roman" w:cs="Times New Roman"/>
          <w:color w:val="000000"/>
          <w:sz w:val="24"/>
          <w:szCs w:val="24"/>
        </w:rPr>
        <w:t xml:space="preserve">trabajan de manera coordinada, </w:t>
      </w:r>
      <w:r w:rsidR="00F273CE" w:rsidRPr="00474A1F">
        <w:rPr>
          <w:rFonts w:ascii="Times New Roman" w:hAnsi="Times New Roman" w:cs="Times New Roman"/>
          <w:color w:val="000000"/>
          <w:sz w:val="24"/>
          <w:szCs w:val="24"/>
        </w:rPr>
        <w:t xml:space="preserve">lo que </w:t>
      </w:r>
      <w:r w:rsidR="002D650E" w:rsidRPr="00474A1F">
        <w:rPr>
          <w:rFonts w:ascii="Times New Roman" w:hAnsi="Times New Roman" w:cs="Times New Roman"/>
          <w:color w:val="000000"/>
          <w:sz w:val="24"/>
          <w:szCs w:val="24"/>
        </w:rPr>
        <w:t>arroja débiles</w:t>
      </w:r>
      <w:r w:rsidR="00003F27" w:rsidRPr="00474A1F">
        <w:rPr>
          <w:rFonts w:ascii="Times New Roman" w:hAnsi="Times New Roman" w:cs="Times New Roman"/>
          <w:color w:val="000000"/>
          <w:sz w:val="24"/>
          <w:szCs w:val="24"/>
        </w:rPr>
        <w:t xml:space="preserve"> resultados</w:t>
      </w:r>
      <w:r w:rsidR="00D7193E" w:rsidRPr="00474A1F">
        <w:rPr>
          <w:rFonts w:ascii="Times New Roman" w:hAnsi="Times New Roman" w:cs="Times New Roman"/>
          <w:color w:val="000000"/>
          <w:sz w:val="24"/>
          <w:szCs w:val="24"/>
        </w:rPr>
        <w:t xml:space="preserve">. </w:t>
      </w:r>
      <w:r w:rsidR="00F273CE" w:rsidRPr="00474A1F">
        <w:rPr>
          <w:rFonts w:ascii="Times New Roman" w:hAnsi="Times New Roman" w:cs="Times New Roman"/>
          <w:sz w:val="24"/>
          <w:szCs w:val="24"/>
        </w:rPr>
        <w:t xml:space="preserve">Por </w:t>
      </w:r>
      <w:r w:rsidR="002D650E" w:rsidRPr="00474A1F">
        <w:rPr>
          <w:rFonts w:ascii="Times New Roman" w:hAnsi="Times New Roman" w:cs="Times New Roman"/>
          <w:sz w:val="24"/>
          <w:szCs w:val="24"/>
        </w:rPr>
        <w:t>ello, el</w:t>
      </w:r>
      <w:r w:rsidR="0022568B" w:rsidRPr="00474A1F">
        <w:rPr>
          <w:rFonts w:ascii="Times New Roman" w:hAnsi="Times New Roman" w:cs="Times New Roman"/>
          <w:sz w:val="24"/>
          <w:szCs w:val="24"/>
        </w:rPr>
        <w:t xml:space="preserve"> objetivo de est</w:t>
      </w:r>
      <w:r w:rsidR="00F273CE" w:rsidRPr="00474A1F">
        <w:rPr>
          <w:rFonts w:ascii="Times New Roman" w:hAnsi="Times New Roman" w:cs="Times New Roman"/>
          <w:sz w:val="24"/>
          <w:szCs w:val="24"/>
        </w:rPr>
        <w:t xml:space="preserve">e texto </w:t>
      </w:r>
      <w:r w:rsidR="00C64F54" w:rsidRPr="00474A1F">
        <w:rPr>
          <w:rFonts w:ascii="Times New Roman" w:hAnsi="Times New Roman" w:cs="Times New Roman"/>
          <w:sz w:val="24"/>
          <w:szCs w:val="24"/>
        </w:rPr>
        <w:t xml:space="preserve">fue </w:t>
      </w:r>
      <w:r w:rsidR="00BC73AF" w:rsidRPr="00474A1F">
        <w:rPr>
          <w:rFonts w:ascii="Times New Roman" w:hAnsi="Times New Roman" w:cs="Times New Roman"/>
          <w:sz w:val="24"/>
          <w:szCs w:val="24"/>
        </w:rPr>
        <w:t xml:space="preserve">analizar </w:t>
      </w:r>
      <w:r w:rsidR="00EE7955" w:rsidRPr="00474A1F">
        <w:rPr>
          <w:rFonts w:ascii="Times New Roman" w:hAnsi="Times New Roman" w:cs="Times New Roman"/>
          <w:sz w:val="24"/>
          <w:szCs w:val="24"/>
        </w:rPr>
        <w:t xml:space="preserve">el papel que juega </w:t>
      </w:r>
      <w:r w:rsidR="00EE7955" w:rsidRPr="00474A1F">
        <w:rPr>
          <w:rFonts w:ascii="Times New Roman" w:eastAsia="Times New Roman" w:hAnsi="Times New Roman" w:cs="Times New Roman"/>
          <w:sz w:val="24"/>
          <w:szCs w:val="24"/>
          <w:lang w:eastAsia="es-MX"/>
        </w:rPr>
        <w:t xml:space="preserve">la transferencia de conocimientos desde las universidades en la determinación de la </w:t>
      </w:r>
      <w:r w:rsidR="00EE7955" w:rsidRPr="00474A1F">
        <w:rPr>
          <w:rFonts w:ascii="Times New Roman" w:hAnsi="Times New Roman" w:cs="Times New Roman"/>
          <w:sz w:val="24"/>
          <w:szCs w:val="24"/>
        </w:rPr>
        <w:t>innovación tecnológica en México</w:t>
      </w:r>
      <w:r w:rsidR="0022568B" w:rsidRPr="00474A1F">
        <w:rPr>
          <w:rFonts w:ascii="Times New Roman" w:hAnsi="Times New Roman" w:cs="Times New Roman"/>
          <w:sz w:val="24"/>
          <w:szCs w:val="24"/>
        </w:rPr>
        <w:t>.</w:t>
      </w:r>
      <w:r w:rsidR="0022568B" w:rsidRPr="00474A1F">
        <w:rPr>
          <w:rFonts w:ascii="Times New Roman" w:eastAsia="Times New Roman" w:hAnsi="Times New Roman" w:cs="Times New Roman"/>
          <w:sz w:val="24"/>
          <w:szCs w:val="24"/>
          <w:lang w:eastAsia="es-MX"/>
        </w:rPr>
        <w:t xml:space="preserve"> Metodológicamente, </w:t>
      </w:r>
      <w:r w:rsidR="003D7351" w:rsidRPr="00474A1F">
        <w:rPr>
          <w:rFonts w:ascii="Times New Roman" w:eastAsia="Times New Roman" w:hAnsi="Times New Roman" w:cs="Times New Roman"/>
          <w:sz w:val="24"/>
          <w:szCs w:val="24"/>
          <w:lang w:eastAsia="es-MX"/>
        </w:rPr>
        <w:t xml:space="preserve">los datos </w:t>
      </w:r>
      <w:r w:rsidR="0022568B" w:rsidRPr="00474A1F">
        <w:rPr>
          <w:rFonts w:ascii="Times New Roman" w:eastAsia="Times New Roman" w:hAnsi="Times New Roman" w:cs="Times New Roman"/>
          <w:sz w:val="24"/>
          <w:szCs w:val="24"/>
          <w:lang w:eastAsia="es-MX"/>
        </w:rPr>
        <w:t xml:space="preserve">se diseñaron </w:t>
      </w:r>
      <w:r w:rsidR="00FB1703" w:rsidRPr="00474A1F">
        <w:rPr>
          <w:rFonts w:ascii="Times New Roman" w:eastAsia="Times New Roman" w:hAnsi="Times New Roman" w:cs="Times New Roman"/>
          <w:sz w:val="24"/>
          <w:szCs w:val="24"/>
          <w:lang w:eastAsia="es-MX"/>
        </w:rPr>
        <w:t xml:space="preserve">tipo </w:t>
      </w:r>
      <w:r w:rsidR="0022568B" w:rsidRPr="00474A1F">
        <w:rPr>
          <w:rFonts w:ascii="Times New Roman" w:eastAsia="Times New Roman" w:hAnsi="Times New Roman" w:cs="Times New Roman"/>
          <w:sz w:val="24"/>
          <w:szCs w:val="24"/>
          <w:lang w:eastAsia="es-MX"/>
        </w:rPr>
        <w:t xml:space="preserve">panel, </w:t>
      </w:r>
      <w:r w:rsidR="00FB1703" w:rsidRPr="00474A1F">
        <w:rPr>
          <w:rFonts w:ascii="Times New Roman" w:eastAsia="Times New Roman" w:hAnsi="Times New Roman" w:cs="Times New Roman"/>
          <w:sz w:val="24"/>
          <w:szCs w:val="24"/>
          <w:lang w:eastAsia="es-MX"/>
        </w:rPr>
        <w:t xml:space="preserve">analizados mediante </w:t>
      </w:r>
      <w:r w:rsidR="0022568B" w:rsidRPr="00474A1F">
        <w:rPr>
          <w:rFonts w:ascii="Times New Roman" w:eastAsia="Times New Roman" w:hAnsi="Times New Roman" w:cs="Times New Roman"/>
          <w:sz w:val="24"/>
          <w:szCs w:val="24"/>
          <w:lang w:eastAsia="es-MX"/>
        </w:rPr>
        <w:t>mínimos cuadrados con errores estándar corregidos</w:t>
      </w:r>
      <w:r w:rsidR="00827383" w:rsidRPr="00474A1F">
        <w:rPr>
          <w:rFonts w:ascii="Times New Roman" w:eastAsia="Times New Roman" w:hAnsi="Times New Roman" w:cs="Times New Roman"/>
          <w:sz w:val="24"/>
          <w:szCs w:val="24"/>
          <w:lang w:eastAsia="es-MX"/>
        </w:rPr>
        <w:t xml:space="preserve"> (MCO)</w:t>
      </w:r>
      <w:r w:rsidR="00F273CE" w:rsidRPr="00474A1F">
        <w:rPr>
          <w:rFonts w:ascii="Times New Roman" w:eastAsia="Times New Roman" w:hAnsi="Times New Roman" w:cs="Times New Roman"/>
          <w:sz w:val="24"/>
          <w:szCs w:val="24"/>
          <w:lang w:eastAsia="es-MX"/>
        </w:rPr>
        <w:t>, y</w:t>
      </w:r>
      <w:r w:rsidR="0022568B" w:rsidRPr="00474A1F">
        <w:rPr>
          <w:rFonts w:ascii="Times New Roman" w:eastAsia="Times New Roman" w:hAnsi="Times New Roman" w:cs="Times New Roman"/>
          <w:sz w:val="24"/>
          <w:szCs w:val="24"/>
          <w:lang w:eastAsia="es-MX"/>
        </w:rPr>
        <w:t xml:space="preserve"> </w:t>
      </w:r>
      <w:r w:rsidR="00F273CE" w:rsidRPr="00474A1F">
        <w:rPr>
          <w:rFonts w:ascii="Times New Roman" w:eastAsia="Times New Roman" w:hAnsi="Times New Roman" w:cs="Times New Roman"/>
          <w:sz w:val="24"/>
          <w:szCs w:val="24"/>
          <w:lang w:eastAsia="es-MX"/>
        </w:rPr>
        <w:t>l</w:t>
      </w:r>
      <w:r w:rsidR="0022568B" w:rsidRPr="00474A1F">
        <w:rPr>
          <w:rFonts w:ascii="Times New Roman" w:eastAsia="Times New Roman" w:hAnsi="Times New Roman" w:cs="Times New Roman"/>
          <w:sz w:val="24"/>
          <w:szCs w:val="24"/>
          <w:lang w:eastAsia="es-MX"/>
        </w:rPr>
        <w:t xml:space="preserve">a base de datos utilizada corresponde al Instituto Mexicano </w:t>
      </w:r>
      <w:bookmarkStart w:id="1" w:name="_GoBack"/>
      <w:bookmarkEnd w:id="1"/>
      <w:r w:rsidR="0022568B" w:rsidRPr="00474A1F">
        <w:rPr>
          <w:rFonts w:ascii="Times New Roman" w:eastAsia="Times New Roman" w:hAnsi="Times New Roman" w:cs="Times New Roman"/>
          <w:sz w:val="24"/>
          <w:szCs w:val="24"/>
          <w:lang w:eastAsia="es-MX"/>
        </w:rPr>
        <w:t xml:space="preserve">para la Competitividad (IMCO). </w:t>
      </w:r>
      <w:r w:rsidR="00524AC5" w:rsidRPr="00474A1F">
        <w:rPr>
          <w:rFonts w:ascii="Times New Roman" w:eastAsia="Times New Roman" w:hAnsi="Times New Roman" w:cs="Times New Roman"/>
          <w:sz w:val="24"/>
          <w:szCs w:val="24"/>
          <w:lang w:eastAsia="es-MX"/>
        </w:rPr>
        <w:t>En tal sentido, l</w:t>
      </w:r>
      <w:r w:rsidR="0022568B" w:rsidRPr="00474A1F">
        <w:rPr>
          <w:rFonts w:ascii="Times New Roman" w:eastAsia="Times New Roman" w:hAnsi="Times New Roman" w:cs="Times New Roman"/>
          <w:sz w:val="24"/>
          <w:szCs w:val="24"/>
          <w:lang w:eastAsia="es-MX"/>
        </w:rPr>
        <w:t xml:space="preserve">os </w:t>
      </w:r>
      <w:r w:rsidR="00A459F7" w:rsidRPr="00474A1F">
        <w:rPr>
          <w:rFonts w:ascii="Times New Roman" w:eastAsia="Times New Roman" w:hAnsi="Times New Roman" w:cs="Times New Roman"/>
          <w:sz w:val="24"/>
          <w:szCs w:val="24"/>
          <w:lang w:eastAsia="es-MX"/>
        </w:rPr>
        <w:t>hallazgos</w:t>
      </w:r>
      <w:r w:rsidR="0022568B" w:rsidRPr="00474A1F">
        <w:rPr>
          <w:rFonts w:ascii="Times New Roman" w:eastAsia="Times New Roman" w:hAnsi="Times New Roman" w:cs="Times New Roman"/>
          <w:sz w:val="24"/>
          <w:szCs w:val="24"/>
          <w:lang w:eastAsia="es-MX"/>
        </w:rPr>
        <w:t xml:space="preserve"> indican </w:t>
      </w:r>
      <w:r w:rsidR="003D7351" w:rsidRPr="00474A1F">
        <w:rPr>
          <w:rFonts w:ascii="Times New Roman" w:eastAsia="Times New Roman" w:hAnsi="Times New Roman" w:cs="Times New Roman"/>
          <w:sz w:val="24"/>
          <w:szCs w:val="24"/>
          <w:lang w:eastAsia="es-MX"/>
        </w:rPr>
        <w:t>una relación significativa y positiva entre la innovación y la actividad de las grandes empresas, los posgrados de calidad y los centros de investigación</w:t>
      </w:r>
      <w:r w:rsidR="00F273CE" w:rsidRPr="00474A1F">
        <w:rPr>
          <w:rFonts w:ascii="Times New Roman" w:eastAsia="Times New Roman" w:hAnsi="Times New Roman" w:cs="Times New Roman"/>
          <w:sz w:val="24"/>
          <w:szCs w:val="24"/>
          <w:lang w:eastAsia="es-MX"/>
        </w:rPr>
        <w:t>;</w:t>
      </w:r>
      <w:r w:rsidR="00615D35" w:rsidRPr="00474A1F">
        <w:rPr>
          <w:rFonts w:ascii="Times New Roman" w:eastAsia="Times New Roman" w:hAnsi="Times New Roman" w:cs="Times New Roman"/>
          <w:sz w:val="24"/>
          <w:szCs w:val="24"/>
          <w:lang w:eastAsia="es-MX"/>
        </w:rPr>
        <w:t xml:space="preserve"> </w:t>
      </w:r>
      <w:r w:rsidR="00F273CE" w:rsidRPr="00474A1F">
        <w:rPr>
          <w:rFonts w:ascii="Times New Roman" w:eastAsia="Times New Roman" w:hAnsi="Times New Roman" w:cs="Times New Roman"/>
          <w:sz w:val="24"/>
          <w:szCs w:val="24"/>
          <w:lang w:eastAsia="es-MX"/>
        </w:rPr>
        <w:t>a</w:t>
      </w:r>
      <w:r w:rsidR="001A4A0B" w:rsidRPr="00474A1F">
        <w:rPr>
          <w:rFonts w:ascii="Times New Roman" w:eastAsia="Times New Roman" w:hAnsi="Times New Roman" w:cs="Times New Roman"/>
          <w:sz w:val="24"/>
          <w:szCs w:val="24"/>
          <w:lang w:eastAsia="es-MX"/>
        </w:rPr>
        <w:t xml:space="preserve">sí como una relación significativa y negativa con las pequeñas y medianas empresas. </w:t>
      </w:r>
      <w:r w:rsidR="00524AC5" w:rsidRPr="00474A1F">
        <w:rPr>
          <w:rFonts w:ascii="Times New Roman" w:eastAsia="Times New Roman" w:hAnsi="Times New Roman" w:cs="Times New Roman"/>
          <w:sz w:val="24"/>
          <w:szCs w:val="24"/>
          <w:lang w:eastAsia="es-MX"/>
        </w:rPr>
        <w:t>Por ello, s</w:t>
      </w:r>
      <w:r w:rsidR="00F26664" w:rsidRPr="00474A1F">
        <w:rPr>
          <w:rFonts w:ascii="Times New Roman" w:eastAsia="Times New Roman" w:hAnsi="Times New Roman" w:cs="Times New Roman"/>
          <w:sz w:val="24"/>
          <w:szCs w:val="24"/>
          <w:lang w:eastAsia="es-MX"/>
        </w:rPr>
        <w:t xml:space="preserve">e concluye que </w:t>
      </w:r>
      <w:r w:rsidR="00F26664" w:rsidRPr="00474A1F">
        <w:rPr>
          <w:rFonts w:ascii="Times New Roman" w:eastAsia="Times New Roman" w:hAnsi="Times New Roman" w:cs="Times New Roman"/>
          <w:sz w:val="24"/>
          <w:szCs w:val="24"/>
          <w:lang w:eastAsia="es-MX"/>
        </w:rPr>
        <w:lastRenderedPageBreak/>
        <w:t>e</w:t>
      </w:r>
      <w:r w:rsidR="0022568B" w:rsidRPr="00474A1F">
        <w:rPr>
          <w:rFonts w:ascii="Times New Roman" w:eastAsia="Times New Roman" w:hAnsi="Times New Roman" w:cs="Times New Roman"/>
          <w:sz w:val="24"/>
          <w:szCs w:val="24"/>
          <w:lang w:eastAsia="es-MX"/>
        </w:rPr>
        <w:t>st</w:t>
      </w:r>
      <w:r w:rsidR="008A651F" w:rsidRPr="00474A1F">
        <w:rPr>
          <w:rFonts w:ascii="Times New Roman" w:eastAsia="Times New Roman" w:hAnsi="Times New Roman" w:cs="Times New Roman"/>
          <w:sz w:val="24"/>
          <w:szCs w:val="24"/>
          <w:lang w:eastAsia="es-MX"/>
        </w:rPr>
        <w:t>a</w:t>
      </w:r>
      <w:r w:rsidR="0022568B" w:rsidRPr="00474A1F">
        <w:rPr>
          <w:rFonts w:ascii="Times New Roman" w:eastAsia="Times New Roman" w:hAnsi="Times New Roman" w:cs="Times New Roman"/>
          <w:sz w:val="24"/>
          <w:szCs w:val="24"/>
          <w:lang w:eastAsia="es-MX"/>
        </w:rPr>
        <w:t xml:space="preserve">s </w:t>
      </w:r>
      <w:r w:rsidR="008A651F" w:rsidRPr="00474A1F">
        <w:rPr>
          <w:rFonts w:ascii="Times New Roman" w:eastAsia="Times New Roman" w:hAnsi="Times New Roman" w:cs="Times New Roman"/>
          <w:sz w:val="24"/>
          <w:szCs w:val="24"/>
          <w:lang w:eastAsia="es-MX"/>
        </w:rPr>
        <w:t xml:space="preserve">características </w:t>
      </w:r>
      <w:r w:rsidR="0022568B" w:rsidRPr="00474A1F">
        <w:rPr>
          <w:rFonts w:ascii="Times New Roman" w:eastAsia="Times New Roman" w:hAnsi="Times New Roman" w:cs="Times New Roman"/>
          <w:sz w:val="24"/>
          <w:szCs w:val="24"/>
          <w:lang w:eastAsia="es-MX"/>
        </w:rPr>
        <w:t xml:space="preserve">se </w:t>
      </w:r>
      <w:r w:rsidR="0022568B" w:rsidRPr="00474A1F">
        <w:rPr>
          <w:rFonts w:ascii="Times New Roman" w:eastAsia="Times New Roman" w:hAnsi="Times New Roman" w:cs="Times New Roman"/>
          <w:color w:val="000000"/>
          <w:sz w:val="24"/>
          <w:szCs w:val="24"/>
          <w:lang w:eastAsia="es-MX"/>
        </w:rPr>
        <w:t xml:space="preserve">traducen en importantes </w:t>
      </w:r>
      <w:r w:rsidR="008A651F" w:rsidRPr="00474A1F">
        <w:rPr>
          <w:rFonts w:ascii="Times New Roman" w:eastAsia="Times New Roman" w:hAnsi="Times New Roman" w:cs="Times New Roman"/>
          <w:color w:val="000000"/>
          <w:sz w:val="24"/>
          <w:szCs w:val="24"/>
          <w:lang w:eastAsia="es-MX"/>
        </w:rPr>
        <w:t xml:space="preserve">áreas de oportunidad </w:t>
      </w:r>
      <w:r w:rsidR="0022568B" w:rsidRPr="00474A1F">
        <w:rPr>
          <w:rFonts w:ascii="Times New Roman" w:eastAsia="Times New Roman" w:hAnsi="Times New Roman" w:cs="Times New Roman"/>
          <w:color w:val="000000"/>
          <w:sz w:val="24"/>
          <w:szCs w:val="24"/>
          <w:lang w:eastAsia="es-MX"/>
        </w:rPr>
        <w:t xml:space="preserve">en materia de </w:t>
      </w:r>
      <w:r w:rsidR="00615D35" w:rsidRPr="00474A1F">
        <w:rPr>
          <w:rFonts w:ascii="Times New Roman" w:eastAsia="Times New Roman" w:hAnsi="Times New Roman" w:cs="Times New Roman"/>
          <w:color w:val="000000"/>
          <w:sz w:val="24"/>
          <w:szCs w:val="24"/>
          <w:lang w:eastAsia="es-MX"/>
        </w:rPr>
        <w:t xml:space="preserve">política educativa, </w:t>
      </w:r>
      <w:r w:rsidR="008A651F" w:rsidRPr="00474A1F">
        <w:rPr>
          <w:rFonts w:ascii="Times New Roman" w:eastAsia="Times New Roman" w:hAnsi="Times New Roman" w:cs="Times New Roman"/>
          <w:color w:val="000000"/>
          <w:sz w:val="24"/>
          <w:szCs w:val="24"/>
          <w:lang w:eastAsia="es-MX"/>
        </w:rPr>
        <w:t xml:space="preserve">su vinculación con </w:t>
      </w:r>
      <w:r w:rsidR="00615D35" w:rsidRPr="00474A1F">
        <w:rPr>
          <w:rFonts w:ascii="Times New Roman" w:eastAsia="Times New Roman" w:hAnsi="Times New Roman" w:cs="Times New Roman"/>
          <w:color w:val="000000"/>
          <w:sz w:val="24"/>
          <w:szCs w:val="24"/>
          <w:lang w:eastAsia="es-MX"/>
        </w:rPr>
        <w:t xml:space="preserve">grandes </w:t>
      </w:r>
      <w:r w:rsidR="008A651F" w:rsidRPr="00474A1F">
        <w:rPr>
          <w:rFonts w:ascii="Times New Roman" w:eastAsia="Times New Roman" w:hAnsi="Times New Roman" w:cs="Times New Roman"/>
          <w:color w:val="000000"/>
          <w:sz w:val="24"/>
          <w:szCs w:val="24"/>
          <w:lang w:eastAsia="es-MX"/>
        </w:rPr>
        <w:t>empresas</w:t>
      </w:r>
      <w:r w:rsidR="00615D35" w:rsidRPr="00474A1F">
        <w:rPr>
          <w:rFonts w:ascii="Times New Roman" w:eastAsia="Times New Roman" w:hAnsi="Times New Roman" w:cs="Times New Roman"/>
          <w:color w:val="000000"/>
          <w:sz w:val="24"/>
          <w:szCs w:val="24"/>
          <w:lang w:eastAsia="es-MX"/>
        </w:rPr>
        <w:t xml:space="preserve"> y la transferencia del conocimiento generado </w:t>
      </w:r>
      <w:r w:rsidR="00A64B53" w:rsidRPr="00474A1F">
        <w:rPr>
          <w:rFonts w:ascii="Times New Roman" w:eastAsia="Times New Roman" w:hAnsi="Times New Roman" w:cs="Times New Roman"/>
          <w:color w:val="000000"/>
          <w:sz w:val="24"/>
          <w:szCs w:val="24"/>
          <w:lang w:eastAsia="es-MX"/>
        </w:rPr>
        <w:t xml:space="preserve">en </w:t>
      </w:r>
      <w:r w:rsidR="00003F27" w:rsidRPr="00474A1F">
        <w:rPr>
          <w:rFonts w:ascii="Times New Roman" w:eastAsia="Times New Roman" w:hAnsi="Times New Roman" w:cs="Times New Roman"/>
          <w:color w:val="000000"/>
          <w:sz w:val="24"/>
          <w:szCs w:val="24"/>
          <w:lang w:eastAsia="es-MX"/>
        </w:rPr>
        <w:t xml:space="preserve">universidades </w:t>
      </w:r>
      <w:r w:rsidR="00A64B53" w:rsidRPr="00474A1F">
        <w:rPr>
          <w:rFonts w:ascii="Times New Roman" w:eastAsia="Times New Roman" w:hAnsi="Times New Roman" w:cs="Times New Roman"/>
          <w:color w:val="000000"/>
          <w:sz w:val="24"/>
          <w:szCs w:val="24"/>
          <w:lang w:eastAsia="es-MX"/>
        </w:rPr>
        <w:t>d</w:t>
      </w:r>
      <w:r w:rsidR="0022568B" w:rsidRPr="00474A1F">
        <w:rPr>
          <w:rFonts w:ascii="Times New Roman" w:eastAsia="Times New Roman" w:hAnsi="Times New Roman" w:cs="Times New Roman"/>
          <w:color w:val="000000"/>
          <w:sz w:val="24"/>
          <w:szCs w:val="24"/>
          <w:lang w:eastAsia="es-MX"/>
        </w:rPr>
        <w:t>el país.</w:t>
      </w:r>
    </w:p>
    <w:p w14:paraId="2A0E2EC8" w14:textId="35DB554C" w:rsidR="005C46B7" w:rsidRPr="00474A1F" w:rsidRDefault="001E63DB" w:rsidP="00311568">
      <w:pPr>
        <w:spacing w:after="0" w:line="360" w:lineRule="auto"/>
        <w:jc w:val="both"/>
        <w:rPr>
          <w:rFonts w:ascii="Times New Roman" w:hAnsi="Times New Roman" w:cs="Times New Roman"/>
          <w:sz w:val="24"/>
          <w:szCs w:val="24"/>
        </w:rPr>
      </w:pPr>
      <w:r w:rsidRPr="00D93FE6">
        <w:rPr>
          <w:rFonts w:ascii="Calibri" w:hAnsi="Calibri" w:cs="Calibri"/>
          <w:b/>
          <w:sz w:val="28"/>
          <w:szCs w:val="24"/>
          <w:lang w:val="es-ES"/>
        </w:rPr>
        <w:t>Palabras clave:</w:t>
      </w:r>
      <w:r w:rsidRPr="00474A1F">
        <w:rPr>
          <w:rFonts w:ascii="Times New Roman" w:hAnsi="Times New Roman" w:cs="Times New Roman"/>
          <w:color w:val="000000"/>
          <w:sz w:val="24"/>
          <w:szCs w:val="24"/>
        </w:rPr>
        <w:t xml:space="preserve"> </w:t>
      </w:r>
      <w:r w:rsidR="00F26664" w:rsidRPr="00474A1F">
        <w:rPr>
          <w:rFonts w:ascii="Times New Roman" w:hAnsi="Times New Roman" w:cs="Times New Roman"/>
          <w:color w:val="000000"/>
          <w:sz w:val="24"/>
          <w:szCs w:val="24"/>
        </w:rPr>
        <w:t>dato</w:t>
      </w:r>
      <w:r w:rsidR="00DB100F" w:rsidRPr="00474A1F">
        <w:rPr>
          <w:rFonts w:ascii="Times New Roman" w:hAnsi="Times New Roman" w:cs="Times New Roman"/>
          <w:color w:val="000000"/>
          <w:sz w:val="24"/>
          <w:szCs w:val="24"/>
        </w:rPr>
        <w:t>s</w:t>
      </w:r>
      <w:r w:rsidR="00F26664" w:rsidRPr="00474A1F">
        <w:rPr>
          <w:rFonts w:ascii="Times New Roman" w:hAnsi="Times New Roman" w:cs="Times New Roman"/>
          <w:color w:val="000000"/>
          <w:sz w:val="24"/>
          <w:szCs w:val="24"/>
        </w:rPr>
        <w:t xml:space="preserve"> panel</w:t>
      </w:r>
      <w:r w:rsidR="001B0ECD"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in</w:t>
      </w:r>
      <w:r w:rsidR="008A651F" w:rsidRPr="00474A1F">
        <w:rPr>
          <w:rFonts w:ascii="Times New Roman" w:hAnsi="Times New Roman" w:cs="Times New Roman"/>
          <w:color w:val="000000"/>
          <w:sz w:val="24"/>
          <w:szCs w:val="24"/>
        </w:rPr>
        <w:t>nov</w:t>
      </w:r>
      <w:r w:rsidRPr="00474A1F">
        <w:rPr>
          <w:rFonts w:ascii="Times New Roman" w:hAnsi="Times New Roman" w:cs="Times New Roman"/>
          <w:color w:val="000000"/>
          <w:sz w:val="24"/>
          <w:szCs w:val="24"/>
        </w:rPr>
        <w:t>ación</w:t>
      </w:r>
      <w:r w:rsidR="00311568" w:rsidRPr="00474A1F">
        <w:rPr>
          <w:rFonts w:ascii="Times New Roman" w:hAnsi="Times New Roman" w:cs="Times New Roman"/>
          <w:color w:val="000000"/>
          <w:sz w:val="24"/>
          <w:szCs w:val="24"/>
        </w:rPr>
        <w:t xml:space="preserve"> científica</w:t>
      </w:r>
      <w:r w:rsidRPr="00474A1F">
        <w:rPr>
          <w:rFonts w:ascii="Times New Roman" w:hAnsi="Times New Roman" w:cs="Times New Roman"/>
          <w:color w:val="000000"/>
          <w:sz w:val="24"/>
          <w:szCs w:val="24"/>
        </w:rPr>
        <w:t xml:space="preserve">, </w:t>
      </w:r>
      <w:r w:rsidR="001B0ECD" w:rsidRPr="00474A1F">
        <w:rPr>
          <w:rFonts w:ascii="Times New Roman" w:hAnsi="Times New Roman" w:cs="Times New Roman"/>
          <w:color w:val="000000"/>
          <w:sz w:val="24"/>
          <w:szCs w:val="24"/>
        </w:rPr>
        <w:t xml:space="preserve">propiedad </w:t>
      </w:r>
      <w:r w:rsidR="00F26664" w:rsidRPr="00474A1F">
        <w:rPr>
          <w:rFonts w:ascii="Times New Roman" w:hAnsi="Times New Roman" w:cs="Times New Roman"/>
          <w:color w:val="000000"/>
          <w:sz w:val="24"/>
          <w:szCs w:val="24"/>
        </w:rPr>
        <w:t>intelectual, transferencia</w:t>
      </w:r>
      <w:r w:rsidRPr="00474A1F">
        <w:rPr>
          <w:rFonts w:ascii="Times New Roman" w:hAnsi="Times New Roman" w:cs="Times New Roman"/>
          <w:color w:val="000000"/>
          <w:sz w:val="24"/>
          <w:szCs w:val="24"/>
        </w:rPr>
        <w:t xml:space="preserve"> tecnol</w:t>
      </w:r>
      <w:r w:rsidR="008A651F" w:rsidRPr="00474A1F">
        <w:rPr>
          <w:rFonts w:ascii="Times New Roman" w:hAnsi="Times New Roman" w:cs="Times New Roman"/>
          <w:color w:val="000000"/>
          <w:sz w:val="24"/>
          <w:szCs w:val="24"/>
        </w:rPr>
        <w:t>ógica</w:t>
      </w:r>
      <w:r w:rsidRPr="00474A1F">
        <w:rPr>
          <w:rFonts w:ascii="Times New Roman" w:hAnsi="Times New Roman" w:cs="Times New Roman"/>
          <w:color w:val="000000"/>
          <w:sz w:val="24"/>
          <w:szCs w:val="24"/>
        </w:rPr>
        <w:t>.</w:t>
      </w:r>
    </w:p>
    <w:p w14:paraId="6BC6080F" w14:textId="1E92B260" w:rsidR="005C46B7" w:rsidRPr="00474A1F" w:rsidRDefault="005C46B7" w:rsidP="00B11EA0">
      <w:pPr>
        <w:spacing w:after="0" w:line="360" w:lineRule="auto"/>
        <w:rPr>
          <w:rFonts w:ascii="Times New Roman" w:hAnsi="Times New Roman" w:cs="Times New Roman"/>
        </w:rPr>
      </w:pPr>
    </w:p>
    <w:p w14:paraId="628D4447" w14:textId="086D4E71" w:rsidR="0048797F" w:rsidRPr="00D93FE6" w:rsidRDefault="003A5F2B" w:rsidP="003A5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hAnsi="Calibri" w:cs="Calibri"/>
          <w:b/>
          <w:sz w:val="28"/>
          <w:szCs w:val="24"/>
          <w:lang w:val="es-ES"/>
        </w:rPr>
      </w:pPr>
      <w:proofErr w:type="spellStart"/>
      <w:r w:rsidRPr="00D93FE6">
        <w:rPr>
          <w:rFonts w:ascii="Calibri" w:hAnsi="Calibri" w:cs="Calibri"/>
          <w:b/>
          <w:sz w:val="28"/>
          <w:szCs w:val="24"/>
          <w:lang w:val="es-ES"/>
        </w:rPr>
        <w:t>Abstract</w:t>
      </w:r>
      <w:proofErr w:type="spellEnd"/>
    </w:p>
    <w:p w14:paraId="3CC0CEAD" w14:textId="646704BD" w:rsidR="007C0599" w:rsidRPr="00474A1F" w:rsidRDefault="007C0599" w:rsidP="00487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eastAsia="es-MX"/>
        </w:rPr>
      </w:pPr>
      <w:r w:rsidRPr="00474A1F">
        <w:rPr>
          <w:rFonts w:ascii="Times New Roman" w:eastAsia="Times New Roman" w:hAnsi="Times New Roman" w:cs="Times New Roman"/>
          <w:color w:val="000000"/>
          <w:sz w:val="24"/>
          <w:szCs w:val="24"/>
          <w:lang w:val="en-US" w:eastAsia="es-MX"/>
        </w:rPr>
        <w:t>Innovation and technology transfer in Mexico are not always generated in the business world. In its genesis, various social agents intervene that do not always work in a coordinated manner, obtaining weak results. That is why, the objective of this research is to analyze the role played by the transfer of knowledge from universities in the determination of technological innovation in Mexico. Methodologically, the data were designed as a panel, analyzed using least squares with corrected standard errors (OLS). The database used corresponds to the Mexican Institute for Competitiveness (IMCO). The results indicate a significant and positive relationship between innovation and the activity of large companies, quality postgraduate programs and research centers. As well as a significant and negative relationship with small and medium enterprises. These characteristics translate into important areas of opportunity in terms of educational policy, its linkage with large companies and the transfer of knowledge generated in universities in the country.</w:t>
      </w:r>
    </w:p>
    <w:p w14:paraId="442F6033" w14:textId="5AB9A066" w:rsidR="0048797F" w:rsidRPr="00474A1F" w:rsidRDefault="003A5F2B" w:rsidP="00487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12121"/>
          <w:shd w:val="clear" w:color="auto" w:fill="FFFFFF"/>
          <w:lang w:val="en-US"/>
        </w:rPr>
      </w:pPr>
      <w:proofErr w:type="spellStart"/>
      <w:r w:rsidRPr="00D93FE6">
        <w:rPr>
          <w:rFonts w:ascii="Calibri" w:hAnsi="Calibri" w:cs="Calibri"/>
          <w:b/>
          <w:sz w:val="28"/>
          <w:szCs w:val="24"/>
          <w:lang w:val="es-ES"/>
        </w:rPr>
        <w:t>Key</w:t>
      </w:r>
      <w:r w:rsidR="0048797F" w:rsidRPr="00D93FE6">
        <w:rPr>
          <w:rFonts w:ascii="Calibri" w:hAnsi="Calibri" w:cs="Calibri"/>
          <w:b/>
          <w:sz w:val="28"/>
          <w:szCs w:val="24"/>
          <w:lang w:val="es-ES"/>
        </w:rPr>
        <w:t>words</w:t>
      </w:r>
      <w:proofErr w:type="spellEnd"/>
      <w:r w:rsidR="0048797F" w:rsidRPr="00D93FE6">
        <w:rPr>
          <w:rFonts w:ascii="Calibri" w:hAnsi="Calibri" w:cs="Calibri"/>
          <w:b/>
          <w:sz w:val="28"/>
          <w:szCs w:val="24"/>
          <w:lang w:val="es-ES"/>
        </w:rPr>
        <w:t xml:space="preserve">: </w:t>
      </w:r>
      <w:r w:rsidR="00DB100F" w:rsidRPr="00474A1F">
        <w:rPr>
          <w:rFonts w:ascii="Times New Roman" w:eastAsia="Times New Roman" w:hAnsi="Times New Roman" w:cs="Times New Roman"/>
          <w:color w:val="000000"/>
          <w:sz w:val="24"/>
          <w:szCs w:val="24"/>
          <w:lang w:val="en-US" w:eastAsia="es-MX"/>
        </w:rPr>
        <w:t>panel data, scientific innovation, intellectual property, technology transfer.</w:t>
      </w:r>
    </w:p>
    <w:p w14:paraId="7AFC57EE" w14:textId="4E31C34A" w:rsidR="00C64F54" w:rsidRPr="00474A1F" w:rsidRDefault="003A5F2B" w:rsidP="00487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4"/>
          <w:lang w:val="es-ES"/>
        </w:rPr>
      </w:pPr>
      <w:r w:rsidRPr="00474A1F">
        <w:rPr>
          <w:rFonts w:ascii="Times New Roman" w:hAnsi="Times New Roman" w:cs="Times New Roman"/>
          <w:b/>
          <w:sz w:val="28"/>
          <w:szCs w:val="24"/>
          <w:lang w:val="es-ES"/>
        </w:rPr>
        <w:br/>
      </w:r>
      <w:r w:rsidRPr="00D93FE6">
        <w:rPr>
          <w:rFonts w:ascii="Calibri" w:hAnsi="Calibri" w:cs="Calibri"/>
          <w:b/>
          <w:sz w:val="28"/>
          <w:szCs w:val="24"/>
          <w:lang w:val="es-ES"/>
        </w:rPr>
        <w:t>Resumo</w:t>
      </w:r>
    </w:p>
    <w:p w14:paraId="46EEA298" w14:textId="77777777" w:rsidR="003A5F2B" w:rsidRPr="00474A1F" w:rsidRDefault="003A5F2B" w:rsidP="003A5F2B">
      <w:pPr>
        <w:spacing w:after="0" w:line="360" w:lineRule="auto"/>
        <w:jc w:val="both"/>
        <w:rPr>
          <w:rFonts w:ascii="Times New Roman" w:eastAsia="Times New Roman" w:hAnsi="Times New Roman" w:cs="Times New Roman"/>
          <w:color w:val="000000"/>
          <w:sz w:val="24"/>
          <w:szCs w:val="24"/>
          <w:lang w:val="en-US" w:eastAsia="es-MX"/>
        </w:rPr>
      </w:pPr>
      <w:r w:rsidRPr="00474A1F">
        <w:rPr>
          <w:rFonts w:ascii="Times New Roman" w:eastAsia="Times New Roman" w:hAnsi="Times New Roman" w:cs="Times New Roman"/>
          <w:color w:val="000000"/>
          <w:sz w:val="24"/>
          <w:szCs w:val="24"/>
          <w:lang w:val="en-US" w:eastAsia="es-MX"/>
        </w:rPr>
        <w:t xml:space="preserve">A </w:t>
      </w:r>
      <w:proofErr w:type="spellStart"/>
      <w:r w:rsidRPr="00474A1F">
        <w:rPr>
          <w:rFonts w:ascii="Times New Roman" w:eastAsia="Times New Roman" w:hAnsi="Times New Roman" w:cs="Times New Roman"/>
          <w:color w:val="000000"/>
          <w:sz w:val="24"/>
          <w:szCs w:val="24"/>
          <w:lang w:val="en-US" w:eastAsia="es-MX"/>
        </w:rPr>
        <w:t>inovação</w:t>
      </w:r>
      <w:proofErr w:type="spellEnd"/>
      <w:r w:rsidRPr="00474A1F">
        <w:rPr>
          <w:rFonts w:ascii="Times New Roman" w:eastAsia="Times New Roman" w:hAnsi="Times New Roman" w:cs="Times New Roman"/>
          <w:color w:val="000000"/>
          <w:sz w:val="24"/>
          <w:szCs w:val="24"/>
          <w:lang w:val="en-US" w:eastAsia="es-MX"/>
        </w:rPr>
        <w:t xml:space="preserve"> e a </w:t>
      </w:r>
      <w:proofErr w:type="spellStart"/>
      <w:r w:rsidRPr="00474A1F">
        <w:rPr>
          <w:rFonts w:ascii="Times New Roman" w:eastAsia="Times New Roman" w:hAnsi="Times New Roman" w:cs="Times New Roman"/>
          <w:color w:val="000000"/>
          <w:sz w:val="24"/>
          <w:szCs w:val="24"/>
          <w:lang w:val="en-US" w:eastAsia="es-MX"/>
        </w:rPr>
        <w:t>transferência</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tecnologia</w:t>
      </w:r>
      <w:proofErr w:type="spellEnd"/>
      <w:r w:rsidRPr="00474A1F">
        <w:rPr>
          <w:rFonts w:ascii="Times New Roman" w:eastAsia="Times New Roman" w:hAnsi="Times New Roman" w:cs="Times New Roman"/>
          <w:color w:val="000000"/>
          <w:sz w:val="24"/>
          <w:szCs w:val="24"/>
          <w:lang w:val="en-US" w:eastAsia="es-MX"/>
        </w:rPr>
        <w:t xml:space="preserve"> no México </w:t>
      </w:r>
      <w:proofErr w:type="spellStart"/>
      <w:r w:rsidRPr="00474A1F">
        <w:rPr>
          <w:rFonts w:ascii="Times New Roman" w:eastAsia="Times New Roman" w:hAnsi="Times New Roman" w:cs="Times New Roman"/>
          <w:color w:val="000000"/>
          <w:sz w:val="24"/>
          <w:szCs w:val="24"/>
          <w:lang w:val="en-US" w:eastAsia="es-MX"/>
        </w:rPr>
        <w:t>nem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sempre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geradas</w:t>
      </w:r>
      <w:proofErr w:type="spellEnd"/>
      <w:r w:rsidRPr="00474A1F">
        <w:rPr>
          <w:rFonts w:ascii="Times New Roman" w:eastAsia="Times New Roman" w:hAnsi="Times New Roman" w:cs="Times New Roman"/>
          <w:color w:val="000000"/>
          <w:sz w:val="24"/>
          <w:szCs w:val="24"/>
          <w:lang w:val="en-US" w:eastAsia="es-MX"/>
        </w:rPr>
        <w:t xml:space="preserve"> no </w:t>
      </w:r>
      <w:proofErr w:type="spellStart"/>
      <w:r w:rsidRPr="00474A1F">
        <w:rPr>
          <w:rFonts w:ascii="Times New Roman" w:eastAsia="Times New Roman" w:hAnsi="Times New Roman" w:cs="Times New Roman"/>
          <w:color w:val="000000"/>
          <w:sz w:val="24"/>
          <w:szCs w:val="24"/>
          <w:lang w:val="en-US" w:eastAsia="es-MX"/>
        </w:rPr>
        <w:t>ambiente</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negócios</w:t>
      </w:r>
      <w:proofErr w:type="spellEnd"/>
      <w:r w:rsidRPr="00474A1F">
        <w:rPr>
          <w:rFonts w:ascii="Times New Roman" w:eastAsia="Times New Roman" w:hAnsi="Times New Roman" w:cs="Times New Roman"/>
          <w:color w:val="000000"/>
          <w:sz w:val="24"/>
          <w:szCs w:val="24"/>
          <w:lang w:val="en-US" w:eastAsia="es-MX"/>
        </w:rPr>
        <w:t xml:space="preserve">, pois </w:t>
      </w:r>
      <w:proofErr w:type="spellStart"/>
      <w:r w:rsidRPr="00474A1F">
        <w:rPr>
          <w:rFonts w:ascii="Times New Roman" w:eastAsia="Times New Roman" w:hAnsi="Times New Roman" w:cs="Times New Roman"/>
          <w:color w:val="000000"/>
          <w:sz w:val="24"/>
          <w:szCs w:val="24"/>
          <w:lang w:val="en-US" w:eastAsia="es-MX"/>
        </w:rPr>
        <w:t>em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sua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gênese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intervêm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diversos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agentes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sociais</w:t>
      </w:r>
      <w:proofErr w:type="spellEnd"/>
      <w:r w:rsidRPr="00474A1F">
        <w:rPr>
          <w:rFonts w:ascii="Times New Roman" w:eastAsia="Times New Roman" w:hAnsi="Times New Roman" w:cs="Times New Roman"/>
          <w:color w:val="000000"/>
          <w:sz w:val="24"/>
          <w:szCs w:val="24"/>
          <w:lang w:val="en-US" w:eastAsia="es-MX"/>
        </w:rPr>
        <w:t xml:space="preserve"> que </w:t>
      </w:r>
      <w:proofErr w:type="spellStart"/>
      <w:r w:rsidRPr="00474A1F">
        <w:rPr>
          <w:rFonts w:ascii="Times New Roman" w:eastAsia="Times New Roman" w:hAnsi="Times New Roman" w:cs="Times New Roman"/>
          <w:color w:val="000000"/>
          <w:sz w:val="24"/>
          <w:szCs w:val="24"/>
          <w:lang w:val="en-US" w:eastAsia="es-MX"/>
        </w:rPr>
        <w:t>trabalham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apenas</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maneira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coordenada</w:t>
      </w:r>
      <w:proofErr w:type="spellEnd"/>
      <w:r w:rsidRPr="00474A1F">
        <w:rPr>
          <w:rFonts w:ascii="Times New Roman" w:eastAsia="Times New Roman" w:hAnsi="Times New Roman" w:cs="Times New Roman"/>
          <w:color w:val="000000"/>
          <w:sz w:val="24"/>
          <w:szCs w:val="24"/>
          <w:lang w:val="en-US" w:eastAsia="es-MX"/>
        </w:rPr>
        <w:t xml:space="preserve">, o que </w:t>
      </w:r>
      <w:proofErr w:type="spellStart"/>
      <w:r w:rsidRPr="00474A1F">
        <w:rPr>
          <w:rFonts w:ascii="Times New Roman" w:eastAsia="Times New Roman" w:hAnsi="Times New Roman" w:cs="Times New Roman"/>
          <w:color w:val="000000"/>
          <w:sz w:val="24"/>
          <w:szCs w:val="24"/>
          <w:lang w:val="en-US" w:eastAsia="es-MX"/>
        </w:rPr>
        <w:t>produz</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resultados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fracos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Portanto</w:t>
      </w:r>
      <w:proofErr w:type="spellEnd"/>
      <w:r w:rsidRPr="00474A1F">
        <w:rPr>
          <w:rFonts w:ascii="Times New Roman" w:eastAsia="Times New Roman" w:hAnsi="Times New Roman" w:cs="Times New Roman"/>
          <w:color w:val="000000"/>
          <w:sz w:val="24"/>
          <w:szCs w:val="24"/>
          <w:lang w:val="en-US" w:eastAsia="es-MX"/>
        </w:rPr>
        <w:t xml:space="preserve">, o </w:t>
      </w:r>
      <w:proofErr w:type="spellStart"/>
      <w:r w:rsidRPr="00474A1F">
        <w:rPr>
          <w:rFonts w:ascii="Times New Roman" w:eastAsia="Times New Roman" w:hAnsi="Times New Roman" w:cs="Times New Roman"/>
          <w:color w:val="000000"/>
          <w:sz w:val="24"/>
          <w:szCs w:val="24"/>
          <w:lang w:val="en-US" w:eastAsia="es-MX"/>
        </w:rPr>
        <w:t>objetivo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deste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texto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foi</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analisar</w:t>
      </w:r>
      <w:proofErr w:type="spellEnd"/>
      <w:r w:rsidRPr="00474A1F">
        <w:rPr>
          <w:rFonts w:ascii="Times New Roman" w:eastAsia="Times New Roman" w:hAnsi="Times New Roman" w:cs="Times New Roman"/>
          <w:color w:val="000000"/>
          <w:sz w:val="24"/>
          <w:szCs w:val="24"/>
          <w:lang w:val="en-US" w:eastAsia="es-MX"/>
        </w:rPr>
        <w:t xml:space="preserve"> o </w:t>
      </w:r>
      <w:proofErr w:type="spellStart"/>
      <w:r w:rsidRPr="00474A1F">
        <w:rPr>
          <w:rFonts w:ascii="Times New Roman" w:eastAsia="Times New Roman" w:hAnsi="Times New Roman" w:cs="Times New Roman"/>
          <w:color w:val="000000"/>
          <w:sz w:val="24"/>
          <w:szCs w:val="24"/>
          <w:lang w:val="en-US" w:eastAsia="es-MX"/>
        </w:rPr>
        <w:t>papel</w:t>
      </w:r>
      <w:proofErr w:type="spellEnd"/>
      <w:r w:rsidRPr="00474A1F">
        <w:rPr>
          <w:rFonts w:ascii="Times New Roman" w:eastAsia="Times New Roman" w:hAnsi="Times New Roman" w:cs="Times New Roman"/>
          <w:color w:val="000000"/>
          <w:sz w:val="24"/>
          <w:szCs w:val="24"/>
          <w:lang w:val="en-US" w:eastAsia="es-MX"/>
        </w:rPr>
        <w:t xml:space="preserve"> da </w:t>
      </w:r>
      <w:proofErr w:type="spellStart"/>
      <w:r w:rsidRPr="00474A1F">
        <w:rPr>
          <w:rFonts w:ascii="Times New Roman" w:eastAsia="Times New Roman" w:hAnsi="Times New Roman" w:cs="Times New Roman"/>
          <w:color w:val="000000"/>
          <w:sz w:val="24"/>
          <w:szCs w:val="24"/>
          <w:lang w:val="en-US" w:eastAsia="es-MX"/>
        </w:rPr>
        <w:t>transferência</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conhecimento</w:t>
      </w:r>
      <w:proofErr w:type="spellEnd"/>
      <w:r w:rsidRPr="00474A1F">
        <w:rPr>
          <w:rFonts w:ascii="Times New Roman" w:eastAsia="Times New Roman" w:hAnsi="Times New Roman" w:cs="Times New Roman"/>
          <w:color w:val="000000"/>
          <w:sz w:val="24"/>
          <w:szCs w:val="24"/>
          <w:lang w:val="en-US" w:eastAsia="es-MX"/>
        </w:rPr>
        <w:t xml:space="preserve"> das </w:t>
      </w:r>
      <w:proofErr w:type="spellStart"/>
      <w:r w:rsidRPr="00474A1F">
        <w:rPr>
          <w:rFonts w:ascii="Times New Roman" w:eastAsia="Times New Roman" w:hAnsi="Times New Roman" w:cs="Times New Roman"/>
          <w:color w:val="000000"/>
          <w:sz w:val="24"/>
          <w:szCs w:val="24"/>
          <w:lang w:val="en-US" w:eastAsia="es-MX"/>
        </w:rPr>
        <w:t>universidades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na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determinação</w:t>
      </w:r>
      <w:proofErr w:type="spellEnd"/>
      <w:r w:rsidRPr="00474A1F">
        <w:rPr>
          <w:rFonts w:ascii="Times New Roman" w:eastAsia="Times New Roman" w:hAnsi="Times New Roman" w:cs="Times New Roman"/>
          <w:color w:val="000000"/>
          <w:sz w:val="24"/>
          <w:szCs w:val="24"/>
          <w:lang w:val="en-US" w:eastAsia="es-MX"/>
        </w:rPr>
        <w:t xml:space="preserve"> da </w:t>
      </w:r>
      <w:proofErr w:type="spellStart"/>
      <w:r w:rsidRPr="00474A1F">
        <w:rPr>
          <w:rFonts w:ascii="Times New Roman" w:eastAsia="Times New Roman" w:hAnsi="Times New Roman" w:cs="Times New Roman"/>
          <w:color w:val="000000"/>
          <w:sz w:val="24"/>
          <w:szCs w:val="24"/>
          <w:lang w:val="en-US" w:eastAsia="es-MX"/>
        </w:rPr>
        <w:t>inovação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tecnológica</w:t>
      </w:r>
      <w:proofErr w:type="spellEnd"/>
      <w:r w:rsidRPr="00474A1F">
        <w:rPr>
          <w:rFonts w:ascii="Times New Roman" w:eastAsia="Times New Roman" w:hAnsi="Times New Roman" w:cs="Times New Roman"/>
          <w:color w:val="000000"/>
          <w:sz w:val="24"/>
          <w:szCs w:val="24"/>
          <w:lang w:val="en-US" w:eastAsia="es-MX"/>
        </w:rPr>
        <w:t xml:space="preserve"> no México. </w:t>
      </w:r>
      <w:proofErr w:type="spellStart"/>
      <w:r w:rsidRPr="00474A1F">
        <w:rPr>
          <w:rFonts w:ascii="Times New Roman" w:eastAsia="Times New Roman" w:hAnsi="Times New Roman" w:cs="Times New Roman"/>
          <w:color w:val="000000"/>
          <w:sz w:val="24"/>
          <w:szCs w:val="24"/>
          <w:lang w:val="en-US" w:eastAsia="es-MX"/>
        </w:rPr>
        <w:t>Metodologicamente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os</w:t>
      </w:r>
      <w:proofErr w:type="spellEnd"/>
      <w:r w:rsidRPr="00474A1F">
        <w:rPr>
          <w:rFonts w:ascii="Times New Roman" w:eastAsia="Times New Roman" w:hAnsi="Times New Roman" w:cs="Times New Roman"/>
          <w:color w:val="000000"/>
          <w:sz w:val="24"/>
          <w:szCs w:val="24"/>
          <w:lang w:val="en-US" w:eastAsia="es-MX"/>
        </w:rPr>
        <w:t xml:space="preserve"> dados </w:t>
      </w:r>
      <w:proofErr w:type="spellStart"/>
      <w:r w:rsidRPr="00474A1F">
        <w:rPr>
          <w:rFonts w:ascii="Times New Roman" w:eastAsia="Times New Roman" w:hAnsi="Times New Roman" w:cs="Times New Roman"/>
          <w:color w:val="000000"/>
          <w:sz w:val="24"/>
          <w:szCs w:val="24"/>
          <w:lang w:val="en-US" w:eastAsia="es-MX"/>
        </w:rPr>
        <w:t>foram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elaborados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como</w:t>
      </w:r>
      <w:proofErr w:type="spellEnd"/>
      <w:r w:rsidRPr="00474A1F">
        <w:rPr>
          <w:rFonts w:ascii="Times New Roman" w:eastAsia="Times New Roman" w:hAnsi="Times New Roman" w:cs="Times New Roman"/>
          <w:color w:val="000000"/>
          <w:sz w:val="24"/>
          <w:szCs w:val="24"/>
          <w:lang w:val="en-US" w:eastAsia="es-MX"/>
        </w:rPr>
        <w:t xml:space="preserve"> um </w:t>
      </w:r>
      <w:proofErr w:type="spellStart"/>
      <w:r w:rsidRPr="00474A1F">
        <w:rPr>
          <w:rFonts w:ascii="Times New Roman" w:eastAsia="Times New Roman" w:hAnsi="Times New Roman" w:cs="Times New Roman"/>
          <w:color w:val="000000"/>
          <w:sz w:val="24"/>
          <w:szCs w:val="24"/>
          <w:lang w:val="en-US" w:eastAsia="es-MX"/>
        </w:rPr>
        <w:t>painel</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analisados</w:t>
      </w:r>
      <w:proofErr w:type="spellEnd"/>
      <w:r w:rsidRPr="00474A1F">
        <w:rPr>
          <w:rFonts w:ascii="Times New Roman" w:eastAsia="Times New Roman" w:hAnsi="Times New Roman" w:cs="Times New Roman"/>
          <w:color w:val="000000"/>
          <w:sz w:val="24"/>
          <w:szCs w:val="24"/>
          <w:lang w:val="en-US" w:eastAsia="es-MX"/>
        </w:rPr>
        <w:t xml:space="preserve"> ​​por </w:t>
      </w:r>
      <w:proofErr w:type="spellStart"/>
      <w:r w:rsidRPr="00474A1F">
        <w:rPr>
          <w:rFonts w:ascii="Times New Roman" w:eastAsia="Times New Roman" w:hAnsi="Times New Roman" w:cs="Times New Roman"/>
          <w:color w:val="000000"/>
          <w:sz w:val="24"/>
          <w:szCs w:val="24"/>
          <w:lang w:val="en-US" w:eastAsia="es-MX"/>
        </w:rPr>
        <w:t>meio</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mínimos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quadrados</w:t>
      </w:r>
      <w:proofErr w:type="spellEnd"/>
      <w:r w:rsidRPr="00474A1F">
        <w:rPr>
          <w:rFonts w:ascii="Times New Roman" w:eastAsia="Times New Roman" w:hAnsi="Times New Roman" w:cs="Times New Roman"/>
          <w:color w:val="000000"/>
          <w:sz w:val="24"/>
          <w:szCs w:val="24"/>
          <w:lang w:val="en-US" w:eastAsia="es-MX"/>
        </w:rPr>
        <w:t xml:space="preserve"> com </w:t>
      </w:r>
      <w:proofErr w:type="spellStart"/>
      <w:r w:rsidRPr="00474A1F">
        <w:rPr>
          <w:rFonts w:ascii="Times New Roman" w:eastAsia="Times New Roman" w:hAnsi="Times New Roman" w:cs="Times New Roman"/>
          <w:color w:val="000000"/>
          <w:sz w:val="24"/>
          <w:szCs w:val="24"/>
          <w:lang w:val="en-US" w:eastAsia="es-MX"/>
        </w:rPr>
        <w:t>erros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padrão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corrigidos</w:t>
      </w:r>
      <w:proofErr w:type="spellEnd"/>
      <w:r w:rsidRPr="00474A1F">
        <w:rPr>
          <w:rFonts w:ascii="Times New Roman" w:eastAsia="Times New Roman" w:hAnsi="Times New Roman" w:cs="Times New Roman"/>
          <w:color w:val="000000"/>
          <w:sz w:val="24"/>
          <w:szCs w:val="24"/>
          <w:lang w:val="en-US" w:eastAsia="es-MX"/>
        </w:rPr>
        <w:t xml:space="preserve"> (MCO), e o </w:t>
      </w:r>
      <w:r w:rsidRPr="00474A1F">
        <w:rPr>
          <w:rFonts w:ascii="Times New Roman" w:eastAsia="Times New Roman" w:hAnsi="Times New Roman" w:cs="Times New Roman"/>
          <w:color w:val="000000"/>
          <w:sz w:val="24"/>
          <w:szCs w:val="24"/>
          <w:lang w:val="en-US" w:eastAsia="es-MX"/>
        </w:rPr>
        <w:lastRenderedPageBreak/>
        <w:t xml:space="preserve">banco de dados </w:t>
      </w:r>
      <w:proofErr w:type="spellStart"/>
      <w:r w:rsidRPr="00474A1F">
        <w:rPr>
          <w:rFonts w:ascii="Times New Roman" w:eastAsia="Times New Roman" w:hAnsi="Times New Roman" w:cs="Times New Roman"/>
          <w:color w:val="000000"/>
          <w:sz w:val="24"/>
          <w:szCs w:val="24"/>
          <w:lang w:val="en-US" w:eastAsia="es-MX"/>
        </w:rPr>
        <w:t>utilizado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corresponde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ao</w:t>
      </w:r>
      <w:proofErr w:type="spellEnd"/>
      <w:r w:rsidRPr="00474A1F">
        <w:rPr>
          <w:rFonts w:ascii="Times New Roman" w:eastAsia="Times New Roman" w:hAnsi="Times New Roman" w:cs="Times New Roman"/>
          <w:color w:val="000000"/>
          <w:sz w:val="24"/>
          <w:szCs w:val="24"/>
          <w:lang w:val="en-US" w:eastAsia="es-MX"/>
        </w:rPr>
        <w:t xml:space="preserve"> Instituto </w:t>
      </w:r>
      <w:proofErr w:type="spellStart"/>
      <w:r w:rsidRPr="00474A1F">
        <w:rPr>
          <w:rFonts w:ascii="Times New Roman" w:eastAsia="Times New Roman" w:hAnsi="Times New Roman" w:cs="Times New Roman"/>
          <w:color w:val="000000"/>
          <w:sz w:val="24"/>
          <w:szCs w:val="24"/>
          <w:lang w:val="en-US" w:eastAsia="es-MX"/>
        </w:rPr>
        <w:t>Mexicano</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Competitividade</w:t>
      </w:r>
      <w:proofErr w:type="spellEnd"/>
      <w:r w:rsidRPr="00474A1F">
        <w:rPr>
          <w:rFonts w:ascii="Times New Roman" w:eastAsia="Times New Roman" w:hAnsi="Times New Roman" w:cs="Times New Roman"/>
          <w:color w:val="000000"/>
          <w:sz w:val="24"/>
          <w:szCs w:val="24"/>
          <w:lang w:val="en-US" w:eastAsia="es-MX"/>
        </w:rPr>
        <w:t xml:space="preserve"> (IMCO). </w:t>
      </w:r>
      <w:proofErr w:type="spellStart"/>
      <w:r w:rsidRPr="00474A1F">
        <w:rPr>
          <w:rFonts w:ascii="Times New Roman" w:eastAsia="Times New Roman" w:hAnsi="Times New Roman" w:cs="Times New Roman"/>
          <w:color w:val="000000"/>
          <w:sz w:val="24"/>
          <w:szCs w:val="24"/>
          <w:lang w:val="en-US" w:eastAsia="es-MX"/>
        </w:rPr>
        <w:t>Nesse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sentido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achados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indicam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uma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relação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significativa</w:t>
      </w:r>
      <w:proofErr w:type="spellEnd"/>
      <w:r w:rsidRPr="00474A1F">
        <w:rPr>
          <w:rFonts w:ascii="Times New Roman" w:eastAsia="Times New Roman" w:hAnsi="Times New Roman" w:cs="Times New Roman"/>
          <w:color w:val="000000"/>
          <w:sz w:val="24"/>
          <w:szCs w:val="24"/>
          <w:lang w:val="en-US" w:eastAsia="es-MX"/>
        </w:rPr>
        <w:t xml:space="preserve"> e </w:t>
      </w:r>
      <w:proofErr w:type="spellStart"/>
      <w:r w:rsidRPr="00474A1F">
        <w:rPr>
          <w:rFonts w:ascii="Times New Roman" w:eastAsia="Times New Roman" w:hAnsi="Times New Roman" w:cs="Times New Roman"/>
          <w:color w:val="000000"/>
          <w:sz w:val="24"/>
          <w:szCs w:val="24"/>
          <w:lang w:val="en-US" w:eastAsia="es-MX"/>
        </w:rPr>
        <w:t>positiva</w:t>
      </w:r>
      <w:proofErr w:type="spellEnd"/>
      <w:r w:rsidRPr="00474A1F">
        <w:rPr>
          <w:rFonts w:ascii="Times New Roman" w:eastAsia="Times New Roman" w:hAnsi="Times New Roman" w:cs="Times New Roman"/>
          <w:color w:val="000000"/>
          <w:sz w:val="24"/>
          <w:szCs w:val="24"/>
          <w:lang w:val="en-US" w:eastAsia="es-MX"/>
        </w:rPr>
        <w:t xml:space="preserve"> entre a </w:t>
      </w:r>
      <w:proofErr w:type="spellStart"/>
      <w:r w:rsidRPr="00474A1F">
        <w:rPr>
          <w:rFonts w:ascii="Times New Roman" w:eastAsia="Times New Roman" w:hAnsi="Times New Roman" w:cs="Times New Roman"/>
          <w:color w:val="000000"/>
          <w:sz w:val="24"/>
          <w:szCs w:val="24"/>
          <w:lang w:val="en-US" w:eastAsia="es-MX"/>
        </w:rPr>
        <w:t>inovação</w:t>
      </w:r>
      <w:proofErr w:type="spellEnd"/>
      <w:r w:rsidRPr="00474A1F">
        <w:rPr>
          <w:rFonts w:ascii="Times New Roman" w:eastAsia="Times New Roman" w:hAnsi="Times New Roman" w:cs="Times New Roman"/>
          <w:color w:val="000000"/>
          <w:sz w:val="24"/>
          <w:szCs w:val="24"/>
          <w:lang w:val="en-US" w:eastAsia="es-MX"/>
        </w:rPr>
        <w:t xml:space="preserve"> e a </w:t>
      </w:r>
      <w:proofErr w:type="spellStart"/>
      <w:r w:rsidRPr="00474A1F">
        <w:rPr>
          <w:rFonts w:ascii="Times New Roman" w:eastAsia="Times New Roman" w:hAnsi="Times New Roman" w:cs="Times New Roman"/>
          <w:color w:val="000000"/>
          <w:sz w:val="24"/>
          <w:szCs w:val="24"/>
          <w:lang w:val="en-US" w:eastAsia="es-MX"/>
        </w:rPr>
        <w:t>atividade</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grandes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empresas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cursos</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pós-graduação</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qualidade</w:t>
      </w:r>
      <w:proofErr w:type="spellEnd"/>
      <w:r w:rsidRPr="00474A1F">
        <w:rPr>
          <w:rFonts w:ascii="Times New Roman" w:eastAsia="Times New Roman" w:hAnsi="Times New Roman" w:cs="Times New Roman"/>
          <w:color w:val="000000"/>
          <w:sz w:val="24"/>
          <w:szCs w:val="24"/>
          <w:lang w:val="en-US" w:eastAsia="es-MX"/>
        </w:rPr>
        <w:t xml:space="preserve"> e </w:t>
      </w:r>
      <w:proofErr w:type="spellStart"/>
      <w:r w:rsidRPr="00474A1F">
        <w:rPr>
          <w:rFonts w:ascii="Times New Roman" w:eastAsia="Times New Roman" w:hAnsi="Times New Roman" w:cs="Times New Roman"/>
          <w:color w:val="000000"/>
          <w:sz w:val="24"/>
          <w:szCs w:val="24"/>
          <w:lang w:val="en-US" w:eastAsia="es-MX"/>
        </w:rPr>
        <w:t>centros</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pesquisa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bem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como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uma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relação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significativa</w:t>
      </w:r>
      <w:proofErr w:type="spellEnd"/>
      <w:r w:rsidRPr="00474A1F">
        <w:rPr>
          <w:rFonts w:ascii="Times New Roman" w:eastAsia="Times New Roman" w:hAnsi="Times New Roman" w:cs="Times New Roman"/>
          <w:color w:val="000000"/>
          <w:sz w:val="24"/>
          <w:szCs w:val="24"/>
          <w:lang w:val="en-US" w:eastAsia="es-MX"/>
        </w:rPr>
        <w:t xml:space="preserve"> e </w:t>
      </w:r>
      <w:proofErr w:type="spellStart"/>
      <w:r w:rsidRPr="00474A1F">
        <w:rPr>
          <w:rFonts w:ascii="Times New Roman" w:eastAsia="Times New Roman" w:hAnsi="Times New Roman" w:cs="Times New Roman"/>
          <w:color w:val="000000"/>
          <w:sz w:val="24"/>
          <w:szCs w:val="24"/>
          <w:lang w:val="en-US" w:eastAsia="es-MX"/>
        </w:rPr>
        <w:t>negativa</w:t>
      </w:r>
      <w:proofErr w:type="spellEnd"/>
      <w:r w:rsidRPr="00474A1F">
        <w:rPr>
          <w:rFonts w:ascii="Times New Roman" w:eastAsia="Times New Roman" w:hAnsi="Times New Roman" w:cs="Times New Roman"/>
          <w:color w:val="000000"/>
          <w:sz w:val="24"/>
          <w:szCs w:val="24"/>
          <w:lang w:val="en-US" w:eastAsia="es-MX"/>
        </w:rPr>
        <w:t xml:space="preserve"> com as </w:t>
      </w:r>
      <w:proofErr w:type="spellStart"/>
      <w:r w:rsidRPr="00474A1F">
        <w:rPr>
          <w:rFonts w:ascii="Times New Roman" w:eastAsia="Times New Roman" w:hAnsi="Times New Roman" w:cs="Times New Roman"/>
          <w:color w:val="000000"/>
          <w:sz w:val="24"/>
          <w:szCs w:val="24"/>
          <w:lang w:val="en-US" w:eastAsia="es-MX"/>
        </w:rPr>
        <w:t>pequenas</w:t>
      </w:r>
      <w:proofErr w:type="spellEnd"/>
      <w:r w:rsidRPr="00474A1F">
        <w:rPr>
          <w:rFonts w:ascii="Times New Roman" w:eastAsia="Times New Roman" w:hAnsi="Times New Roman" w:cs="Times New Roman"/>
          <w:color w:val="000000"/>
          <w:sz w:val="24"/>
          <w:szCs w:val="24"/>
          <w:lang w:val="en-US" w:eastAsia="es-MX"/>
        </w:rPr>
        <w:t xml:space="preserve"> e </w:t>
      </w:r>
      <w:proofErr w:type="spellStart"/>
      <w:r w:rsidRPr="00474A1F">
        <w:rPr>
          <w:rFonts w:ascii="Times New Roman" w:eastAsia="Times New Roman" w:hAnsi="Times New Roman" w:cs="Times New Roman"/>
          <w:color w:val="000000"/>
          <w:sz w:val="24"/>
          <w:szCs w:val="24"/>
          <w:lang w:val="en-US" w:eastAsia="es-MX"/>
        </w:rPr>
        <w:t>médias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empresas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Portanto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conclui</w:t>
      </w:r>
      <w:proofErr w:type="spellEnd"/>
      <w:r w:rsidRPr="00474A1F">
        <w:rPr>
          <w:rFonts w:ascii="Times New Roman" w:eastAsia="Times New Roman" w:hAnsi="Times New Roman" w:cs="Times New Roman"/>
          <w:color w:val="000000"/>
          <w:sz w:val="24"/>
          <w:szCs w:val="24"/>
          <w:lang w:val="en-US" w:eastAsia="es-MX"/>
        </w:rPr>
        <w:t xml:space="preserve">-se que </w:t>
      </w:r>
      <w:proofErr w:type="spellStart"/>
      <w:r w:rsidRPr="00474A1F">
        <w:rPr>
          <w:rFonts w:ascii="Times New Roman" w:eastAsia="Times New Roman" w:hAnsi="Times New Roman" w:cs="Times New Roman"/>
          <w:color w:val="000000"/>
          <w:sz w:val="24"/>
          <w:szCs w:val="24"/>
          <w:lang w:val="en-US" w:eastAsia="es-MX"/>
        </w:rPr>
        <w:t>essas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características</w:t>
      </w:r>
      <w:proofErr w:type="spellEnd"/>
      <w:r w:rsidRPr="00474A1F">
        <w:rPr>
          <w:rFonts w:ascii="Times New Roman" w:eastAsia="Times New Roman" w:hAnsi="Times New Roman" w:cs="Times New Roman"/>
          <w:color w:val="000000"/>
          <w:sz w:val="24"/>
          <w:szCs w:val="24"/>
          <w:lang w:val="en-US" w:eastAsia="es-MX"/>
        </w:rPr>
        <w:t xml:space="preserve"> se </w:t>
      </w:r>
      <w:proofErr w:type="spellStart"/>
      <w:r w:rsidRPr="00474A1F">
        <w:rPr>
          <w:rFonts w:ascii="Times New Roman" w:eastAsia="Times New Roman" w:hAnsi="Times New Roman" w:cs="Times New Roman"/>
          <w:color w:val="000000"/>
          <w:sz w:val="24"/>
          <w:szCs w:val="24"/>
          <w:lang w:val="en-US" w:eastAsia="es-MX"/>
        </w:rPr>
        <w:t>traduzem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em</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importantes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áreas</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oportunidade</w:t>
      </w:r>
      <w:proofErr w:type="spellEnd"/>
      <w:r w:rsidRPr="00474A1F">
        <w:rPr>
          <w:rFonts w:ascii="Times New Roman" w:eastAsia="Times New Roman" w:hAnsi="Times New Roman" w:cs="Times New Roman"/>
          <w:color w:val="000000"/>
          <w:sz w:val="24"/>
          <w:szCs w:val="24"/>
          <w:lang w:val="en-US" w:eastAsia="es-MX"/>
        </w:rPr>
        <w:t xml:space="preserve"> no campo da </w:t>
      </w:r>
      <w:proofErr w:type="spellStart"/>
      <w:r w:rsidRPr="00474A1F">
        <w:rPr>
          <w:rFonts w:ascii="Times New Roman" w:eastAsia="Times New Roman" w:hAnsi="Times New Roman" w:cs="Times New Roman"/>
          <w:color w:val="000000"/>
          <w:sz w:val="24"/>
          <w:szCs w:val="24"/>
          <w:lang w:val="en-US" w:eastAsia="es-MX"/>
        </w:rPr>
        <w:t>política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educacional</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sua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relação</w:t>
      </w:r>
      <w:proofErr w:type="spellEnd"/>
      <w:r w:rsidRPr="00474A1F">
        <w:rPr>
          <w:rFonts w:ascii="Times New Roman" w:eastAsia="Times New Roman" w:hAnsi="Times New Roman" w:cs="Times New Roman"/>
          <w:color w:val="000000"/>
          <w:sz w:val="24"/>
          <w:szCs w:val="24"/>
          <w:lang w:val="en-US" w:eastAsia="es-MX"/>
        </w:rPr>
        <w:t xml:space="preserve"> com as </w:t>
      </w:r>
      <w:proofErr w:type="spellStart"/>
      <w:r w:rsidRPr="00474A1F">
        <w:rPr>
          <w:rFonts w:ascii="Times New Roman" w:eastAsia="Times New Roman" w:hAnsi="Times New Roman" w:cs="Times New Roman"/>
          <w:color w:val="000000"/>
          <w:sz w:val="24"/>
          <w:szCs w:val="24"/>
          <w:lang w:val="en-US" w:eastAsia="es-MX"/>
        </w:rPr>
        <w:t>grandes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empresas</w:t>
      </w:r>
      <w:proofErr w:type="spellEnd"/>
      <w:r w:rsidRPr="00474A1F">
        <w:rPr>
          <w:rFonts w:ascii="Times New Roman" w:eastAsia="Times New Roman" w:hAnsi="Times New Roman" w:cs="Times New Roman"/>
          <w:color w:val="000000"/>
          <w:sz w:val="24"/>
          <w:szCs w:val="24"/>
          <w:lang w:val="en-US" w:eastAsia="es-MX"/>
        </w:rPr>
        <w:t xml:space="preserve"> e a </w:t>
      </w:r>
      <w:proofErr w:type="spellStart"/>
      <w:r w:rsidRPr="00474A1F">
        <w:rPr>
          <w:rFonts w:ascii="Times New Roman" w:eastAsia="Times New Roman" w:hAnsi="Times New Roman" w:cs="Times New Roman"/>
          <w:color w:val="000000"/>
          <w:sz w:val="24"/>
          <w:szCs w:val="24"/>
          <w:lang w:val="en-US" w:eastAsia="es-MX"/>
        </w:rPr>
        <w:t>transferência</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conhecimento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gerado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nas</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universidades</w:t>
      </w:r>
      <w:proofErr w:type="spellEnd"/>
      <w:r w:rsidRPr="00474A1F">
        <w:rPr>
          <w:rFonts w:ascii="Times New Roman" w:eastAsia="Times New Roman" w:hAnsi="Times New Roman" w:cs="Times New Roman"/>
          <w:color w:val="000000"/>
          <w:sz w:val="24"/>
          <w:szCs w:val="24"/>
          <w:lang w:val="en-US" w:eastAsia="es-MX"/>
        </w:rPr>
        <w:t xml:space="preserve"> do </w:t>
      </w:r>
      <w:proofErr w:type="spellStart"/>
      <w:r w:rsidRPr="00474A1F">
        <w:rPr>
          <w:rFonts w:ascii="Times New Roman" w:eastAsia="Times New Roman" w:hAnsi="Times New Roman" w:cs="Times New Roman"/>
          <w:color w:val="000000"/>
          <w:sz w:val="24"/>
          <w:szCs w:val="24"/>
          <w:lang w:val="en-US" w:eastAsia="es-MX"/>
        </w:rPr>
        <w:t>país</w:t>
      </w:r>
      <w:proofErr w:type="spellEnd"/>
      <w:r w:rsidRPr="00474A1F">
        <w:rPr>
          <w:rFonts w:ascii="Times New Roman" w:eastAsia="Times New Roman" w:hAnsi="Times New Roman" w:cs="Times New Roman"/>
          <w:color w:val="000000"/>
          <w:sz w:val="24"/>
          <w:szCs w:val="24"/>
          <w:lang w:val="en-US" w:eastAsia="es-MX"/>
        </w:rPr>
        <w:t>.</w:t>
      </w:r>
    </w:p>
    <w:p w14:paraId="011AA083" w14:textId="4BE079DC" w:rsidR="00465640" w:rsidRPr="00474A1F" w:rsidRDefault="003A5F2B" w:rsidP="003A5F2B">
      <w:pPr>
        <w:spacing w:after="0" w:line="360" w:lineRule="auto"/>
        <w:rPr>
          <w:rFonts w:ascii="Times New Roman" w:eastAsia="Times New Roman" w:hAnsi="Times New Roman" w:cs="Times New Roman"/>
          <w:color w:val="000000"/>
          <w:sz w:val="24"/>
          <w:szCs w:val="24"/>
          <w:lang w:val="en-US" w:eastAsia="es-MX"/>
        </w:rPr>
      </w:pPr>
      <w:proofErr w:type="spellStart"/>
      <w:r w:rsidRPr="00D93FE6">
        <w:rPr>
          <w:rFonts w:ascii="Calibri" w:hAnsi="Calibri" w:cs="Calibri"/>
          <w:b/>
          <w:sz w:val="28"/>
          <w:szCs w:val="24"/>
          <w:lang w:val="es-ES"/>
        </w:rPr>
        <w:t>Palavras</w:t>
      </w:r>
      <w:proofErr w:type="spellEnd"/>
      <w:r w:rsidRPr="00D93FE6">
        <w:rPr>
          <w:rFonts w:ascii="Calibri" w:hAnsi="Calibri" w:cs="Calibri"/>
          <w:b/>
          <w:sz w:val="28"/>
          <w:szCs w:val="24"/>
          <w:lang w:val="es-ES"/>
        </w:rPr>
        <w:t>-chave:</w:t>
      </w:r>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painel</w:t>
      </w:r>
      <w:proofErr w:type="spellEnd"/>
      <w:r w:rsidRPr="00474A1F">
        <w:rPr>
          <w:rFonts w:ascii="Times New Roman" w:eastAsia="Times New Roman" w:hAnsi="Times New Roman" w:cs="Times New Roman"/>
          <w:color w:val="000000"/>
          <w:sz w:val="24"/>
          <w:szCs w:val="24"/>
          <w:lang w:val="en-US" w:eastAsia="es-MX"/>
        </w:rPr>
        <w:t xml:space="preserve"> de dados, </w:t>
      </w:r>
      <w:proofErr w:type="spellStart"/>
      <w:r w:rsidRPr="00474A1F">
        <w:rPr>
          <w:rFonts w:ascii="Times New Roman" w:eastAsia="Times New Roman" w:hAnsi="Times New Roman" w:cs="Times New Roman"/>
          <w:color w:val="000000"/>
          <w:sz w:val="24"/>
          <w:szCs w:val="24"/>
          <w:lang w:val="en-US" w:eastAsia="es-MX"/>
        </w:rPr>
        <w:t>inovação</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científica</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propriedade</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intelectual</w:t>
      </w:r>
      <w:proofErr w:type="spellEnd"/>
      <w:r w:rsidRPr="00474A1F">
        <w:rPr>
          <w:rFonts w:ascii="Times New Roman" w:eastAsia="Times New Roman" w:hAnsi="Times New Roman" w:cs="Times New Roman"/>
          <w:color w:val="000000"/>
          <w:sz w:val="24"/>
          <w:szCs w:val="24"/>
          <w:lang w:val="en-US" w:eastAsia="es-MX"/>
        </w:rPr>
        <w:t xml:space="preserve">, </w:t>
      </w:r>
      <w:proofErr w:type="spellStart"/>
      <w:r w:rsidRPr="00474A1F">
        <w:rPr>
          <w:rFonts w:ascii="Times New Roman" w:eastAsia="Times New Roman" w:hAnsi="Times New Roman" w:cs="Times New Roman"/>
          <w:color w:val="000000"/>
          <w:sz w:val="24"/>
          <w:szCs w:val="24"/>
          <w:lang w:val="en-US" w:eastAsia="es-MX"/>
        </w:rPr>
        <w:t>transferência</w:t>
      </w:r>
      <w:proofErr w:type="spellEnd"/>
      <w:r w:rsidRPr="00474A1F">
        <w:rPr>
          <w:rFonts w:ascii="Times New Roman" w:eastAsia="Times New Roman" w:hAnsi="Times New Roman" w:cs="Times New Roman"/>
          <w:color w:val="000000"/>
          <w:sz w:val="24"/>
          <w:szCs w:val="24"/>
          <w:lang w:val="en-US" w:eastAsia="es-MX"/>
        </w:rPr>
        <w:t xml:space="preserve"> de </w:t>
      </w:r>
      <w:proofErr w:type="spellStart"/>
      <w:r w:rsidRPr="00474A1F">
        <w:rPr>
          <w:rFonts w:ascii="Times New Roman" w:eastAsia="Times New Roman" w:hAnsi="Times New Roman" w:cs="Times New Roman"/>
          <w:color w:val="000000"/>
          <w:sz w:val="24"/>
          <w:szCs w:val="24"/>
          <w:lang w:val="en-US" w:eastAsia="es-MX"/>
        </w:rPr>
        <w:t>tecnologia</w:t>
      </w:r>
      <w:proofErr w:type="spellEnd"/>
      <w:r w:rsidRPr="00474A1F">
        <w:rPr>
          <w:rFonts w:ascii="Times New Roman" w:eastAsia="Times New Roman" w:hAnsi="Times New Roman" w:cs="Times New Roman"/>
          <w:color w:val="000000"/>
          <w:sz w:val="24"/>
          <w:szCs w:val="24"/>
          <w:lang w:val="en-US" w:eastAsia="es-MX"/>
        </w:rPr>
        <w:t>.</w:t>
      </w:r>
    </w:p>
    <w:p w14:paraId="1EAE77E2" w14:textId="572B98C9" w:rsidR="003A5F2B" w:rsidRPr="00474A1F" w:rsidRDefault="003A5F2B" w:rsidP="003A5F2B">
      <w:pPr>
        <w:pStyle w:val="HTMLconformatoprevio"/>
        <w:shd w:val="clear" w:color="auto" w:fill="FFFFFF"/>
        <w:spacing w:line="360" w:lineRule="auto"/>
        <w:rPr>
          <w:rFonts w:ascii="Times New Roman" w:hAnsi="Times New Roman" w:cs="Times New Roman"/>
          <w:color w:val="000000"/>
          <w:sz w:val="24"/>
        </w:rPr>
      </w:pPr>
      <w:r w:rsidRPr="00474A1F">
        <w:rPr>
          <w:rFonts w:ascii="Times New Roman" w:hAnsi="Times New Roman" w:cs="Times New Roman"/>
          <w:b/>
          <w:color w:val="000000"/>
          <w:sz w:val="24"/>
        </w:rPr>
        <w:t>Fecha Recepción:</w:t>
      </w:r>
      <w:r w:rsidRPr="00474A1F">
        <w:rPr>
          <w:rFonts w:ascii="Times New Roman" w:hAnsi="Times New Roman" w:cs="Times New Roman"/>
          <w:color w:val="000000"/>
          <w:sz w:val="24"/>
        </w:rPr>
        <w:t xml:space="preserve"> Febrero 2019                                      </w:t>
      </w:r>
      <w:r w:rsidRPr="00474A1F">
        <w:rPr>
          <w:rFonts w:ascii="Times New Roman" w:hAnsi="Times New Roman" w:cs="Times New Roman"/>
          <w:b/>
          <w:color w:val="000000"/>
          <w:sz w:val="24"/>
        </w:rPr>
        <w:t>Fecha Aceptación:</w:t>
      </w:r>
      <w:r w:rsidRPr="00474A1F">
        <w:rPr>
          <w:rFonts w:ascii="Times New Roman" w:hAnsi="Times New Roman" w:cs="Times New Roman"/>
          <w:color w:val="000000"/>
          <w:sz w:val="24"/>
        </w:rPr>
        <w:t xml:space="preserve"> Agosto 2019</w:t>
      </w:r>
    </w:p>
    <w:p w14:paraId="2639D74B" w14:textId="77777777" w:rsidR="003A5F2B" w:rsidRPr="00474A1F" w:rsidRDefault="002F33E5" w:rsidP="003A5F2B">
      <w:pPr>
        <w:spacing w:after="0" w:line="360" w:lineRule="auto"/>
        <w:jc w:val="both"/>
        <w:rPr>
          <w:rFonts w:ascii="Times New Roman" w:hAnsi="Times New Roman" w:cs="Times New Roman"/>
          <w:sz w:val="24"/>
          <w:szCs w:val="24"/>
          <w:lang w:val="en-US"/>
        </w:rPr>
      </w:pPr>
      <w:r>
        <w:rPr>
          <w:rFonts w:ascii="Times New Roman" w:hAnsi="Times New Roman" w:cs="Times New Roman"/>
        </w:rPr>
        <w:pict w14:anchorId="412E0CD1">
          <v:rect id="_x0000_i1025" style="width:446.5pt;height:1.5pt" o:hralign="center" o:hrstd="t" o:hr="t" fillcolor="#a0a0a0" stroked="f"/>
        </w:pict>
      </w:r>
    </w:p>
    <w:p w14:paraId="1DD87F88" w14:textId="77777777" w:rsidR="003A5F2B" w:rsidRPr="00474A1F" w:rsidRDefault="003A5F2B" w:rsidP="003A5F2B">
      <w:pPr>
        <w:spacing w:after="0" w:line="360" w:lineRule="auto"/>
        <w:rPr>
          <w:rFonts w:ascii="Times New Roman" w:hAnsi="Times New Roman" w:cs="Times New Roman"/>
          <w:lang w:val="en-US"/>
        </w:rPr>
      </w:pPr>
    </w:p>
    <w:p w14:paraId="5C2A1209" w14:textId="6C873412" w:rsidR="00A743AD" w:rsidRPr="00474A1F" w:rsidRDefault="00A743AD" w:rsidP="00474A1F">
      <w:pPr>
        <w:pStyle w:val="Ttulo1"/>
        <w:jc w:val="center"/>
        <w:rPr>
          <w:sz w:val="32"/>
          <w:szCs w:val="32"/>
        </w:rPr>
      </w:pPr>
      <w:r w:rsidRPr="00474A1F">
        <w:rPr>
          <w:sz w:val="32"/>
          <w:szCs w:val="32"/>
        </w:rPr>
        <w:t>Introducción</w:t>
      </w:r>
    </w:p>
    <w:p w14:paraId="3C363AA0" w14:textId="5E36C737" w:rsidR="00B11EA0" w:rsidRPr="00474A1F" w:rsidRDefault="003E5DF7" w:rsidP="00524AC5">
      <w:pPr>
        <w:autoSpaceDE w:val="0"/>
        <w:autoSpaceDN w:val="0"/>
        <w:adjustRightInd w:val="0"/>
        <w:spacing w:after="0" w:line="360" w:lineRule="auto"/>
        <w:ind w:firstLine="708"/>
        <w:jc w:val="both"/>
        <w:rPr>
          <w:rFonts w:ascii="Times New Roman" w:hAnsi="Times New Roman" w:cs="Times New Roman"/>
          <w:color w:val="000000"/>
          <w:sz w:val="24"/>
          <w:szCs w:val="24"/>
          <w:highlight w:val="yellow"/>
        </w:rPr>
      </w:pPr>
      <w:r w:rsidRPr="00474A1F">
        <w:rPr>
          <w:rFonts w:ascii="Times New Roman" w:hAnsi="Times New Roman" w:cs="Times New Roman"/>
          <w:color w:val="000000"/>
          <w:sz w:val="24"/>
          <w:szCs w:val="24"/>
        </w:rPr>
        <w:t>El fortalecimiento de la relaci</w:t>
      </w:r>
      <w:r w:rsidR="00531F0E" w:rsidRPr="00474A1F">
        <w:rPr>
          <w:rFonts w:ascii="Times New Roman" w:hAnsi="Times New Roman" w:cs="Times New Roman"/>
          <w:color w:val="000000"/>
          <w:sz w:val="24"/>
          <w:szCs w:val="24"/>
        </w:rPr>
        <w:t>ó</w:t>
      </w:r>
      <w:r w:rsidRPr="00474A1F">
        <w:rPr>
          <w:rFonts w:ascii="Times New Roman" w:hAnsi="Times New Roman" w:cs="Times New Roman"/>
          <w:color w:val="000000"/>
          <w:sz w:val="24"/>
          <w:szCs w:val="24"/>
        </w:rPr>
        <w:t>n</w:t>
      </w:r>
      <w:r w:rsidR="00B11EA0" w:rsidRPr="00474A1F">
        <w:rPr>
          <w:rFonts w:ascii="Times New Roman" w:hAnsi="Times New Roman" w:cs="Times New Roman"/>
          <w:color w:val="000000"/>
          <w:sz w:val="24"/>
          <w:szCs w:val="24"/>
        </w:rPr>
        <w:t xml:space="preserve"> universidad</w:t>
      </w:r>
      <w:r w:rsidR="00531F0E" w:rsidRPr="00474A1F">
        <w:rPr>
          <w:rFonts w:ascii="Times New Roman" w:hAnsi="Times New Roman" w:cs="Times New Roman"/>
          <w:color w:val="000000"/>
          <w:sz w:val="24"/>
          <w:szCs w:val="24"/>
        </w:rPr>
        <w:t>-</w:t>
      </w:r>
      <w:r w:rsidR="00C775C9" w:rsidRPr="00474A1F">
        <w:rPr>
          <w:rFonts w:ascii="Times New Roman" w:hAnsi="Times New Roman" w:cs="Times New Roman"/>
          <w:color w:val="000000"/>
          <w:sz w:val="24"/>
          <w:szCs w:val="24"/>
        </w:rPr>
        <w:t xml:space="preserve">empresas </w:t>
      </w:r>
      <w:r w:rsidR="00B11EA0" w:rsidRPr="00474A1F">
        <w:rPr>
          <w:rFonts w:ascii="Times New Roman" w:hAnsi="Times New Roman" w:cs="Times New Roman"/>
          <w:color w:val="000000"/>
          <w:sz w:val="24"/>
          <w:szCs w:val="24"/>
        </w:rPr>
        <w:t>es un</w:t>
      </w:r>
      <w:r w:rsidR="00531F0E" w:rsidRPr="00474A1F">
        <w:rPr>
          <w:rFonts w:ascii="Times New Roman" w:hAnsi="Times New Roman" w:cs="Times New Roman"/>
          <w:color w:val="000000"/>
          <w:sz w:val="24"/>
          <w:szCs w:val="24"/>
        </w:rPr>
        <w:t>a</w:t>
      </w:r>
      <w:r w:rsidR="00C775C9" w:rsidRPr="00474A1F">
        <w:rPr>
          <w:rFonts w:ascii="Times New Roman" w:hAnsi="Times New Roman" w:cs="Times New Roman"/>
          <w:color w:val="000000"/>
          <w:sz w:val="24"/>
          <w:szCs w:val="24"/>
        </w:rPr>
        <w:t xml:space="preserve"> </w:t>
      </w:r>
      <w:r w:rsidR="00531F0E" w:rsidRPr="00474A1F">
        <w:rPr>
          <w:rFonts w:ascii="Times New Roman" w:hAnsi="Times New Roman" w:cs="Times New Roman"/>
          <w:color w:val="000000"/>
          <w:sz w:val="24"/>
          <w:szCs w:val="24"/>
        </w:rPr>
        <w:t xml:space="preserve">estrategia </w:t>
      </w:r>
      <w:r w:rsidR="004F6CE0" w:rsidRPr="00474A1F">
        <w:rPr>
          <w:rFonts w:ascii="Times New Roman" w:hAnsi="Times New Roman" w:cs="Times New Roman"/>
          <w:color w:val="000000"/>
          <w:sz w:val="24"/>
          <w:szCs w:val="24"/>
        </w:rPr>
        <w:t xml:space="preserve">con </w:t>
      </w:r>
      <w:r w:rsidR="00A459F7" w:rsidRPr="00474A1F">
        <w:rPr>
          <w:rFonts w:ascii="Times New Roman" w:hAnsi="Times New Roman" w:cs="Times New Roman"/>
          <w:color w:val="000000"/>
          <w:sz w:val="24"/>
          <w:szCs w:val="24"/>
        </w:rPr>
        <w:t xml:space="preserve">la </w:t>
      </w:r>
      <w:r w:rsidR="004F6CE0" w:rsidRPr="00474A1F">
        <w:rPr>
          <w:rFonts w:ascii="Times New Roman" w:hAnsi="Times New Roman" w:cs="Times New Roman"/>
          <w:color w:val="000000"/>
          <w:sz w:val="24"/>
          <w:szCs w:val="24"/>
        </w:rPr>
        <w:t>que</w:t>
      </w:r>
      <w:r w:rsidR="00B11EA0" w:rsidRPr="00474A1F">
        <w:rPr>
          <w:rFonts w:ascii="Times New Roman" w:hAnsi="Times New Roman" w:cs="Times New Roman"/>
          <w:color w:val="000000"/>
          <w:sz w:val="24"/>
          <w:szCs w:val="24"/>
        </w:rPr>
        <w:t xml:space="preserve"> algun</w:t>
      </w:r>
      <w:r w:rsidR="00C775C9" w:rsidRPr="00474A1F">
        <w:rPr>
          <w:rFonts w:ascii="Times New Roman" w:hAnsi="Times New Roman" w:cs="Times New Roman"/>
          <w:color w:val="000000"/>
          <w:sz w:val="24"/>
          <w:szCs w:val="24"/>
        </w:rPr>
        <w:t>o</w:t>
      </w:r>
      <w:r w:rsidR="00B11EA0" w:rsidRPr="00474A1F">
        <w:rPr>
          <w:rFonts w:ascii="Times New Roman" w:hAnsi="Times New Roman" w:cs="Times New Roman"/>
          <w:color w:val="000000"/>
          <w:sz w:val="24"/>
          <w:szCs w:val="24"/>
        </w:rPr>
        <w:t>s</w:t>
      </w:r>
      <w:r w:rsidR="00B6582F" w:rsidRPr="00474A1F">
        <w:rPr>
          <w:rFonts w:ascii="Times New Roman" w:hAnsi="Times New Roman" w:cs="Times New Roman"/>
          <w:color w:val="000000"/>
          <w:sz w:val="24"/>
          <w:szCs w:val="24"/>
        </w:rPr>
        <w:t xml:space="preserve"> </w:t>
      </w:r>
      <w:r w:rsidR="00C775C9" w:rsidRPr="00474A1F">
        <w:rPr>
          <w:rFonts w:ascii="Times New Roman" w:hAnsi="Times New Roman" w:cs="Times New Roman"/>
          <w:color w:val="000000"/>
          <w:sz w:val="24"/>
          <w:szCs w:val="24"/>
        </w:rPr>
        <w:t xml:space="preserve">países </w:t>
      </w:r>
      <w:r w:rsidR="00B11EA0" w:rsidRPr="00474A1F">
        <w:rPr>
          <w:rFonts w:ascii="Times New Roman" w:hAnsi="Times New Roman" w:cs="Times New Roman"/>
          <w:color w:val="000000"/>
          <w:sz w:val="24"/>
          <w:szCs w:val="24"/>
        </w:rPr>
        <w:t>han enfrentado los retos derivados de l</w:t>
      </w:r>
      <w:r w:rsidR="00A5324C" w:rsidRPr="00474A1F">
        <w:rPr>
          <w:rFonts w:ascii="Times New Roman" w:hAnsi="Times New Roman" w:cs="Times New Roman"/>
          <w:color w:val="000000"/>
          <w:sz w:val="24"/>
          <w:szCs w:val="24"/>
        </w:rPr>
        <w:t xml:space="preserve">a innovación </w:t>
      </w:r>
      <w:r w:rsidR="00951F8A" w:rsidRPr="00474A1F">
        <w:rPr>
          <w:rFonts w:ascii="Times New Roman" w:hAnsi="Times New Roman" w:cs="Times New Roman"/>
          <w:color w:val="000000"/>
          <w:sz w:val="24"/>
          <w:szCs w:val="24"/>
        </w:rPr>
        <w:t xml:space="preserve">que demanda </w:t>
      </w:r>
      <w:r w:rsidR="00B11EA0" w:rsidRPr="00474A1F">
        <w:rPr>
          <w:rFonts w:ascii="Times New Roman" w:hAnsi="Times New Roman" w:cs="Times New Roman"/>
          <w:color w:val="000000"/>
          <w:sz w:val="24"/>
          <w:szCs w:val="24"/>
        </w:rPr>
        <w:t xml:space="preserve">la </w:t>
      </w:r>
      <w:r w:rsidR="00951F8A" w:rsidRPr="00474A1F">
        <w:rPr>
          <w:rFonts w:ascii="Times New Roman" w:hAnsi="Times New Roman" w:cs="Times New Roman"/>
          <w:color w:val="000000"/>
          <w:sz w:val="24"/>
          <w:szCs w:val="24"/>
        </w:rPr>
        <w:t xml:space="preserve">globalización </w:t>
      </w:r>
      <w:r w:rsidR="00B11EA0" w:rsidRPr="00474A1F">
        <w:rPr>
          <w:rFonts w:ascii="Times New Roman" w:hAnsi="Times New Roman" w:cs="Times New Roman"/>
          <w:color w:val="000000"/>
          <w:sz w:val="24"/>
          <w:szCs w:val="24"/>
        </w:rPr>
        <w:t xml:space="preserve">económica. Con </w:t>
      </w:r>
      <w:r w:rsidR="00951F8A" w:rsidRPr="00474A1F">
        <w:rPr>
          <w:rFonts w:ascii="Times New Roman" w:hAnsi="Times New Roman" w:cs="Times New Roman"/>
          <w:color w:val="000000"/>
          <w:sz w:val="24"/>
          <w:szCs w:val="24"/>
        </w:rPr>
        <w:t xml:space="preserve">esto </w:t>
      </w:r>
      <w:r w:rsidR="00B11EA0" w:rsidRPr="00474A1F">
        <w:rPr>
          <w:rFonts w:ascii="Times New Roman" w:hAnsi="Times New Roman" w:cs="Times New Roman"/>
          <w:color w:val="000000"/>
          <w:sz w:val="24"/>
          <w:szCs w:val="24"/>
        </w:rPr>
        <w:t xml:space="preserve">buscan </w:t>
      </w:r>
      <w:r w:rsidR="000F189F" w:rsidRPr="00474A1F">
        <w:rPr>
          <w:rFonts w:ascii="Times New Roman" w:hAnsi="Times New Roman" w:cs="Times New Roman"/>
          <w:color w:val="000000"/>
          <w:sz w:val="24"/>
          <w:szCs w:val="24"/>
        </w:rPr>
        <w:t xml:space="preserve">incrementar </w:t>
      </w:r>
      <w:r w:rsidR="00B11EA0" w:rsidRPr="00474A1F">
        <w:rPr>
          <w:rFonts w:ascii="Times New Roman" w:hAnsi="Times New Roman" w:cs="Times New Roman"/>
          <w:color w:val="000000"/>
          <w:sz w:val="24"/>
          <w:szCs w:val="24"/>
        </w:rPr>
        <w:t xml:space="preserve">la </w:t>
      </w:r>
      <w:r w:rsidR="000F189F" w:rsidRPr="00474A1F">
        <w:rPr>
          <w:rFonts w:ascii="Times New Roman" w:hAnsi="Times New Roman" w:cs="Times New Roman"/>
          <w:color w:val="000000"/>
          <w:sz w:val="24"/>
          <w:szCs w:val="24"/>
        </w:rPr>
        <w:t>eficiencia</w:t>
      </w:r>
      <w:r w:rsidR="00B11EA0" w:rsidRPr="00474A1F">
        <w:rPr>
          <w:rFonts w:ascii="Times New Roman" w:hAnsi="Times New Roman" w:cs="Times New Roman"/>
          <w:color w:val="000000"/>
          <w:sz w:val="24"/>
          <w:szCs w:val="24"/>
        </w:rPr>
        <w:t xml:space="preserve"> de las empresas </w:t>
      </w:r>
      <w:r w:rsidR="000F189F" w:rsidRPr="00474A1F">
        <w:rPr>
          <w:rFonts w:ascii="Times New Roman" w:hAnsi="Times New Roman" w:cs="Times New Roman"/>
          <w:color w:val="000000"/>
          <w:sz w:val="24"/>
          <w:szCs w:val="24"/>
        </w:rPr>
        <w:t xml:space="preserve">e impulsar la </w:t>
      </w:r>
      <w:r w:rsidR="00B11EA0" w:rsidRPr="00474A1F">
        <w:rPr>
          <w:rFonts w:ascii="Times New Roman" w:hAnsi="Times New Roman" w:cs="Times New Roman"/>
          <w:color w:val="000000"/>
          <w:sz w:val="24"/>
          <w:szCs w:val="24"/>
        </w:rPr>
        <w:t>competitiv</w:t>
      </w:r>
      <w:r w:rsidR="000F189F" w:rsidRPr="00474A1F">
        <w:rPr>
          <w:rFonts w:ascii="Times New Roman" w:hAnsi="Times New Roman" w:cs="Times New Roman"/>
          <w:color w:val="000000"/>
          <w:sz w:val="24"/>
          <w:szCs w:val="24"/>
        </w:rPr>
        <w:t>idad de los sectores económicos</w:t>
      </w:r>
      <w:r w:rsidR="00B11EA0" w:rsidRPr="00474A1F">
        <w:rPr>
          <w:rFonts w:ascii="Times New Roman" w:hAnsi="Times New Roman" w:cs="Times New Roman"/>
          <w:color w:val="000000"/>
          <w:sz w:val="24"/>
          <w:szCs w:val="24"/>
        </w:rPr>
        <w:t xml:space="preserve">. </w:t>
      </w:r>
      <w:r w:rsidR="00A459F7" w:rsidRPr="00474A1F">
        <w:rPr>
          <w:rFonts w:ascii="Times New Roman" w:hAnsi="Times New Roman" w:cs="Times New Roman"/>
          <w:color w:val="000000"/>
          <w:sz w:val="24"/>
          <w:szCs w:val="24"/>
        </w:rPr>
        <w:t>Lógicamente, e</w:t>
      </w:r>
      <w:r w:rsidR="00B11EA0" w:rsidRPr="00474A1F">
        <w:rPr>
          <w:rFonts w:ascii="Times New Roman" w:hAnsi="Times New Roman" w:cs="Times New Roman"/>
          <w:color w:val="000000"/>
          <w:sz w:val="24"/>
          <w:szCs w:val="24"/>
        </w:rPr>
        <w:t xml:space="preserve">sta </w:t>
      </w:r>
      <w:r w:rsidRPr="00474A1F">
        <w:rPr>
          <w:rFonts w:ascii="Times New Roman" w:hAnsi="Times New Roman" w:cs="Times New Roman"/>
          <w:color w:val="000000"/>
          <w:sz w:val="24"/>
          <w:szCs w:val="24"/>
        </w:rPr>
        <w:t xml:space="preserve">vinculación </w:t>
      </w:r>
      <w:r w:rsidR="00B11EA0" w:rsidRPr="00474A1F">
        <w:rPr>
          <w:rFonts w:ascii="Times New Roman" w:hAnsi="Times New Roman" w:cs="Times New Roman"/>
          <w:color w:val="000000"/>
          <w:sz w:val="24"/>
          <w:szCs w:val="24"/>
        </w:rPr>
        <w:t xml:space="preserve">entre las </w:t>
      </w:r>
      <w:r w:rsidRPr="00474A1F">
        <w:rPr>
          <w:rFonts w:ascii="Times New Roman" w:hAnsi="Times New Roman" w:cs="Times New Roman"/>
          <w:color w:val="000000"/>
          <w:sz w:val="24"/>
          <w:szCs w:val="24"/>
        </w:rPr>
        <w:t xml:space="preserve">universidades </w:t>
      </w:r>
      <w:r w:rsidR="00B11EA0" w:rsidRPr="00474A1F">
        <w:rPr>
          <w:rFonts w:ascii="Times New Roman" w:hAnsi="Times New Roman" w:cs="Times New Roman"/>
          <w:color w:val="000000"/>
          <w:sz w:val="24"/>
          <w:szCs w:val="24"/>
        </w:rPr>
        <w:t xml:space="preserve">y los sectores productivos no es </w:t>
      </w:r>
      <w:r w:rsidRPr="00474A1F">
        <w:rPr>
          <w:rFonts w:ascii="Times New Roman" w:hAnsi="Times New Roman" w:cs="Times New Roman"/>
          <w:color w:val="000000"/>
          <w:sz w:val="24"/>
          <w:szCs w:val="24"/>
        </w:rPr>
        <w:t>reciente</w:t>
      </w:r>
      <w:r w:rsidR="00B11EA0" w:rsidRPr="00474A1F">
        <w:rPr>
          <w:rFonts w:ascii="Times New Roman" w:hAnsi="Times New Roman" w:cs="Times New Roman"/>
          <w:color w:val="000000"/>
          <w:sz w:val="24"/>
          <w:szCs w:val="24"/>
        </w:rPr>
        <w:t>, ya que</w:t>
      </w:r>
      <w:r w:rsidR="00531F0E" w:rsidRPr="00474A1F">
        <w:rPr>
          <w:rFonts w:ascii="Times New Roman" w:hAnsi="Times New Roman" w:cs="Times New Roman"/>
          <w:color w:val="000000"/>
          <w:sz w:val="24"/>
          <w:szCs w:val="24"/>
        </w:rPr>
        <w:t>,</w:t>
      </w:r>
      <w:r w:rsidR="00B11EA0" w:rsidRPr="00474A1F">
        <w:rPr>
          <w:rFonts w:ascii="Times New Roman" w:hAnsi="Times New Roman" w:cs="Times New Roman"/>
          <w:color w:val="000000"/>
          <w:sz w:val="24"/>
          <w:szCs w:val="24"/>
        </w:rPr>
        <w:t xml:space="preserve"> desde </w:t>
      </w:r>
      <w:r w:rsidR="002D650E" w:rsidRPr="00474A1F">
        <w:rPr>
          <w:rFonts w:ascii="Times New Roman" w:hAnsi="Times New Roman" w:cs="Times New Roman"/>
          <w:color w:val="000000"/>
          <w:sz w:val="24"/>
          <w:szCs w:val="24"/>
        </w:rPr>
        <w:t>hace décadas</w:t>
      </w:r>
      <w:r w:rsidR="00531F0E" w:rsidRPr="00474A1F">
        <w:rPr>
          <w:rFonts w:ascii="Times New Roman" w:hAnsi="Times New Roman" w:cs="Times New Roman"/>
          <w:color w:val="000000"/>
          <w:sz w:val="24"/>
          <w:szCs w:val="24"/>
        </w:rPr>
        <w:t>,</w:t>
      </w:r>
      <w:r w:rsidRPr="00474A1F">
        <w:rPr>
          <w:rFonts w:ascii="Times New Roman" w:hAnsi="Times New Roman" w:cs="Times New Roman"/>
          <w:color w:val="000000"/>
          <w:sz w:val="24"/>
          <w:szCs w:val="24"/>
        </w:rPr>
        <w:t xml:space="preserve"> </w:t>
      </w:r>
      <w:r w:rsidR="00B11EA0" w:rsidRPr="00474A1F">
        <w:rPr>
          <w:rFonts w:ascii="Times New Roman" w:hAnsi="Times New Roman" w:cs="Times New Roman"/>
          <w:color w:val="000000"/>
          <w:sz w:val="24"/>
          <w:szCs w:val="24"/>
        </w:rPr>
        <w:t xml:space="preserve">se han </w:t>
      </w:r>
      <w:r w:rsidR="00140F7A" w:rsidRPr="00474A1F">
        <w:rPr>
          <w:rFonts w:ascii="Times New Roman" w:hAnsi="Times New Roman" w:cs="Times New Roman"/>
          <w:color w:val="000000"/>
          <w:sz w:val="24"/>
          <w:szCs w:val="24"/>
        </w:rPr>
        <w:t xml:space="preserve">implementado </w:t>
      </w:r>
      <w:r w:rsidR="00A459F7" w:rsidRPr="00474A1F">
        <w:rPr>
          <w:rFonts w:ascii="Times New Roman" w:hAnsi="Times New Roman" w:cs="Times New Roman"/>
          <w:color w:val="000000"/>
          <w:sz w:val="24"/>
          <w:szCs w:val="24"/>
        </w:rPr>
        <w:t>fórmulas</w:t>
      </w:r>
      <w:r w:rsidR="00140F7A" w:rsidRPr="00474A1F">
        <w:rPr>
          <w:rFonts w:ascii="Times New Roman" w:hAnsi="Times New Roman" w:cs="Times New Roman"/>
          <w:color w:val="000000"/>
          <w:sz w:val="24"/>
          <w:szCs w:val="24"/>
        </w:rPr>
        <w:t xml:space="preserve"> orientadas </w:t>
      </w:r>
      <w:r w:rsidR="00B11EA0" w:rsidRPr="00474A1F">
        <w:rPr>
          <w:rFonts w:ascii="Times New Roman" w:hAnsi="Times New Roman" w:cs="Times New Roman"/>
          <w:color w:val="000000"/>
          <w:sz w:val="24"/>
          <w:szCs w:val="24"/>
        </w:rPr>
        <w:t xml:space="preserve">a </w:t>
      </w:r>
      <w:r w:rsidR="00140F7A" w:rsidRPr="00474A1F">
        <w:rPr>
          <w:rFonts w:ascii="Times New Roman" w:hAnsi="Times New Roman" w:cs="Times New Roman"/>
          <w:color w:val="000000"/>
          <w:sz w:val="24"/>
          <w:szCs w:val="24"/>
        </w:rPr>
        <w:t>fortalecer</w:t>
      </w:r>
      <w:r w:rsidR="00531F0E" w:rsidRPr="00474A1F">
        <w:rPr>
          <w:rFonts w:ascii="Times New Roman" w:hAnsi="Times New Roman" w:cs="Times New Roman"/>
          <w:color w:val="000000"/>
          <w:sz w:val="24"/>
          <w:szCs w:val="24"/>
        </w:rPr>
        <w:t xml:space="preserve"> este vínculo</w:t>
      </w:r>
      <w:r w:rsidR="00B11EA0" w:rsidRPr="00474A1F">
        <w:rPr>
          <w:rFonts w:ascii="Times New Roman" w:hAnsi="Times New Roman" w:cs="Times New Roman"/>
          <w:color w:val="000000"/>
          <w:sz w:val="24"/>
          <w:szCs w:val="24"/>
        </w:rPr>
        <w:t xml:space="preserve">, </w:t>
      </w:r>
      <w:r w:rsidR="00A459F7" w:rsidRPr="00474A1F">
        <w:rPr>
          <w:rFonts w:ascii="Times New Roman" w:hAnsi="Times New Roman" w:cs="Times New Roman"/>
          <w:color w:val="000000"/>
          <w:sz w:val="24"/>
          <w:szCs w:val="24"/>
        </w:rPr>
        <w:t>aunque</w:t>
      </w:r>
      <w:r w:rsidR="00B11EA0" w:rsidRPr="00474A1F">
        <w:rPr>
          <w:rFonts w:ascii="Times New Roman" w:hAnsi="Times New Roman" w:cs="Times New Roman"/>
          <w:color w:val="000000"/>
          <w:sz w:val="24"/>
          <w:szCs w:val="24"/>
        </w:rPr>
        <w:t xml:space="preserve"> </w:t>
      </w:r>
      <w:r w:rsidR="00140F7A" w:rsidRPr="00474A1F">
        <w:rPr>
          <w:rFonts w:ascii="Times New Roman" w:hAnsi="Times New Roman" w:cs="Times New Roman"/>
          <w:color w:val="000000"/>
          <w:sz w:val="24"/>
          <w:szCs w:val="24"/>
        </w:rPr>
        <w:t xml:space="preserve">los resultados no han sido alentadores, sea por falta de </w:t>
      </w:r>
      <w:r w:rsidR="00B11EA0" w:rsidRPr="00474A1F">
        <w:rPr>
          <w:rFonts w:ascii="Times New Roman" w:hAnsi="Times New Roman" w:cs="Times New Roman"/>
          <w:color w:val="000000"/>
          <w:sz w:val="24"/>
          <w:szCs w:val="24"/>
        </w:rPr>
        <w:t>flexibilidad</w:t>
      </w:r>
      <w:r w:rsidR="00B6582F" w:rsidRPr="00474A1F">
        <w:rPr>
          <w:rFonts w:ascii="Times New Roman" w:hAnsi="Times New Roman" w:cs="Times New Roman"/>
          <w:color w:val="000000"/>
          <w:sz w:val="24"/>
          <w:szCs w:val="24"/>
        </w:rPr>
        <w:t xml:space="preserve"> </w:t>
      </w:r>
      <w:r w:rsidR="00140F7A" w:rsidRPr="00474A1F">
        <w:rPr>
          <w:rFonts w:ascii="Times New Roman" w:hAnsi="Times New Roman" w:cs="Times New Roman"/>
          <w:color w:val="000000"/>
          <w:sz w:val="24"/>
          <w:szCs w:val="24"/>
        </w:rPr>
        <w:t xml:space="preserve">o </w:t>
      </w:r>
      <w:r w:rsidR="00524AC5" w:rsidRPr="00474A1F">
        <w:rPr>
          <w:rFonts w:ascii="Times New Roman" w:hAnsi="Times New Roman" w:cs="Times New Roman"/>
          <w:color w:val="000000"/>
          <w:sz w:val="24"/>
          <w:szCs w:val="24"/>
        </w:rPr>
        <w:t>carencia</w:t>
      </w:r>
      <w:r w:rsidR="00140F7A" w:rsidRPr="00474A1F">
        <w:rPr>
          <w:rFonts w:ascii="Times New Roman" w:hAnsi="Times New Roman" w:cs="Times New Roman"/>
          <w:color w:val="000000"/>
          <w:sz w:val="24"/>
          <w:szCs w:val="24"/>
        </w:rPr>
        <w:t xml:space="preserve"> de voluntad de los agentes para coordinarse</w:t>
      </w:r>
      <w:r w:rsidR="00B11EA0" w:rsidRPr="00474A1F">
        <w:rPr>
          <w:rFonts w:ascii="Times New Roman" w:hAnsi="Times New Roman" w:cs="Times New Roman"/>
          <w:color w:val="000000"/>
          <w:sz w:val="24"/>
          <w:szCs w:val="24"/>
        </w:rPr>
        <w:t>.</w:t>
      </w:r>
      <w:r w:rsidR="00B11EA0" w:rsidRPr="00474A1F">
        <w:rPr>
          <w:rFonts w:ascii="Times New Roman" w:hAnsi="Times New Roman" w:cs="Times New Roman"/>
          <w:color w:val="000000"/>
          <w:sz w:val="24"/>
          <w:szCs w:val="24"/>
          <w:highlight w:val="yellow"/>
        </w:rPr>
        <w:t xml:space="preserve"> </w:t>
      </w:r>
    </w:p>
    <w:p w14:paraId="723647E4" w14:textId="09C0C2BF" w:rsidR="00AF1D3E" w:rsidRPr="00474A1F" w:rsidRDefault="00B11EA0" w:rsidP="007C059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t xml:space="preserve">La </w:t>
      </w:r>
      <w:r w:rsidR="0052697D" w:rsidRPr="00474A1F">
        <w:rPr>
          <w:rFonts w:ascii="Times New Roman" w:hAnsi="Times New Roman" w:cs="Times New Roman"/>
          <w:color w:val="000000"/>
          <w:sz w:val="24"/>
          <w:szCs w:val="24"/>
        </w:rPr>
        <w:t xml:space="preserve">transferencia de </w:t>
      </w:r>
      <w:r w:rsidR="0088190C" w:rsidRPr="00474A1F">
        <w:rPr>
          <w:rFonts w:ascii="Times New Roman" w:hAnsi="Times New Roman" w:cs="Times New Roman"/>
          <w:color w:val="000000"/>
          <w:sz w:val="24"/>
          <w:szCs w:val="24"/>
        </w:rPr>
        <w:t>tecnología</w:t>
      </w:r>
      <w:r w:rsidRPr="00474A1F">
        <w:rPr>
          <w:rFonts w:ascii="Times New Roman" w:hAnsi="Times New Roman" w:cs="Times New Roman"/>
          <w:color w:val="000000"/>
          <w:sz w:val="24"/>
          <w:szCs w:val="24"/>
        </w:rPr>
        <w:t xml:space="preserve"> ha sido </w:t>
      </w:r>
      <w:r w:rsidR="0052697D" w:rsidRPr="00474A1F">
        <w:rPr>
          <w:rFonts w:ascii="Times New Roman" w:hAnsi="Times New Roman" w:cs="Times New Roman"/>
          <w:color w:val="000000"/>
          <w:sz w:val="24"/>
          <w:szCs w:val="24"/>
        </w:rPr>
        <w:t xml:space="preserve">promovida </w:t>
      </w:r>
      <w:r w:rsidRPr="00474A1F">
        <w:rPr>
          <w:rFonts w:ascii="Times New Roman" w:hAnsi="Times New Roman" w:cs="Times New Roman"/>
          <w:color w:val="000000"/>
          <w:sz w:val="24"/>
          <w:szCs w:val="24"/>
        </w:rPr>
        <w:t xml:space="preserve">desde </w:t>
      </w:r>
      <w:r w:rsidR="0052697D" w:rsidRPr="00474A1F">
        <w:rPr>
          <w:rFonts w:ascii="Times New Roman" w:hAnsi="Times New Roman" w:cs="Times New Roman"/>
          <w:color w:val="000000"/>
          <w:sz w:val="24"/>
          <w:szCs w:val="24"/>
        </w:rPr>
        <w:t>el ámbito público</w:t>
      </w:r>
      <w:r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lo que ha servido </w:t>
      </w:r>
      <w:r w:rsidR="00A459F7" w:rsidRPr="00474A1F">
        <w:rPr>
          <w:rFonts w:ascii="Times New Roman" w:hAnsi="Times New Roman" w:cs="Times New Roman"/>
          <w:color w:val="000000"/>
          <w:sz w:val="24"/>
          <w:szCs w:val="24"/>
        </w:rPr>
        <w:t xml:space="preserve">en México </w:t>
      </w:r>
      <w:r w:rsidR="00524AC5" w:rsidRPr="00474A1F">
        <w:rPr>
          <w:rFonts w:ascii="Times New Roman" w:hAnsi="Times New Roman" w:cs="Times New Roman"/>
          <w:color w:val="000000"/>
          <w:sz w:val="24"/>
          <w:szCs w:val="24"/>
        </w:rPr>
        <w:t>para implementar</w:t>
      </w:r>
      <w:r w:rsidR="0052697D"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políticas</w:t>
      </w:r>
      <w:r w:rsidR="00B6582F"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 xml:space="preserve">nacionales y </w:t>
      </w:r>
      <w:r w:rsidR="00C1507A" w:rsidRPr="00474A1F">
        <w:rPr>
          <w:rFonts w:ascii="Times New Roman" w:hAnsi="Times New Roman" w:cs="Times New Roman"/>
          <w:color w:val="000000"/>
          <w:sz w:val="24"/>
          <w:szCs w:val="24"/>
        </w:rPr>
        <w:t xml:space="preserve">locales </w:t>
      </w:r>
      <w:r w:rsidR="002D650E" w:rsidRPr="00474A1F">
        <w:rPr>
          <w:rFonts w:ascii="Times New Roman" w:hAnsi="Times New Roman" w:cs="Times New Roman"/>
          <w:color w:val="000000"/>
          <w:sz w:val="24"/>
          <w:szCs w:val="24"/>
        </w:rPr>
        <w:t>que</w:t>
      </w:r>
      <w:r w:rsidR="00524AC5" w:rsidRPr="00474A1F">
        <w:rPr>
          <w:rFonts w:ascii="Times New Roman" w:hAnsi="Times New Roman" w:cs="Times New Roman"/>
          <w:color w:val="000000"/>
          <w:sz w:val="24"/>
          <w:szCs w:val="24"/>
        </w:rPr>
        <w:t>,</w:t>
      </w:r>
      <w:r w:rsidR="002D650E" w:rsidRPr="00474A1F">
        <w:rPr>
          <w:rFonts w:ascii="Times New Roman" w:hAnsi="Times New Roman" w:cs="Times New Roman"/>
          <w:color w:val="000000"/>
          <w:sz w:val="24"/>
          <w:szCs w:val="24"/>
        </w:rPr>
        <w:t xml:space="preserve"> en</w:t>
      </w:r>
      <w:r w:rsidR="00C1507A" w:rsidRPr="00474A1F">
        <w:rPr>
          <w:rFonts w:ascii="Times New Roman" w:hAnsi="Times New Roman" w:cs="Times New Roman"/>
          <w:color w:val="000000"/>
          <w:sz w:val="24"/>
          <w:szCs w:val="24"/>
        </w:rPr>
        <w:t xml:space="preserve"> términos generales, no </w:t>
      </w:r>
      <w:r w:rsidRPr="00474A1F">
        <w:rPr>
          <w:rFonts w:ascii="Times New Roman" w:hAnsi="Times New Roman" w:cs="Times New Roman"/>
          <w:color w:val="000000"/>
          <w:sz w:val="24"/>
          <w:szCs w:val="24"/>
        </w:rPr>
        <w:t>ha</w:t>
      </w:r>
      <w:r w:rsidR="00524AC5" w:rsidRPr="00474A1F">
        <w:rPr>
          <w:rFonts w:ascii="Times New Roman" w:hAnsi="Times New Roman" w:cs="Times New Roman"/>
          <w:color w:val="000000"/>
          <w:sz w:val="24"/>
          <w:szCs w:val="24"/>
        </w:rPr>
        <w:t>n</w:t>
      </w:r>
      <w:r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ofrecido </w:t>
      </w:r>
      <w:r w:rsidRPr="00474A1F">
        <w:rPr>
          <w:rFonts w:ascii="Times New Roman" w:hAnsi="Times New Roman" w:cs="Times New Roman"/>
          <w:color w:val="000000"/>
          <w:sz w:val="24"/>
          <w:szCs w:val="24"/>
        </w:rPr>
        <w:t xml:space="preserve">los </w:t>
      </w:r>
      <w:r w:rsidR="00C1507A" w:rsidRPr="00474A1F">
        <w:rPr>
          <w:rFonts w:ascii="Times New Roman" w:hAnsi="Times New Roman" w:cs="Times New Roman"/>
          <w:color w:val="000000"/>
          <w:sz w:val="24"/>
          <w:szCs w:val="24"/>
        </w:rPr>
        <w:t>resultados esperados</w:t>
      </w:r>
      <w:r w:rsidRPr="00474A1F">
        <w:rPr>
          <w:rFonts w:ascii="Times New Roman" w:hAnsi="Times New Roman" w:cs="Times New Roman"/>
          <w:color w:val="000000"/>
          <w:sz w:val="24"/>
          <w:szCs w:val="24"/>
        </w:rPr>
        <w:t xml:space="preserve">. Entre </w:t>
      </w:r>
      <w:r w:rsidR="00331858" w:rsidRPr="00474A1F">
        <w:rPr>
          <w:rFonts w:ascii="Times New Roman" w:hAnsi="Times New Roman" w:cs="Times New Roman"/>
          <w:color w:val="000000"/>
          <w:sz w:val="24"/>
          <w:szCs w:val="24"/>
        </w:rPr>
        <w:t xml:space="preserve">estas </w:t>
      </w:r>
      <w:r w:rsidRPr="00474A1F">
        <w:rPr>
          <w:rFonts w:ascii="Times New Roman" w:hAnsi="Times New Roman" w:cs="Times New Roman"/>
          <w:color w:val="000000"/>
          <w:sz w:val="24"/>
          <w:szCs w:val="24"/>
        </w:rPr>
        <w:t xml:space="preserve">políticas </w:t>
      </w:r>
      <w:r w:rsidR="00331858" w:rsidRPr="00474A1F">
        <w:rPr>
          <w:rFonts w:ascii="Times New Roman" w:hAnsi="Times New Roman" w:cs="Times New Roman"/>
          <w:color w:val="000000"/>
          <w:sz w:val="24"/>
          <w:szCs w:val="24"/>
        </w:rPr>
        <w:t xml:space="preserve">se encuentran </w:t>
      </w:r>
      <w:r w:rsidRPr="00474A1F">
        <w:rPr>
          <w:rFonts w:ascii="Times New Roman" w:hAnsi="Times New Roman" w:cs="Times New Roman"/>
          <w:color w:val="000000"/>
          <w:sz w:val="24"/>
          <w:szCs w:val="24"/>
        </w:rPr>
        <w:t>la creación de</w:t>
      </w:r>
      <w:r w:rsidR="00264F21" w:rsidRPr="00474A1F">
        <w:rPr>
          <w:rFonts w:ascii="Times New Roman" w:hAnsi="Times New Roman" w:cs="Times New Roman"/>
          <w:color w:val="000000"/>
          <w:sz w:val="24"/>
          <w:szCs w:val="24"/>
        </w:rPr>
        <w:t xml:space="preserve">l Instituto Nacional del </w:t>
      </w:r>
      <w:r w:rsidR="002D650E" w:rsidRPr="00474A1F">
        <w:rPr>
          <w:rFonts w:ascii="Times New Roman" w:hAnsi="Times New Roman" w:cs="Times New Roman"/>
          <w:color w:val="000000"/>
          <w:sz w:val="24"/>
          <w:szCs w:val="24"/>
        </w:rPr>
        <w:t>Emprendedor (</w:t>
      </w:r>
      <w:r w:rsidR="00531F0E" w:rsidRPr="00474A1F">
        <w:rPr>
          <w:rFonts w:ascii="Times New Roman" w:hAnsi="Times New Roman" w:cs="Times New Roman"/>
          <w:noProof/>
          <w:color w:val="000000"/>
          <w:sz w:val="24"/>
          <w:szCs w:val="24"/>
          <w:lang w:val="es-ES"/>
        </w:rPr>
        <w:t>I</w:t>
      </w:r>
      <w:r w:rsidR="00524AC5" w:rsidRPr="00474A1F">
        <w:rPr>
          <w:rFonts w:ascii="Times New Roman" w:hAnsi="Times New Roman" w:cs="Times New Roman"/>
          <w:noProof/>
          <w:color w:val="000000"/>
          <w:sz w:val="24"/>
          <w:szCs w:val="24"/>
          <w:lang w:val="es-ES"/>
        </w:rPr>
        <w:t>nadem</w:t>
      </w:r>
      <w:r w:rsidR="00531F0E" w:rsidRPr="00474A1F">
        <w:rPr>
          <w:rFonts w:ascii="Times New Roman" w:hAnsi="Times New Roman" w:cs="Times New Roman"/>
          <w:noProof/>
          <w:color w:val="000000"/>
          <w:sz w:val="24"/>
          <w:szCs w:val="24"/>
          <w:lang w:val="es-ES"/>
        </w:rPr>
        <w:t>, 2019)</w:t>
      </w:r>
      <w:r w:rsidR="00264F21" w:rsidRPr="00474A1F">
        <w:rPr>
          <w:rFonts w:ascii="Times New Roman" w:hAnsi="Times New Roman" w:cs="Times New Roman"/>
          <w:color w:val="000000"/>
          <w:sz w:val="24"/>
          <w:szCs w:val="24"/>
        </w:rPr>
        <w:t>, el Fondo a la Innovación Tecnológica del Consejo Nacional de Ciencia y Tecnología</w:t>
      </w:r>
      <w:r w:rsidR="00531F0E" w:rsidRPr="00474A1F">
        <w:rPr>
          <w:rFonts w:ascii="Times New Roman" w:hAnsi="Times New Roman" w:cs="Times New Roman"/>
          <w:noProof/>
          <w:color w:val="000000"/>
          <w:sz w:val="24"/>
          <w:szCs w:val="24"/>
          <w:lang w:val="es-ES"/>
        </w:rPr>
        <w:t xml:space="preserve"> (C</w:t>
      </w:r>
      <w:r w:rsidR="00524AC5" w:rsidRPr="00474A1F">
        <w:rPr>
          <w:rFonts w:ascii="Times New Roman" w:hAnsi="Times New Roman" w:cs="Times New Roman"/>
          <w:noProof/>
          <w:color w:val="000000"/>
          <w:sz w:val="24"/>
          <w:szCs w:val="24"/>
          <w:lang w:val="es-ES"/>
        </w:rPr>
        <w:t>onacyt</w:t>
      </w:r>
      <w:r w:rsidR="00531F0E" w:rsidRPr="00474A1F">
        <w:rPr>
          <w:rFonts w:ascii="Times New Roman" w:hAnsi="Times New Roman" w:cs="Times New Roman"/>
          <w:noProof/>
          <w:color w:val="000000"/>
          <w:sz w:val="24"/>
          <w:szCs w:val="24"/>
          <w:lang w:val="es-ES"/>
        </w:rPr>
        <w:t>, 2019a)</w:t>
      </w:r>
      <w:r w:rsidR="00206817" w:rsidRPr="00474A1F">
        <w:rPr>
          <w:rFonts w:ascii="Times New Roman" w:hAnsi="Times New Roman" w:cs="Times New Roman"/>
          <w:color w:val="000000"/>
          <w:sz w:val="24"/>
          <w:szCs w:val="24"/>
        </w:rPr>
        <w:t xml:space="preserve">, </w:t>
      </w:r>
      <w:r w:rsidR="00684362" w:rsidRPr="00474A1F">
        <w:rPr>
          <w:rFonts w:ascii="Times New Roman" w:hAnsi="Times New Roman" w:cs="Times New Roman"/>
          <w:color w:val="000000"/>
          <w:sz w:val="24"/>
          <w:szCs w:val="24"/>
        </w:rPr>
        <w:t xml:space="preserve">la </w:t>
      </w:r>
      <w:r w:rsidR="00684362" w:rsidRPr="00474A1F">
        <w:rPr>
          <w:rFonts w:ascii="Times New Roman" w:hAnsi="Times New Roman" w:cs="Times New Roman"/>
          <w:bCs/>
          <w:sz w:val="24"/>
          <w:szCs w:val="24"/>
        </w:rPr>
        <w:t xml:space="preserve">Conferencia Nacional de Ciencia, Tecnología e Innovación </w:t>
      </w:r>
      <w:r w:rsidR="00531F0E" w:rsidRPr="00474A1F">
        <w:rPr>
          <w:rFonts w:ascii="Times New Roman" w:hAnsi="Times New Roman" w:cs="Times New Roman"/>
          <w:noProof/>
          <w:sz w:val="24"/>
          <w:szCs w:val="24"/>
          <w:lang w:val="es-ES"/>
        </w:rPr>
        <w:t>(CNCTI, 2019)</w:t>
      </w:r>
      <w:r w:rsidR="00206817" w:rsidRPr="00474A1F">
        <w:rPr>
          <w:rFonts w:ascii="Times New Roman" w:hAnsi="Times New Roman" w:cs="Times New Roman"/>
          <w:bCs/>
          <w:sz w:val="24"/>
          <w:szCs w:val="24"/>
        </w:rPr>
        <w:t xml:space="preserve"> o los </w:t>
      </w:r>
      <w:r w:rsidR="00531F0E" w:rsidRPr="00474A1F">
        <w:rPr>
          <w:rFonts w:ascii="Times New Roman" w:hAnsi="Times New Roman" w:cs="Times New Roman"/>
          <w:bCs/>
          <w:sz w:val="24"/>
          <w:szCs w:val="24"/>
        </w:rPr>
        <w:t xml:space="preserve">distintos </w:t>
      </w:r>
      <w:r w:rsidR="00206817" w:rsidRPr="00474A1F">
        <w:rPr>
          <w:rFonts w:ascii="Times New Roman" w:hAnsi="Times New Roman" w:cs="Times New Roman"/>
          <w:bCs/>
          <w:sz w:val="24"/>
          <w:szCs w:val="24"/>
        </w:rPr>
        <w:t>programas de a</w:t>
      </w:r>
      <w:r w:rsidR="00206817" w:rsidRPr="00474A1F">
        <w:rPr>
          <w:rFonts w:ascii="Times New Roman" w:hAnsi="Times New Roman" w:cs="Times New Roman"/>
          <w:color w:val="000000"/>
          <w:sz w:val="24"/>
          <w:szCs w:val="24"/>
        </w:rPr>
        <w:t xml:space="preserve">poyos a la innovación empresarial </w:t>
      </w:r>
      <w:r w:rsidR="00531F0E" w:rsidRPr="00474A1F">
        <w:rPr>
          <w:rFonts w:ascii="Times New Roman" w:hAnsi="Times New Roman" w:cs="Times New Roman"/>
          <w:noProof/>
          <w:color w:val="000000"/>
          <w:sz w:val="24"/>
          <w:szCs w:val="24"/>
          <w:lang w:val="es-ES"/>
        </w:rPr>
        <w:t>(C</w:t>
      </w:r>
      <w:r w:rsidR="00524AC5" w:rsidRPr="00474A1F">
        <w:rPr>
          <w:rFonts w:ascii="Times New Roman" w:hAnsi="Times New Roman" w:cs="Times New Roman"/>
          <w:noProof/>
          <w:color w:val="000000"/>
          <w:sz w:val="24"/>
          <w:szCs w:val="24"/>
          <w:lang w:val="es-ES"/>
        </w:rPr>
        <w:t>onacyt</w:t>
      </w:r>
      <w:r w:rsidR="00531F0E" w:rsidRPr="00474A1F">
        <w:rPr>
          <w:rFonts w:ascii="Times New Roman" w:hAnsi="Times New Roman" w:cs="Times New Roman"/>
          <w:noProof/>
          <w:color w:val="000000"/>
          <w:sz w:val="24"/>
          <w:szCs w:val="24"/>
          <w:lang w:val="es-ES"/>
        </w:rPr>
        <w:t>, 2019b)</w:t>
      </w:r>
      <w:r w:rsidR="001923E7" w:rsidRPr="00474A1F">
        <w:rPr>
          <w:rFonts w:ascii="Times New Roman" w:hAnsi="Times New Roman" w:cs="Times New Roman"/>
          <w:color w:val="000000"/>
          <w:sz w:val="24"/>
          <w:szCs w:val="24"/>
        </w:rPr>
        <w:t xml:space="preserve">. </w:t>
      </w:r>
      <w:r w:rsidR="00E41E7B" w:rsidRPr="00474A1F">
        <w:rPr>
          <w:rFonts w:ascii="Times New Roman" w:hAnsi="Times New Roman" w:cs="Times New Roman"/>
          <w:color w:val="000000"/>
          <w:sz w:val="24"/>
          <w:szCs w:val="24"/>
        </w:rPr>
        <w:t xml:space="preserve">Todas estas estrategias son parte de una </w:t>
      </w:r>
      <w:r w:rsidR="00A459F7" w:rsidRPr="00474A1F">
        <w:rPr>
          <w:rFonts w:ascii="Times New Roman" w:hAnsi="Times New Roman" w:cs="Times New Roman"/>
          <w:color w:val="000000"/>
          <w:sz w:val="24"/>
          <w:szCs w:val="24"/>
        </w:rPr>
        <w:t>iniciativa</w:t>
      </w:r>
      <w:r w:rsidR="00E41E7B" w:rsidRPr="00474A1F">
        <w:rPr>
          <w:rFonts w:ascii="Times New Roman" w:hAnsi="Times New Roman" w:cs="Times New Roman"/>
          <w:color w:val="000000"/>
          <w:sz w:val="24"/>
          <w:szCs w:val="24"/>
        </w:rPr>
        <w:t xml:space="preserve"> </w:t>
      </w:r>
      <w:r w:rsidR="002D650E" w:rsidRPr="00474A1F">
        <w:rPr>
          <w:rFonts w:ascii="Times New Roman" w:hAnsi="Times New Roman" w:cs="Times New Roman"/>
          <w:color w:val="000000"/>
          <w:sz w:val="24"/>
          <w:szCs w:val="24"/>
        </w:rPr>
        <w:t xml:space="preserve">vertical </w:t>
      </w:r>
      <w:r w:rsidR="00524AC5" w:rsidRPr="00474A1F">
        <w:rPr>
          <w:rFonts w:ascii="Times New Roman" w:hAnsi="Times New Roman" w:cs="Times New Roman"/>
          <w:color w:val="000000"/>
          <w:sz w:val="24"/>
          <w:szCs w:val="24"/>
        </w:rPr>
        <w:t>que procura e</w:t>
      </w:r>
      <w:r w:rsidR="00BC1139" w:rsidRPr="00474A1F">
        <w:rPr>
          <w:rFonts w:ascii="Times New Roman" w:hAnsi="Times New Roman" w:cs="Times New Roman"/>
          <w:color w:val="000000"/>
          <w:sz w:val="24"/>
          <w:szCs w:val="24"/>
        </w:rPr>
        <w:t xml:space="preserve">l desarrollo de </w:t>
      </w:r>
      <w:r w:rsidR="00DF7805" w:rsidRPr="00474A1F">
        <w:rPr>
          <w:rFonts w:ascii="Times New Roman" w:hAnsi="Times New Roman" w:cs="Times New Roman"/>
          <w:color w:val="000000"/>
          <w:sz w:val="24"/>
          <w:szCs w:val="24"/>
        </w:rPr>
        <w:t xml:space="preserve">la capacidad instalada </w:t>
      </w:r>
      <w:r w:rsidR="004F6CE0" w:rsidRPr="00474A1F">
        <w:rPr>
          <w:rFonts w:ascii="Times New Roman" w:hAnsi="Times New Roman" w:cs="Times New Roman"/>
          <w:color w:val="000000"/>
          <w:sz w:val="24"/>
          <w:szCs w:val="24"/>
        </w:rPr>
        <w:t>para incrementar</w:t>
      </w:r>
      <w:r w:rsidR="00372907" w:rsidRPr="00474A1F">
        <w:rPr>
          <w:rFonts w:ascii="Times New Roman" w:hAnsi="Times New Roman" w:cs="Times New Roman"/>
          <w:color w:val="000000"/>
          <w:sz w:val="24"/>
          <w:szCs w:val="24"/>
        </w:rPr>
        <w:t xml:space="preserve"> la </w:t>
      </w:r>
      <w:r w:rsidR="00372907" w:rsidRPr="00474A1F">
        <w:rPr>
          <w:rFonts w:ascii="Times New Roman" w:hAnsi="Times New Roman" w:cs="Times New Roman"/>
          <w:color w:val="000000"/>
          <w:sz w:val="24"/>
          <w:szCs w:val="24"/>
        </w:rPr>
        <w:lastRenderedPageBreak/>
        <w:t xml:space="preserve">innovación </w:t>
      </w:r>
      <w:r w:rsidR="00F96383">
        <w:rPr>
          <w:rFonts w:ascii="Times New Roman" w:hAnsi="Times New Roman" w:cs="Times New Roman"/>
          <w:color w:val="000000"/>
          <w:sz w:val="24"/>
          <w:szCs w:val="24"/>
        </w:rPr>
        <w:t xml:space="preserve">de acuerdo con la </w:t>
      </w:r>
      <w:r w:rsidR="00E26967" w:rsidRPr="00474A1F">
        <w:rPr>
          <w:rFonts w:ascii="Times New Roman" w:hAnsi="Times New Roman" w:cs="Times New Roman"/>
          <w:sz w:val="24"/>
          <w:szCs w:val="24"/>
          <w:lang w:val="es-VE"/>
        </w:rPr>
        <w:t xml:space="preserve">American Energy &amp; </w:t>
      </w:r>
      <w:proofErr w:type="spellStart"/>
      <w:r w:rsidR="00E26967" w:rsidRPr="00474A1F">
        <w:rPr>
          <w:rFonts w:ascii="Times New Roman" w:hAnsi="Times New Roman" w:cs="Times New Roman"/>
          <w:sz w:val="24"/>
          <w:szCs w:val="24"/>
          <w:lang w:val="es-VE"/>
        </w:rPr>
        <w:t>Manufacturing</w:t>
      </w:r>
      <w:proofErr w:type="spellEnd"/>
      <w:r w:rsidR="00E26967" w:rsidRPr="00474A1F">
        <w:rPr>
          <w:rFonts w:ascii="Times New Roman" w:hAnsi="Times New Roman" w:cs="Times New Roman"/>
          <w:sz w:val="24"/>
          <w:szCs w:val="24"/>
          <w:lang w:val="es-VE"/>
        </w:rPr>
        <w:t xml:space="preserve"> </w:t>
      </w:r>
      <w:proofErr w:type="spellStart"/>
      <w:r w:rsidR="00E26967" w:rsidRPr="00474A1F">
        <w:rPr>
          <w:rFonts w:ascii="Times New Roman" w:hAnsi="Times New Roman" w:cs="Times New Roman"/>
          <w:sz w:val="24"/>
          <w:szCs w:val="24"/>
          <w:lang w:val="es-VE"/>
        </w:rPr>
        <w:t>Competitiveness</w:t>
      </w:r>
      <w:proofErr w:type="spellEnd"/>
      <w:r w:rsidR="00E26967" w:rsidRPr="00474A1F">
        <w:rPr>
          <w:rFonts w:ascii="Times New Roman" w:hAnsi="Times New Roman" w:cs="Times New Roman"/>
          <w:sz w:val="24"/>
          <w:szCs w:val="24"/>
          <w:lang w:val="es-VE"/>
        </w:rPr>
        <w:t xml:space="preserve"> </w:t>
      </w:r>
      <w:proofErr w:type="spellStart"/>
      <w:r w:rsidR="00E26967" w:rsidRPr="00474A1F">
        <w:rPr>
          <w:rFonts w:ascii="Times New Roman" w:hAnsi="Times New Roman" w:cs="Times New Roman"/>
          <w:sz w:val="24"/>
          <w:szCs w:val="24"/>
          <w:lang w:val="es-VE"/>
        </w:rPr>
        <w:t>Partnership</w:t>
      </w:r>
      <w:proofErr w:type="spellEnd"/>
      <w:r w:rsidR="00E26967" w:rsidRPr="00474A1F">
        <w:rPr>
          <w:rFonts w:ascii="Times New Roman" w:hAnsi="Times New Roman" w:cs="Times New Roman"/>
          <w:noProof/>
          <w:color w:val="000000"/>
          <w:sz w:val="24"/>
          <w:szCs w:val="24"/>
          <w:lang w:val="es-ES"/>
        </w:rPr>
        <w:t xml:space="preserve"> </w:t>
      </w:r>
      <w:r w:rsidR="00F96383">
        <w:rPr>
          <w:rFonts w:ascii="Times New Roman" w:hAnsi="Times New Roman" w:cs="Times New Roman"/>
          <w:noProof/>
          <w:color w:val="000000"/>
          <w:sz w:val="24"/>
          <w:szCs w:val="24"/>
          <w:lang w:val="es-ES"/>
        </w:rPr>
        <w:t>(</w:t>
      </w:r>
      <w:r w:rsidR="00D213BD" w:rsidRPr="00474A1F">
        <w:rPr>
          <w:rFonts w:ascii="Times New Roman" w:hAnsi="Times New Roman" w:cs="Times New Roman"/>
          <w:noProof/>
          <w:color w:val="000000"/>
          <w:sz w:val="24"/>
          <w:szCs w:val="24"/>
          <w:lang w:val="es-ES"/>
        </w:rPr>
        <w:t>AEMC, 2013)</w:t>
      </w:r>
      <w:r w:rsidR="00372907"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La hipótesis sugiere </w:t>
      </w:r>
      <w:r w:rsidR="00735C0D" w:rsidRPr="00474A1F">
        <w:rPr>
          <w:rFonts w:ascii="Times New Roman" w:hAnsi="Times New Roman" w:cs="Times New Roman"/>
          <w:color w:val="000000"/>
          <w:sz w:val="24"/>
          <w:szCs w:val="24"/>
        </w:rPr>
        <w:t xml:space="preserve">que la innovación </w:t>
      </w:r>
      <w:r w:rsidR="00524AC5" w:rsidRPr="00474A1F">
        <w:rPr>
          <w:rFonts w:ascii="Times New Roman" w:hAnsi="Times New Roman" w:cs="Times New Roman"/>
          <w:color w:val="000000"/>
          <w:sz w:val="24"/>
          <w:szCs w:val="24"/>
        </w:rPr>
        <w:t>genera</w:t>
      </w:r>
      <w:r w:rsidR="00735C0D" w:rsidRPr="00474A1F">
        <w:rPr>
          <w:rFonts w:ascii="Times New Roman" w:hAnsi="Times New Roman" w:cs="Times New Roman"/>
          <w:color w:val="000000"/>
          <w:sz w:val="24"/>
          <w:szCs w:val="24"/>
        </w:rPr>
        <w:t xml:space="preserve"> mejoras en la productividad, lo </w:t>
      </w:r>
      <w:r w:rsidR="00524AC5" w:rsidRPr="00474A1F">
        <w:rPr>
          <w:rFonts w:ascii="Times New Roman" w:hAnsi="Times New Roman" w:cs="Times New Roman"/>
          <w:color w:val="000000"/>
          <w:sz w:val="24"/>
          <w:szCs w:val="24"/>
        </w:rPr>
        <w:t>cual</w:t>
      </w:r>
      <w:r w:rsidR="00735C0D"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produce un </w:t>
      </w:r>
      <w:r w:rsidR="00735C0D" w:rsidRPr="00474A1F">
        <w:rPr>
          <w:rFonts w:ascii="Times New Roman" w:hAnsi="Times New Roman" w:cs="Times New Roman"/>
          <w:color w:val="000000"/>
          <w:sz w:val="24"/>
          <w:szCs w:val="24"/>
        </w:rPr>
        <w:t>increment</w:t>
      </w:r>
      <w:r w:rsidR="00524AC5" w:rsidRPr="00474A1F">
        <w:rPr>
          <w:rFonts w:ascii="Times New Roman" w:hAnsi="Times New Roman" w:cs="Times New Roman"/>
          <w:color w:val="000000"/>
          <w:sz w:val="24"/>
          <w:szCs w:val="24"/>
        </w:rPr>
        <w:t>o</w:t>
      </w:r>
      <w:r w:rsidR="00735C0D"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en </w:t>
      </w:r>
      <w:r w:rsidR="00735C0D" w:rsidRPr="00474A1F">
        <w:rPr>
          <w:rFonts w:ascii="Times New Roman" w:hAnsi="Times New Roman" w:cs="Times New Roman"/>
          <w:color w:val="000000"/>
          <w:sz w:val="24"/>
          <w:szCs w:val="24"/>
        </w:rPr>
        <w:t>los salarios y</w:t>
      </w:r>
      <w:r w:rsidR="00524AC5" w:rsidRPr="00474A1F">
        <w:rPr>
          <w:rFonts w:ascii="Times New Roman" w:hAnsi="Times New Roman" w:cs="Times New Roman"/>
          <w:color w:val="000000"/>
          <w:sz w:val="24"/>
          <w:szCs w:val="24"/>
        </w:rPr>
        <w:t>,</w:t>
      </w:r>
      <w:r w:rsidR="00735C0D"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por ende,</w:t>
      </w:r>
      <w:r w:rsidR="00735C0D"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en </w:t>
      </w:r>
      <w:r w:rsidR="00735C0D" w:rsidRPr="00474A1F">
        <w:rPr>
          <w:rFonts w:ascii="Times New Roman" w:hAnsi="Times New Roman" w:cs="Times New Roman"/>
          <w:color w:val="000000"/>
          <w:sz w:val="24"/>
          <w:szCs w:val="24"/>
        </w:rPr>
        <w:t xml:space="preserve">la calidad de vida de los trabajadores. </w:t>
      </w:r>
      <w:r w:rsidR="00BD00F1" w:rsidRPr="00474A1F">
        <w:rPr>
          <w:rFonts w:ascii="Times New Roman" w:hAnsi="Times New Roman" w:cs="Times New Roman"/>
          <w:color w:val="000000"/>
          <w:sz w:val="24"/>
          <w:szCs w:val="24"/>
        </w:rPr>
        <w:t>Sin embargo,</w:t>
      </w:r>
      <w:r w:rsidR="00E453A7" w:rsidRPr="00474A1F">
        <w:rPr>
          <w:rFonts w:ascii="Times New Roman" w:hAnsi="Times New Roman" w:cs="Times New Roman"/>
          <w:color w:val="000000"/>
          <w:sz w:val="24"/>
          <w:szCs w:val="24"/>
        </w:rPr>
        <w:t xml:space="preserve"> </w:t>
      </w:r>
      <w:r w:rsidR="00BD00F1" w:rsidRPr="00474A1F">
        <w:rPr>
          <w:rFonts w:ascii="Times New Roman" w:hAnsi="Times New Roman" w:cs="Times New Roman"/>
          <w:color w:val="000000"/>
          <w:sz w:val="24"/>
          <w:szCs w:val="24"/>
        </w:rPr>
        <w:t>estas políti</w:t>
      </w:r>
      <w:r w:rsidR="00BC1139" w:rsidRPr="00474A1F">
        <w:rPr>
          <w:rFonts w:ascii="Times New Roman" w:hAnsi="Times New Roman" w:cs="Times New Roman"/>
          <w:color w:val="000000"/>
          <w:sz w:val="24"/>
          <w:szCs w:val="24"/>
        </w:rPr>
        <w:t xml:space="preserve">cas </w:t>
      </w:r>
      <w:r w:rsidR="00E453A7" w:rsidRPr="00474A1F">
        <w:rPr>
          <w:rFonts w:ascii="Times New Roman" w:hAnsi="Times New Roman" w:cs="Times New Roman"/>
          <w:color w:val="000000"/>
          <w:sz w:val="24"/>
          <w:szCs w:val="24"/>
        </w:rPr>
        <w:t>no logra</w:t>
      </w:r>
      <w:r w:rsidR="00BC1139" w:rsidRPr="00474A1F">
        <w:rPr>
          <w:rFonts w:ascii="Times New Roman" w:hAnsi="Times New Roman" w:cs="Times New Roman"/>
          <w:color w:val="000000"/>
          <w:sz w:val="24"/>
          <w:szCs w:val="24"/>
        </w:rPr>
        <w:t>n</w:t>
      </w:r>
      <w:r w:rsidR="00E453A7" w:rsidRPr="00474A1F">
        <w:rPr>
          <w:rFonts w:ascii="Times New Roman" w:hAnsi="Times New Roman" w:cs="Times New Roman"/>
          <w:color w:val="000000"/>
          <w:sz w:val="24"/>
          <w:szCs w:val="24"/>
        </w:rPr>
        <w:t xml:space="preserve"> integrar a todos los </w:t>
      </w:r>
      <w:r w:rsidR="006D642B" w:rsidRPr="00474A1F">
        <w:rPr>
          <w:rFonts w:ascii="Times New Roman" w:hAnsi="Times New Roman" w:cs="Times New Roman"/>
          <w:color w:val="000000"/>
          <w:sz w:val="24"/>
          <w:szCs w:val="24"/>
        </w:rPr>
        <w:t xml:space="preserve">agentes </w:t>
      </w:r>
      <w:r w:rsidR="00E453A7" w:rsidRPr="00474A1F">
        <w:rPr>
          <w:rFonts w:ascii="Times New Roman" w:hAnsi="Times New Roman" w:cs="Times New Roman"/>
          <w:color w:val="000000"/>
          <w:sz w:val="24"/>
          <w:szCs w:val="24"/>
        </w:rPr>
        <w:t>de la triple hélice</w:t>
      </w:r>
      <w:r w:rsidR="006C2B75" w:rsidRPr="00474A1F">
        <w:rPr>
          <w:rFonts w:ascii="Times New Roman" w:hAnsi="Times New Roman" w:cs="Times New Roman"/>
          <w:color w:val="000000"/>
          <w:sz w:val="24"/>
          <w:szCs w:val="24"/>
        </w:rPr>
        <w:t xml:space="preserve"> </w:t>
      </w:r>
      <w:r w:rsidR="00A459F7" w:rsidRPr="00474A1F">
        <w:rPr>
          <w:rFonts w:ascii="Times New Roman" w:hAnsi="Times New Roman" w:cs="Times New Roman"/>
          <w:color w:val="000000"/>
          <w:sz w:val="24"/>
          <w:szCs w:val="24"/>
        </w:rPr>
        <w:t>(</w:t>
      </w:r>
      <w:r w:rsidR="006C2B75" w:rsidRPr="00474A1F">
        <w:rPr>
          <w:rFonts w:ascii="Times New Roman" w:hAnsi="Times New Roman" w:cs="Times New Roman"/>
          <w:color w:val="000000"/>
          <w:sz w:val="24"/>
          <w:szCs w:val="24"/>
        </w:rPr>
        <w:t xml:space="preserve">por lo menos de manera </w:t>
      </w:r>
      <w:r w:rsidR="006F6184" w:rsidRPr="00474A1F">
        <w:rPr>
          <w:rFonts w:ascii="Times New Roman" w:hAnsi="Times New Roman" w:cs="Times New Roman"/>
          <w:color w:val="000000"/>
          <w:sz w:val="24"/>
          <w:szCs w:val="24"/>
        </w:rPr>
        <w:t>colaborativa</w:t>
      </w:r>
      <w:r w:rsidR="00A459F7" w:rsidRPr="00474A1F">
        <w:rPr>
          <w:rFonts w:ascii="Times New Roman" w:hAnsi="Times New Roman" w:cs="Times New Roman"/>
          <w:color w:val="000000"/>
          <w:sz w:val="24"/>
          <w:szCs w:val="24"/>
        </w:rPr>
        <w:t>)</w:t>
      </w:r>
      <w:r w:rsidR="006F6184" w:rsidRPr="00474A1F">
        <w:rPr>
          <w:rFonts w:ascii="Times New Roman" w:hAnsi="Times New Roman" w:cs="Times New Roman"/>
          <w:color w:val="000000"/>
          <w:sz w:val="24"/>
          <w:szCs w:val="24"/>
        </w:rPr>
        <w:t xml:space="preserve">, </w:t>
      </w:r>
      <w:r w:rsidR="00D213BD" w:rsidRPr="00474A1F">
        <w:rPr>
          <w:rFonts w:ascii="Times New Roman" w:hAnsi="Times New Roman" w:cs="Times New Roman"/>
          <w:color w:val="000000"/>
          <w:sz w:val="24"/>
          <w:szCs w:val="24"/>
        </w:rPr>
        <w:t xml:space="preserve">por lo que </w:t>
      </w:r>
      <w:r w:rsidR="006F6184" w:rsidRPr="00474A1F">
        <w:rPr>
          <w:rFonts w:ascii="Times New Roman" w:hAnsi="Times New Roman" w:cs="Times New Roman"/>
          <w:color w:val="000000"/>
          <w:sz w:val="24"/>
          <w:szCs w:val="24"/>
        </w:rPr>
        <w:t xml:space="preserve">cada uno de </w:t>
      </w:r>
      <w:r w:rsidR="00524AC5" w:rsidRPr="00474A1F">
        <w:rPr>
          <w:rFonts w:ascii="Times New Roman" w:hAnsi="Times New Roman" w:cs="Times New Roman"/>
          <w:color w:val="000000"/>
          <w:sz w:val="24"/>
          <w:szCs w:val="24"/>
        </w:rPr>
        <w:t>e</w:t>
      </w:r>
      <w:r w:rsidR="00796FAC" w:rsidRPr="00474A1F">
        <w:rPr>
          <w:rFonts w:ascii="Times New Roman" w:hAnsi="Times New Roman" w:cs="Times New Roman"/>
          <w:color w:val="000000"/>
          <w:sz w:val="24"/>
          <w:szCs w:val="24"/>
        </w:rPr>
        <w:t xml:space="preserve">stos </w:t>
      </w:r>
      <w:r w:rsidR="006F6184" w:rsidRPr="00474A1F">
        <w:rPr>
          <w:rFonts w:ascii="Times New Roman" w:hAnsi="Times New Roman" w:cs="Times New Roman"/>
          <w:color w:val="000000"/>
          <w:sz w:val="24"/>
          <w:szCs w:val="24"/>
        </w:rPr>
        <w:t>se orienta a</w:t>
      </w:r>
      <w:r w:rsidR="00CB41A4" w:rsidRPr="00474A1F">
        <w:rPr>
          <w:rFonts w:ascii="Times New Roman" w:hAnsi="Times New Roman" w:cs="Times New Roman"/>
          <w:color w:val="000000"/>
          <w:sz w:val="24"/>
          <w:szCs w:val="24"/>
        </w:rPr>
        <w:t xml:space="preserve">l logro de </w:t>
      </w:r>
      <w:r w:rsidR="006F6184" w:rsidRPr="00474A1F">
        <w:rPr>
          <w:rFonts w:ascii="Times New Roman" w:hAnsi="Times New Roman" w:cs="Times New Roman"/>
          <w:color w:val="000000"/>
          <w:sz w:val="24"/>
          <w:szCs w:val="24"/>
        </w:rPr>
        <w:t>resultados de manera aislada</w:t>
      </w:r>
      <w:r w:rsidR="00AF1D3E" w:rsidRPr="00474A1F">
        <w:rPr>
          <w:rFonts w:ascii="Times New Roman" w:hAnsi="Times New Roman" w:cs="Times New Roman"/>
          <w:color w:val="000000"/>
          <w:sz w:val="24"/>
          <w:szCs w:val="24"/>
        </w:rPr>
        <w:t xml:space="preserve">, </w:t>
      </w:r>
      <w:r w:rsidR="00524AC5" w:rsidRPr="00474A1F">
        <w:rPr>
          <w:rFonts w:ascii="Times New Roman" w:hAnsi="Times New Roman" w:cs="Times New Roman"/>
          <w:color w:val="000000"/>
          <w:sz w:val="24"/>
          <w:szCs w:val="24"/>
        </w:rPr>
        <w:t xml:space="preserve">con lo cual se consiguen </w:t>
      </w:r>
      <w:r w:rsidR="00AF1D3E" w:rsidRPr="00474A1F">
        <w:rPr>
          <w:rFonts w:ascii="Times New Roman" w:hAnsi="Times New Roman" w:cs="Times New Roman"/>
          <w:color w:val="000000"/>
          <w:sz w:val="24"/>
          <w:szCs w:val="24"/>
        </w:rPr>
        <w:t>impactos mínimos</w:t>
      </w:r>
      <w:r w:rsidR="00127CF1" w:rsidRPr="00474A1F">
        <w:rPr>
          <w:rFonts w:ascii="Times New Roman" w:hAnsi="Times New Roman" w:cs="Times New Roman"/>
          <w:color w:val="000000"/>
          <w:sz w:val="24"/>
          <w:szCs w:val="24"/>
        </w:rPr>
        <w:t xml:space="preserve"> y se diluyen </w:t>
      </w:r>
      <w:r w:rsidR="00AF1D3E" w:rsidRPr="00474A1F">
        <w:rPr>
          <w:rFonts w:ascii="Times New Roman" w:hAnsi="Times New Roman" w:cs="Times New Roman"/>
          <w:color w:val="000000"/>
          <w:sz w:val="24"/>
          <w:szCs w:val="24"/>
        </w:rPr>
        <w:t>los esfuerzos científicos y productivos</w:t>
      </w:r>
      <w:r w:rsidR="002A258F" w:rsidRPr="00474A1F">
        <w:rPr>
          <w:rFonts w:ascii="Times New Roman" w:hAnsi="Times New Roman" w:cs="Times New Roman"/>
          <w:color w:val="000000"/>
          <w:sz w:val="24"/>
          <w:szCs w:val="24"/>
        </w:rPr>
        <w:t xml:space="preserve"> del país</w:t>
      </w:r>
      <w:r w:rsidR="00AF1D3E" w:rsidRPr="00474A1F">
        <w:rPr>
          <w:rFonts w:ascii="Times New Roman" w:hAnsi="Times New Roman" w:cs="Times New Roman"/>
          <w:color w:val="000000"/>
          <w:sz w:val="24"/>
          <w:szCs w:val="24"/>
        </w:rPr>
        <w:t xml:space="preserve">. </w:t>
      </w:r>
    </w:p>
    <w:p w14:paraId="3EBB7A28" w14:textId="140D38D5" w:rsidR="00003F27" w:rsidRPr="00474A1F" w:rsidRDefault="00127CF1" w:rsidP="007C0599">
      <w:pPr>
        <w:autoSpaceDE w:val="0"/>
        <w:autoSpaceDN w:val="0"/>
        <w:adjustRightInd w:val="0"/>
        <w:spacing w:after="0" w:line="360" w:lineRule="auto"/>
        <w:ind w:firstLine="708"/>
        <w:jc w:val="both"/>
        <w:rPr>
          <w:rFonts w:ascii="Times New Roman" w:eastAsia="Times New Roman" w:hAnsi="Times New Roman" w:cs="Times New Roman"/>
          <w:color w:val="000000"/>
          <w:sz w:val="24"/>
          <w:lang w:eastAsia="es-MX"/>
        </w:rPr>
      </w:pPr>
      <w:r w:rsidRPr="00474A1F">
        <w:rPr>
          <w:rFonts w:ascii="Times New Roman" w:hAnsi="Times New Roman" w:cs="Times New Roman"/>
          <w:color w:val="000000"/>
          <w:sz w:val="24"/>
          <w:szCs w:val="24"/>
        </w:rPr>
        <w:t>Por este motivo</w:t>
      </w:r>
      <w:r w:rsidR="00D213BD" w:rsidRPr="00474A1F">
        <w:rPr>
          <w:rFonts w:ascii="Times New Roman" w:hAnsi="Times New Roman" w:cs="Times New Roman"/>
          <w:color w:val="000000"/>
          <w:sz w:val="24"/>
          <w:szCs w:val="24"/>
        </w:rPr>
        <w:t>,</w:t>
      </w:r>
      <w:r w:rsidR="007A2FEA"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 xml:space="preserve">en el presente trabajo </w:t>
      </w:r>
      <w:r w:rsidR="00003F27" w:rsidRPr="00474A1F">
        <w:rPr>
          <w:rFonts w:ascii="Times New Roman" w:hAnsi="Times New Roman" w:cs="Times New Roman"/>
          <w:color w:val="000000"/>
          <w:sz w:val="24"/>
          <w:szCs w:val="24"/>
        </w:rPr>
        <w:t xml:space="preserve">se </w:t>
      </w:r>
      <w:r w:rsidR="00827383" w:rsidRPr="00474A1F">
        <w:rPr>
          <w:rFonts w:ascii="Times New Roman" w:hAnsi="Times New Roman" w:cs="Times New Roman"/>
          <w:sz w:val="24"/>
          <w:szCs w:val="24"/>
        </w:rPr>
        <w:t>analiz</w:t>
      </w:r>
      <w:r w:rsidRPr="00474A1F">
        <w:rPr>
          <w:rFonts w:ascii="Times New Roman" w:hAnsi="Times New Roman" w:cs="Times New Roman"/>
          <w:sz w:val="24"/>
          <w:szCs w:val="24"/>
        </w:rPr>
        <w:t>ó</w:t>
      </w:r>
      <w:r w:rsidR="00827383" w:rsidRPr="00474A1F">
        <w:rPr>
          <w:rFonts w:ascii="Times New Roman" w:hAnsi="Times New Roman" w:cs="Times New Roman"/>
          <w:sz w:val="24"/>
          <w:szCs w:val="24"/>
        </w:rPr>
        <w:t xml:space="preserve"> </w:t>
      </w:r>
      <w:r w:rsidR="001F7A42" w:rsidRPr="00474A1F">
        <w:rPr>
          <w:rFonts w:ascii="Times New Roman" w:hAnsi="Times New Roman" w:cs="Times New Roman"/>
          <w:sz w:val="24"/>
          <w:szCs w:val="24"/>
        </w:rPr>
        <w:t xml:space="preserve">el papel que juega </w:t>
      </w:r>
      <w:r w:rsidR="001F7A42" w:rsidRPr="00474A1F">
        <w:rPr>
          <w:rFonts w:ascii="Times New Roman" w:eastAsia="Times New Roman" w:hAnsi="Times New Roman" w:cs="Times New Roman"/>
          <w:color w:val="000000"/>
          <w:sz w:val="24"/>
          <w:szCs w:val="24"/>
          <w:lang w:eastAsia="es-MX"/>
        </w:rPr>
        <w:t xml:space="preserve">la transferencia de conocimientos desde las universidades en la determinación de la </w:t>
      </w:r>
      <w:r w:rsidR="001F7A42" w:rsidRPr="00474A1F">
        <w:rPr>
          <w:rFonts w:ascii="Times New Roman" w:hAnsi="Times New Roman" w:cs="Times New Roman"/>
          <w:sz w:val="24"/>
          <w:szCs w:val="24"/>
        </w:rPr>
        <w:t>innovación tecnológica en México</w:t>
      </w:r>
      <w:r w:rsidR="00827383" w:rsidRPr="00474A1F">
        <w:rPr>
          <w:rFonts w:ascii="Times New Roman" w:hAnsi="Times New Roman" w:cs="Times New Roman"/>
          <w:sz w:val="24"/>
          <w:szCs w:val="24"/>
        </w:rPr>
        <w:t>.</w:t>
      </w:r>
      <w:r w:rsidR="00003F27" w:rsidRPr="00474A1F">
        <w:rPr>
          <w:rFonts w:ascii="Times New Roman" w:eastAsia="Times New Roman" w:hAnsi="Times New Roman" w:cs="Times New Roman"/>
          <w:color w:val="000000"/>
          <w:sz w:val="24"/>
          <w:szCs w:val="24"/>
          <w:lang w:eastAsia="es-MX"/>
        </w:rPr>
        <w:t xml:space="preserve"> </w:t>
      </w:r>
      <w:r w:rsidR="00EB51CC">
        <w:rPr>
          <w:rFonts w:ascii="Times New Roman" w:eastAsia="Times New Roman" w:hAnsi="Times New Roman" w:cs="Times New Roman"/>
          <w:color w:val="000000"/>
          <w:sz w:val="24"/>
          <w:szCs w:val="24"/>
          <w:lang w:eastAsia="es-MX"/>
        </w:rPr>
        <w:t>Los actores involucrados en este proceso son el gobierno, el sector educativo y el sector productivo. De este modo, l</w:t>
      </w:r>
      <w:r w:rsidR="00D213BD" w:rsidRPr="00474A1F">
        <w:rPr>
          <w:rFonts w:ascii="Times New Roman" w:eastAsia="Times New Roman" w:hAnsi="Times New Roman" w:cs="Times New Roman"/>
          <w:color w:val="000000"/>
          <w:sz w:val="24"/>
          <w:lang w:eastAsia="es-MX"/>
        </w:rPr>
        <w:t>as variables se agrupa</w:t>
      </w:r>
      <w:r w:rsidRPr="00474A1F">
        <w:rPr>
          <w:rFonts w:ascii="Times New Roman" w:eastAsia="Times New Roman" w:hAnsi="Times New Roman" w:cs="Times New Roman"/>
          <w:color w:val="000000"/>
          <w:sz w:val="24"/>
          <w:lang w:eastAsia="es-MX"/>
        </w:rPr>
        <w:t>ron</w:t>
      </w:r>
      <w:r w:rsidR="00003F27" w:rsidRPr="00474A1F">
        <w:rPr>
          <w:rFonts w:ascii="Times New Roman" w:eastAsia="Times New Roman" w:hAnsi="Times New Roman" w:cs="Times New Roman"/>
          <w:color w:val="000000"/>
          <w:sz w:val="24"/>
          <w:lang w:eastAsia="es-MX"/>
        </w:rPr>
        <w:t xml:space="preserve"> en dependiente</w:t>
      </w:r>
      <w:r w:rsidR="00D213BD" w:rsidRPr="00474A1F">
        <w:rPr>
          <w:rFonts w:ascii="Times New Roman" w:eastAsia="Times New Roman" w:hAnsi="Times New Roman" w:cs="Times New Roman"/>
          <w:color w:val="000000"/>
          <w:sz w:val="24"/>
          <w:lang w:eastAsia="es-MX"/>
        </w:rPr>
        <w:t>s</w:t>
      </w:r>
      <w:r w:rsidR="00003F27" w:rsidRPr="00474A1F">
        <w:rPr>
          <w:rFonts w:ascii="Times New Roman" w:eastAsia="Times New Roman" w:hAnsi="Times New Roman" w:cs="Times New Roman"/>
          <w:color w:val="000000"/>
          <w:sz w:val="24"/>
          <w:lang w:eastAsia="es-MX"/>
        </w:rPr>
        <w:t xml:space="preserve"> (patentes, como tangible de la innovación) </w:t>
      </w:r>
      <w:r w:rsidRPr="00474A1F">
        <w:rPr>
          <w:rFonts w:ascii="Times New Roman" w:eastAsia="Times New Roman" w:hAnsi="Times New Roman" w:cs="Times New Roman"/>
          <w:color w:val="000000"/>
          <w:sz w:val="24"/>
          <w:lang w:eastAsia="es-MX"/>
        </w:rPr>
        <w:t>e</w:t>
      </w:r>
      <w:r w:rsidR="00003F27" w:rsidRPr="00474A1F">
        <w:rPr>
          <w:rFonts w:ascii="Times New Roman" w:eastAsia="Times New Roman" w:hAnsi="Times New Roman" w:cs="Times New Roman"/>
          <w:color w:val="000000"/>
          <w:sz w:val="24"/>
          <w:lang w:eastAsia="es-MX"/>
        </w:rPr>
        <w:t xml:space="preserve"> independientes (empresas, grandes empresas, posgrados de calidad, centros de investigación e investigadores).</w:t>
      </w:r>
      <w:r w:rsidR="00E56D52" w:rsidRPr="00474A1F">
        <w:rPr>
          <w:rFonts w:ascii="Times New Roman" w:eastAsia="Times New Roman" w:hAnsi="Times New Roman" w:cs="Times New Roman"/>
          <w:color w:val="000000"/>
          <w:sz w:val="24"/>
          <w:lang w:eastAsia="es-MX"/>
        </w:rPr>
        <w:t xml:space="preserve"> El </w:t>
      </w:r>
      <w:r w:rsidR="008F063B" w:rsidRPr="00474A1F">
        <w:rPr>
          <w:rFonts w:ascii="Times New Roman" w:eastAsia="Times New Roman" w:hAnsi="Times New Roman" w:cs="Times New Roman"/>
          <w:color w:val="000000"/>
          <w:sz w:val="24"/>
          <w:lang w:eastAsia="es-MX"/>
        </w:rPr>
        <w:t>periodo de análisis abarc</w:t>
      </w:r>
      <w:r w:rsidRPr="00474A1F">
        <w:rPr>
          <w:rFonts w:ascii="Times New Roman" w:eastAsia="Times New Roman" w:hAnsi="Times New Roman" w:cs="Times New Roman"/>
          <w:color w:val="000000"/>
          <w:sz w:val="24"/>
          <w:lang w:eastAsia="es-MX"/>
        </w:rPr>
        <w:t>ó</w:t>
      </w:r>
      <w:r w:rsidR="008F063B" w:rsidRPr="00474A1F">
        <w:rPr>
          <w:rFonts w:ascii="Times New Roman" w:eastAsia="Times New Roman" w:hAnsi="Times New Roman" w:cs="Times New Roman"/>
          <w:color w:val="000000"/>
          <w:sz w:val="24"/>
          <w:lang w:eastAsia="es-MX"/>
        </w:rPr>
        <w:t xml:space="preserve"> de</w:t>
      </w:r>
      <w:r w:rsidRPr="00474A1F">
        <w:rPr>
          <w:rFonts w:ascii="Times New Roman" w:eastAsia="Times New Roman" w:hAnsi="Times New Roman" w:cs="Times New Roman"/>
          <w:color w:val="000000"/>
          <w:sz w:val="24"/>
          <w:lang w:eastAsia="es-MX"/>
        </w:rPr>
        <w:t>sde</w:t>
      </w:r>
      <w:r w:rsidR="008F063B" w:rsidRPr="00474A1F">
        <w:rPr>
          <w:rFonts w:ascii="Times New Roman" w:eastAsia="Times New Roman" w:hAnsi="Times New Roman" w:cs="Times New Roman"/>
          <w:color w:val="000000"/>
          <w:sz w:val="24"/>
          <w:lang w:eastAsia="es-MX"/>
        </w:rPr>
        <w:t xml:space="preserve"> </w:t>
      </w:r>
      <w:r w:rsidRPr="00474A1F">
        <w:rPr>
          <w:rFonts w:ascii="Times New Roman" w:eastAsia="Times New Roman" w:hAnsi="Times New Roman" w:cs="Times New Roman"/>
          <w:color w:val="000000"/>
          <w:sz w:val="24"/>
          <w:lang w:eastAsia="es-MX"/>
        </w:rPr>
        <w:t xml:space="preserve">el año </w:t>
      </w:r>
      <w:r w:rsidR="008F063B" w:rsidRPr="00474A1F">
        <w:rPr>
          <w:rFonts w:ascii="Times New Roman" w:eastAsia="Times New Roman" w:hAnsi="Times New Roman" w:cs="Times New Roman"/>
          <w:color w:val="000000"/>
          <w:sz w:val="24"/>
          <w:lang w:eastAsia="es-MX"/>
        </w:rPr>
        <w:t>20</w:t>
      </w:r>
      <w:r w:rsidR="00586557" w:rsidRPr="00474A1F">
        <w:rPr>
          <w:rFonts w:ascii="Times New Roman" w:eastAsia="Times New Roman" w:hAnsi="Times New Roman" w:cs="Times New Roman"/>
          <w:color w:val="000000"/>
          <w:sz w:val="24"/>
          <w:lang w:eastAsia="es-MX"/>
        </w:rPr>
        <w:t>0</w:t>
      </w:r>
      <w:r w:rsidRPr="00474A1F">
        <w:rPr>
          <w:rFonts w:ascii="Times New Roman" w:eastAsia="Times New Roman" w:hAnsi="Times New Roman" w:cs="Times New Roman"/>
          <w:color w:val="000000"/>
          <w:sz w:val="24"/>
          <w:lang w:eastAsia="es-MX"/>
        </w:rPr>
        <w:t>5 hasta</w:t>
      </w:r>
      <w:r w:rsidR="008F063B" w:rsidRPr="00474A1F">
        <w:rPr>
          <w:rFonts w:ascii="Times New Roman" w:eastAsia="Times New Roman" w:hAnsi="Times New Roman" w:cs="Times New Roman"/>
          <w:color w:val="000000"/>
          <w:sz w:val="24"/>
          <w:lang w:eastAsia="es-MX"/>
        </w:rPr>
        <w:t xml:space="preserve"> </w:t>
      </w:r>
      <w:r w:rsidRPr="00474A1F">
        <w:rPr>
          <w:rFonts w:ascii="Times New Roman" w:eastAsia="Times New Roman" w:hAnsi="Times New Roman" w:cs="Times New Roman"/>
          <w:color w:val="000000"/>
          <w:sz w:val="24"/>
          <w:lang w:eastAsia="es-MX"/>
        </w:rPr>
        <w:t xml:space="preserve">el año </w:t>
      </w:r>
      <w:r w:rsidR="008F063B" w:rsidRPr="00474A1F">
        <w:rPr>
          <w:rFonts w:ascii="Times New Roman" w:eastAsia="Times New Roman" w:hAnsi="Times New Roman" w:cs="Times New Roman"/>
          <w:color w:val="000000"/>
          <w:sz w:val="24"/>
          <w:lang w:eastAsia="es-MX"/>
        </w:rPr>
        <w:t>2017</w:t>
      </w:r>
      <w:r w:rsidRPr="00474A1F">
        <w:rPr>
          <w:rFonts w:ascii="Times New Roman" w:eastAsia="Times New Roman" w:hAnsi="Times New Roman" w:cs="Times New Roman"/>
          <w:color w:val="000000"/>
          <w:sz w:val="24"/>
          <w:lang w:eastAsia="es-MX"/>
        </w:rPr>
        <w:t xml:space="preserve"> —en este </w:t>
      </w:r>
      <w:r w:rsidR="008F063B" w:rsidRPr="00474A1F">
        <w:rPr>
          <w:rFonts w:ascii="Times New Roman" w:eastAsia="Times New Roman" w:hAnsi="Times New Roman" w:cs="Times New Roman"/>
          <w:color w:val="000000"/>
          <w:sz w:val="24"/>
          <w:lang w:eastAsia="es-MX"/>
        </w:rPr>
        <w:t xml:space="preserve">último </w:t>
      </w:r>
      <w:r w:rsidRPr="00474A1F">
        <w:rPr>
          <w:rFonts w:ascii="Times New Roman" w:eastAsia="Times New Roman" w:hAnsi="Times New Roman" w:cs="Times New Roman"/>
          <w:color w:val="000000"/>
          <w:sz w:val="24"/>
          <w:lang w:eastAsia="es-MX"/>
        </w:rPr>
        <w:t xml:space="preserve">se encontró </w:t>
      </w:r>
      <w:r w:rsidR="008F063B" w:rsidRPr="00474A1F">
        <w:rPr>
          <w:rFonts w:ascii="Times New Roman" w:eastAsia="Times New Roman" w:hAnsi="Times New Roman" w:cs="Times New Roman"/>
          <w:color w:val="000000"/>
          <w:sz w:val="24"/>
          <w:lang w:eastAsia="es-MX"/>
        </w:rPr>
        <w:t xml:space="preserve">la información más actual </w:t>
      </w:r>
      <w:r w:rsidRPr="00474A1F">
        <w:rPr>
          <w:rFonts w:ascii="Times New Roman" w:eastAsia="Times New Roman" w:hAnsi="Times New Roman" w:cs="Times New Roman"/>
          <w:color w:val="000000"/>
          <w:sz w:val="24"/>
          <w:lang w:eastAsia="es-MX"/>
        </w:rPr>
        <w:t xml:space="preserve">ofrecida por </w:t>
      </w:r>
      <w:r w:rsidR="008F063B" w:rsidRPr="00474A1F">
        <w:rPr>
          <w:rFonts w:ascii="Times New Roman" w:eastAsia="Times New Roman" w:hAnsi="Times New Roman" w:cs="Times New Roman"/>
          <w:color w:val="000000"/>
          <w:sz w:val="24"/>
          <w:lang w:eastAsia="es-MX"/>
        </w:rPr>
        <w:t xml:space="preserve">el </w:t>
      </w:r>
      <w:r w:rsidR="008F063B" w:rsidRPr="00474A1F">
        <w:rPr>
          <w:rFonts w:ascii="Times New Roman" w:eastAsia="Times New Roman" w:hAnsi="Times New Roman" w:cs="Times New Roman"/>
          <w:color w:val="000000"/>
          <w:sz w:val="24"/>
          <w:szCs w:val="24"/>
          <w:lang w:eastAsia="es-MX"/>
        </w:rPr>
        <w:t>Instituto Mexicano para la Competitividad (IMCO)</w:t>
      </w:r>
      <w:r w:rsidRPr="00474A1F">
        <w:rPr>
          <w:rFonts w:ascii="Times New Roman" w:eastAsia="Times New Roman" w:hAnsi="Times New Roman" w:cs="Times New Roman"/>
          <w:color w:val="000000"/>
          <w:sz w:val="24"/>
          <w:szCs w:val="24"/>
          <w:lang w:eastAsia="es-MX"/>
        </w:rPr>
        <w:t>—</w:t>
      </w:r>
      <w:r w:rsidR="008F063B" w:rsidRPr="00474A1F">
        <w:rPr>
          <w:rFonts w:ascii="Times New Roman" w:eastAsia="Times New Roman" w:hAnsi="Times New Roman" w:cs="Times New Roman"/>
          <w:color w:val="000000"/>
          <w:sz w:val="24"/>
          <w:szCs w:val="24"/>
          <w:lang w:eastAsia="es-MX"/>
        </w:rPr>
        <w:t xml:space="preserve">. </w:t>
      </w:r>
    </w:p>
    <w:p w14:paraId="6EFE5755" w14:textId="77777777" w:rsidR="00003F27" w:rsidRPr="009A0738" w:rsidRDefault="00003F27" w:rsidP="00B67D06">
      <w:pPr>
        <w:autoSpaceDE w:val="0"/>
        <w:autoSpaceDN w:val="0"/>
        <w:adjustRightInd w:val="0"/>
        <w:spacing w:after="0" w:line="360" w:lineRule="auto"/>
        <w:jc w:val="both"/>
        <w:rPr>
          <w:rFonts w:ascii="Times New Roman" w:eastAsia="Times New Roman" w:hAnsi="Times New Roman" w:cs="Times New Roman"/>
          <w:color w:val="000000"/>
          <w:sz w:val="24"/>
          <w:lang w:eastAsia="es-MX"/>
        </w:rPr>
      </w:pPr>
    </w:p>
    <w:p w14:paraId="05366B9D" w14:textId="77777777" w:rsidR="00BF17DA" w:rsidRPr="00D93FE6" w:rsidRDefault="00BF17DA" w:rsidP="00474A1F">
      <w:pPr>
        <w:pStyle w:val="Ttulo1"/>
        <w:jc w:val="center"/>
        <w:rPr>
          <w:sz w:val="28"/>
          <w:szCs w:val="32"/>
        </w:rPr>
      </w:pPr>
      <w:r w:rsidRPr="00D93FE6">
        <w:rPr>
          <w:sz w:val="28"/>
          <w:szCs w:val="32"/>
        </w:rPr>
        <w:t>Los principales actores en el proceso de vinculación</w:t>
      </w:r>
    </w:p>
    <w:p w14:paraId="5DE86A4B" w14:textId="4F3DA767" w:rsidR="007577C7" w:rsidRPr="00D93FE6" w:rsidRDefault="007577C7" w:rsidP="00D93FE6">
      <w:pPr>
        <w:pStyle w:val="Ttulo2"/>
        <w:spacing w:before="0" w:line="360" w:lineRule="auto"/>
        <w:jc w:val="center"/>
        <w:rPr>
          <w:rFonts w:ascii="Times New Roman" w:hAnsi="Times New Roman" w:cs="Times New Roman"/>
          <w:b/>
          <w:color w:val="auto"/>
        </w:rPr>
      </w:pPr>
      <w:r w:rsidRPr="00D93FE6">
        <w:rPr>
          <w:rFonts w:ascii="Times New Roman" w:hAnsi="Times New Roman" w:cs="Times New Roman"/>
          <w:b/>
          <w:color w:val="auto"/>
        </w:rPr>
        <w:t>Gobierno</w:t>
      </w:r>
    </w:p>
    <w:p w14:paraId="65126C00" w14:textId="2AA388D7" w:rsidR="005C1028" w:rsidRPr="00474A1F" w:rsidRDefault="005C1028" w:rsidP="00127CF1">
      <w:pPr>
        <w:pStyle w:val="NormalWeb"/>
        <w:shd w:val="clear" w:color="auto" w:fill="FFFFFF"/>
        <w:spacing w:before="0" w:beforeAutospacing="0" w:after="0" w:afterAutospacing="0" w:line="360" w:lineRule="auto"/>
        <w:ind w:firstLine="708"/>
        <w:jc w:val="both"/>
        <w:rPr>
          <w:color w:val="000000"/>
          <w:szCs w:val="22"/>
        </w:rPr>
      </w:pPr>
      <w:r w:rsidRPr="00474A1F">
        <w:rPr>
          <w:color w:val="000000"/>
          <w:szCs w:val="22"/>
        </w:rPr>
        <w:t xml:space="preserve">Desde </w:t>
      </w:r>
      <w:r w:rsidR="0073778D" w:rsidRPr="00474A1F">
        <w:rPr>
          <w:color w:val="000000"/>
          <w:szCs w:val="22"/>
        </w:rPr>
        <w:t xml:space="preserve">principios del siglo XXI, </w:t>
      </w:r>
      <w:r w:rsidR="00901D54" w:rsidRPr="00474A1F">
        <w:rPr>
          <w:color w:val="000000"/>
          <w:szCs w:val="22"/>
        </w:rPr>
        <w:t xml:space="preserve">la administración pública ha </w:t>
      </w:r>
      <w:r w:rsidR="00127CF1" w:rsidRPr="00474A1F">
        <w:rPr>
          <w:color w:val="000000"/>
          <w:szCs w:val="22"/>
        </w:rPr>
        <w:t>cambiado</w:t>
      </w:r>
      <w:r w:rsidR="00901D54" w:rsidRPr="00474A1F">
        <w:rPr>
          <w:color w:val="000000"/>
          <w:szCs w:val="22"/>
        </w:rPr>
        <w:t xml:space="preserve"> </w:t>
      </w:r>
      <w:r w:rsidR="00127CF1" w:rsidRPr="00474A1F">
        <w:rPr>
          <w:color w:val="000000"/>
          <w:szCs w:val="22"/>
        </w:rPr>
        <w:t>de una</w:t>
      </w:r>
      <w:r w:rsidR="00901D54" w:rsidRPr="00474A1F">
        <w:rPr>
          <w:color w:val="000000"/>
          <w:szCs w:val="22"/>
        </w:rPr>
        <w:t xml:space="preserve"> visión </w:t>
      </w:r>
      <w:proofErr w:type="spellStart"/>
      <w:r w:rsidR="00901D54" w:rsidRPr="00474A1F">
        <w:rPr>
          <w:color w:val="000000"/>
          <w:szCs w:val="22"/>
        </w:rPr>
        <w:t>neopública</w:t>
      </w:r>
      <w:proofErr w:type="spellEnd"/>
      <w:r w:rsidR="00901D54" w:rsidRPr="00474A1F">
        <w:rPr>
          <w:color w:val="000000"/>
          <w:szCs w:val="22"/>
        </w:rPr>
        <w:t xml:space="preserve"> a </w:t>
      </w:r>
      <w:r w:rsidR="00127CF1" w:rsidRPr="00474A1F">
        <w:rPr>
          <w:color w:val="000000"/>
          <w:szCs w:val="22"/>
        </w:rPr>
        <w:t>una</w:t>
      </w:r>
      <w:r w:rsidR="00901D54" w:rsidRPr="00474A1F">
        <w:rPr>
          <w:color w:val="000000"/>
          <w:szCs w:val="22"/>
        </w:rPr>
        <w:t xml:space="preserve"> </w:t>
      </w:r>
      <w:proofErr w:type="spellStart"/>
      <w:r w:rsidR="00901D54" w:rsidRPr="00474A1F">
        <w:rPr>
          <w:color w:val="000000"/>
          <w:szCs w:val="22"/>
        </w:rPr>
        <w:t>neogerencial</w:t>
      </w:r>
      <w:proofErr w:type="spellEnd"/>
      <w:r w:rsidR="00901D54" w:rsidRPr="00474A1F">
        <w:rPr>
          <w:color w:val="000000"/>
          <w:szCs w:val="22"/>
        </w:rPr>
        <w:t xml:space="preserve">. </w:t>
      </w:r>
      <w:r w:rsidR="00127CF1" w:rsidRPr="00474A1F">
        <w:rPr>
          <w:color w:val="000000"/>
          <w:szCs w:val="22"/>
        </w:rPr>
        <w:t>Esta última concepción</w:t>
      </w:r>
      <w:r w:rsidR="000B5F3F" w:rsidRPr="00474A1F">
        <w:rPr>
          <w:color w:val="000000"/>
          <w:szCs w:val="22"/>
        </w:rPr>
        <w:t xml:space="preserve"> </w:t>
      </w:r>
      <w:proofErr w:type="spellStart"/>
      <w:r w:rsidR="000B5F3F" w:rsidRPr="00474A1F">
        <w:rPr>
          <w:color w:val="000000"/>
          <w:szCs w:val="22"/>
        </w:rPr>
        <w:t>posweberiana</w:t>
      </w:r>
      <w:proofErr w:type="spellEnd"/>
      <w:r w:rsidR="000B5F3F" w:rsidRPr="00474A1F">
        <w:rPr>
          <w:color w:val="000000"/>
          <w:szCs w:val="22"/>
        </w:rPr>
        <w:t xml:space="preserve"> </w:t>
      </w:r>
      <w:r w:rsidR="00127CF1" w:rsidRPr="00474A1F">
        <w:rPr>
          <w:color w:val="000000"/>
          <w:szCs w:val="22"/>
        </w:rPr>
        <w:t xml:space="preserve">trasciende </w:t>
      </w:r>
      <w:r w:rsidR="000B5F3F" w:rsidRPr="00474A1F">
        <w:rPr>
          <w:color w:val="000000"/>
          <w:szCs w:val="22"/>
        </w:rPr>
        <w:t>el control pr</w:t>
      </w:r>
      <w:r w:rsidR="009F3863" w:rsidRPr="00474A1F">
        <w:rPr>
          <w:color w:val="000000"/>
          <w:szCs w:val="22"/>
        </w:rPr>
        <w:t>e</w:t>
      </w:r>
      <w:r w:rsidR="000B5F3F" w:rsidRPr="00474A1F">
        <w:rPr>
          <w:color w:val="000000"/>
          <w:szCs w:val="22"/>
        </w:rPr>
        <w:t xml:space="preserve">supuestal </w:t>
      </w:r>
      <w:r w:rsidR="004C4966" w:rsidRPr="00474A1F">
        <w:rPr>
          <w:color w:val="000000"/>
          <w:szCs w:val="22"/>
        </w:rPr>
        <w:t xml:space="preserve">y se enfoca en le eficiencia integral, la transparencia, el acceso a la información y la incorporación de la ciudadanía en el quehacer gubernamental. En este </w:t>
      </w:r>
      <w:r w:rsidR="002D650E" w:rsidRPr="00474A1F">
        <w:rPr>
          <w:color w:val="000000"/>
          <w:szCs w:val="22"/>
        </w:rPr>
        <w:t>sentido, Cabello</w:t>
      </w:r>
      <w:r w:rsidR="00301C29" w:rsidRPr="00474A1F">
        <w:rPr>
          <w:color w:val="000000"/>
          <w:szCs w:val="22"/>
        </w:rPr>
        <w:t xml:space="preserve"> y Orti</w:t>
      </w:r>
      <w:r w:rsidR="004C4966" w:rsidRPr="00474A1F">
        <w:rPr>
          <w:color w:val="000000"/>
          <w:szCs w:val="22"/>
        </w:rPr>
        <w:t xml:space="preserve">z </w:t>
      </w:r>
      <w:r w:rsidR="009F3863" w:rsidRPr="00474A1F">
        <w:rPr>
          <w:noProof/>
          <w:color w:val="000000"/>
          <w:szCs w:val="22"/>
          <w:lang w:val="es-ES"/>
        </w:rPr>
        <w:t>(2013)</w:t>
      </w:r>
      <w:r w:rsidR="004C4966" w:rsidRPr="00474A1F">
        <w:rPr>
          <w:color w:val="000000"/>
          <w:szCs w:val="22"/>
        </w:rPr>
        <w:t xml:space="preserve"> </w:t>
      </w:r>
      <w:r w:rsidR="009F3863" w:rsidRPr="00474A1F">
        <w:rPr>
          <w:color w:val="000000"/>
          <w:szCs w:val="22"/>
        </w:rPr>
        <w:t xml:space="preserve">comentan </w:t>
      </w:r>
      <w:r w:rsidR="004C4966" w:rsidRPr="00474A1F">
        <w:rPr>
          <w:color w:val="000000"/>
          <w:szCs w:val="22"/>
        </w:rPr>
        <w:t xml:space="preserve">que este cambio de paradigma </w:t>
      </w:r>
      <w:r w:rsidR="00581E30" w:rsidRPr="00474A1F">
        <w:rPr>
          <w:color w:val="000000"/>
          <w:szCs w:val="22"/>
        </w:rPr>
        <w:t>puede</w:t>
      </w:r>
      <w:r w:rsidR="004C4966" w:rsidRPr="00474A1F">
        <w:rPr>
          <w:color w:val="000000"/>
          <w:szCs w:val="22"/>
        </w:rPr>
        <w:t xml:space="preserve"> encuadrar</w:t>
      </w:r>
      <w:r w:rsidR="009F3863" w:rsidRPr="00474A1F">
        <w:rPr>
          <w:color w:val="000000"/>
          <w:szCs w:val="22"/>
        </w:rPr>
        <w:t>se</w:t>
      </w:r>
      <w:r w:rsidR="004C4966" w:rsidRPr="00474A1F">
        <w:rPr>
          <w:color w:val="000000"/>
          <w:szCs w:val="22"/>
        </w:rPr>
        <w:t xml:space="preserve"> en tres </w:t>
      </w:r>
      <w:r w:rsidR="00A459F7" w:rsidRPr="00474A1F">
        <w:rPr>
          <w:color w:val="000000"/>
          <w:szCs w:val="22"/>
        </w:rPr>
        <w:t>áreas</w:t>
      </w:r>
      <w:r w:rsidR="004C4966" w:rsidRPr="00474A1F">
        <w:rPr>
          <w:color w:val="000000"/>
          <w:szCs w:val="22"/>
        </w:rPr>
        <w:t xml:space="preserve">: </w:t>
      </w:r>
      <w:r w:rsidRPr="00474A1F">
        <w:rPr>
          <w:color w:val="000000"/>
          <w:szCs w:val="22"/>
        </w:rPr>
        <w:t xml:space="preserve">1) </w:t>
      </w:r>
      <w:r w:rsidR="004C4966" w:rsidRPr="00474A1F">
        <w:rPr>
          <w:color w:val="000000"/>
          <w:szCs w:val="22"/>
        </w:rPr>
        <w:t>el nivel de injerencia que el Estado ha tenido en el mercado</w:t>
      </w:r>
      <w:r w:rsidR="00127CF1" w:rsidRPr="00474A1F">
        <w:rPr>
          <w:color w:val="000000"/>
          <w:szCs w:val="22"/>
        </w:rPr>
        <w:t>,</w:t>
      </w:r>
      <w:r w:rsidRPr="00474A1F">
        <w:rPr>
          <w:color w:val="000000"/>
          <w:szCs w:val="22"/>
        </w:rPr>
        <w:t xml:space="preserve"> 2) </w:t>
      </w:r>
      <w:r w:rsidR="006D7427" w:rsidRPr="00474A1F">
        <w:rPr>
          <w:color w:val="000000"/>
          <w:szCs w:val="22"/>
        </w:rPr>
        <w:t xml:space="preserve">la influencia de la </w:t>
      </w:r>
      <w:r w:rsidRPr="00474A1F">
        <w:rPr>
          <w:color w:val="000000"/>
          <w:szCs w:val="22"/>
        </w:rPr>
        <w:t>tecnocracia </w:t>
      </w:r>
      <w:r w:rsidR="006D7427" w:rsidRPr="00474A1F">
        <w:rPr>
          <w:color w:val="000000"/>
          <w:szCs w:val="22"/>
        </w:rPr>
        <w:t xml:space="preserve">sobre </w:t>
      </w:r>
      <w:r w:rsidRPr="00474A1F">
        <w:rPr>
          <w:color w:val="000000"/>
          <w:szCs w:val="22"/>
        </w:rPr>
        <w:t xml:space="preserve">la política pública y 3) </w:t>
      </w:r>
      <w:r w:rsidR="005621A3" w:rsidRPr="00474A1F">
        <w:rPr>
          <w:color w:val="000000"/>
          <w:szCs w:val="22"/>
        </w:rPr>
        <w:t xml:space="preserve">la separación entre </w:t>
      </w:r>
      <w:r w:rsidRPr="00474A1F">
        <w:rPr>
          <w:color w:val="000000"/>
          <w:szCs w:val="22"/>
        </w:rPr>
        <w:t xml:space="preserve">teoría y práctica </w:t>
      </w:r>
      <w:r w:rsidR="00E65A62" w:rsidRPr="00474A1F">
        <w:rPr>
          <w:color w:val="000000"/>
          <w:szCs w:val="22"/>
        </w:rPr>
        <w:t xml:space="preserve">en el ejercicio de </w:t>
      </w:r>
      <w:r w:rsidR="00872428" w:rsidRPr="00474A1F">
        <w:rPr>
          <w:color w:val="000000"/>
          <w:szCs w:val="22"/>
        </w:rPr>
        <w:t>la</w:t>
      </w:r>
      <w:r w:rsidR="00E65A62" w:rsidRPr="00474A1F">
        <w:rPr>
          <w:color w:val="000000"/>
          <w:szCs w:val="22"/>
        </w:rPr>
        <w:t xml:space="preserve"> gestión </w:t>
      </w:r>
      <w:r w:rsidRPr="00474A1F">
        <w:rPr>
          <w:color w:val="000000"/>
          <w:szCs w:val="22"/>
        </w:rPr>
        <w:t>pública.</w:t>
      </w:r>
    </w:p>
    <w:p w14:paraId="3D73085C" w14:textId="1D6BF18D" w:rsidR="00656B28" w:rsidRPr="00474A1F" w:rsidRDefault="00E1466A" w:rsidP="007C0599">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es-MX"/>
        </w:rPr>
      </w:pPr>
      <w:r w:rsidRPr="00474A1F">
        <w:rPr>
          <w:rFonts w:ascii="Times New Roman" w:eastAsia="Times New Roman" w:hAnsi="Times New Roman" w:cs="Times New Roman"/>
          <w:noProof/>
          <w:color w:val="000000"/>
          <w:sz w:val="24"/>
          <w:szCs w:val="24"/>
          <w:lang w:val="es-ES" w:eastAsia="es-MX"/>
        </w:rPr>
        <w:t>Fonseca-Retana, Lafuente-Chryssopoulos y Mora-Esquivel</w:t>
      </w:r>
      <w:r w:rsidRPr="00474A1F">
        <w:rPr>
          <w:rFonts w:ascii="Times New Roman" w:eastAsia="Times New Roman" w:hAnsi="Times New Roman" w:cs="Times New Roman"/>
          <w:color w:val="000000"/>
          <w:sz w:val="24"/>
          <w:szCs w:val="24"/>
          <w:lang w:eastAsia="es-MX"/>
        </w:rPr>
        <w:t xml:space="preserve"> </w:t>
      </w:r>
      <w:r w:rsidR="009F3863" w:rsidRPr="00474A1F">
        <w:rPr>
          <w:rFonts w:ascii="Times New Roman" w:eastAsia="Times New Roman" w:hAnsi="Times New Roman" w:cs="Times New Roman"/>
          <w:noProof/>
          <w:color w:val="000000"/>
          <w:sz w:val="24"/>
          <w:szCs w:val="24"/>
          <w:lang w:val="es-ES" w:eastAsia="es-MX"/>
        </w:rPr>
        <w:t>(2016)</w:t>
      </w:r>
      <w:r w:rsidRPr="00474A1F">
        <w:rPr>
          <w:rFonts w:ascii="Times New Roman" w:eastAsia="Times New Roman" w:hAnsi="Times New Roman" w:cs="Times New Roman"/>
          <w:color w:val="000000"/>
          <w:sz w:val="24"/>
          <w:szCs w:val="24"/>
          <w:lang w:eastAsia="es-MX"/>
        </w:rPr>
        <w:t xml:space="preserve"> explican que las políticas públicas continúan con la visión de un modelo lineal para la innovación, </w:t>
      </w:r>
      <w:r w:rsidR="00127CF1" w:rsidRPr="00474A1F">
        <w:rPr>
          <w:rFonts w:ascii="Times New Roman" w:eastAsia="Times New Roman" w:hAnsi="Times New Roman" w:cs="Times New Roman"/>
          <w:color w:val="000000"/>
          <w:sz w:val="24"/>
          <w:szCs w:val="24"/>
          <w:lang w:eastAsia="es-MX"/>
        </w:rPr>
        <w:t xml:space="preserve">pues centran </w:t>
      </w:r>
      <w:r w:rsidRPr="00474A1F">
        <w:rPr>
          <w:rFonts w:ascii="Times New Roman" w:eastAsia="Times New Roman" w:hAnsi="Times New Roman" w:cs="Times New Roman"/>
          <w:color w:val="000000"/>
          <w:sz w:val="24"/>
          <w:szCs w:val="24"/>
          <w:lang w:eastAsia="es-MX"/>
        </w:rPr>
        <w:t xml:space="preserve">la estrategia en </w:t>
      </w:r>
      <w:r w:rsidR="00656B28" w:rsidRPr="00474A1F">
        <w:rPr>
          <w:rFonts w:ascii="Times New Roman" w:eastAsia="Times New Roman" w:hAnsi="Times New Roman" w:cs="Times New Roman"/>
          <w:color w:val="000000"/>
          <w:sz w:val="24"/>
          <w:szCs w:val="24"/>
          <w:lang w:eastAsia="es-MX"/>
        </w:rPr>
        <w:t xml:space="preserve">incrementar la oferta educativa. </w:t>
      </w:r>
      <w:r w:rsidR="00544594" w:rsidRPr="00474A1F">
        <w:rPr>
          <w:rFonts w:ascii="Times New Roman" w:eastAsia="Times New Roman" w:hAnsi="Times New Roman" w:cs="Times New Roman"/>
          <w:color w:val="000000"/>
          <w:sz w:val="24"/>
          <w:szCs w:val="24"/>
          <w:lang w:eastAsia="es-MX"/>
        </w:rPr>
        <w:t xml:space="preserve">Sin embargo, a pesar del incentivo </w:t>
      </w:r>
      <w:r w:rsidR="00544594" w:rsidRPr="00474A1F">
        <w:rPr>
          <w:rFonts w:ascii="Times New Roman" w:eastAsia="Times New Roman" w:hAnsi="Times New Roman" w:cs="Times New Roman"/>
          <w:color w:val="000000"/>
          <w:sz w:val="24"/>
          <w:szCs w:val="24"/>
          <w:lang w:eastAsia="es-MX"/>
        </w:rPr>
        <w:lastRenderedPageBreak/>
        <w:t xml:space="preserve">por la oferta de conocimientos, las condiciones de innovación en la </w:t>
      </w:r>
      <w:r w:rsidR="00544594" w:rsidRPr="00474A1F">
        <w:rPr>
          <w:rFonts w:ascii="Times New Roman" w:hAnsi="Times New Roman" w:cs="Times New Roman"/>
          <w:color w:val="000000"/>
          <w:sz w:val="24"/>
          <w:szCs w:val="24"/>
          <w:shd w:val="clear" w:color="auto" w:fill="FFFFFF"/>
        </w:rPr>
        <w:t xml:space="preserve">investigación y el desarrollo </w:t>
      </w:r>
      <w:r w:rsidR="00DE3A5D" w:rsidRPr="00474A1F">
        <w:rPr>
          <w:rFonts w:ascii="Times New Roman" w:hAnsi="Times New Roman" w:cs="Times New Roman"/>
          <w:color w:val="000000"/>
          <w:sz w:val="24"/>
          <w:szCs w:val="24"/>
          <w:shd w:val="clear" w:color="auto" w:fill="FFFFFF"/>
        </w:rPr>
        <w:t xml:space="preserve">(I+D) </w:t>
      </w:r>
      <w:r w:rsidR="00544594" w:rsidRPr="00474A1F">
        <w:rPr>
          <w:rFonts w:ascii="Times New Roman" w:hAnsi="Times New Roman" w:cs="Times New Roman"/>
          <w:color w:val="000000"/>
          <w:sz w:val="24"/>
          <w:szCs w:val="24"/>
          <w:shd w:val="clear" w:color="auto" w:fill="FFFFFF"/>
        </w:rPr>
        <w:t xml:space="preserve">no son halagüeñas. </w:t>
      </w:r>
      <w:r w:rsidR="00127CF1" w:rsidRPr="00474A1F">
        <w:rPr>
          <w:rFonts w:ascii="Times New Roman" w:eastAsia="Times New Roman" w:hAnsi="Times New Roman" w:cs="Times New Roman"/>
          <w:color w:val="000000"/>
          <w:sz w:val="24"/>
          <w:szCs w:val="24"/>
          <w:lang w:eastAsia="es-MX"/>
        </w:rPr>
        <w:t>Al respecto</w:t>
      </w:r>
      <w:r w:rsidR="009F3863" w:rsidRPr="00474A1F">
        <w:rPr>
          <w:rFonts w:ascii="Times New Roman" w:eastAsia="Times New Roman" w:hAnsi="Times New Roman" w:cs="Times New Roman"/>
          <w:color w:val="000000"/>
          <w:sz w:val="24"/>
          <w:szCs w:val="24"/>
          <w:lang w:eastAsia="es-MX"/>
        </w:rPr>
        <w:t>,</w:t>
      </w:r>
      <w:r w:rsidR="00656B28" w:rsidRPr="00474A1F">
        <w:rPr>
          <w:rFonts w:ascii="Times New Roman" w:eastAsia="Times New Roman" w:hAnsi="Times New Roman" w:cs="Times New Roman"/>
          <w:color w:val="000000"/>
          <w:sz w:val="24"/>
          <w:lang w:eastAsia="es-MX"/>
        </w:rPr>
        <w:t xml:space="preserve"> </w:t>
      </w:r>
      <w:r w:rsidR="00544594" w:rsidRPr="00474A1F">
        <w:rPr>
          <w:rFonts w:ascii="Times New Roman" w:eastAsia="Times New Roman" w:hAnsi="Times New Roman" w:cs="Times New Roman"/>
          <w:noProof/>
          <w:color w:val="000000"/>
          <w:sz w:val="24"/>
          <w:lang w:val="es-ES" w:eastAsia="es-MX"/>
        </w:rPr>
        <w:t xml:space="preserve">Cabrero, Cárdenas, Arellano y Ramírez </w:t>
      </w:r>
      <w:r w:rsidR="009F3863" w:rsidRPr="00474A1F">
        <w:rPr>
          <w:rFonts w:ascii="Times New Roman" w:eastAsia="Times New Roman" w:hAnsi="Times New Roman" w:cs="Times New Roman"/>
          <w:noProof/>
          <w:color w:val="000000"/>
          <w:sz w:val="24"/>
          <w:lang w:val="es-ES" w:eastAsia="es-MX"/>
        </w:rPr>
        <w:t>(2011)</w:t>
      </w:r>
      <w:r w:rsidR="00544594" w:rsidRPr="00474A1F">
        <w:rPr>
          <w:rFonts w:ascii="Times New Roman" w:eastAsia="Times New Roman" w:hAnsi="Times New Roman" w:cs="Times New Roman"/>
          <w:color w:val="000000"/>
          <w:sz w:val="24"/>
          <w:lang w:eastAsia="es-MX"/>
        </w:rPr>
        <w:t xml:space="preserve"> </w:t>
      </w:r>
      <w:r w:rsidR="00544594" w:rsidRPr="00474A1F">
        <w:rPr>
          <w:rFonts w:ascii="Times New Roman" w:eastAsia="Times New Roman" w:hAnsi="Times New Roman" w:cs="Times New Roman"/>
          <w:color w:val="000000"/>
          <w:sz w:val="24"/>
          <w:szCs w:val="24"/>
          <w:lang w:eastAsia="es-MX"/>
        </w:rPr>
        <w:t xml:space="preserve">señalan que </w:t>
      </w:r>
      <w:r w:rsidR="00656B28" w:rsidRPr="00474A1F">
        <w:rPr>
          <w:rFonts w:ascii="Times New Roman" w:hAnsi="Times New Roman" w:cs="Times New Roman"/>
          <w:color w:val="000000"/>
          <w:sz w:val="24"/>
          <w:szCs w:val="24"/>
          <w:shd w:val="clear" w:color="auto" w:fill="FFFFFF"/>
        </w:rPr>
        <w:t xml:space="preserve">el sistema de desarrollo de innovaciones en </w:t>
      </w:r>
      <w:r w:rsidR="00544594" w:rsidRPr="00474A1F">
        <w:rPr>
          <w:rFonts w:ascii="Times New Roman" w:hAnsi="Times New Roman" w:cs="Times New Roman"/>
          <w:color w:val="000000"/>
          <w:sz w:val="24"/>
          <w:szCs w:val="24"/>
          <w:shd w:val="clear" w:color="auto" w:fill="FFFFFF"/>
        </w:rPr>
        <w:t>México</w:t>
      </w:r>
      <w:r w:rsidR="00656B28" w:rsidRPr="00474A1F">
        <w:rPr>
          <w:rFonts w:ascii="Times New Roman" w:hAnsi="Times New Roman" w:cs="Times New Roman"/>
          <w:color w:val="000000"/>
          <w:sz w:val="24"/>
          <w:szCs w:val="24"/>
          <w:shd w:val="clear" w:color="auto" w:fill="FFFFFF"/>
        </w:rPr>
        <w:t xml:space="preserve"> </w:t>
      </w:r>
      <w:r w:rsidR="009F3863" w:rsidRPr="00474A1F">
        <w:rPr>
          <w:rFonts w:ascii="Times New Roman" w:hAnsi="Times New Roman" w:cs="Times New Roman"/>
          <w:color w:val="000000"/>
          <w:sz w:val="24"/>
          <w:szCs w:val="24"/>
          <w:shd w:val="clear" w:color="auto" w:fill="FFFFFF"/>
        </w:rPr>
        <w:t xml:space="preserve">presenta </w:t>
      </w:r>
      <w:r w:rsidR="00544594" w:rsidRPr="00474A1F">
        <w:rPr>
          <w:rFonts w:ascii="Times New Roman" w:hAnsi="Times New Roman" w:cs="Times New Roman"/>
          <w:color w:val="000000"/>
          <w:sz w:val="24"/>
          <w:szCs w:val="24"/>
          <w:shd w:val="clear" w:color="auto" w:fill="FFFFFF"/>
        </w:rPr>
        <w:t xml:space="preserve">graves privaciones en lo referente al capital humano especializado, carencia de recursos </w:t>
      </w:r>
      <w:r w:rsidR="00656B28" w:rsidRPr="00474A1F">
        <w:rPr>
          <w:rFonts w:ascii="Times New Roman" w:hAnsi="Times New Roman" w:cs="Times New Roman"/>
          <w:color w:val="000000"/>
          <w:sz w:val="24"/>
          <w:szCs w:val="24"/>
          <w:shd w:val="clear" w:color="auto" w:fill="FFFFFF"/>
        </w:rPr>
        <w:t xml:space="preserve">financieros </w:t>
      </w:r>
      <w:r w:rsidR="00DE3A5D" w:rsidRPr="00474A1F">
        <w:rPr>
          <w:rFonts w:ascii="Times New Roman" w:hAnsi="Times New Roman" w:cs="Times New Roman"/>
          <w:color w:val="000000"/>
          <w:sz w:val="24"/>
          <w:szCs w:val="24"/>
          <w:shd w:val="clear" w:color="auto" w:fill="FFFFFF"/>
        </w:rPr>
        <w:t xml:space="preserve">en apoyo a las </w:t>
      </w:r>
      <w:r w:rsidR="00656B28" w:rsidRPr="00474A1F">
        <w:rPr>
          <w:rFonts w:ascii="Times New Roman" w:hAnsi="Times New Roman" w:cs="Times New Roman"/>
          <w:color w:val="000000"/>
          <w:sz w:val="24"/>
          <w:szCs w:val="24"/>
          <w:shd w:val="clear" w:color="auto" w:fill="FFFFFF"/>
        </w:rPr>
        <w:t xml:space="preserve">actividades de </w:t>
      </w:r>
      <w:r w:rsidR="00DE3A5D" w:rsidRPr="00474A1F">
        <w:rPr>
          <w:rFonts w:ascii="Times New Roman" w:hAnsi="Times New Roman" w:cs="Times New Roman"/>
          <w:color w:val="000000"/>
          <w:sz w:val="24"/>
          <w:szCs w:val="24"/>
          <w:shd w:val="clear" w:color="auto" w:fill="FFFFFF"/>
        </w:rPr>
        <w:t>I+D</w:t>
      </w:r>
      <w:r w:rsidR="00656B28" w:rsidRPr="00474A1F">
        <w:rPr>
          <w:rFonts w:ascii="Times New Roman" w:hAnsi="Times New Roman" w:cs="Times New Roman"/>
          <w:color w:val="000000"/>
          <w:sz w:val="24"/>
          <w:szCs w:val="24"/>
          <w:shd w:val="clear" w:color="auto" w:fill="FFFFFF"/>
        </w:rPr>
        <w:t xml:space="preserve">, así como </w:t>
      </w:r>
      <w:r w:rsidR="00DE3A5D" w:rsidRPr="00474A1F">
        <w:rPr>
          <w:rFonts w:ascii="Times New Roman" w:hAnsi="Times New Roman" w:cs="Times New Roman"/>
          <w:color w:val="000000"/>
          <w:sz w:val="24"/>
          <w:szCs w:val="24"/>
          <w:shd w:val="clear" w:color="auto" w:fill="FFFFFF"/>
        </w:rPr>
        <w:t xml:space="preserve">una ineficiencia en </w:t>
      </w:r>
      <w:r w:rsidR="00656B28" w:rsidRPr="00474A1F">
        <w:rPr>
          <w:rFonts w:ascii="Times New Roman" w:hAnsi="Times New Roman" w:cs="Times New Roman"/>
          <w:color w:val="000000"/>
          <w:sz w:val="24"/>
          <w:szCs w:val="24"/>
          <w:shd w:val="clear" w:color="auto" w:fill="FFFFFF"/>
        </w:rPr>
        <w:t xml:space="preserve">la productividad </w:t>
      </w:r>
      <w:r w:rsidR="00DE3A5D" w:rsidRPr="00474A1F">
        <w:rPr>
          <w:rFonts w:ascii="Times New Roman" w:hAnsi="Times New Roman" w:cs="Times New Roman"/>
          <w:color w:val="000000"/>
          <w:sz w:val="24"/>
          <w:szCs w:val="24"/>
          <w:shd w:val="clear" w:color="auto" w:fill="FFFFFF"/>
        </w:rPr>
        <w:t xml:space="preserve">investigativa de </w:t>
      </w:r>
      <w:r w:rsidR="00656B28" w:rsidRPr="00474A1F">
        <w:rPr>
          <w:rFonts w:ascii="Times New Roman" w:hAnsi="Times New Roman" w:cs="Times New Roman"/>
          <w:color w:val="000000"/>
          <w:sz w:val="24"/>
          <w:szCs w:val="24"/>
          <w:shd w:val="clear" w:color="auto" w:fill="FFFFFF"/>
        </w:rPr>
        <w:t xml:space="preserve">las instituciones </w:t>
      </w:r>
      <w:r w:rsidR="00DE3A5D" w:rsidRPr="00474A1F">
        <w:rPr>
          <w:rFonts w:ascii="Times New Roman" w:hAnsi="Times New Roman" w:cs="Times New Roman"/>
          <w:color w:val="000000"/>
          <w:sz w:val="24"/>
          <w:szCs w:val="24"/>
          <w:shd w:val="clear" w:color="auto" w:fill="FFFFFF"/>
        </w:rPr>
        <w:t>de educación superior</w:t>
      </w:r>
      <w:r w:rsidR="00544594" w:rsidRPr="00474A1F">
        <w:rPr>
          <w:rFonts w:ascii="Times New Roman" w:hAnsi="Times New Roman" w:cs="Times New Roman"/>
          <w:color w:val="000000"/>
          <w:sz w:val="24"/>
          <w:szCs w:val="24"/>
          <w:shd w:val="clear" w:color="auto" w:fill="FFFFFF"/>
        </w:rPr>
        <w:t>.</w:t>
      </w:r>
    </w:p>
    <w:p w14:paraId="06DE7FA9" w14:textId="27FFDC82" w:rsidR="007577C7" w:rsidRPr="00474A1F" w:rsidRDefault="00782103" w:rsidP="007C059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t xml:space="preserve">De acuerdo con Licona y Pérez </w:t>
      </w:r>
      <w:r w:rsidR="0062069C" w:rsidRPr="00474A1F">
        <w:rPr>
          <w:rFonts w:ascii="Times New Roman" w:hAnsi="Times New Roman" w:cs="Times New Roman"/>
          <w:noProof/>
          <w:color w:val="000000"/>
          <w:sz w:val="24"/>
          <w:szCs w:val="24"/>
          <w:lang w:val="es-ES"/>
        </w:rPr>
        <w:t>(2018)</w:t>
      </w:r>
      <w:r w:rsidR="00127CF1" w:rsidRPr="00474A1F">
        <w:rPr>
          <w:rFonts w:ascii="Times New Roman" w:hAnsi="Times New Roman" w:cs="Times New Roman"/>
          <w:noProof/>
          <w:color w:val="000000"/>
          <w:sz w:val="24"/>
          <w:szCs w:val="24"/>
          <w:lang w:val="es-ES"/>
        </w:rPr>
        <w:t>,</w:t>
      </w:r>
      <w:r w:rsidR="0012365B" w:rsidRPr="00474A1F">
        <w:rPr>
          <w:rFonts w:ascii="Times New Roman" w:hAnsi="Times New Roman" w:cs="Times New Roman"/>
          <w:color w:val="000000"/>
          <w:sz w:val="24"/>
          <w:szCs w:val="24"/>
        </w:rPr>
        <w:t xml:space="preserve"> para que un país </w:t>
      </w:r>
      <w:r w:rsidR="0062069C" w:rsidRPr="00474A1F">
        <w:rPr>
          <w:rFonts w:ascii="Times New Roman" w:hAnsi="Times New Roman" w:cs="Times New Roman"/>
          <w:color w:val="000000"/>
          <w:sz w:val="24"/>
          <w:szCs w:val="24"/>
        </w:rPr>
        <w:t xml:space="preserve">destaque </w:t>
      </w:r>
      <w:r w:rsidR="0012365B" w:rsidRPr="00474A1F">
        <w:rPr>
          <w:rFonts w:ascii="Times New Roman" w:hAnsi="Times New Roman" w:cs="Times New Roman"/>
          <w:color w:val="000000"/>
          <w:sz w:val="24"/>
          <w:szCs w:val="24"/>
        </w:rPr>
        <w:t>en el escenario internacional, debe centrar su estrategia de desarrollo en el fortalecimiento de</w:t>
      </w:r>
      <w:r w:rsidR="00127CF1" w:rsidRPr="00474A1F">
        <w:rPr>
          <w:rFonts w:ascii="Times New Roman" w:hAnsi="Times New Roman" w:cs="Times New Roman"/>
          <w:color w:val="000000"/>
          <w:sz w:val="24"/>
          <w:szCs w:val="24"/>
        </w:rPr>
        <w:t xml:space="preserve"> un</w:t>
      </w:r>
      <w:r w:rsidR="0012365B" w:rsidRPr="00474A1F">
        <w:rPr>
          <w:rFonts w:ascii="Times New Roman" w:hAnsi="Times New Roman" w:cs="Times New Roman"/>
          <w:color w:val="000000"/>
          <w:sz w:val="24"/>
          <w:szCs w:val="24"/>
        </w:rPr>
        <w:t xml:space="preserve"> capital humano altamente especializado</w:t>
      </w:r>
      <w:r w:rsidR="00127CF1" w:rsidRPr="00474A1F">
        <w:rPr>
          <w:rFonts w:ascii="Times New Roman" w:hAnsi="Times New Roman" w:cs="Times New Roman"/>
          <w:color w:val="000000"/>
          <w:sz w:val="24"/>
          <w:szCs w:val="24"/>
        </w:rPr>
        <w:t xml:space="preserve">, porque esto le permite elevar </w:t>
      </w:r>
      <w:r w:rsidR="0012365B" w:rsidRPr="00474A1F">
        <w:rPr>
          <w:rFonts w:ascii="Times New Roman" w:hAnsi="Times New Roman" w:cs="Times New Roman"/>
          <w:color w:val="000000"/>
          <w:sz w:val="24"/>
          <w:szCs w:val="24"/>
        </w:rPr>
        <w:t xml:space="preserve">su fuerza laboral y la formación de personal especializado en determinadas áreas </w:t>
      </w:r>
      <w:r w:rsidR="007577C7" w:rsidRPr="00474A1F">
        <w:rPr>
          <w:rFonts w:ascii="Times New Roman" w:hAnsi="Times New Roman" w:cs="Times New Roman"/>
          <w:color w:val="000000"/>
          <w:sz w:val="24"/>
          <w:szCs w:val="24"/>
        </w:rPr>
        <w:t xml:space="preserve">estratégicas para </w:t>
      </w:r>
      <w:r w:rsidR="0012365B" w:rsidRPr="00474A1F">
        <w:rPr>
          <w:rFonts w:ascii="Times New Roman" w:hAnsi="Times New Roman" w:cs="Times New Roman"/>
          <w:color w:val="000000"/>
          <w:sz w:val="24"/>
          <w:szCs w:val="24"/>
        </w:rPr>
        <w:t xml:space="preserve">la innovación y </w:t>
      </w:r>
      <w:r w:rsidR="007577C7" w:rsidRPr="00474A1F">
        <w:rPr>
          <w:rFonts w:ascii="Times New Roman" w:hAnsi="Times New Roman" w:cs="Times New Roman"/>
          <w:color w:val="000000"/>
          <w:sz w:val="24"/>
          <w:szCs w:val="24"/>
        </w:rPr>
        <w:t xml:space="preserve">el desarrollo tecnológico. En </w:t>
      </w:r>
      <w:r w:rsidR="0012365B" w:rsidRPr="00474A1F">
        <w:rPr>
          <w:rFonts w:ascii="Times New Roman" w:hAnsi="Times New Roman" w:cs="Times New Roman"/>
          <w:color w:val="000000"/>
          <w:sz w:val="24"/>
          <w:szCs w:val="24"/>
        </w:rPr>
        <w:t xml:space="preserve">resumen, la política de innovación </w:t>
      </w:r>
      <w:r w:rsidR="005E598C" w:rsidRPr="00474A1F">
        <w:rPr>
          <w:rFonts w:ascii="Times New Roman" w:hAnsi="Times New Roman" w:cs="Times New Roman"/>
          <w:color w:val="000000"/>
          <w:sz w:val="24"/>
          <w:szCs w:val="24"/>
        </w:rPr>
        <w:t>enfocada</w:t>
      </w:r>
      <w:r w:rsidR="0012365B" w:rsidRPr="00474A1F">
        <w:rPr>
          <w:rFonts w:ascii="Times New Roman" w:hAnsi="Times New Roman" w:cs="Times New Roman"/>
          <w:color w:val="000000"/>
          <w:sz w:val="24"/>
          <w:szCs w:val="24"/>
        </w:rPr>
        <w:t xml:space="preserve"> en ampliar la oferta </w:t>
      </w:r>
      <w:r w:rsidR="00471D3C" w:rsidRPr="00474A1F">
        <w:rPr>
          <w:rFonts w:ascii="Times New Roman" w:hAnsi="Times New Roman" w:cs="Times New Roman"/>
          <w:color w:val="000000"/>
          <w:sz w:val="24"/>
          <w:szCs w:val="24"/>
        </w:rPr>
        <w:t>educativa</w:t>
      </w:r>
      <w:r w:rsidR="0012365B" w:rsidRPr="00474A1F">
        <w:rPr>
          <w:rFonts w:ascii="Times New Roman" w:hAnsi="Times New Roman" w:cs="Times New Roman"/>
          <w:color w:val="000000"/>
          <w:sz w:val="24"/>
          <w:szCs w:val="24"/>
        </w:rPr>
        <w:t xml:space="preserve"> s</w:t>
      </w:r>
      <w:r w:rsidR="005E598C" w:rsidRPr="00474A1F">
        <w:rPr>
          <w:rFonts w:ascii="Times New Roman" w:hAnsi="Times New Roman" w:cs="Times New Roman"/>
          <w:color w:val="000000"/>
          <w:sz w:val="24"/>
          <w:szCs w:val="24"/>
        </w:rPr>
        <w:t>o</w:t>
      </w:r>
      <w:r w:rsidR="0012365B" w:rsidRPr="00474A1F">
        <w:rPr>
          <w:rFonts w:ascii="Times New Roman" w:hAnsi="Times New Roman" w:cs="Times New Roman"/>
          <w:color w:val="000000"/>
          <w:sz w:val="24"/>
          <w:szCs w:val="24"/>
        </w:rPr>
        <w:t xml:space="preserve">lo desgasta </w:t>
      </w:r>
      <w:r w:rsidR="005E598C" w:rsidRPr="00474A1F">
        <w:rPr>
          <w:rFonts w:ascii="Times New Roman" w:hAnsi="Times New Roman" w:cs="Times New Roman"/>
          <w:color w:val="000000"/>
          <w:sz w:val="24"/>
          <w:szCs w:val="24"/>
        </w:rPr>
        <w:t xml:space="preserve">a </w:t>
      </w:r>
      <w:r w:rsidR="0012365B" w:rsidRPr="00474A1F">
        <w:rPr>
          <w:rFonts w:ascii="Times New Roman" w:hAnsi="Times New Roman" w:cs="Times New Roman"/>
          <w:color w:val="000000"/>
          <w:sz w:val="24"/>
          <w:szCs w:val="24"/>
        </w:rPr>
        <w:t xml:space="preserve">la economía y </w:t>
      </w:r>
      <w:r w:rsidR="005E598C" w:rsidRPr="00474A1F">
        <w:rPr>
          <w:rFonts w:ascii="Times New Roman" w:hAnsi="Times New Roman" w:cs="Times New Roman"/>
          <w:color w:val="000000"/>
          <w:sz w:val="24"/>
          <w:szCs w:val="24"/>
        </w:rPr>
        <w:t>contribuye</w:t>
      </w:r>
      <w:r w:rsidR="0012365B" w:rsidRPr="00474A1F">
        <w:rPr>
          <w:rFonts w:ascii="Times New Roman" w:hAnsi="Times New Roman" w:cs="Times New Roman"/>
          <w:color w:val="000000"/>
          <w:sz w:val="24"/>
          <w:szCs w:val="24"/>
        </w:rPr>
        <w:t xml:space="preserve"> a la ineficiencia del </w:t>
      </w:r>
      <w:r w:rsidR="007577C7" w:rsidRPr="00474A1F">
        <w:rPr>
          <w:rFonts w:ascii="Times New Roman" w:hAnsi="Times New Roman" w:cs="Times New Roman"/>
          <w:color w:val="000000"/>
          <w:sz w:val="24"/>
          <w:szCs w:val="24"/>
        </w:rPr>
        <w:t xml:space="preserve">proyecto económico </w:t>
      </w:r>
      <w:r w:rsidR="0012365B" w:rsidRPr="00474A1F">
        <w:rPr>
          <w:rFonts w:ascii="Times New Roman" w:hAnsi="Times New Roman" w:cs="Times New Roman"/>
          <w:color w:val="000000"/>
          <w:sz w:val="24"/>
          <w:szCs w:val="24"/>
        </w:rPr>
        <w:t>nacional</w:t>
      </w:r>
      <w:r w:rsidR="007577C7" w:rsidRPr="00474A1F">
        <w:rPr>
          <w:rFonts w:ascii="Times New Roman" w:hAnsi="Times New Roman" w:cs="Times New Roman"/>
          <w:color w:val="000000"/>
          <w:sz w:val="24"/>
          <w:szCs w:val="24"/>
        </w:rPr>
        <w:t>.</w:t>
      </w:r>
    </w:p>
    <w:p w14:paraId="72371BEB" w14:textId="2E6B8A49" w:rsidR="00471D3C" w:rsidRPr="00474A1F" w:rsidRDefault="005E598C" w:rsidP="007C059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t>Por ello</w:t>
      </w:r>
      <w:r w:rsidR="00471D3C" w:rsidRPr="00474A1F">
        <w:rPr>
          <w:rFonts w:ascii="Times New Roman" w:hAnsi="Times New Roman" w:cs="Times New Roman"/>
          <w:color w:val="000000"/>
          <w:sz w:val="24"/>
          <w:szCs w:val="24"/>
        </w:rPr>
        <w:t xml:space="preserve">, el </w:t>
      </w:r>
      <w:r w:rsidR="00985932" w:rsidRPr="00474A1F">
        <w:rPr>
          <w:rFonts w:ascii="Times New Roman" w:hAnsi="Times New Roman" w:cs="Times New Roman"/>
          <w:color w:val="000000"/>
          <w:sz w:val="24"/>
          <w:szCs w:val="24"/>
        </w:rPr>
        <w:t xml:space="preserve">papel del Estado </w:t>
      </w:r>
      <w:r w:rsidR="00471D3C" w:rsidRPr="00474A1F">
        <w:rPr>
          <w:rFonts w:ascii="Times New Roman" w:hAnsi="Times New Roman" w:cs="Times New Roman"/>
          <w:color w:val="000000"/>
          <w:sz w:val="24"/>
          <w:szCs w:val="24"/>
        </w:rPr>
        <w:t xml:space="preserve">debe </w:t>
      </w:r>
      <w:r w:rsidRPr="00474A1F">
        <w:rPr>
          <w:rFonts w:ascii="Times New Roman" w:hAnsi="Times New Roman" w:cs="Times New Roman"/>
          <w:color w:val="000000"/>
          <w:sz w:val="24"/>
          <w:szCs w:val="24"/>
        </w:rPr>
        <w:t>cambiar</w:t>
      </w:r>
      <w:r w:rsidR="00985932" w:rsidRPr="00474A1F">
        <w:rPr>
          <w:rFonts w:ascii="Times New Roman" w:hAnsi="Times New Roman" w:cs="Times New Roman"/>
          <w:color w:val="000000"/>
          <w:sz w:val="24"/>
          <w:szCs w:val="24"/>
        </w:rPr>
        <w:t xml:space="preserve"> de una postura regulatoria a una de facilitador</w:t>
      </w:r>
      <w:r w:rsidRPr="00474A1F">
        <w:rPr>
          <w:rFonts w:ascii="Times New Roman" w:hAnsi="Times New Roman" w:cs="Times New Roman"/>
          <w:color w:val="000000"/>
          <w:sz w:val="24"/>
          <w:szCs w:val="24"/>
        </w:rPr>
        <w:t xml:space="preserve"> para convertirse en </w:t>
      </w:r>
      <w:r w:rsidR="00985932" w:rsidRPr="00474A1F">
        <w:rPr>
          <w:rFonts w:ascii="Times New Roman" w:hAnsi="Times New Roman" w:cs="Times New Roman"/>
          <w:color w:val="000000"/>
          <w:sz w:val="24"/>
          <w:szCs w:val="24"/>
        </w:rPr>
        <w:t xml:space="preserve">el puente que </w:t>
      </w:r>
      <w:r w:rsidRPr="00474A1F">
        <w:rPr>
          <w:rFonts w:ascii="Times New Roman" w:hAnsi="Times New Roman" w:cs="Times New Roman"/>
          <w:color w:val="000000"/>
          <w:sz w:val="24"/>
          <w:szCs w:val="24"/>
        </w:rPr>
        <w:t>enlace</w:t>
      </w:r>
      <w:r w:rsidR="00985932" w:rsidRPr="00474A1F">
        <w:rPr>
          <w:rFonts w:ascii="Times New Roman" w:hAnsi="Times New Roman" w:cs="Times New Roman"/>
          <w:color w:val="000000"/>
          <w:sz w:val="24"/>
          <w:szCs w:val="24"/>
        </w:rPr>
        <w:t xml:space="preserve"> el proceso de transferencia de tecn</w:t>
      </w:r>
      <w:r w:rsidRPr="00474A1F">
        <w:rPr>
          <w:rFonts w:ascii="Times New Roman" w:hAnsi="Times New Roman" w:cs="Times New Roman"/>
          <w:color w:val="000000"/>
          <w:sz w:val="24"/>
          <w:szCs w:val="24"/>
        </w:rPr>
        <w:t>ología con el sector productivo. Así generaría</w:t>
      </w:r>
      <w:r w:rsidR="00985932" w:rsidRPr="00474A1F">
        <w:rPr>
          <w:rFonts w:ascii="Times New Roman" w:hAnsi="Times New Roman" w:cs="Times New Roman"/>
          <w:color w:val="000000"/>
          <w:sz w:val="24"/>
          <w:szCs w:val="24"/>
        </w:rPr>
        <w:t xml:space="preserve"> un ecosistema de innovación mediante la orientación de políticas verticales en áreas estratégicas de la ciencia y la tecnología.</w:t>
      </w:r>
      <w:r w:rsidR="00524AC5" w:rsidRPr="00474A1F">
        <w:rPr>
          <w:rFonts w:ascii="Times New Roman" w:hAnsi="Times New Roman" w:cs="Times New Roman"/>
          <w:color w:val="000000"/>
          <w:sz w:val="24"/>
          <w:szCs w:val="24"/>
        </w:rPr>
        <w:t xml:space="preserve"> </w:t>
      </w:r>
    </w:p>
    <w:p w14:paraId="7B9CBB31" w14:textId="46C63253" w:rsidR="00D04A0B" w:rsidRPr="00474A1F" w:rsidRDefault="00D04A0B" w:rsidP="0012365B">
      <w:pPr>
        <w:autoSpaceDE w:val="0"/>
        <w:autoSpaceDN w:val="0"/>
        <w:adjustRightInd w:val="0"/>
        <w:spacing w:after="0" w:line="360" w:lineRule="auto"/>
        <w:jc w:val="both"/>
        <w:rPr>
          <w:rFonts w:ascii="Times New Roman" w:hAnsi="Times New Roman" w:cs="Times New Roman"/>
          <w:color w:val="000000"/>
          <w:sz w:val="24"/>
          <w:szCs w:val="24"/>
        </w:rPr>
      </w:pPr>
    </w:p>
    <w:p w14:paraId="3C8566CE" w14:textId="6A845356" w:rsidR="00D04A0B" w:rsidRPr="00D93FE6" w:rsidRDefault="00D04A0B" w:rsidP="00D93FE6">
      <w:pPr>
        <w:pStyle w:val="Ttulo2"/>
        <w:spacing w:before="0" w:line="360" w:lineRule="auto"/>
        <w:jc w:val="center"/>
        <w:rPr>
          <w:rFonts w:ascii="Times New Roman" w:hAnsi="Times New Roman" w:cs="Times New Roman"/>
          <w:b/>
          <w:color w:val="auto"/>
        </w:rPr>
      </w:pPr>
      <w:r w:rsidRPr="00D93FE6">
        <w:rPr>
          <w:rFonts w:ascii="Times New Roman" w:hAnsi="Times New Roman" w:cs="Times New Roman"/>
          <w:b/>
          <w:color w:val="auto"/>
        </w:rPr>
        <w:t>Sector productivo</w:t>
      </w:r>
    </w:p>
    <w:p w14:paraId="32A2E667" w14:textId="427E5319" w:rsidR="00AA1577" w:rsidRPr="00474A1F" w:rsidRDefault="00B2141A" w:rsidP="005E598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t xml:space="preserve">El </w:t>
      </w:r>
      <w:r w:rsidR="008A09BF" w:rsidRPr="00474A1F">
        <w:rPr>
          <w:rFonts w:ascii="Times New Roman" w:hAnsi="Times New Roman" w:cs="Times New Roman"/>
          <w:color w:val="000000"/>
          <w:sz w:val="24"/>
          <w:szCs w:val="24"/>
        </w:rPr>
        <w:t xml:space="preserve">actual </w:t>
      </w:r>
      <w:r w:rsidRPr="00474A1F">
        <w:rPr>
          <w:rFonts w:ascii="Times New Roman" w:hAnsi="Times New Roman" w:cs="Times New Roman"/>
          <w:color w:val="000000"/>
          <w:sz w:val="24"/>
          <w:szCs w:val="24"/>
        </w:rPr>
        <w:t xml:space="preserve">panorama comercial </w:t>
      </w:r>
      <w:r w:rsidR="00D92468" w:rsidRPr="00474A1F">
        <w:rPr>
          <w:rFonts w:ascii="Times New Roman" w:hAnsi="Times New Roman" w:cs="Times New Roman"/>
          <w:color w:val="000000"/>
          <w:sz w:val="24"/>
          <w:szCs w:val="24"/>
        </w:rPr>
        <w:t>exige a</w:t>
      </w:r>
      <w:r w:rsidR="005B2F78" w:rsidRPr="00474A1F">
        <w:rPr>
          <w:rFonts w:ascii="Times New Roman" w:hAnsi="Times New Roman" w:cs="Times New Roman"/>
          <w:color w:val="000000"/>
          <w:sz w:val="24"/>
          <w:szCs w:val="24"/>
        </w:rPr>
        <w:t xml:space="preserve"> las </w:t>
      </w:r>
      <w:r w:rsidR="00D04A0B" w:rsidRPr="00474A1F">
        <w:rPr>
          <w:rFonts w:ascii="Times New Roman" w:hAnsi="Times New Roman" w:cs="Times New Roman"/>
          <w:color w:val="000000"/>
          <w:sz w:val="24"/>
          <w:szCs w:val="24"/>
        </w:rPr>
        <w:t xml:space="preserve">empresas </w:t>
      </w:r>
      <w:r w:rsidR="005B2F78" w:rsidRPr="00474A1F">
        <w:rPr>
          <w:rFonts w:ascii="Times New Roman" w:hAnsi="Times New Roman" w:cs="Times New Roman"/>
          <w:color w:val="000000"/>
          <w:sz w:val="24"/>
          <w:szCs w:val="24"/>
        </w:rPr>
        <w:t xml:space="preserve">mejorar sus procesos </w:t>
      </w:r>
      <w:r w:rsidR="00D92468" w:rsidRPr="00474A1F">
        <w:rPr>
          <w:rFonts w:ascii="Times New Roman" w:hAnsi="Times New Roman" w:cs="Times New Roman"/>
          <w:color w:val="000000"/>
          <w:sz w:val="24"/>
          <w:szCs w:val="24"/>
        </w:rPr>
        <w:t xml:space="preserve">e </w:t>
      </w:r>
      <w:r w:rsidR="005B2F78" w:rsidRPr="00474A1F">
        <w:rPr>
          <w:rFonts w:ascii="Times New Roman" w:hAnsi="Times New Roman" w:cs="Times New Roman"/>
          <w:color w:val="000000"/>
          <w:sz w:val="24"/>
          <w:szCs w:val="24"/>
        </w:rPr>
        <w:t xml:space="preserve">innovar con nuevos productos </w:t>
      </w:r>
      <w:r w:rsidR="00D92468" w:rsidRPr="00474A1F">
        <w:rPr>
          <w:rFonts w:ascii="Times New Roman" w:hAnsi="Times New Roman" w:cs="Times New Roman"/>
          <w:color w:val="000000"/>
          <w:sz w:val="24"/>
          <w:szCs w:val="24"/>
        </w:rPr>
        <w:t>y</w:t>
      </w:r>
      <w:r w:rsidR="005B2F78" w:rsidRPr="00474A1F">
        <w:rPr>
          <w:rFonts w:ascii="Times New Roman" w:hAnsi="Times New Roman" w:cs="Times New Roman"/>
          <w:color w:val="000000"/>
          <w:sz w:val="24"/>
          <w:szCs w:val="24"/>
        </w:rPr>
        <w:t xml:space="preserve"> servicios. La diferenciación, como estrategia competitiva, demanda una gran cantidad de recursos que pueden resultar costoso</w:t>
      </w:r>
      <w:r w:rsidR="005E598C" w:rsidRPr="00474A1F">
        <w:rPr>
          <w:rFonts w:ascii="Times New Roman" w:hAnsi="Times New Roman" w:cs="Times New Roman"/>
          <w:color w:val="000000"/>
          <w:sz w:val="24"/>
          <w:szCs w:val="24"/>
        </w:rPr>
        <w:t xml:space="preserve">s para una empresa. Esto significa que </w:t>
      </w:r>
      <w:r w:rsidR="00D92468" w:rsidRPr="00474A1F">
        <w:rPr>
          <w:rFonts w:ascii="Times New Roman" w:hAnsi="Times New Roman" w:cs="Times New Roman"/>
          <w:color w:val="000000"/>
          <w:sz w:val="24"/>
          <w:szCs w:val="24"/>
        </w:rPr>
        <w:t xml:space="preserve">para </w:t>
      </w:r>
      <w:r w:rsidR="005E598C" w:rsidRPr="00474A1F">
        <w:rPr>
          <w:rFonts w:ascii="Times New Roman" w:hAnsi="Times New Roman" w:cs="Times New Roman"/>
          <w:color w:val="000000"/>
          <w:sz w:val="24"/>
          <w:szCs w:val="24"/>
        </w:rPr>
        <w:t xml:space="preserve">impulsar una innovación </w:t>
      </w:r>
      <w:r w:rsidR="00D92468" w:rsidRPr="00474A1F">
        <w:rPr>
          <w:rFonts w:ascii="Times New Roman" w:hAnsi="Times New Roman" w:cs="Times New Roman"/>
          <w:color w:val="000000"/>
          <w:sz w:val="24"/>
          <w:szCs w:val="24"/>
        </w:rPr>
        <w:t>de forma individual</w:t>
      </w:r>
      <w:r w:rsidR="005E598C" w:rsidRPr="00474A1F">
        <w:rPr>
          <w:rFonts w:ascii="Times New Roman" w:hAnsi="Times New Roman" w:cs="Times New Roman"/>
          <w:color w:val="000000"/>
          <w:sz w:val="24"/>
          <w:szCs w:val="24"/>
        </w:rPr>
        <w:t xml:space="preserve"> se debe pensar en los</w:t>
      </w:r>
      <w:r w:rsidR="00D37CC3" w:rsidRPr="00474A1F">
        <w:rPr>
          <w:rFonts w:ascii="Times New Roman" w:hAnsi="Times New Roman" w:cs="Times New Roman"/>
          <w:color w:val="000000"/>
          <w:sz w:val="24"/>
          <w:szCs w:val="24"/>
        </w:rPr>
        <w:t xml:space="preserve"> diversos </w:t>
      </w:r>
      <w:r w:rsidR="00D04A0B" w:rsidRPr="00474A1F">
        <w:rPr>
          <w:rFonts w:ascii="Times New Roman" w:hAnsi="Times New Roman" w:cs="Times New Roman"/>
          <w:color w:val="000000"/>
          <w:sz w:val="24"/>
          <w:szCs w:val="24"/>
        </w:rPr>
        <w:t>riesgos</w:t>
      </w:r>
      <w:r w:rsidR="005E598C" w:rsidRPr="00474A1F">
        <w:rPr>
          <w:rFonts w:ascii="Times New Roman" w:hAnsi="Times New Roman" w:cs="Times New Roman"/>
          <w:color w:val="000000"/>
          <w:sz w:val="24"/>
          <w:szCs w:val="24"/>
        </w:rPr>
        <w:t xml:space="preserve">, </w:t>
      </w:r>
      <w:r w:rsidR="00D92468" w:rsidRPr="00474A1F">
        <w:rPr>
          <w:rFonts w:ascii="Times New Roman" w:hAnsi="Times New Roman" w:cs="Times New Roman"/>
          <w:color w:val="000000"/>
          <w:sz w:val="24"/>
          <w:szCs w:val="24"/>
        </w:rPr>
        <w:t>como</w:t>
      </w:r>
      <w:r w:rsidR="00D37CC3" w:rsidRPr="00474A1F">
        <w:rPr>
          <w:rFonts w:ascii="Times New Roman" w:hAnsi="Times New Roman" w:cs="Times New Roman"/>
          <w:color w:val="000000"/>
          <w:sz w:val="24"/>
          <w:szCs w:val="24"/>
        </w:rPr>
        <w:t xml:space="preserve"> </w:t>
      </w:r>
      <w:r w:rsidR="005E598C" w:rsidRPr="00474A1F">
        <w:rPr>
          <w:rFonts w:ascii="Times New Roman" w:hAnsi="Times New Roman" w:cs="Times New Roman"/>
          <w:color w:val="000000"/>
          <w:sz w:val="24"/>
          <w:szCs w:val="24"/>
        </w:rPr>
        <w:t xml:space="preserve">pérdida de competitividad y </w:t>
      </w:r>
      <w:r w:rsidR="00D37CC3" w:rsidRPr="00474A1F">
        <w:rPr>
          <w:rFonts w:ascii="Times New Roman" w:hAnsi="Times New Roman" w:cs="Times New Roman"/>
          <w:color w:val="000000"/>
          <w:sz w:val="24"/>
          <w:szCs w:val="24"/>
        </w:rPr>
        <w:t xml:space="preserve">altos costos de investigación y desarrollo. </w:t>
      </w:r>
      <w:r w:rsidR="005E598C" w:rsidRPr="00474A1F">
        <w:rPr>
          <w:rFonts w:ascii="Times New Roman" w:hAnsi="Times New Roman" w:cs="Times New Roman"/>
          <w:color w:val="000000"/>
          <w:sz w:val="24"/>
          <w:szCs w:val="24"/>
        </w:rPr>
        <w:t>Por tal motivo</w:t>
      </w:r>
      <w:r w:rsidR="00D37CC3" w:rsidRPr="00474A1F">
        <w:rPr>
          <w:rFonts w:ascii="Times New Roman" w:hAnsi="Times New Roman" w:cs="Times New Roman"/>
          <w:color w:val="000000"/>
          <w:sz w:val="24"/>
          <w:szCs w:val="24"/>
        </w:rPr>
        <w:t>, l</w:t>
      </w:r>
      <w:r w:rsidR="00AA1577" w:rsidRPr="00474A1F">
        <w:rPr>
          <w:rFonts w:ascii="Times New Roman" w:hAnsi="Times New Roman" w:cs="Times New Roman"/>
          <w:color w:val="000000"/>
          <w:sz w:val="24"/>
          <w:szCs w:val="24"/>
        </w:rPr>
        <w:t xml:space="preserve">as empresas deben </w:t>
      </w:r>
      <w:r w:rsidR="00D37CC3" w:rsidRPr="00474A1F">
        <w:rPr>
          <w:rFonts w:ascii="Times New Roman" w:hAnsi="Times New Roman" w:cs="Times New Roman"/>
          <w:color w:val="000000"/>
          <w:sz w:val="24"/>
          <w:szCs w:val="24"/>
        </w:rPr>
        <w:t xml:space="preserve">identificar nichos de mercado </w:t>
      </w:r>
      <w:r w:rsidR="005E598C" w:rsidRPr="00474A1F">
        <w:rPr>
          <w:rFonts w:ascii="Times New Roman" w:hAnsi="Times New Roman" w:cs="Times New Roman"/>
          <w:color w:val="000000"/>
          <w:sz w:val="24"/>
          <w:szCs w:val="24"/>
        </w:rPr>
        <w:t>en los que</w:t>
      </w:r>
      <w:r w:rsidR="00D37CC3" w:rsidRPr="00474A1F">
        <w:rPr>
          <w:rFonts w:ascii="Times New Roman" w:hAnsi="Times New Roman" w:cs="Times New Roman"/>
          <w:color w:val="000000"/>
          <w:sz w:val="24"/>
          <w:szCs w:val="24"/>
        </w:rPr>
        <w:t xml:space="preserve"> </w:t>
      </w:r>
      <w:r w:rsidR="005E598C" w:rsidRPr="00474A1F">
        <w:rPr>
          <w:rFonts w:ascii="Times New Roman" w:hAnsi="Times New Roman" w:cs="Times New Roman"/>
          <w:color w:val="000000"/>
          <w:sz w:val="24"/>
          <w:szCs w:val="24"/>
        </w:rPr>
        <w:t xml:space="preserve">puedan participar </w:t>
      </w:r>
      <w:r w:rsidR="00AA1577" w:rsidRPr="00474A1F">
        <w:rPr>
          <w:rFonts w:ascii="Times New Roman" w:hAnsi="Times New Roman" w:cs="Times New Roman"/>
          <w:color w:val="000000"/>
          <w:sz w:val="24"/>
          <w:szCs w:val="24"/>
        </w:rPr>
        <w:t>con costo</w:t>
      </w:r>
      <w:r w:rsidR="00D37CC3" w:rsidRPr="00474A1F">
        <w:rPr>
          <w:rFonts w:ascii="Times New Roman" w:hAnsi="Times New Roman" w:cs="Times New Roman"/>
          <w:color w:val="000000"/>
          <w:sz w:val="24"/>
          <w:szCs w:val="24"/>
        </w:rPr>
        <w:t>s bajos</w:t>
      </w:r>
      <w:r w:rsidR="00AA1577" w:rsidRPr="00474A1F">
        <w:rPr>
          <w:rFonts w:ascii="Times New Roman" w:hAnsi="Times New Roman" w:cs="Times New Roman"/>
          <w:color w:val="000000"/>
          <w:sz w:val="24"/>
          <w:szCs w:val="24"/>
        </w:rPr>
        <w:t xml:space="preserve">, </w:t>
      </w:r>
      <w:r w:rsidR="005E598C" w:rsidRPr="00474A1F">
        <w:rPr>
          <w:rFonts w:ascii="Times New Roman" w:hAnsi="Times New Roman" w:cs="Times New Roman"/>
          <w:color w:val="000000"/>
          <w:sz w:val="24"/>
          <w:szCs w:val="24"/>
        </w:rPr>
        <w:t>para lo cual</w:t>
      </w:r>
      <w:r w:rsidR="00791AB2" w:rsidRPr="00474A1F">
        <w:rPr>
          <w:rFonts w:ascii="Times New Roman" w:hAnsi="Times New Roman" w:cs="Times New Roman"/>
          <w:color w:val="000000"/>
          <w:sz w:val="24"/>
          <w:szCs w:val="24"/>
        </w:rPr>
        <w:t>, sin embargo,</w:t>
      </w:r>
      <w:r w:rsidR="005E598C" w:rsidRPr="00474A1F">
        <w:rPr>
          <w:rFonts w:ascii="Times New Roman" w:hAnsi="Times New Roman" w:cs="Times New Roman"/>
          <w:color w:val="000000"/>
          <w:sz w:val="24"/>
          <w:szCs w:val="24"/>
        </w:rPr>
        <w:t xml:space="preserve"> deben conocer </w:t>
      </w:r>
      <w:r w:rsidR="00D37CC3" w:rsidRPr="00474A1F">
        <w:rPr>
          <w:rFonts w:ascii="Times New Roman" w:hAnsi="Times New Roman" w:cs="Times New Roman"/>
          <w:color w:val="000000"/>
          <w:sz w:val="24"/>
          <w:szCs w:val="24"/>
        </w:rPr>
        <w:t>el segmento</w:t>
      </w:r>
      <w:r w:rsidR="00A459F7" w:rsidRPr="00474A1F">
        <w:rPr>
          <w:rFonts w:ascii="Times New Roman" w:hAnsi="Times New Roman" w:cs="Times New Roman"/>
          <w:color w:val="000000"/>
          <w:sz w:val="24"/>
          <w:szCs w:val="24"/>
        </w:rPr>
        <w:t>, pues de ese modo</w:t>
      </w:r>
      <w:r w:rsidR="00D37CC3" w:rsidRPr="00474A1F">
        <w:rPr>
          <w:rFonts w:ascii="Times New Roman" w:hAnsi="Times New Roman" w:cs="Times New Roman"/>
          <w:color w:val="000000"/>
          <w:sz w:val="24"/>
          <w:szCs w:val="24"/>
        </w:rPr>
        <w:t xml:space="preserve"> </w:t>
      </w:r>
      <w:r w:rsidR="00A459F7" w:rsidRPr="00474A1F">
        <w:rPr>
          <w:rFonts w:ascii="Times New Roman" w:hAnsi="Times New Roman" w:cs="Times New Roman"/>
          <w:color w:val="000000"/>
          <w:sz w:val="24"/>
          <w:szCs w:val="24"/>
        </w:rPr>
        <w:t>identificarán</w:t>
      </w:r>
      <w:r w:rsidR="00D37CC3" w:rsidRPr="00474A1F">
        <w:rPr>
          <w:rFonts w:ascii="Times New Roman" w:hAnsi="Times New Roman" w:cs="Times New Roman"/>
          <w:color w:val="000000"/>
          <w:sz w:val="24"/>
          <w:szCs w:val="24"/>
        </w:rPr>
        <w:t xml:space="preserve"> oportunidades de </w:t>
      </w:r>
      <w:r w:rsidR="005E598C" w:rsidRPr="00474A1F">
        <w:rPr>
          <w:rFonts w:ascii="Times New Roman" w:hAnsi="Times New Roman" w:cs="Times New Roman"/>
          <w:color w:val="000000"/>
          <w:sz w:val="24"/>
          <w:szCs w:val="24"/>
        </w:rPr>
        <w:t>desarrollo</w:t>
      </w:r>
      <w:r w:rsidR="00D37CC3" w:rsidRPr="00474A1F">
        <w:rPr>
          <w:rFonts w:ascii="Times New Roman" w:hAnsi="Times New Roman" w:cs="Times New Roman"/>
          <w:color w:val="000000"/>
          <w:sz w:val="24"/>
          <w:szCs w:val="24"/>
        </w:rPr>
        <w:t xml:space="preserve"> </w:t>
      </w:r>
      <w:r w:rsidR="005E598C" w:rsidRPr="00474A1F">
        <w:rPr>
          <w:rFonts w:ascii="Times New Roman" w:hAnsi="Times New Roman" w:cs="Times New Roman"/>
          <w:color w:val="000000"/>
          <w:sz w:val="24"/>
          <w:szCs w:val="24"/>
        </w:rPr>
        <w:t xml:space="preserve">con </w:t>
      </w:r>
      <w:r w:rsidR="00FA4609" w:rsidRPr="00474A1F">
        <w:rPr>
          <w:rFonts w:ascii="Times New Roman" w:hAnsi="Times New Roman" w:cs="Times New Roman"/>
          <w:color w:val="000000"/>
          <w:sz w:val="24"/>
          <w:szCs w:val="24"/>
        </w:rPr>
        <w:t xml:space="preserve">productos o servicios </w:t>
      </w:r>
      <w:r w:rsidR="00AA1577" w:rsidRPr="00474A1F">
        <w:rPr>
          <w:rFonts w:ascii="Times New Roman" w:hAnsi="Times New Roman" w:cs="Times New Roman"/>
          <w:color w:val="000000"/>
          <w:sz w:val="24"/>
          <w:szCs w:val="24"/>
        </w:rPr>
        <w:t>innovador</w:t>
      </w:r>
      <w:r w:rsidR="00FA4609" w:rsidRPr="00474A1F">
        <w:rPr>
          <w:rFonts w:ascii="Times New Roman" w:hAnsi="Times New Roman" w:cs="Times New Roman"/>
          <w:color w:val="000000"/>
          <w:sz w:val="24"/>
          <w:szCs w:val="24"/>
        </w:rPr>
        <w:t>es</w:t>
      </w:r>
      <w:r w:rsidR="00AA1577" w:rsidRPr="00474A1F">
        <w:rPr>
          <w:rFonts w:ascii="Times New Roman" w:hAnsi="Times New Roman" w:cs="Times New Roman"/>
          <w:color w:val="000000"/>
          <w:sz w:val="24"/>
          <w:szCs w:val="24"/>
        </w:rPr>
        <w:t>.</w:t>
      </w:r>
    </w:p>
    <w:p w14:paraId="06AC3F68" w14:textId="77777777" w:rsidR="00D93FE6" w:rsidRDefault="00D93FE6" w:rsidP="007C0599">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12D8F090" w14:textId="4FCB6550" w:rsidR="007C0599" w:rsidRPr="00474A1F" w:rsidRDefault="00791AB2" w:rsidP="007C059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lastRenderedPageBreak/>
        <w:t>En otras palabras, p</w:t>
      </w:r>
      <w:r w:rsidR="00C11C0D" w:rsidRPr="00474A1F">
        <w:rPr>
          <w:rFonts w:ascii="Times New Roman" w:hAnsi="Times New Roman" w:cs="Times New Roman"/>
          <w:color w:val="000000"/>
          <w:sz w:val="24"/>
          <w:szCs w:val="24"/>
        </w:rPr>
        <w:t>ara los neg</w:t>
      </w:r>
      <w:r w:rsidR="00BD578F" w:rsidRPr="00474A1F">
        <w:rPr>
          <w:rFonts w:ascii="Times New Roman" w:hAnsi="Times New Roman" w:cs="Times New Roman"/>
          <w:color w:val="000000"/>
          <w:sz w:val="24"/>
          <w:szCs w:val="24"/>
        </w:rPr>
        <w:t xml:space="preserve">ocios actuales </w:t>
      </w:r>
      <w:r w:rsidR="00576E22" w:rsidRPr="00474A1F">
        <w:rPr>
          <w:rFonts w:ascii="Times New Roman" w:hAnsi="Times New Roman" w:cs="Times New Roman"/>
          <w:color w:val="000000"/>
          <w:sz w:val="24"/>
          <w:szCs w:val="24"/>
        </w:rPr>
        <w:t xml:space="preserve">es importante conocer el contexto </w:t>
      </w:r>
      <w:r w:rsidRPr="00474A1F">
        <w:rPr>
          <w:rFonts w:ascii="Times New Roman" w:hAnsi="Times New Roman" w:cs="Times New Roman"/>
          <w:color w:val="000000"/>
          <w:sz w:val="24"/>
          <w:szCs w:val="24"/>
        </w:rPr>
        <w:t>donde</w:t>
      </w:r>
      <w:r w:rsidR="00576E22" w:rsidRPr="00474A1F">
        <w:rPr>
          <w:rFonts w:ascii="Times New Roman" w:hAnsi="Times New Roman" w:cs="Times New Roman"/>
          <w:color w:val="000000"/>
          <w:sz w:val="24"/>
          <w:szCs w:val="24"/>
        </w:rPr>
        <w:t xml:space="preserve"> se desenvuelven para real</w:t>
      </w:r>
      <w:r w:rsidR="00A459F7" w:rsidRPr="00474A1F">
        <w:rPr>
          <w:rFonts w:ascii="Times New Roman" w:hAnsi="Times New Roman" w:cs="Times New Roman"/>
          <w:color w:val="000000"/>
          <w:sz w:val="24"/>
          <w:szCs w:val="24"/>
        </w:rPr>
        <w:t>izar una planeación estratégica que les permita</w:t>
      </w:r>
      <w:r w:rsidR="00576E22" w:rsidRPr="00474A1F">
        <w:rPr>
          <w:rFonts w:ascii="Times New Roman" w:hAnsi="Times New Roman" w:cs="Times New Roman"/>
          <w:color w:val="000000"/>
          <w:sz w:val="24"/>
          <w:szCs w:val="24"/>
        </w:rPr>
        <w:t xml:space="preserve"> diferenciarse en productos </w:t>
      </w:r>
      <w:r w:rsidR="00D92468" w:rsidRPr="00474A1F">
        <w:rPr>
          <w:rFonts w:ascii="Times New Roman" w:hAnsi="Times New Roman" w:cs="Times New Roman"/>
          <w:color w:val="000000"/>
          <w:sz w:val="24"/>
          <w:szCs w:val="24"/>
        </w:rPr>
        <w:t>y</w:t>
      </w:r>
      <w:r w:rsidR="00576E22" w:rsidRPr="00474A1F">
        <w:rPr>
          <w:rFonts w:ascii="Times New Roman" w:hAnsi="Times New Roman" w:cs="Times New Roman"/>
          <w:color w:val="000000"/>
          <w:sz w:val="24"/>
          <w:szCs w:val="24"/>
        </w:rPr>
        <w:t xml:space="preserve"> servicios y apalancar s</w:t>
      </w:r>
      <w:r w:rsidRPr="00474A1F">
        <w:rPr>
          <w:rFonts w:ascii="Times New Roman" w:hAnsi="Times New Roman" w:cs="Times New Roman"/>
          <w:color w:val="000000"/>
          <w:sz w:val="24"/>
          <w:szCs w:val="24"/>
        </w:rPr>
        <w:t>u posicionamiento en el mercado. D</w:t>
      </w:r>
      <w:r w:rsidR="00576E22" w:rsidRPr="00474A1F">
        <w:rPr>
          <w:rFonts w:ascii="Times New Roman" w:hAnsi="Times New Roman" w:cs="Times New Roman"/>
          <w:color w:val="000000"/>
          <w:sz w:val="24"/>
          <w:szCs w:val="24"/>
        </w:rPr>
        <w:t xml:space="preserve">e </w:t>
      </w:r>
      <w:r w:rsidRPr="00474A1F">
        <w:rPr>
          <w:rFonts w:ascii="Times New Roman" w:hAnsi="Times New Roman" w:cs="Times New Roman"/>
          <w:color w:val="000000"/>
          <w:sz w:val="24"/>
          <w:szCs w:val="24"/>
        </w:rPr>
        <w:t xml:space="preserve">lo contrario, </w:t>
      </w:r>
      <w:r w:rsidR="00576E22" w:rsidRPr="00474A1F">
        <w:rPr>
          <w:rFonts w:ascii="Times New Roman" w:hAnsi="Times New Roman" w:cs="Times New Roman"/>
          <w:color w:val="000000"/>
          <w:sz w:val="24"/>
          <w:szCs w:val="24"/>
        </w:rPr>
        <w:t xml:space="preserve">la empresa </w:t>
      </w:r>
      <w:r w:rsidRPr="00474A1F">
        <w:rPr>
          <w:rFonts w:ascii="Times New Roman" w:hAnsi="Times New Roman" w:cs="Times New Roman"/>
          <w:color w:val="000000"/>
          <w:sz w:val="24"/>
          <w:szCs w:val="24"/>
        </w:rPr>
        <w:t>se estaría limitando a</w:t>
      </w:r>
      <w:r w:rsidR="00576E22" w:rsidRPr="00474A1F">
        <w:rPr>
          <w:rFonts w:ascii="Times New Roman" w:hAnsi="Times New Roman" w:cs="Times New Roman"/>
          <w:color w:val="000000"/>
          <w:sz w:val="24"/>
          <w:szCs w:val="24"/>
        </w:rPr>
        <w:t xml:space="preserve"> imitar a </w:t>
      </w:r>
      <w:r w:rsidRPr="00474A1F">
        <w:rPr>
          <w:rFonts w:ascii="Times New Roman" w:hAnsi="Times New Roman" w:cs="Times New Roman"/>
          <w:color w:val="000000"/>
          <w:sz w:val="24"/>
          <w:szCs w:val="24"/>
        </w:rPr>
        <w:t xml:space="preserve">otras compañías </w:t>
      </w:r>
      <w:r w:rsidR="00576E22" w:rsidRPr="00474A1F">
        <w:rPr>
          <w:rFonts w:ascii="Times New Roman" w:hAnsi="Times New Roman" w:cs="Times New Roman"/>
          <w:color w:val="000000"/>
          <w:sz w:val="24"/>
          <w:szCs w:val="24"/>
        </w:rPr>
        <w:t xml:space="preserve">líderes en el </w:t>
      </w:r>
      <w:r w:rsidR="002D650E" w:rsidRPr="00474A1F">
        <w:rPr>
          <w:rFonts w:ascii="Times New Roman" w:hAnsi="Times New Roman" w:cs="Times New Roman"/>
          <w:color w:val="000000"/>
          <w:sz w:val="24"/>
          <w:szCs w:val="24"/>
        </w:rPr>
        <w:t xml:space="preserve">sector, </w:t>
      </w:r>
      <w:r w:rsidRPr="00474A1F">
        <w:rPr>
          <w:rFonts w:ascii="Times New Roman" w:hAnsi="Times New Roman" w:cs="Times New Roman"/>
          <w:color w:val="000000"/>
          <w:sz w:val="24"/>
          <w:szCs w:val="24"/>
        </w:rPr>
        <w:t xml:space="preserve">lo cual podría opacar </w:t>
      </w:r>
      <w:r w:rsidR="00576E22" w:rsidRPr="00474A1F">
        <w:rPr>
          <w:rFonts w:ascii="Times New Roman" w:hAnsi="Times New Roman" w:cs="Times New Roman"/>
          <w:color w:val="000000"/>
          <w:sz w:val="24"/>
          <w:szCs w:val="24"/>
        </w:rPr>
        <w:t xml:space="preserve">su posición en el mercado. </w:t>
      </w:r>
    </w:p>
    <w:p w14:paraId="0FF39F29" w14:textId="70162315" w:rsidR="007D2E1B" w:rsidRPr="00474A1F" w:rsidRDefault="00AD08E3" w:rsidP="007C0599">
      <w:pPr>
        <w:autoSpaceDE w:val="0"/>
        <w:autoSpaceDN w:val="0"/>
        <w:adjustRightInd w:val="0"/>
        <w:spacing w:after="0" w:line="360" w:lineRule="auto"/>
        <w:ind w:firstLine="708"/>
        <w:jc w:val="both"/>
        <w:rPr>
          <w:rFonts w:ascii="Times New Roman" w:hAnsi="Times New Roman" w:cs="Times New Roman"/>
        </w:rPr>
      </w:pPr>
      <w:r w:rsidRPr="00474A1F">
        <w:rPr>
          <w:rFonts w:ascii="Times New Roman" w:hAnsi="Times New Roman" w:cs="Times New Roman"/>
          <w:color w:val="000000"/>
          <w:sz w:val="24"/>
          <w:szCs w:val="24"/>
        </w:rPr>
        <w:t xml:space="preserve">En este sentido, </w:t>
      </w:r>
      <w:r w:rsidRPr="00474A1F">
        <w:rPr>
          <w:rFonts w:ascii="Times New Roman" w:hAnsi="Times New Roman" w:cs="Times New Roman"/>
          <w:noProof/>
          <w:color w:val="000000"/>
          <w:sz w:val="24"/>
          <w:szCs w:val="24"/>
          <w:lang w:val="es-ES"/>
        </w:rPr>
        <w:t>Rautu, Racoviteanu y Dinet</w:t>
      </w:r>
      <w:r w:rsidR="0000531E" w:rsidRPr="00474A1F">
        <w:rPr>
          <w:rFonts w:ascii="Times New Roman" w:hAnsi="Times New Roman" w:cs="Times New Roman"/>
          <w:noProof/>
          <w:color w:val="000000"/>
          <w:sz w:val="24"/>
          <w:szCs w:val="24"/>
          <w:lang w:val="es-ES"/>
        </w:rPr>
        <w:t xml:space="preserve"> (2017)</w:t>
      </w:r>
      <w:r w:rsidRPr="00474A1F">
        <w:rPr>
          <w:rFonts w:ascii="Times New Roman" w:hAnsi="Times New Roman" w:cs="Times New Roman"/>
          <w:color w:val="000000"/>
          <w:sz w:val="24"/>
          <w:szCs w:val="24"/>
        </w:rPr>
        <w:t xml:space="preserve"> </w:t>
      </w:r>
      <w:r w:rsidR="00D22E4D" w:rsidRPr="00474A1F">
        <w:rPr>
          <w:rFonts w:ascii="Times New Roman" w:hAnsi="Times New Roman" w:cs="Times New Roman"/>
          <w:color w:val="000000"/>
          <w:sz w:val="24"/>
          <w:szCs w:val="24"/>
        </w:rPr>
        <w:t xml:space="preserve">explican </w:t>
      </w:r>
      <w:r w:rsidR="002D4AD7" w:rsidRPr="00474A1F">
        <w:rPr>
          <w:rFonts w:ascii="Times New Roman" w:hAnsi="Times New Roman" w:cs="Times New Roman"/>
          <w:color w:val="000000"/>
          <w:sz w:val="24"/>
          <w:szCs w:val="24"/>
        </w:rPr>
        <w:t xml:space="preserve">que </w:t>
      </w:r>
      <w:r w:rsidR="003B0CCF" w:rsidRPr="00474A1F">
        <w:rPr>
          <w:rFonts w:ascii="Times New Roman" w:hAnsi="Times New Roman" w:cs="Times New Roman"/>
          <w:color w:val="000000"/>
          <w:sz w:val="24"/>
          <w:szCs w:val="24"/>
        </w:rPr>
        <w:t>algunas empresa</w:t>
      </w:r>
      <w:r w:rsidR="00C07B1B" w:rsidRPr="00474A1F">
        <w:rPr>
          <w:rFonts w:ascii="Times New Roman" w:hAnsi="Times New Roman" w:cs="Times New Roman"/>
          <w:color w:val="000000"/>
          <w:sz w:val="24"/>
          <w:szCs w:val="24"/>
        </w:rPr>
        <w:t>s</w:t>
      </w:r>
      <w:r w:rsidR="003B0CCF" w:rsidRPr="00474A1F">
        <w:rPr>
          <w:rFonts w:ascii="Times New Roman" w:hAnsi="Times New Roman" w:cs="Times New Roman"/>
          <w:color w:val="000000"/>
          <w:sz w:val="24"/>
          <w:szCs w:val="24"/>
        </w:rPr>
        <w:t xml:space="preserve"> </w:t>
      </w:r>
      <w:r w:rsidR="00791AB2" w:rsidRPr="00474A1F">
        <w:rPr>
          <w:rFonts w:ascii="Times New Roman" w:hAnsi="Times New Roman" w:cs="Times New Roman"/>
          <w:color w:val="000000"/>
          <w:sz w:val="24"/>
          <w:szCs w:val="24"/>
        </w:rPr>
        <w:t>que buscan</w:t>
      </w:r>
      <w:r w:rsidR="003B0CCF" w:rsidRPr="00474A1F">
        <w:rPr>
          <w:rFonts w:ascii="Times New Roman" w:hAnsi="Times New Roman" w:cs="Times New Roman"/>
          <w:color w:val="000000"/>
          <w:sz w:val="24"/>
          <w:szCs w:val="24"/>
        </w:rPr>
        <w:t xml:space="preserve"> elevar </w:t>
      </w:r>
      <w:r w:rsidR="00C07B1B" w:rsidRPr="00474A1F">
        <w:rPr>
          <w:rFonts w:ascii="Times New Roman" w:hAnsi="Times New Roman" w:cs="Times New Roman"/>
          <w:color w:val="000000"/>
          <w:sz w:val="24"/>
          <w:szCs w:val="24"/>
        </w:rPr>
        <w:t xml:space="preserve">su </w:t>
      </w:r>
      <w:r w:rsidR="002D650E" w:rsidRPr="00474A1F">
        <w:rPr>
          <w:rFonts w:ascii="Times New Roman" w:hAnsi="Times New Roman" w:cs="Times New Roman"/>
          <w:color w:val="000000"/>
          <w:sz w:val="24"/>
          <w:szCs w:val="24"/>
        </w:rPr>
        <w:t>competitividad</w:t>
      </w:r>
      <w:r w:rsidR="00C07B1B" w:rsidRPr="00474A1F">
        <w:rPr>
          <w:rFonts w:ascii="Times New Roman" w:hAnsi="Times New Roman" w:cs="Times New Roman"/>
          <w:color w:val="000000"/>
          <w:sz w:val="24"/>
          <w:szCs w:val="24"/>
        </w:rPr>
        <w:t xml:space="preserve"> </w:t>
      </w:r>
      <w:r w:rsidR="00791AB2" w:rsidRPr="00474A1F">
        <w:rPr>
          <w:rFonts w:ascii="Times New Roman" w:hAnsi="Times New Roman" w:cs="Times New Roman"/>
          <w:color w:val="000000"/>
          <w:sz w:val="24"/>
          <w:szCs w:val="24"/>
        </w:rPr>
        <w:t>solo se enfocan en reproducir lo que hacen las demás</w:t>
      </w:r>
      <w:r w:rsidR="00C07B1B" w:rsidRPr="00474A1F">
        <w:rPr>
          <w:rFonts w:ascii="Times New Roman" w:hAnsi="Times New Roman" w:cs="Times New Roman"/>
          <w:color w:val="000000"/>
          <w:sz w:val="24"/>
          <w:szCs w:val="24"/>
        </w:rPr>
        <w:t xml:space="preserve">, lo cual no constituye </w:t>
      </w:r>
      <w:r w:rsidR="00C07B1B" w:rsidRPr="00474A1F">
        <w:rPr>
          <w:rFonts w:ascii="Times New Roman" w:hAnsi="Times New Roman" w:cs="Times New Roman"/>
          <w:i/>
          <w:color w:val="000000"/>
          <w:sz w:val="24"/>
          <w:szCs w:val="24"/>
        </w:rPr>
        <w:t>benchmarking</w:t>
      </w:r>
      <w:r w:rsidR="00C07B1B" w:rsidRPr="00474A1F">
        <w:rPr>
          <w:rFonts w:ascii="Times New Roman" w:hAnsi="Times New Roman" w:cs="Times New Roman"/>
          <w:color w:val="000000"/>
          <w:sz w:val="24"/>
          <w:szCs w:val="24"/>
        </w:rPr>
        <w:t xml:space="preserve"> y tampoco </w:t>
      </w:r>
      <w:r w:rsidR="00224857" w:rsidRPr="00474A1F">
        <w:rPr>
          <w:rFonts w:ascii="Times New Roman" w:hAnsi="Times New Roman" w:cs="Times New Roman"/>
          <w:color w:val="000000"/>
          <w:sz w:val="24"/>
          <w:szCs w:val="24"/>
        </w:rPr>
        <w:t xml:space="preserve">contribuyen a </w:t>
      </w:r>
      <w:r w:rsidR="00C07B1B" w:rsidRPr="00474A1F">
        <w:rPr>
          <w:rFonts w:ascii="Times New Roman" w:hAnsi="Times New Roman" w:cs="Times New Roman"/>
          <w:color w:val="000000"/>
          <w:sz w:val="24"/>
          <w:szCs w:val="24"/>
        </w:rPr>
        <w:t>su sobrevivencia en el mercado.</w:t>
      </w:r>
      <w:r w:rsidR="00475A7A" w:rsidRPr="00474A1F">
        <w:rPr>
          <w:rFonts w:ascii="Times New Roman" w:hAnsi="Times New Roman" w:cs="Times New Roman"/>
          <w:color w:val="000000"/>
          <w:sz w:val="24"/>
          <w:szCs w:val="24"/>
        </w:rPr>
        <w:t xml:space="preserve"> </w:t>
      </w:r>
      <w:r w:rsidR="00791AB2" w:rsidRPr="00474A1F">
        <w:rPr>
          <w:rFonts w:ascii="Times New Roman" w:hAnsi="Times New Roman" w:cs="Times New Roman"/>
          <w:color w:val="000000"/>
          <w:sz w:val="24"/>
          <w:szCs w:val="24"/>
        </w:rPr>
        <w:t>Por eso</w:t>
      </w:r>
      <w:r w:rsidR="00475A7A" w:rsidRPr="00474A1F">
        <w:rPr>
          <w:rFonts w:ascii="Times New Roman" w:hAnsi="Times New Roman" w:cs="Times New Roman"/>
          <w:color w:val="000000"/>
          <w:sz w:val="24"/>
          <w:szCs w:val="24"/>
        </w:rPr>
        <w:t xml:space="preserve">, </w:t>
      </w:r>
      <w:r w:rsidR="00475A7A" w:rsidRPr="00474A1F">
        <w:rPr>
          <w:rFonts w:ascii="Times New Roman" w:hAnsi="Times New Roman" w:cs="Times New Roman"/>
          <w:noProof/>
          <w:color w:val="000000"/>
          <w:sz w:val="24"/>
          <w:szCs w:val="24"/>
          <w:lang w:val="es-ES"/>
        </w:rPr>
        <w:t xml:space="preserve">Welsh, Tullar </w:t>
      </w:r>
      <w:r w:rsidR="0000531E" w:rsidRPr="00474A1F">
        <w:rPr>
          <w:rFonts w:ascii="Times New Roman" w:hAnsi="Times New Roman" w:cs="Times New Roman"/>
          <w:noProof/>
          <w:color w:val="000000"/>
          <w:sz w:val="24"/>
          <w:szCs w:val="24"/>
          <w:lang w:val="es-ES"/>
        </w:rPr>
        <w:t>y</w:t>
      </w:r>
      <w:r w:rsidR="00475A7A" w:rsidRPr="00474A1F">
        <w:rPr>
          <w:rFonts w:ascii="Times New Roman" w:hAnsi="Times New Roman" w:cs="Times New Roman"/>
          <w:noProof/>
          <w:color w:val="000000"/>
          <w:sz w:val="24"/>
          <w:szCs w:val="24"/>
          <w:lang w:val="es-ES"/>
        </w:rPr>
        <w:t xml:space="preserve"> Nemati</w:t>
      </w:r>
      <w:r w:rsidR="0000531E" w:rsidRPr="00474A1F">
        <w:rPr>
          <w:rFonts w:ascii="Times New Roman" w:hAnsi="Times New Roman" w:cs="Times New Roman"/>
          <w:noProof/>
          <w:color w:val="000000"/>
          <w:sz w:val="24"/>
          <w:szCs w:val="24"/>
          <w:lang w:val="es-ES"/>
        </w:rPr>
        <w:t xml:space="preserve"> (2016)</w:t>
      </w:r>
      <w:r w:rsidR="00475A7A" w:rsidRPr="00474A1F">
        <w:rPr>
          <w:rFonts w:ascii="Times New Roman" w:hAnsi="Times New Roman" w:cs="Times New Roman"/>
          <w:color w:val="000000"/>
          <w:sz w:val="24"/>
          <w:szCs w:val="24"/>
        </w:rPr>
        <w:t xml:space="preserve"> </w:t>
      </w:r>
      <w:r w:rsidR="002D650E" w:rsidRPr="00474A1F">
        <w:rPr>
          <w:rFonts w:ascii="Times New Roman" w:hAnsi="Times New Roman" w:cs="Times New Roman"/>
          <w:color w:val="000000"/>
          <w:sz w:val="24"/>
          <w:szCs w:val="24"/>
        </w:rPr>
        <w:t>señalan que</w:t>
      </w:r>
      <w:r w:rsidR="00475A7A" w:rsidRPr="00474A1F">
        <w:rPr>
          <w:rFonts w:ascii="Times New Roman" w:hAnsi="Times New Roman" w:cs="Times New Roman"/>
          <w:color w:val="000000"/>
          <w:sz w:val="24"/>
          <w:szCs w:val="24"/>
        </w:rPr>
        <w:t xml:space="preserve"> un factor clave del éxito empresarial </w:t>
      </w:r>
      <w:r w:rsidR="00791AB2" w:rsidRPr="00474A1F">
        <w:rPr>
          <w:rFonts w:ascii="Times New Roman" w:hAnsi="Times New Roman" w:cs="Times New Roman"/>
          <w:color w:val="000000"/>
          <w:sz w:val="24"/>
          <w:szCs w:val="24"/>
        </w:rPr>
        <w:t>se halla en</w:t>
      </w:r>
      <w:r w:rsidR="00475A7A" w:rsidRPr="00474A1F">
        <w:rPr>
          <w:rFonts w:ascii="Times New Roman" w:hAnsi="Times New Roman" w:cs="Times New Roman"/>
          <w:color w:val="000000"/>
          <w:sz w:val="24"/>
          <w:szCs w:val="24"/>
        </w:rPr>
        <w:t xml:space="preserve"> la formación del empresario</w:t>
      </w:r>
      <w:r w:rsidR="0000531E" w:rsidRPr="00474A1F">
        <w:rPr>
          <w:rFonts w:ascii="Times New Roman" w:hAnsi="Times New Roman" w:cs="Times New Roman"/>
          <w:color w:val="000000"/>
          <w:sz w:val="24"/>
          <w:szCs w:val="24"/>
        </w:rPr>
        <w:t>,</w:t>
      </w:r>
      <w:r w:rsidR="00475A7A" w:rsidRPr="00474A1F">
        <w:rPr>
          <w:rFonts w:ascii="Times New Roman" w:hAnsi="Times New Roman" w:cs="Times New Roman"/>
          <w:color w:val="000000"/>
          <w:sz w:val="24"/>
          <w:szCs w:val="24"/>
        </w:rPr>
        <w:t xml:space="preserve"> </w:t>
      </w:r>
      <w:r w:rsidR="00791AB2" w:rsidRPr="00474A1F">
        <w:rPr>
          <w:rFonts w:ascii="Times New Roman" w:hAnsi="Times New Roman" w:cs="Times New Roman"/>
          <w:color w:val="000000"/>
          <w:sz w:val="24"/>
          <w:szCs w:val="24"/>
        </w:rPr>
        <w:t xml:space="preserve">pues de esta forma él podrá ser </w:t>
      </w:r>
      <w:r w:rsidR="00475A7A" w:rsidRPr="00474A1F">
        <w:rPr>
          <w:rFonts w:ascii="Times New Roman" w:hAnsi="Times New Roman" w:cs="Times New Roman"/>
          <w:color w:val="000000"/>
          <w:sz w:val="24"/>
          <w:szCs w:val="24"/>
        </w:rPr>
        <w:t xml:space="preserve">consciente </w:t>
      </w:r>
      <w:r w:rsidR="00791AB2" w:rsidRPr="00474A1F">
        <w:rPr>
          <w:rFonts w:ascii="Times New Roman" w:hAnsi="Times New Roman" w:cs="Times New Roman"/>
          <w:color w:val="000000"/>
          <w:sz w:val="24"/>
          <w:szCs w:val="24"/>
        </w:rPr>
        <w:t>de cómo puede impulsar</w:t>
      </w:r>
      <w:r w:rsidR="00475A7A" w:rsidRPr="00474A1F">
        <w:rPr>
          <w:rFonts w:ascii="Times New Roman" w:hAnsi="Times New Roman" w:cs="Times New Roman"/>
          <w:color w:val="000000"/>
          <w:sz w:val="24"/>
          <w:szCs w:val="24"/>
        </w:rPr>
        <w:t xml:space="preserve"> la innovación tecnológica</w:t>
      </w:r>
      <w:r w:rsidR="00791AB2" w:rsidRPr="00474A1F">
        <w:rPr>
          <w:rFonts w:ascii="Times New Roman" w:hAnsi="Times New Roman" w:cs="Times New Roman"/>
          <w:color w:val="000000"/>
          <w:sz w:val="24"/>
          <w:szCs w:val="24"/>
        </w:rPr>
        <w:t xml:space="preserve"> de su compañía para </w:t>
      </w:r>
      <w:r w:rsidR="00475A7A" w:rsidRPr="00474A1F">
        <w:rPr>
          <w:rFonts w:ascii="Times New Roman" w:hAnsi="Times New Roman" w:cs="Times New Roman"/>
          <w:color w:val="000000"/>
          <w:sz w:val="24"/>
          <w:szCs w:val="24"/>
        </w:rPr>
        <w:t xml:space="preserve">enfrentar los retos y </w:t>
      </w:r>
      <w:r w:rsidR="00791AB2" w:rsidRPr="00474A1F">
        <w:rPr>
          <w:rFonts w:ascii="Times New Roman" w:hAnsi="Times New Roman" w:cs="Times New Roman"/>
          <w:color w:val="000000"/>
          <w:sz w:val="24"/>
          <w:szCs w:val="24"/>
        </w:rPr>
        <w:t xml:space="preserve">los </w:t>
      </w:r>
      <w:r w:rsidR="00475A7A" w:rsidRPr="00474A1F">
        <w:rPr>
          <w:rFonts w:ascii="Times New Roman" w:hAnsi="Times New Roman" w:cs="Times New Roman"/>
          <w:color w:val="000000"/>
          <w:sz w:val="24"/>
          <w:szCs w:val="24"/>
        </w:rPr>
        <w:t xml:space="preserve">cambios del entorno económico. </w:t>
      </w:r>
    </w:p>
    <w:p w14:paraId="42690944" w14:textId="1AAA2F0F" w:rsidR="007D2E1B" w:rsidRPr="001C6F26" w:rsidRDefault="007D2E1B" w:rsidP="00B11EA0">
      <w:pPr>
        <w:spacing w:after="0" w:line="360" w:lineRule="auto"/>
        <w:rPr>
          <w:rFonts w:ascii="Times New Roman" w:hAnsi="Times New Roman" w:cs="Times New Roman"/>
          <w:sz w:val="24"/>
          <w:szCs w:val="24"/>
        </w:rPr>
      </w:pPr>
    </w:p>
    <w:p w14:paraId="40CB7CF3" w14:textId="243DECDB" w:rsidR="000337B0" w:rsidRPr="00D93FE6" w:rsidRDefault="000337B0" w:rsidP="00D93FE6">
      <w:pPr>
        <w:pStyle w:val="Ttulo2"/>
        <w:spacing w:before="0" w:line="360" w:lineRule="auto"/>
        <w:jc w:val="center"/>
        <w:rPr>
          <w:rFonts w:ascii="Times New Roman" w:hAnsi="Times New Roman" w:cs="Times New Roman"/>
          <w:b/>
          <w:color w:val="auto"/>
        </w:rPr>
      </w:pPr>
      <w:r w:rsidRPr="00D93FE6">
        <w:rPr>
          <w:rFonts w:ascii="Times New Roman" w:hAnsi="Times New Roman" w:cs="Times New Roman"/>
          <w:b/>
          <w:color w:val="auto"/>
        </w:rPr>
        <w:t>Sector educativo</w:t>
      </w:r>
      <w:r w:rsidR="00791AB2" w:rsidRPr="00D93FE6">
        <w:rPr>
          <w:rFonts w:ascii="Times New Roman" w:hAnsi="Times New Roman" w:cs="Times New Roman"/>
          <w:b/>
          <w:color w:val="auto"/>
        </w:rPr>
        <w:t xml:space="preserve"> </w:t>
      </w:r>
    </w:p>
    <w:p w14:paraId="137A319B" w14:textId="5D87A7A1" w:rsidR="00873870" w:rsidRPr="00474A1F" w:rsidRDefault="00BB23BE" w:rsidP="00873870">
      <w:pPr>
        <w:spacing w:after="0" w:line="360" w:lineRule="auto"/>
        <w:ind w:firstLine="708"/>
        <w:jc w:val="both"/>
        <w:rPr>
          <w:rFonts w:ascii="Times New Roman" w:hAnsi="Times New Roman" w:cs="Times New Roman"/>
          <w:sz w:val="24"/>
        </w:rPr>
      </w:pPr>
      <w:r w:rsidRPr="00474A1F">
        <w:rPr>
          <w:rFonts w:ascii="Times New Roman" w:hAnsi="Times New Roman" w:cs="Times New Roman"/>
          <w:sz w:val="24"/>
        </w:rPr>
        <w:t xml:space="preserve">La dinámica comercial y </w:t>
      </w:r>
      <w:r w:rsidR="00791AB2" w:rsidRPr="00474A1F">
        <w:rPr>
          <w:rFonts w:ascii="Times New Roman" w:hAnsi="Times New Roman" w:cs="Times New Roman"/>
          <w:sz w:val="24"/>
        </w:rPr>
        <w:t xml:space="preserve">la </w:t>
      </w:r>
      <w:r w:rsidRPr="00474A1F">
        <w:rPr>
          <w:rFonts w:ascii="Times New Roman" w:hAnsi="Times New Roman" w:cs="Times New Roman"/>
          <w:sz w:val="24"/>
        </w:rPr>
        <w:t xml:space="preserve">velocidad con que </w:t>
      </w:r>
      <w:r w:rsidR="006C0FB8" w:rsidRPr="00474A1F">
        <w:rPr>
          <w:rFonts w:ascii="Times New Roman" w:hAnsi="Times New Roman" w:cs="Times New Roman"/>
          <w:sz w:val="24"/>
        </w:rPr>
        <w:t xml:space="preserve">se generan </w:t>
      </w:r>
      <w:r w:rsidR="00791AB2" w:rsidRPr="00474A1F">
        <w:rPr>
          <w:rFonts w:ascii="Times New Roman" w:hAnsi="Times New Roman" w:cs="Times New Roman"/>
          <w:sz w:val="24"/>
        </w:rPr>
        <w:t>las trasformaciones</w:t>
      </w:r>
      <w:r w:rsidRPr="00474A1F">
        <w:rPr>
          <w:rFonts w:ascii="Times New Roman" w:hAnsi="Times New Roman" w:cs="Times New Roman"/>
          <w:sz w:val="24"/>
        </w:rPr>
        <w:t xml:space="preserve"> en la tecnología y en determinados campos del quehacer científico han </w:t>
      </w:r>
      <w:r w:rsidR="006C0FB8" w:rsidRPr="00474A1F">
        <w:rPr>
          <w:rFonts w:ascii="Times New Roman" w:hAnsi="Times New Roman" w:cs="Times New Roman"/>
          <w:sz w:val="24"/>
        </w:rPr>
        <w:t xml:space="preserve">motivado </w:t>
      </w:r>
      <w:r w:rsidRPr="00474A1F">
        <w:rPr>
          <w:rFonts w:ascii="Times New Roman" w:hAnsi="Times New Roman" w:cs="Times New Roman"/>
          <w:sz w:val="24"/>
        </w:rPr>
        <w:t xml:space="preserve">cambios en </w:t>
      </w:r>
      <w:r w:rsidR="00116400" w:rsidRPr="00474A1F">
        <w:rPr>
          <w:rFonts w:ascii="Times New Roman" w:hAnsi="Times New Roman" w:cs="Times New Roman"/>
          <w:sz w:val="24"/>
        </w:rPr>
        <w:t xml:space="preserve">las concepciones sobre el quehacer educativo y el papel que juegan las universidades en el nuevo escenario mundial. </w:t>
      </w:r>
      <w:r w:rsidR="00AE7B39" w:rsidRPr="00474A1F">
        <w:rPr>
          <w:rFonts w:ascii="Times New Roman" w:hAnsi="Times New Roman" w:cs="Times New Roman"/>
          <w:sz w:val="24"/>
        </w:rPr>
        <w:t>Actualmente, las universidades e instituciones de educación superior deben permanecer como sistema</w:t>
      </w:r>
      <w:r w:rsidR="006C0FB8" w:rsidRPr="00474A1F">
        <w:rPr>
          <w:rFonts w:ascii="Times New Roman" w:hAnsi="Times New Roman" w:cs="Times New Roman"/>
          <w:sz w:val="24"/>
        </w:rPr>
        <w:t>s</w:t>
      </w:r>
      <w:r w:rsidR="00AE7B39" w:rsidRPr="00474A1F">
        <w:rPr>
          <w:rFonts w:ascii="Times New Roman" w:hAnsi="Times New Roman" w:cs="Times New Roman"/>
          <w:sz w:val="24"/>
        </w:rPr>
        <w:t xml:space="preserve"> abiertos</w:t>
      </w:r>
      <w:r w:rsidR="004A4E03" w:rsidRPr="00474A1F">
        <w:rPr>
          <w:rFonts w:ascii="Times New Roman" w:hAnsi="Times New Roman" w:cs="Times New Roman"/>
          <w:sz w:val="24"/>
        </w:rPr>
        <w:t xml:space="preserve">, </w:t>
      </w:r>
      <w:r w:rsidR="00A3573E" w:rsidRPr="00474A1F">
        <w:rPr>
          <w:rFonts w:ascii="Times New Roman" w:hAnsi="Times New Roman" w:cs="Times New Roman"/>
          <w:sz w:val="24"/>
        </w:rPr>
        <w:t>dinámic</w:t>
      </w:r>
      <w:r w:rsidR="006C0FB8" w:rsidRPr="00474A1F">
        <w:rPr>
          <w:rFonts w:ascii="Times New Roman" w:hAnsi="Times New Roman" w:cs="Times New Roman"/>
          <w:sz w:val="24"/>
        </w:rPr>
        <w:t>o</w:t>
      </w:r>
      <w:r w:rsidR="00A3573E" w:rsidRPr="00474A1F">
        <w:rPr>
          <w:rFonts w:ascii="Times New Roman" w:hAnsi="Times New Roman" w:cs="Times New Roman"/>
          <w:sz w:val="24"/>
        </w:rPr>
        <w:t>s y dispuest</w:t>
      </w:r>
      <w:r w:rsidR="006C0FB8" w:rsidRPr="00474A1F">
        <w:rPr>
          <w:rFonts w:ascii="Times New Roman" w:hAnsi="Times New Roman" w:cs="Times New Roman"/>
          <w:sz w:val="24"/>
        </w:rPr>
        <w:t>o</w:t>
      </w:r>
      <w:r w:rsidR="00A3573E" w:rsidRPr="00474A1F">
        <w:rPr>
          <w:rFonts w:ascii="Times New Roman" w:hAnsi="Times New Roman" w:cs="Times New Roman"/>
          <w:sz w:val="24"/>
        </w:rPr>
        <w:t xml:space="preserve">s al </w:t>
      </w:r>
      <w:r w:rsidR="003A5F9A" w:rsidRPr="00474A1F">
        <w:rPr>
          <w:rFonts w:ascii="Times New Roman" w:hAnsi="Times New Roman" w:cs="Times New Roman"/>
          <w:sz w:val="24"/>
        </w:rPr>
        <w:t>cambio.</w:t>
      </w:r>
      <w:r w:rsidR="00873870" w:rsidRPr="00474A1F">
        <w:rPr>
          <w:rFonts w:ascii="Times New Roman" w:hAnsi="Times New Roman" w:cs="Times New Roman"/>
          <w:sz w:val="24"/>
        </w:rPr>
        <w:t xml:space="preserve"> De hecho, </w:t>
      </w:r>
      <w:r w:rsidR="003A5F9A" w:rsidRPr="00474A1F">
        <w:rPr>
          <w:rFonts w:ascii="Times New Roman" w:hAnsi="Times New Roman" w:cs="Times New Roman"/>
          <w:sz w:val="24"/>
        </w:rPr>
        <w:t xml:space="preserve">la vinculación entre </w:t>
      </w:r>
      <w:r w:rsidR="00873870" w:rsidRPr="00474A1F">
        <w:rPr>
          <w:rFonts w:ascii="Times New Roman" w:hAnsi="Times New Roman" w:cs="Times New Roman"/>
          <w:sz w:val="24"/>
        </w:rPr>
        <w:t xml:space="preserve">las </w:t>
      </w:r>
      <w:r w:rsidR="003A5F9A" w:rsidRPr="00474A1F">
        <w:rPr>
          <w:rFonts w:ascii="Times New Roman" w:hAnsi="Times New Roman" w:cs="Times New Roman"/>
          <w:sz w:val="24"/>
        </w:rPr>
        <w:t xml:space="preserve">universidades y </w:t>
      </w:r>
      <w:r w:rsidR="00873870" w:rsidRPr="00474A1F">
        <w:rPr>
          <w:rFonts w:ascii="Times New Roman" w:hAnsi="Times New Roman" w:cs="Times New Roman"/>
          <w:sz w:val="24"/>
        </w:rPr>
        <w:t xml:space="preserve">el </w:t>
      </w:r>
      <w:r w:rsidR="003A5F9A" w:rsidRPr="00474A1F">
        <w:rPr>
          <w:rFonts w:ascii="Times New Roman" w:hAnsi="Times New Roman" w:cs="Times New Roman"/>
          <w:sz w:val="24"/>
        </w:rPr>
        <w:t>sector empresarial</w:t>
      </w:r>
      <w:r w:rsidR="00873870" w:rsidRPr="00474A1F">
        <w:rPr>
          <w:rFonts w:ascii="Times New Roman" w:hAnsi="Times New Roman" w:cs="Times New Roman"/>
          <w:sz w:val="24"/>
        </w:rPr>
        <w:t xml:space="preserve"> podrá aumentar los niveles de </w:t>
      </w:r>
      <w:r w:rsidR="003A5F9A" w:rsidRPr="00474A1F">
        <w:rPr>
          <w:rFonts w:ascii="Times New Roman" w:hAnsi="Times New Roman" w:cs="Times New Roman"/>
          <w:sz w:val="24"/>
        </w:rPr>
        <w:t xml:space="preserve">desarrollo </w:t>
      </w:r>
      <w:r w:rsidR="00873870" w:rsidRPr="00474A1F">
        <w:rPr>
          <w:rFonts w:ascii="Times New Roman" w:hAnsi="Times New Roman" w:cs="Times New Roman"/>
          <w:sz w:val="24"/>
        </w:rPr>
        <w:t xml:space="preserve">económico y social de un estado, pues esto permitirá crear nuevas </w:t>
      </w:r>
      <w:r w:rsidR="003A5F9A" w:rsidRPr="00474A1F">
        <w:rPr>
          <w:rFonts w:ascii="Times New Roman" w:hAnsi="Times New Roman" w:cs="Times New Roman"/>
          <w:sz w:val="24"/>
        </w:rPr>
        <w:t xml:space="preserve">líneas de generación y aplicación del conocimiento, así como políticas de evaluación </w:t>
      </w:r>
      <w:r w:rsidR="00873870" w:rsidRPr="00474A1F">
        <w:rPr>
          <w:rFonts w:ascii="Times New Roman" w:hAnsi="Times New Roman" w:cs="Times New Roman"/>
          <w:sz w:val="24"/>
        </w:rPr>
        <w:t>sobre</w:t>
      </w:r>
      <w:r w:rsidR="003A5F9A" w:rsidRPr="00474A1F">
        <w:rPr>
          <w:rFonts w:ascii="Times New Roman" w:hAnsi="Times New Roman" w:cs="Times New Roman"/>
          <w:sz w:val="24"/>
        </w:rPr>
        <w:t xml:space="preserve"> la pertinencia de la investigación</w:t>
      </w:r>
      <w:r w:rsidR="006C0FB8" w:rsidRPr="00474A1F">
        <w:rPr>
          <w:rFonts w:ascii="Times New Roman" w:hAnsi="Times New Roman" w:cs="Times New Roman"/>
          <w:sz w:val="24"/>
        </w:rPr>
        <w:t>,</w:t>
      </w:r>
      <w:r w:rsidR="00BE71DC" w:rsidRPr="00474A1F">
        <w:rPr>
          <w:rFonts w:ascii="Times New Roman" w:hAnsi="Times New Roman" w:cs="Times New Roman"/>
          <w:sz w:val="24"/>
        </w:rPr>
        <w:t xml:space="preserve"> </w:t>
      </w:r>
      <w:r w:rsidR="00873870" w:rsidRPr="00474A1F">
        <w:rPr>
          <w:rFonts w:ascii="Times New Roman" w:hAnsi="Times New Roman" w:cs="Times New Roman"/>
          <w:sz w:val="24"/>
        </w:rPr>
        <w:t xml:space="preserve">lo que fomentará </w:t>
      </w:r>
      <w:r w:rsidR="00BE71DC" w:rsidRPr="00474A1F">
        <w:rPr>
          <w:rFonts w:ascii="Times New Roman" w:hAnsi="Times New Roman" w:cs="Times New Roman"/>
          <w:sz w:val="24"/>
        </w:rPr>
        <w:t>una educación de calidad</w:t>
      </w:r>
      <w:r w:rsidR="00873870" w:rsidRPr="00474A1F">
        <w:rPr>
          <w:rFonts w:ascii="Times New Roman" w:hAnsi="Times New Roman" w:cs="Times New Roman"/>
          <w:sz w:val="24"/>
        </w:rPr>
        <w:t xml:space="preserve"> y más ajustada a </w:t>
      </w:r>
      <w:r w:rsidR="00BE71DC" w:rsidRPr="00474A1F">
        <w:rPr>
          <w:rFonts w:ascii="Times New Roman" w:hAnsi="Times New Roman" w:cs="Times New Roman"/>
          <w:sz w:val="24"/>
        </w:rPr>
        <w:t xml:space="preserve">las necesidades de </w:t>
      </w:r>
      <w:r w:rsidR="003A5F9A" w:rsidRPr="00474A1F">
        <w:rPr>
          <w:rFonts w:ascii="Times New Roman" w:hAnsi="Times New Roman" w:cs="Times New Roman"/>
          <w:sz w:val="24"/>
        </w:rPr>
        <w:t>las empresas de la región.</w:t>
      </w:r>
      <w:r w:rsidR="0055485E" w:rsidRPr="00474A1F">
        <w:rPr>
          <w:rFonts w:ascii="Times New Roman" w:hAnsi="Times New Roman" w:cs="Times New Roman"/>
          <w:sz w:val="24"/>
        </w:rPr>
        <w:t xml:space="preserve"> </w:t>
      </w:r>
    </w:p>
    <w:p w14:paraId="5F3BD641" w14:textId="1924242C" w:rsidR="0055485E" w:rsidRPr="00474A1F" w:rsidRDefault="0055485E" w:rsidP="00873870">
      <w:pPr>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sz w:val="24"/>
        </w:rPr>
        <w:t xml:space="preserve">En este sentido, </w:t>
      </w:r>
      <w:r w:rsidR="00301C29" w:rsidRPr="00474A1F">
        <w:rPr>
          <w:rFonts w:ascii="Times New Roman" w:hAnsi="Times New Roman" w:cs="Times New Roman"/>
          <w:sz w:val="24"/>
        </w:rPr>
        <w:t>D</w:t>
      </w:r>
      <w:r w:rsidRPr="00474A1F">
        <w:rPr>
          <w:rFonts w:ascii="Times New Roman" w:hAnsi="Times New Roman" w:cs="Times New Roman"/>
          <w:noProof/>
          <w:sz w:val="24"/>
          <w:lang w:val="es-ES"/>
        </w:rPr>
        <w:t xml:space="preserve">e Arteche, Santucci </w:t>
      </w:r>
      <w:r w:rsidR="00197E03" w:rsidRPr="00474A1F">
        <w:rPr>
          <w:rFonts w:ascii="Times New Roman" w:hAnsi="Times New Roman" w:cs="Times New Roman"/>
          <w:noProof/>
          <w:sz w:val="24"/>
          <w:lang w:val="es-ES"/>
        </w:rPr>
        <w:t>y</w:t>
      </w:r>
      <w:r w:rsidRPr="00474A1F">
        <w:rPr>
          <w:rFonts w:ascii="Times New Roman" w:hAnsi="Times New Roman" w:cs="Times New Roman"/>
          <w:noProof/>
          <w:sz w:val="24"/>
          <w:lang w:val="es-ES"/>
        </w:rPr>
        <w:t xml:space="preserve"> Welsh</w:t>
      </w:r>
      <w:r w:rsidR="006C0FB8" w:rsidRPr="00474A1F">
        <w:rPr>
          <w:rFonts w:ascii="Times New Roman" w:hAnsi="Times New Roman" w:cs="Times New Roman"/>
          <w:noProof/>
          <w:sz w:val="24"/>
          <w:lang w:val="es-ES"/>
        </w:rPr>
        <w:t xml:space="preserve"> (2013)</w:t>
      </w:r>
      <w:r w:rsidRPr="00474A1F">
        <w:rPr>
          <w:rFonts w:ascii="Times New Roman" w:hAnsi="Times New Roman" w:cs="Times New Roman"/>
          <w:sz w:val="24"/>
        </w:rPr>
        <w:t xml:space="preserve"> </w:t>
      </w:r>
      <w:bookmarkStart w:id="2" w:name="_Hlk982266"/>
      <w:r w:rsidRPr="00474A1F">
        <w:rPr>
          <w:rFonts w:ascii="Times New Roman" w:hAnsi="Times New Roman" w:cs="Times New Roman"/>
          <w:sz w:val="24"/>
        </w:rPr>
        <w:t xml:space="preserve">explican que </w:t>
      </w:r>
      <w:r w:rsidR="0030523B" w:rsidRPr="00474A1F">
        <w:rPr>
          <w:rFonts w:ascii="Times New Roman" w:hAnsi="Times New Roman" w:cs="Times New Roman"/>
          <w:sz w:val="24"/>
        </w:rPr>
        <w:t>la vinculación comienza a partir de liderazgos</w:t>
      </w:r>
      <w:r w:rsidR="00873870" w:rsidRPr="00474A1F">
        <w:rPr>
          <w:rFonts w:ascii="Times New Roman" w:hAnsi="Times New Roman" w:cs="Times New Roman"/>
          <w:sz w:val="24"/>
        </w:rPr>
        <w:t xml:space="preserve"> que promuevan nexos entre </w:t>
      </w:r>
      <w:r w:rsidR="0030523B" w:rsidRPr="00474A1F">
        <w:rPr>
          <w:rFonts w:ascii="Times New Roman" w:hAnsi="Times New Roman" w:cs="Times New Roman"/>
          <w:sz w:val="24"/>
        </w:rPr>
        <w:t xml:space="preserve">las universidades y los centros de investigación </w:t>
      </w:r>
      <w:r w:rsidR="00873870" w:rsidRPr="00474A1F">
        <w:rPr>
          <w:rFonts w:ascii="Times New Roman" w:hAnsi="Times New Roman" w:cs="Times New Roman"/>
          <w:sz w:val="24"/>
        </w:rPr>
        <w:t>con las</w:t>
      </w:r>
      <w:r w:rsidR="0030523B" w:rsidRPr="00474A1F">
        <w:rPr>
          <w:rFonts w:ascii="Times New Roman" w:hAnsi="Times New Roman" w:cs="Times New Roman"/>
          <w:sz w:val="24"/>
        </w:rPr>
        <w:t xml:space="preserve"> empresas y los sectores productivos de la región. </w:t>
      </w:r>
      <w:r w:rsidR="00873870" w:rsidRPr="00474A1F">
        <w:rPr>
          <w:rFonts w:ascii="Times New Roman" w:hAnsi="Times New Roman" w:cs="Times New Roman"/>
          <w:sz w:val="24"/>
        </w:rPr>
        <w:t>Esta idea</w:t>
      </w:r>
      <w:r w:rsidR="00B30BE4" w:rsidRPr="00474A1F">
        <w:rPr>
          <w:rFonts w:ascii="Times New Roman" w:hAnsi="Times New Roman" w:cs="Times New Roman"/>
          <w:sz w:val="24"/>
        </w:rPr>
        <w:t xml:space="preserve"> se </w:t>
      </w:r>
      <w:r w:rsidR="00873870" w:rsidRPr="00474A1F">
        <w:rPr>
          <w:rFonts w:ascii="Times New Roman" w:hAnsi="Times New Roman" w:cs="Times New Roman"/>
          <w:sz w:val="24"/>
        </w:rPr>
        <w:t xml:space="preserve">sustenta en </w:t>
      </w:r>
      <w:r w:rsidR="00B30BE4" w:rsidRPr="00474A1F">
        <w:rPr>
          <w:rFonts w:ascii="Times New Roman" w:hAnsi="Times New Roman" w:cs="Times New Roman"/>
          <w:sz w:val="24"/>
        </w:rPr>
        <w:t xml:space="preserve">lo expuesto por </w:t>
      </w:r>
      <w:bookmarkEnd w:id="2"/>
      <w:r w:rsidR="00A07D19" w:rsidRPr="00474A1F">
        <w:rPr>
          <w:rFonts w:ascii="Times New Roman" w:hAnsi="Times New Roman" w:cs="Times New Roman"/>
          <w:noProof/>
          <w:sz w:val="24"/>
          <w:szCs w:val="24"/>
          <w:lang w:val="es-VE"/>
        </w:rPr>
        <w:t>Sharifi Liu y Ismail</w:t>
      </w:r>
      <w:r w:rsidR="006C0FB8" w:rsidRPr="00474A1F">
        <w:rPr>
          <w:rFonts w:ascii="Times New Roman" w:hAnsi="Times New Roman" w:cs="Times New Roman"/>
          <w:noProof/>
          <w:sz w:val="24"/>
          <w:lang w:val="es-ES"/>
        </w:rPr>
        <w:t xml:space="preserve"> (2013)</w:t>
      </w:r>
      <w:r w:rsidR="00B30BE4" w:rsidRPr="00474A1F">
        <w:rPr>
          <w:rFonts w:ascii="Times New Roman" w:hAnsi="Times New Roman" w:cs="Times New Roman"/>
          <w:sz w:val="24"/>
        </w:rPr>
        <w:t xml:space="preserve">, quienes concluyen que el establecimiento de estrategias exitosas de </w:t>
      </w:r>
      <w:r w:rsidR="002D650E" w:rsidRPr="00474A1F">
        <w:rPr>
          <w:rFonts w:ascii="Times New Roman" w:hAnsi="Times New Roman" w:cs="Times New Roman"/>
          <w:sz w:val="24"/>
        </w:rPr>
        <w:t>vinculación</w:t>
      </w:r>
      <w:r w:rsidR="00B30BE4" w:rsidRPr="00474A1F">
        <w:rPr>
          <w:rFonts w:ascii="Times New Roman" w:hAnsi="Times New Roman" w:cs="Times New Roman"/>
          <w:sz w:val="24"/>
        </w:rPr>
        <w:t xml:space="preserve"> depende en gran medida de los </w:t>
      </w:r>
      <w:r w:rsidR="00B30BE4" w:rsidRPr="00474A1F">
        <w:rPr>
          <w:rFonts w:ascii="Times New Roman" w:hAnsi="Times New Roman" w:cs="Times New Roman"/>
          <w:sz w:val="24"/>
        </w:rPr>
        <w:lastRenderedPageBreak/>
        <w:t>gerentes de las oficinas de transferencia del conocimiento en las universidades</w:t>
      </w:r>
      <w:r w:rsidR="0076586D" w:rsidRPr="00474A1F">
        <w:rPr>
          <w:rFonts w:ascii="Times New Roman" w:hAnsi="Times New Roman" w:cs="Times New Roman"/>
          <w:sz w:val="24"/>
        </w:rPr>
        <w:t>, cuya</w:t>
      </w:r>
      <w:r w:rsidR="00990FD4" w:rsidRPr="00474A1F">
        <w:rPr>
          <w:rFonts w:ascii="Times New Roman" w:hAnsi="Times New Roman" w:cs="Times New Roman"/>
          <w:sz w:val="24"/>
        </w:rPr>
        <w:t xml:space="preserve"> visión </w:t>
      </w:r>
      <w:r w:rsidR="0076586D" w:rsidRPr="00474A1F">
        <w:rPr>
          <w:rFonts w:ascii="Times New Roman" w:hAnsi="Times New Roman" w:cs="Times New Roman"/>
          <w:sz w:val="24"/>
        </w:rPr>
        <w:t>puede</w:t>
      </w:r>
      <w:r w:rsidR="00990FD4" w:rsidRPr="00474A1F">
        <w:rPr>
          <w:rFonts w:ascii="Times New Roman" w:hAnsi="Times New Roman" w:cs="Times New Roman"/>
          <w:sz w:val="24"/>
        </w:rPr>
        <w:t xml:space="preserve"> </w:t>
      </w:r>
      <w:r w:rsidR="0076586D" w:rsidRPr="00474A1F">
        <w:rPr>
          <w:rFonts w:ascii="Times New Roman" w:hAnsi="Times New Roman" w:cs="Times New Roman"/>
          <w:sz w:val="24"/>
        </w:rPr>
        <w:t xml:space="preserve">ser </w:t>
      </w:r>
      <w:r w:rsidR="00990FD4" w:rsidRPr="00474A1F">
        <w:rPr>
          <w:rFonts w:ascii="Times New Roman" w:hAnsi="Times New Roman" w:cs="Times New Roman"/>
          <w:sz w:val="24"/>
        </w:rPr>
        <w:t xml:space="preserve">vital para la </w:t>
      </w:r>
      <w:r w:rsidR="0076586D" w:rsidRPr="00474A1F">
        <w:rPr>
          <w:rFonts w:ascii="Times New Roman" w:hAnsi="Times New Roman" w:cs="Times New Roman"/>
          <w:sz w:val="24"/>
        </w:rPr>
        <w:t>transformación.</w:t>
      </w:r>
      <w:r w:rsidR="00990FD4" w:rsidRPr="00474A1F">
        <w:rPr>
          <w:rFonts w:ascii="Times New Roman" w:hAnsi="Times New Roman" w:cs="Times New Roman"/>
          <w:sz w:val="24"/>
        </w:rPr>
        <w:t xml:space="preserve"> </w:t>
      </w:r>
      <w:r w:rsidR="00873870" w:rsidRPr="00474A1F">
        <w:rPr>
          <w:rFonts w:ascii="Times New Roman" w:hAnsi="Times New Roman" w:cs="Times New Roman"/>
          <w:sz w:val="24"/>
        </w:rPr>
        <w:t xml:space="preserve">En otras palabras, </w:t>
      </w:r>
      <w:r w:rsidR="00990FD4" w:rsidRPr="00474A1F">
        <w:rPr>
          <w:rFonts w:ascii="Times New Roman" w:hAnsi="Times New Roman" w:cs="Times New Roman"/>
          <w:sz w:val="24"/>
        </w:rPr>
        <w:t xml:space="preserve">el fortalecimiento de </w:t>
      </w:r>
      <w:r w:rsidR="003134FB" w:rsidRPr="00474A1F">
        <w:rPr>
          <w:rFonts w:ascii="Times New Roman" w:hAnsi="Times New Roman" w:cs="Times New Roman"/>
          <w:sz w:val="24"/>
        </w:rPr>
        <w:t xml:space="preserve">esta </w:t>
      </w:r>
      <w:r w:rsidR="0030523B" w:rsidRPr="00474A1F">
        <w:rPr>
          <w:rFonts w:ascii="Times New Roman" w:hAnsi="Times New Roman" w:cs="Times New Roman"/>
          <w:color w:val="000000"/>
          <w:sz w:val="24"/>
          <w:szCs w:val="24"/>
        </w:rPr>
        <w:t xml:space="preserve">vinculación </w:t>
      </w:r>
      <w:r w:rsidRPr="00474A1F">
        <w:rPr>
          <w:rFonts w:ascii="Times New Roman" w:hAnsi="Times New Roman" w:cs="Times New Roman"/>
          <w:color w:val="000000"/>
          <w:sz w:val="24"/>
          <w:szCs w:val="24"/>
        </w:rPr>
        <w:t xml:space="preserve">y </w:t>
      </w:r>
      <w:r w:rsidR="00990FD4" w:rsidRPr="00474A1F">
        <w:rPr>
          <w:rFonts w:ascii="Times New Roman" w:hAnsi="Times New Roman" w:cs="Times New Roman"/>
          <w:color w:val="000000"/>
          <w:sz w:val="24"/>
          <w:szCs w:val="24"/>
        </w:rPr>
        <w:t xml:space="preserve">la eficacia de las estrategias de transferencia </w:t>
      </w:r>
      <w:r w:rsidRPr="00474A1F">
        <w:rPr>
          <w:rFonts w:ascii="Times New Roman" w:hAnsi="Times New Roman" w:cs="Times New Roman"/>
          <w:color w:val="000000"/>
          <w:sz w:val="24"/>
          <w:szCs w:val="24"/>
        </w:rPr>
        <w:t>depende</w:t>
      </w:r>
      <w:r w:rsidR="00873870" w:rsidRPr="00474A1F">
        <w:rPr>
          <w:rFonts w:ascii="Times New Roman" w:hAnsi="Times New Roman" w:cs="Times New Roman"/>
          <w:color w:val="000000"/>
          <w:sz w:val="24"/>
          <w:szCs w:val="24"/>
        </w:rPr>
        <w:t>n</w:t>
      </w:r>
      <w:r w:rsidRPr="00474A1F">
        <w:rPr>
          <w:rFonts w:ascii="Times New Roman" w:hAnsi="Times New Roman" w:cs="Times New Roman"/>
          <w:color w:val="000000"/>
          <w:sz w:val="24"/>
          <w:szCs w:val="24"/>
        </w:rPr>
        <w:t xml:space="preserve"> del capital relacional, es decir, de cómo los actores de l</w:t>
      </w:r>
      <w:r w:rsidR="00C02957" w:rsidRPr="00474A1F">
        <w:rPr>
          <w:rFonts w:ascii="Times New Roman" w:hAnsi="Times New Roman" w:cs="Times New Roman"/>
          <w:color w:val="000000"/>
          <w:sz w:val="24"/>
          <w:szCs w:val="24"/>
        </w:rPr>
        <w:t>a</w:t>
      </w:r>
      <w:r w:rsidRPr="00474A1F">
        <w:rPr>
          <w:rFonts w:ascii="Times New Roman" w:hAnsi="Times New Roman" w:cs="Times New Roman"/>
          <w:color w:val="000000"/>
          <w:sz w:val="24"/>
          <w:szCs w:val="24"/>
        </w:rPr>
        <w:t xml:space="preserve">s </w:t>
      </w:r>
      <w:r w:rsidR="00C02957" w:rsidRPr="00474A1F">
        <w:rPr>
          <w:rFonts w:ascii="Times New Roman" w:hAnsi="Times New Roman" w:cs="Times New Roman"/>
          <w:color w:val="000000"/>
          <w:sz w:val="24"/>
          <w:szCs w:val="24"/>
        </w:rPr>
        <w:t xml:space="preserve">instituciones y </w:t>
      </w:r>
      <w:r w:rsidR="00990FD4" w:rsidRPr="00474A1F">
        <w:rPr>
          <w:rFonts w:ascii="Times New Roman" w:hAnsi="Times New Roman" w:cs="Times New Roman"/>
          <w:color w:val="000000"/>
          <w:sz w:val="24"/>
          <w:szCs w:val="24"/>
        </w:rPr>
        <w:t xml:space="preserve">los </w:t>
      </w:r>
      <w:r w:rsidR="00C02957" w:rsidRPr="00474A1F">
        <w:rPr>
          <w:rFonts w:ascii="Times New Roman" w:hAnsi="Times New Roman" w:cs="Times New Roman"/>
          <w:color w:val="000000"/>
          <w:sz w:val="24"/>
          <w:szCs w:val="24"/>
        </w:rPr>
        <w:t>sectores</w:t>
      </w:r>
      <w:r w:rsidR="00990FD4" w:rsidRPr="00474A1F">
        <w:rPr>
          <w:rFonts w:ascii="Times New Roman" w:hAnsi="Times New Roman" w:cs="Times New Roman"/>
          <w:color w:val="000000"/>
          <w:sz w:val="24"/>
          <w:szCs w:val="24"/>
        </w:rPr>
        <w:t xml:space="preserve"> </w:t>
      </w:r>
      <w:r w:rsidR="00BE3C9C" w:rsidRPr="00474A1F">
        <w:rPr>
          <w:rFonts w:ascii="Times New Roman" w:hAnsi="Times New Roman" w:cs="Times New Roman"/>
          <w:color w:val="000000"/>
          <w:sz w:val="24"/>
          <w:szCs w:val="24"/>
        </w:rPr>
        <w:t>empresariales</w:t>
      </w:r>
      <w:r w:rsidR="00C02957"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 xml:space="preserve">se </w:t>
      </w:r>
      <w:r w:rsidR="00873870" w:rsidRPr="00474A1F">
        <w:rPr>
          <w:rFonts w:ascii="Times New Roman" w:hAnsi="Times New Roman" w:cs="Times New Roman"/>
          <w:color w:val="000000"/>
          <w:sz w:val="24"/>
          <w:szCs w:val="24"/>
        </w:rPr>
        <w:t>asocian</w:t>
      </w:r>
      <w:r w:rsidRPr="00474A1F">
        <w:rPr>
          <w:rFonts w:ascii="Times New Roman" w:hAnsi="Times New Roman" w:cs="Times New Roman"/>
          <w:color w:val="000000"/>
          <w:sz w:val="24"/>
          <w:szCs w:val="24"/>
        </w:rPr>
        <w:t xml:space="preserve"> eficazmente.</w:t>
      </w:r>
      <w:r w:rsidR="00DB5D1B" w:rsidRPr="00474A1F">
        <w:rPr>
          <w:rFonts w:ascii="Times New Roman" w:hAnsi="Times New Roman" w:cs="Times New Roman"/>
          <w:color w:val="000000"/>
          <w:sz w:val="24"/>
          <w:szCs w:val="24"/>
        </w:rPr>
        <w:t xml:space="preserve"> </w:t>
      </w:r>
    </w:p>
    <w:p w14:paraId="5DD57715" w14:textId="79FC47F5" w:rsidR="0065063A" w:rsidRPr="00474A1F" w:rsidRDefault="0065063A" w:rsidP="00DB4333">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74A1F">
        <w:rPr>
          <w:rFonts w:ascii="Times New Roman" w:hAnsi="Times New Roman" w:cs="Times New Roman"/>
          <w:color w:val="000000"/>
          <w:sz w:val="24"/>
          <w:szCs w:val="24"/>
        </w:rPr>
        <w:t xml:space="preserve">Para ello, las </w:t>
      </w:r>
      <w:r w:rsidR="009729C3" w:rsidRPr="00474A1F">
        <w:rPr>
          <w:rFonts w:ascii="Times New Roman" w:hAnsi="Times New Roman" w:cs="Times New Roman"/>
          <w:color w:val="000000"/>
          <w:sz w:val="24"/>
          <w:szCs w:val="24"/>
        </w:rPr>
        <w:t xml:space="preserve">universidades </w:t>
      </w:r>
      <w:r w:rsidRPr="00474A1F">
        <w:rPr>
          <w:rFonts w:ascii="Times New Roman" w:hAnsi="Times New Roman" w:cs="Times New Roman"/>
          <w:color w:val="000000"/>
          <w:sz w:val="24"/>
          <w:szCs w:val="24"/>
        </w:rPr>
        <w:t xml:space="preserve">deben apoyar </w:t>
      </w:r>
      <w:r w:rsidR="009729C3" w:rsidRPr="00474A1F">
        <w:rPr>
          <w:rFonts w:ascii="Times New Roman" w:hAnsi="Times New Roman" w:cs="Times New Roman"/>
          <w:color w:val="000000"/>
          <w:sz w:val="24"/>
          <w:szCs w:val="24"/>
        </w:rPr>
        <w:t>su responsabili</w:t>
      </w:r>
      <w:r w:rsidR="003134FB" w:rsidRPr="00474A1F">
        <w:rPr>
          <w:rFonts w:ascii="Times New Roman" w:hAnsi="Times New Roman" w:cs="Times New Roman"/>
          <w:color w:val="000000"/>
          <w:sz w:val="24"/>
          <w:szCs w:val="24"/>
        </w:rPr>
        <w:t xml:space="preserve">dad </w:t>
      </w:r>
      <w:r w:rsidR="009729C3" w:rsidRPr="00474A1F">
        <w:rPr>
          <w:rFonts w:ascii="Times New Roman" w:hAnsi="Times New Roman" w:cs="Times New Roman"/>
          <w:color w:val="000000"/>
          <w:sz w:val="24"/>
          <w:szCs w:val="24"/>
        </w:rPr>
        <w:t xml:space="preserve">social en el trabajo </w:t>
      </w:r>
      <w:r w:rsidR="00CF11D1" w:rsidRPr="00474A1F">
        <w:rPr>
          <w:rFonts w:ascii="Times New Roman" w:hAnsi="Times New Roman" w:cs="Times New Roman"/>
          <w:color w:val="000000"/>
          <w:sz w:val="24"/>
          <w:szCs w:val="24"/>
        </w:rPr>
        <w:t xml:space="preserve">que </w:t>
      </w:r>
      <w:r w:rsidR="003134FB" w:rsidRPr="00474A1F">
        <w:rPr>
          <w:rFonts w:ascii="Times New Roman" w:hAnsi="Times New Roman" w:cs="Times New Roman"/>
          <w:color w:val="000000"/>
          <w:sz w:val="24"/>
          <w:szCs w:val="24"/>
        </w:rPr>
        <w:t xml:space="preserve">realizan </w:t>
      </w:r>
      <w:r w:rsidRPr="00474A1F">
        <w:rPr>
          <w:rFonts w:ascii="Times New Roman" w:hAnsi="Times New Roman" w:cs="Times New Roman"/>
          <w:color w:val="000000"/>
          <w:sz w:val="24"/>
          <w:szCs w:val="24"/>
        </w:rPr>
        <w:t xml:space="preserve">las </w:t>
      </w:r>
      <w:r w:rsidR="003134FB" w:rsidRPr="00474A1F">
        <w:rPr>
          <w:rFonts w:ascii="Times New Roman" w:hAnsi="Times New Roman" w:cs="Times New Roman"/>
          <w:sz w:val="24"/>
        </w:rPr>
        <w:t>oficinas de transferencia</w:t>
      </w:r>
      <w:r w:rsidRPr="00474A1F">
        <w:rPr>
          <w:rFonts w:ascii="Times New Roman" w:hAnsi="Times New Roman" w:cs="Times New Roman"/>
          <w:color w:val="000000"/>
          <w:sz w:val="24"/>
          <w:szCs w:val="24"/>
        </w:rPr>
        <w:t xml:space="preserve"> y </w:t>
      </w:r>
      <w:r w:rsidR="003134FB" w:rsidRPr="00474A1F">
        <w:rPr>
          <w:rFonts w:ascii="Times New Roman" w:hAnsi="Times New Roman" w:cs="Times New Roman"/>
          <w:color w:val="000000"/>
          <w:sz w:val="24"/>
          <w:szCs w:val="24"/>
        </w:rPr>
        <w:t xml:space="preserve">fortalecerlas con el nivel adecuado </w:t>
      </w:r>
      <w:r w:rsidRPr="00474A1F">
        <w:rPr>
          <w:rFonts w:ascii="Times New Roman" w:hAnsi="Times New Roman" w:cs="Times New Roman"/>
          <w:color w:val="000000"/>
          <w:sz w:val="24"/>
          <w:szCs w:val="24"/>
        </w:rPr>
        <w:t>en la estructura organiza</w:t>
      </w:r>
      <w:r w:rsidR="003134FB" w:rsidRPr="00474A1F">
        <w:rPr>
          <w:rFonts w:ascii="Times New Roman" w:hAnsi="Times New Roman" w:cs="Times New Roman"/>
          <w:color w:val="000000"/>
          <w:sz w:val="24"/>
          <w:szCs w:val="24"/>
        </w:rPr>
        <w:t xml:space="preserve">cional </w:t>
      </w:r>
      <w:r w:rsidRPr="00474A1F">
        <w:rPr>
          <w:rFonts w:ascii="Times New Roman" w:hAnsi="Times New Roman" w:cs="Times New Roman"/>
          <w:color w:val="000000"/>
          <w:sz w:val="24"/>
          <w:szCs w:val="24"/>
        </w:rPr>
        <w:t>de la institución.</w:t>
      </w:r>
      <w:r w:rsidR="0055485E" w:rsidRPr="00474A1F">
        <w:rPr>
          <w:rFonts w:ascii="Times New Roman" w:hAnsi="Times New Roman" w:cs="Times New Roman"/>
          <w:color w:val="000000"/>
          <w:sz w:val="24"/>
          <w:szCs w:val="24"/>
        </w:rPr>
        <w:t xml:space="preserve"> </w:t>
      </w:r>
      <w:r w:rsidR="006C0FB8" w:rsidRPr="00474A1F">
        <w:rPr>
          <w:rFonts w:ascii="Times New Roman" w:hAnsi="Times New Roman" w:cs="Times New Roman"/>
          <w:color w:val="000000"/>
          <w:sz w:val="24"/>
          <w:szCs w:val="24"/>
        </w:rPr>
        <w:t>Asimismo</w:t>
      </w:r>
      <w:r w:rsidRPr="00474A1F">
        <w:rPr>
          <w:rFonts w:ascii="Times New Roman" w:hAnsi="Times New Roman" w:cs="Times New Roman"/>
          <w:color w:val="000000"/>
          <w:sz w:val="24"/>
          <w:szCs w:val="24"/>
        </w:rPr>
        <w:t xml:space="preserve">, </w:t>
      </w:r>
      <w:r w:rsidR="00CF11D1" w:rsidRPr="00474A1F">
        <w:rPr>
          <w:rFonts w:ascii="Times New Roman" w:hAnsi="Times New Roman" w:cs="Times New Roman"/>
          <w:color w:val="000000"/>
          <w:sz w:val="24"/>
          <w:szCs w:val="24"/>
        </w:rPr>
        <w:t xml:space="preserve">estructurar procedimientos y reglamentaciones </w:t>
      </w:r>
      <w:r w:rsidRPr="00474A1F">
        <w:rPr>
          <w:rFonts w:ascii="Times New Roman" w:hAnsi="Times New Roman" w:cs="Times New Roman"/>
          <w:color w:val="000000"/>
          <w:sz w:val="24"/>
          <w:szCs w:val="24"/>
        </w:rPr>
        <w:t>intern</w:t>
      </w:r>
      <w:r w:rsidR="00173935" w:rsidRPr="00474A1F">
        <w:rPr>
          <w:rFonts w:ascii="Times New Roman" w:hAnsi="Times New Roman" w:cs="Times New Roman"/>
          <w:color w:val="000000"/>
          <w:sz w:val="24"/>
          <w:szCs w:val="24"/>
        </w:rPr>
        <w:t>a</w:t>
      </w:r>
      <w:r w:rsidR="00CF11D1" w:rsidRPr="00474A1F">
        <w:rPr>
          <w:rFonts w:ascii="Times New Roman" w:hAnsi="Times New Roman" w:cs="Times New Roman"/>
          <w:color w:val="000000"/>
          <w:sz w:val="24"/>
          <w:szCs w:val="24"/>
        </w:rPr>
        <w:t>s</w:t>
      </w:r>
      <w:r w:rsidRPr="00474A1F">
        <w:rPr>
          <w:rFonts w:ascii="Times New Roman" w:hAnsi="Times New Roman" w:cs="Times New Roman"/>
          <w:color w:val="000000"/>
          <w:sz w:val="24"/>
          <w:szCs w:val="24"/>
        </w:rPr>
        <w:t xml:space="preserve"> en materia de vinculación con la</w:t>
      </w:r>
      <w:r w:rsidR="00D33054" w:rsidRPr="00474A1F">
        <w:rPr>
          <w:rFonts w:ascii="Times New Roman" w:hAnsi="Times New Roman" w:cs="Times New Roman"/>
          <w:color w:val="000000"/>
          <w:sz w:val="24"/>
          <w:szCs w:val="24"/>
        </w:rPr>
        <w:t>s</w:t>
      </w:r>
      <w:r w:rsidR="0055485E" w:rsidRPr="00474A1F">
        <w:rPr>
          <w:rFonts w:ascii="Times New Roman" w:hAnsi="Times New Roman" w:cs="Times New Roman"/>
          <w:color w:val="000000"/>
          <w:sz w:val="24"/>
          <w:szCs w:val="24"/>
        </w:rPr>
        <w:t xml:space="preserve"> </w:t>
      </w:r>
      <w:r w:rsidR="00D33054" w:rsidRPr="00474A1F">
        <w:rPr>
          <w:rFonts w:ascii="Times New Roman" w:hAnsi="Times New Roman" w:cs="Times New Roman"/>
          <w:color w:val="000000"/>
          <w:sz w:val="24"/>
          <w:szCs w:val="24"/>
        </w:rPr>
        <w:t>empresas</w:t>
      </w:r>
      <w:r w:rsidR="00873870" w:rsidRPr="00474A1F">
        <w:rPr>
          <w:rFonts w:ascii="Times New Roman" w:hAnsi="Times New Roman" w:cs="Times New Roman"/>
          <w:color w:val="000000"/>
          <w:sz w:val="24"/>
          <w:szCs w:val="24"/>
        </w:rPr>
        <w:t>, así como</w:t>
      </w:r>
      <w:r w:rsidR="007912E0" w:rsidRPr="00474A1F">
        <w:rPr>
          <w:rFonts w:ascii="Times New Roman" w:hAnsi="Times New Roman" w:cs="Times New Roman"/>
          <w:color w:val="000000"/>
          <w:sz w:val="24"/>
          <w:szCs w:val="24"/>
        </w:rPr>
        <w:t xml:space="preserve"> especificar </w:t>
      </w:r>
      <w:r w:rsidR="00873870" w:rsidRPr="00474A1F">
        <w:rPr>
          <w:rFonts w:ascii="Times New Roman" w:hAnsi="Times New Roman" w:cs="Times New Roman"/>
          <w:color w:val="000000"/>
          <w:sz w:val="24"/>
          <w:szCs w:val="24"/>
        </w:rPr>
        <w:t>la manera en que</w:t>
      </w:r>
      <w:r w:rsidR="007912E0" w:rsidRPr="00474A1F">
        <w:rPr>
          <w:rFonts w:ascii="Times New Roman" w:hAnsi="Times New Roman" w:cs="Times New Roman"/>
          <w:color w:val="000000"/>
          <w:sz w:val="24"/>
          <w:szCs w:val="24"/>
        </w:rPr>
        <w:t xml:space="preserve"> </w:t>
      </w:r>
      <w:r w:rsidR="00873870" w:rsidRPr="00474A1F">
        <w:rPr>
          <w:rFonts w:ascii="Times New Roman" w:hAnsi="Times New Roman" w:cs="Times New Roman"/>
          <w:color w:val="000000"/>
          <w:sz w:val="24"/>
          <w:szCs w:val="24"/>
        </w:rPr>
        <w:t xml:space="preserve">los investigadores </w:t>
      </w:r>
      <w:r w:rsidR="007912E0" w:rsidRPr="00474A1F">
        <w:rPr>
          <w:rFonts w:ascii="Times New Roman" w:hAnsi="Times New Roman" w:cs="Times New Roman"/>
          <w:color w:val="000000"/>
          <w:sz w:val="24"/>
          <w:szCs w:val="24"/>
        </w:rPr>
        <w:t>genera</w:t>
      </w:r>
      <w:r w:rsidR="00873870" w:rsidRPr="00474A1F">
        <w:rPr>
          <w:rFonts w:ascii="Times New Roman" w:hAnsi="Times New Roman" w:cs="Times New Roman"/>
          <w:color w:val="000000"/>
          <w:sz w:val="24"/>
          <w:szCs w:val="24"/>
        </w:rPr>
        <w:t>n</w:t>
      </w:r>
      <w:r w:rsidR="007912E0" w:rsidRPr="00474A1F">
        <w:rPr>
          <w:rFonts w:ascii="Times New Roman" w:hAnsi="Times New Roman" w:cs="Times New Roman"/>
          <w:color w:val="000000"/>
          <w:sz w:val="24"/>
          <w:szCs w:val="24"/>
        </w:rPr>
        <w:t xml:space="preserve"> conocimiento</w:t>
      </w:r>
      <w:r w:rsidR="00873870" w:rsidRPr="00474A1F">
        <w:rPr>
          <w:rFonts w:ascii="Times New Roman" w:hAnsi="Times New Roman" w:cs="Times New Roman"/>
          <w:color w:val="000000"/>
          <w:sz w:val="24"/>
          <w:szCs w:val="24"/>
        </w:rPr>
        <w:t>. Además,</w:t>
      </w:r>
      <w:r w:rsidR="007912E0" w:rsidRPr="00474A1F">
        <w:rPr>
          <w:rFonts w:ascii="Times New Roman" w:hAnsi="Times New Roman" w:cs="Times New Roman"/>
          <w:color w:val="000000"/>
          <w:sz w:val="24"/>
          <w:szCs w:val="24"/>
        </w:rPr>
        <w:t xml:space="preserve"> </w:t>
      </w:r>
      <w:r w:rsidR="00873870" w:rsidRPr="00474A1F">
        <w:rPr>
          <w:rFonts w:ascii="Times New Roman" w:hAnsi="Times New Roman" w:cs="Times New Roman"/>
          <w:color w:val="000000"/>
          <w:sz w:val="24"/>
          <w:szCs w:val="24"/>
        </w:rPr>
        <w:t xml:space="preserve">fomentar </w:t>
      </w:r>
      <w:r w:rsidR="007912E0" w:rsidRPr="00474A1F">
        <w:rPr>
          <w:rFonts w:ascii="Times New Roman" w:hAnsi="Times New Roman" w:cs="Times New Roman"/>
          <w:color w:val="000000"/>
          <w:sz w:val="24"/>
          <w:szCs w:val="24"/>
        </w:rPr>
        <w:t xml:space="preserve">políticas de propiedad intelectual </w:t>
      </w:r>
      <w:r w:rsidR="00873870" w:rsidRPr="00474A1F">
        <w:rPr>
          <w:rFonts w:ascii="Times New Roman" w:hAnsi="Times New Roman" w:cs="Times New Roman"/>
          <w:color w:val="000000"/>
          <w:sz w:val="24"/>
          <w:szCs w:val="24"/>
        </w:rPr>
        <w:t xml:space="preserve">y </w:t>
      </w:r>
      <w:r w:rsidR="007912E0" w:rsidRPr="00474A1F">
        <w:rPr>
          <w:rFonts w:ascii="Times New Roman" w:hAnsi="Times New Roman" w:cs="Times New Roman"/>
          <w:color w:val="000000"/>
          <w:sz w:val="24"/>
          <w:szCs w:val="24"/>
        </w:rPr>
        <w:t xml:space="preserve">estrategias de emprendimiento e innovación </w:t>
      </w:r>
      <w:r w:rsidR="00873870" w:rsidRPr="00474A1F">
        <w:rPr>
          <w:rFonts w:ascii="Times New Roman" w:hAnsi="Times New Roman" w:cs="Times New Roman"/>
          <w:color w:val="000000"/>
          <w:sz w:val="24"/>
          <w:szCs w:val="24"/>
        </w:rPr>
        <w:t>tecnológica</w:t>
      </w:r>
      <w:r w:rsidR="007912E0" w:rsidRPr="00474A1F">
        <w:rPr>
          <w:rFonts w:ascii="Times New Roman" w:hAnsi="Times New Roman" w:cs="Times New Roman"/>
          <w:color w:val="000000"/>
          <w:sz w:val="24"/>
          <w:szCs w:val="24"/>
        </w:rPr>
        <w:t xml:space="preserve">. </w:t>
      </w:r>
    </w:p>
    <w:p w14:paraId="4E087B76" w14:textId="3936D949" w:rsidR="00F344F1" w:rsidRPr="00474A1F" w:rsidRDefault="00713683" w:rsidP="00DB4333">
      <w:pPr>
        <w:spacing w:after="0" w:line="360" w:lineRule="auto"/>
        <w:ind w:firstLine="708"/>
        <w:jc w:val="both"/>
        <w:rPr>
          <w:rFonts w:ascii="Times New Roman" w:hAnsi="Times New Roman" w:cs="Times New Roman"/>
          <w:color w:val="000000"/>
          <w:sz w:val="24"/>
        </w:rPr>
      </w:pPr>
      <w:r w:rsidRPr="00474A1F">
        <w:rPr>
          <w:rFonts w:ascii="Times New Roman" w:hAnsi="Times New Roman" w:cs="Times New Roman"/>
          <w:sz w:val="24"/>
        </w:rPr>
        <w:t>En este orden de ideas, es importante destacar que el capital humano es un elemento clave en las relaciones universidad-empresa</w:t>
      </w:r>
      <w:r w:rsidR="00873870" w:rsidRPr="00474A1F">
        <w:rPr>
          <w:rFonts w:ascii="Times New Roman" w:hAnsi="Times New Roman" w:cs="Times New Roman"/>
          <w:sz w:val="24"/>
        </w:rPr>
        <w:t>. De hecho,</w:t>
      </w:r>
      <w:r w:rsidRPr="00474A1F">
        <w:rPr>
          <w:rFonts w:ascii="Times New Roman" w:hAnsi="Times New Roman" w:cs="Times New Roman"/>
          <w:sz w:val="24"/>
        </w:rPr>
        <w:t xml:space="preserve"> </w:t>
      </w:r>
      <w:r w:rsidR="00873870" w:rsidRPr="00474A1F">
        <w:rPr>
          <w:rFonts w:ascii="Times New Roman" w:hAnsi="Times New Roman" w:cs="Times New Roman"/>
          <w:sz w:val="24"/>
        </w:rPr>
        <w:t>a</w:t>
      </w:r>
      <w:r w:rsidRPr="00474A1F">
        <w:rPr>
          <w:rFonts w:ascii="Times New Roman" w:hAnsi="Times New Roman" w:cs="Times New Roman"/>
          <w:sz w:val="24"/>
        </w:rPr>
        <w:t>l contar con investigadores altamente especializados que desarrollen innovaciones con apoyo de estudiantes se garantiza una educación de calidad, pertinente y centrada</w:t>
      </w:r>
      <w:r w:rsidR="006A2862" w:rsidRPr="00474A1F">
        <w:rPr>
          <w:rFonts w:ascii="Times New Roman" w:hAnsi="Times New Roman" w:cs="Times New Roman"/>
          <w:sz w:val="24"/>
        </w:rPr>
        <w:t xml:space="preserve"> en las necesidades del entorno, ya que</w:t>
      </w:r>
      <w:r w:rsidRPr="00474A1F">
        <w:rPr>
          <w:rFonts w:ascii="Times New Roman" w:hAnsi="Times New Roman" w:cs="Times New Roman"/>
          <w:sz w:val="24"/>
        </w:rPr>
        <w:t xml:space="preserve"> </w:t>
      </w:r>
      <w:r w:rsidR="00F344F1" w:rsidRPr="00474A1F">
        <w:rPr>
          <w:rFonts w:ascii="Times New Roman" w:hAnsi="Times New Roman" w:cs="Times New Roman"/>
          <w:sz w:val="24"/>
        </w:rPr>
        <w:t xml:space="preserve">el conocimiento y el capital humano son </w:t>
      </w:r>
      <w:r w:rsidR="006A2862" w:rsidRPr="00474A1F">
        <w:rPr>
          <w:rFonts w:ascii="Times New Roman" w:hAnsi="Times New Roman" w:cs="Times New Roman"/>
          <w:sz w:val="24"/>
        </w:rPr>
        <w:t xml:space="preserve">los </w:t>
      </w:r>
      <w:r w:rsidR="00F344F1" w:rsidRPr="00474A1F">
        <w:rPr>
          <w:rFonts w:ascii="Times New Roman" w:hAnsi="Times New Roman" w:cs="Times New Roman"/>
          <w:sz w:val="24"/>
        </w:rPr>
        <w:t xml:space="preserve">factores </w:t>
      </w:r>
      <w:r w:rsidR="006A2862" w:rsidRPr="00474A1F">
        <w:rPr>
          <w:rFonts w:ascii="Times New Roman" w:hAnsi="Times New Roman" w:cs="Times New Roman"/>
          <w:sz w:val="24"/>
        </w:rPr>
        <w:t xml:space="preserve">más importantes para </w:t>
      </w:r>
      <w:r w:rsidR="00F344F1" w:rsidRPr="00474A1F">
        <w:rPr>
          <w:rFonts w:ascii="Times New Roman" w:hAnsi="Times New Roman" w:cs="Times New Roman"/>
          <w:sz w:val="24"/>
        </w:rPr>
        <w:t xml:space="preserve">integrar cualquier estrategia de innovación y transferencia. </w:t>
      </w:r>
    </w:p>
    <w:p w14:paraId="6E1505DC" w14:textId="1C38F7AA" w:rsidR="00F344F1" w:rsidRDefault="00713683" w:rsidP="00DB4333">
      <w:pPr>
        <w:spacing w:after="0" w:line="360" w:lineRule="auto"/>
        <w:ind w:firstLine="708"/>
        <w:jc w:val="both"/>
        <w:rPr>
          <w:rFonts w:ascii="Times New Roman" w:hAnsi="Times New Roman" w:cs="Times New Roman"/>
          <w:sz w:val="24"/>
        </w:rPr>
      </w:pPr>
      <w:r w:rsidRPr="00474A1F">
        <w:rPr>
          <w:rFonts w:ascii="Times New Roman" w:hAnsi="Times New Roman" w:cs="Times New Roman"/>
          <w:sz w:val="24"/>
        </w:rPr>
        <w:t xml:space="preserve">En resumen, en el contexto cambiante de la </w:t>
      </w:r>
      <w:r w:rsidR="002D650E" w:rsidRPr="00474A1F">
        <w:rPr>
          <w:rFonts w:ascii="Times New Roman" w:hAnsi="Times New Roman" w:cs="Times New Roman"/>
          <w:sz w:val="24"/>
        </w:rPr>
        <w:t>mundialización</w:t>
      </w:r>
      <w:r w:rsidR="006C0A6B" w:rsidRPr="00474A1F">
        <w:rPr>
          <w:rFonts w:ascii="Times New Roman" w:hAnsi="Times New Roman" w:cs="Times New Roman"/>
          <w:sz w:val="24"/>
        </w:rPr>
        <w:t>, las universidades deben canalizar el conocimiento generado y direccionarlo a los sectores empresariales</w:t>
      </w:r>
      <w:r w:rsidR="00F344F1" w:rsidRPr="00474A1F">
        <w:rPr>
          <w:rFonts w:ascii="Times New Roman" w:hAnsi="Times New Roman" w:cs="Times New Roman"/>
          <w:sz w:val="24"/>
        </w:rPr>
        <w:t xml:space="preserve">. De este modo, la academia como agente social y </w:t>
      </w:r>
      <w:r w:rsidR="002D650E" w:rsidRPr="00474A1F">
        <w:rPr>
          <w:rFonts w:ascii="Times New Roman" w:hAnsi="Times New Roman" w:cs="Times New Roman"/>
          <w:sz w:val="24"/>
        </w:rPr>
        <w:t>económico</w:t>
      </w:r>
      <w:r w:rsidR="00F344F1" w:rsidRPr="00474A1F">
        <w:rPr>
          <w:rFonts w:ascii="Times New Roman" w:hAnsi="Times New Roman" w:cs="Times New Roman"/>
          <w:sz w:val="24"/>
        </w:rPr>
        <w:t xml:space="preserve"> pasa de tener un rol pasivo </w:t>
      </w:r>
      <w:r w:rsidR="006A2862" w:rsidRPr="00474A1F">
        <w:rPr>
          <w:rFonts w:ascii="Times New Roman" w:hAnsi="Times New Roman" w:cs="Times New Roman"/>
          <w:sz w:val="24"/>
        </w:rPr>
        <w:t>—enfocado en</w:t>
      </w:r>
      <w:r w:rsidR="00F344F1" w:rsidRPr="00474A1F">
        <w:rPr>
          <w:rFonts w:ascii="Times New Roman" w:hAnsi="Times New Roman" w:cs="Times New Roman"/>
          <w:sz w:val="24"/>
        </w:rPr>
        <w:t xml:space="preserve"> </w:t>
      </w:r>
      <w:r w:rsidR="006A2862" w:rsidRPr="00474A1F">
        <w:rPr>
          <w:rFonts w:ascii="Times New Roman" w:hAnsi="Times New Roman" w:cs="Times New Roman"/>
          <w:sz w:val="24"/>
        </w:rPr>
        <w:t xml:space="preserve">la generación de </w:t>
      </w:r>
      <w:r w:rsidR="00F344F1" w:rsidRPr="00474A1F">
        <w:rPr>
          <w:rFonts w:ascii="Times New Roman" w:hAnsi="Times New Roman" w:cs="Times New Roman"/>
          <w:sz w:val="24"/>
        </w:rPr>
        <w:t>conocimientos</w:t>
      </w:r>
      <w:r w:rsidR="006A2862" w:rsidRPr="00474A1F">
        <w:rPr>
          <w:rFonts w:ascii="Times New Roman" w:hAnsi="Times New Roman" w:cs="Times New Roman"/>
          <w:sz w:val="24"/>
        </w:rPr>
        <w:t>—</w:t>
      </w:r>
      <w:r w:rsidR="00F344F1" w:rsidRPr="00474A1F">
        <w:rPr>
          <w:rFonts w:ascii="Times New Roman" w:hAnsi="Times New Roman" w:cs="Times New Roman"/>
          <w:sz w:val="24"/>
        </w:rPr>
        <w:t xml:space="preserve"> a </w:t>
      </w:r>
      <w:r w:rsidR="006A2862" w:rsidRPr="00474A1F">
        <w:rPr>
          <w:rFonts w:ascii="Times New Roman" w:hAnsi="Times New Roman" w:cs="Times New Roman"/>
          <w:sz w:val="24"/>
        </w:rPr>
        <w:t>asumir</w:t>
      </w:r>
      <w:r w:rsidR="00F344F1" w:rsidRPr="00474A1F">
        <w:rPr>
          <w:rFonts w:ascii="Times New Roman" w:hAnsi="Times New Roman" w:cs="Times New Roman"/>
          <w:sz w:val="24"/>
        </w:rPr>
        <w:t xml:space="preserve"> un rol activo en la dinámica económica de la región, </w:t>
      </w:r>
      <w:r w:rsidR="006A2862" w:rsidRPr="00474A1F">
        <w:rPr>
          <w:rFonts w:ascii="Times New Roman" w:hAnsi="Times New Roman" w:cs="Times New Roman"/>
          <w:sz w:val="24"/>
        </w:rPr>
        <w:t xml:space="preserve">con lo cual adquiere </w:t>
      </w:r>
      <w:r w:rsidR="00F344F1" w:rsidRPr="00474A1F">
        <w:rPr>
          <w:rFonts w:ascii="Times New Roman" w:hAnsi="Times New Roman" w:cs="Times New Roman"/>
          <w:sz w:val="24"/>
        </w:rPr>
        <w:t xml:space="preserve">una posición estratégica en el ámbito económico y político. </w:t>
      </w:r>
    </w:p>
    <w:p w14:paraId="5081EC47" w14:textId="77777777" w:rsidR="00286E03" w:rsidRPr="00474A1F" w:rsidRDefault="00286E03" w:rsidP="00DB4333">
      <w:pPr>
        <w:spacing w:after="0" w:line="360" w:lineRule="auto"/>
        <w:ind w:firstLine="708"/>
        <w:jc w:val="both"/>
        <w:rPr>
          <w:rFonts w:ascii="Times New Roman" w:hAnsi="Times New Roman" w:cs="Times New Roman"/>
          <w:color w:val="000000"/>
          <w:sz w:val="24"/>
        </w:rPr>
      </w:pPr>
    </w:p>
    <w:p w14:paraId="2A9656EA" w14:textId="19E58A9B" w:rsidR="001A5B53" w:rsidRPr="00474A1F" w:rsidRDefault="00AB1A6F" w:rsidP="00474A1F">
      <w:pPr>
        <w:pStyle w:val="Ttulo1"/>
        <w:jc w:val="center"/>
        <w:rPr>
          <w:sz w:val="32"/>
          <w:szCs w:val="32"/>
        </w:rPr>
      </w:pPr>
      <w:r w:rsidRPr="00474A1F">
        <w:rPr>
          <w:sz w:val="32"/>
          <w:szCs w:val="32"/>
          <w:lang w:val="es-ES"/>
        </w:rPr>
        <w:t>M</w:t>
      </w:r>
      <w:r w:rsidR="00325BB2" w:rsidRPr="00474A1F">
        <w:rPr>
          <w:sz w:val="32"/>
          <w:szCs w:val="32"/>
          <w:lang w:val="es-ES"/>
        </w:rPr>
        <w:t>ateriales y métodos</w:t>
      </w:r>
    </w:p>
    <w:p w14:paraId="7FC3A8A9" w14:textId="2A5333CA" w:rsidR="002D650E" w:rsidRDefault="00FC35D6" w:rsidP="00E2057D">
      <w:pPr>
        <w:spacing w:after="0" w:line="360" w:lineRule="auto"/>
        <w:ind w:firstLine="708"/>
        <w:jc w:val="both"/>
        <w:rPr>
          <w:rFonts w:ascii="Times New Roman" w:hAnsi="Times New Roman" w:cs="Times New Roman"/>
          <w:sz w:val="24"/>
        </w:rPr>
      </w:pPr>
      <w:r w:rsidRPr="00474A1F">
        <w:rPr>
          <w:rFonts w:ascii="Times New Roman" w:hAnsi="Times New Roman" w:cs="Times New Roman"/>
          <w:sz w:val="24"/>
        </w:rPr>
        <w:t>La e</w:t>
      </w:r>
      <w:r w:rsidR="009B57F8" w:rsidRPr="00474A1F">
        <w:rPr>
          <w:rFonts w:ascii="Times New Roman" w:hAnsi="Times New Roman" w:cs="Times New Roman"/>
          <w:sz w:val="24"/>
        </w:rPr>
        <w:t xml:space="preserve">structura básica de los </w:t>
      </w:r>
      <w:r w:rsidR="006A2862" w:rsidRPr="00474A1F">
        <w:rPr>
          <w:rFonts w:ascii="Times New Roman" w:hAnsi="Times New Roman" w:cs="Times New Roman"/>
          <w:sz w:val="24"/>
        </w:rPr>
        <w:t>modelos de datos panel</w:t>
      </w:r>
      <w:r w:rsidRPr="00474A1F">
        <w:rPr>
          <w:rFonts w:ascii="Times New Roman" w:hAnsi="Times New Roman" w:cs="Times New Roman"/>
          <w:sz w:val="24"/>
        </w:rPr>
        <w:t xml:space="preserve"> (MDP)</w:t>
      </w:r>
      <w:r w:rsidR="009B57F8" w:rsidRPr="00474A1F">
        <w:rPr>
          <w:rFonts w:ascii="Times New Roman" w:hAnsi="Times New Roman" w:cs="Times New Roman"/>
          <w:sz w:val="24"/>
        </w:rPr>
        <w:t xml:space="preserve"> busca </w:t>
      </w:r>
      <w:r w:rsidRPr="00474A1F">
        <w:rPr>
          <w:rFonts w:ascii="Times New Roman" w:hAnsi="Times New Roman" w:cs="Times New Roman"/>
          <w:sz w:val="24"/>
        </w:rPr>
        <w:t xml:space="preserve">estimar </w:t>
      </w:r>
      <w:r w:rsidR="009B57F8" w:rsidRPr="00474A1F">
        <w:rPr>
          <w:rFonts w:ascii="Times New Roman" w:hAnsi="Times New Roman" w:cs="Times New Roman"/>
          <w:sz w:val="24"/>
        </w:rPr>
        <w:t xml:space="preserve">si las variaciones observadas en </w:t>
      </w:r>
      <w:r w:rsidR="009B57F8" w:rsidRPr="00474A1F">
        <w:rPr>
          <w:rFonts w:ascii="Times New Roman" w:hAnsi="Times New Roman" w:cs="Times New Roman"/>
          <w:i/>
          <w:sz w:val="24"/>
        </w:rPr>
        <w:t>y</w:t>
      </w:r>
      <w:r w:rsidR="009B57F8" w:rsidRPr="00474A1F">
        <w:rPr>
          <w:rFonts w:ascii="Times New Roman" w:hAnsi="Times New Roman" w:cs="Times New Roman"/>
          <w:sz w:val="24"/>
        </w:rPr>
        <w:t xml:space="preserve"> se </w:t>
      </w:r>
      <w:r w:rsidRPr="00474A1F">
        <w:rPr>
          <w:rFonts w:ascii="Times New Roman" w:hAnsi="Times New Roman" w:cs="Times New Roman"/>
          <w:sz w:val="24"/>
        </w:rPr>
        <w:t xml:space="preserve">relacionan con las variaciones observadas en </w:t>
      </w:r>
      <w:r w:rsidRPr="00474A1F">
        <w:rPr>
          <w:rFonts w:ascii="Times New Roman" w:hAnsi="Times New Roman" w:cs="Times New Roman"/>
          <w:i/>
          <w:sz w:val="24"/>
        </w:rPr>
        <w:t>x</w:t>
      </w:r>
      <w:r w:rsidR="009B57F8" w:rsidRPr="00474A1F">
        <w:rPr>
          <w:rFonts w:ascii="Times New Roman" w:hAnsi="Times New Roman" w:cs="Times New Roman"/>
          <w:sz w:val="24"/>
        </w:rPr>
        <w:t>, tomando en cuenta las diferencias individuales</w:t>
      </w:r>
      <w:r w:rsidR="004D04DD" w:rsidRPr="00474A1F">
        <w:rPr>
          <w:rFonts w:ascii="Times New Roman" w:hAnsi="Times New Roman" w:cs="Times New Roman"/>
          <w:sz w:val="24"/>
        </w:rPr>
        <w:t>:</w:t>
      </w:r>
    </w:p>
    <w:p w14:paraId="66E9CEF6" w14:textId="69B18298" w:rsidR="00F00679" w:rsidRPr="00474A1F" w:rsidRDefault="002F33E5" w:rsidP="00F00679">
      <w:pPr>
        <w:autoSpaceDE w:val="0"/>
        <w:autoSpaceDN w:val="0"/>
        <w:adjustRightInd w:val="0"/>
        <w:spacing w:after="0" w:line="360" w:lineRule="auto"/>
        <w:jc w:val="center"/>
        <w:rPr>
          <w:rFonts w:ascii="Times New Roman" w:hAnsi="Times New Roman" w:cs="Times New Roman"/>
          <w:sz w:val="24"/>
          <w:szCs w:val="24"/>
        </w:rPr>
      </w:pP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16"/>
                <w:szCs w:val="20"/>
              </w:rPr>
            </m:ctrlPr>
          </m:sSubPr>
          <m:e>
            <m:r>
              <w:rPr>
                <w:rFonts w:ascii="Cambria Math" w:hAnsi="Cambria Math" w:cs="Times New Roman"/>
                <w:sz w:val="20"/>
                <w:szCs w:val="24"/>
                <w:lang w:val="es-VE"/>
              </w:rPr>
              <m:t>χ</m:t>
            </m:r>
            <m:r>
              <m:rPr>
                <m:sty m:val="bi"/>
              </m:rPr>
              <w:rPr>
                <w:rFonts w:ascii="Cambria Math" w:hAnsi="Cambria Math" w:cs="Times New Roman"/>
                <w:sz w:val="20"/>
                <w:szCs w:val="24"/>
                <w:lang w:val="es-VE"/>
              </w:rPr>
              <m:t>´</m:t>
            </m:r>
            <m:ctrlPr>
              <w:rPr>
                <w:rFonts w:ascii="Cambria Math" w:eastAsia="Cambria Math" w:hAnsi="Cambria Math" w:cs="Times New Roman"/>
                <w:i/>
                <w:sz w:val="16"/>
                <w:szCs w:val="20"/>
              </w:rPr>
            </m:ctrlPr>
          </m:e>
          <m:sub>
            <m:r>
              <w:rPr>
                <w:rFonts w:ascii="Cambria Math" w:hAnsi="Cambria Math" w:cs="Times New Roman"/>
                <w:sz w:val="20"/>
                <w:szCs w:val="20"/>
              </w:rPr>
              <m:t>it</m:t>
            </m:r>
          </m:sub>
        </m:sSub>
        <m:r>
          <w:rPr>
            <w:rFonts w:ascii="Cambria Math" w:hAnsi="Cambria Math" w:cs="Times New Roman"/>
            <w:sz w:val="16"/>
            <w:szCs w:val="20"/>
          </w:rPr>
          <m:t xml:space="preserve"> </m:t>
        </m:r>
        <m:r>
          <m:rPr>
            <m:nor/>
          </m:rPr>
          <w:rPr>
            <w:rFonts w:ascii="Times New Roman" w:hAnsi="Times New Roman" w:cs="Times New Roman"/>
            <w:sz w:val="20"/>
            <w:szCs w:val="20"/>
          </w:rPr>
          <w:sym w:font="Symbol" w:char="F062"/>
        </m:r>
        <m:r>
          <m:rPr>
            <m:nor/>
          </m:rPr>
          <w:rPr>
            <w:rFonts w:ascii="Cambria Math" w:hAnsi="Times New Roman" w:cs="Times New Roman"/>
            <w:sz w:val="20"/>
            <w:szCs w:val="20"/>
          </w:rPr>
          <m:t>+</m:t>
        </m:r>
        <m:r>
          <w:rPr>
            <w:rFonts w:ascii="Cambria Math" w:hAnsi="Cambria Math" w:cs="Times New Roman"/>
            <w:sz w:val="16"/>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ε</m:t>
            </m:r>
            <m:ctrlPr>
              <w:rPr>
                <w:rFonts w:ascii="Cambria Math" w:eastAsia="Cambria Math" w:hAnsi="Cambria Math" w:cs="Times New Roman"/>
                <w:i/>
                <w:sz w:val="20"/>
                <w:szCs w:val="20"/>
              </w:rPr>
            </m:ctrlPr>
          </m:e>
          <m:sub>
            <m:r>
              <w:rPr>
                <w:rFonts w:ascii="Cambria Math" w:hAnsi="Cambria Math" w:cs="Times New Roman"/>
                <w:sz w:val="20"/>
                <w:szCs w:val="20"/>
              </w:rPr>
              <m:t>it</m:t>
            </m:r>
          </m:sub>
        </m:sSub>
      </m:oMath>
      <w:r w:rsidR="00F00679" w:rsidRPr="00474A1F">
        <w:rPr>
          <w:rFonts w:ascii="Times New Roman" w:hAnsi="Times New Roman" w:cs="Times New Roman"/>
          <w:sz w:val="24"/>
          <w:szCs w:val="24"/>
        </w:rPr>
        <w:tab/>
      </w:r>
      <w:r w:rsidR="00F00679" w:rsidRPr="00474A1F">
        <w:rPr>
          <w:rFonts w:ascii="Times New Roman" w:hAnsi="Times New Roman" w:cs="Times New Roman"/>
          <w:b/>
          <w:i/>
          <w:sz w:val="16"/>
          <w:szCs w:val="16"/>
        </w:rPr>
        <w:t>ecuación</w:t>
      </w:r>
      <w:r w:rsidR="00F00679" w:rsidRPr="00474A1F">
        <w:rPr>
          <w:rFonts w:ascii="Times New Roman" w:hAnsi="Times New Roman" w:cs="Times New Roman"/>
          <w:b/>
          <w:i/>
          <w:sz w:val="24"/>
          <w:szCs w:val="24"/>
        </w:rPr>
        <w:t xml:space="preserve"> </w:t>
      </w:r>
      <w:r w:rsidR="00F00679" w:rsidRPr="00474A1F">
        <w:rPr>
          <w:rFonts w:ascii="Times New Roman" w:hAnsi="Times New Roman" w:cs="Times New Roman"/>
          <w:sz w:val="24"/>
          <w:szCs w:val="24"/>
        </w:rPr>
        <w:t>(</w:t>
      </w:r>
      <w:r w:rsidR="00F00679">
        <w:rPr>
          <w:rFonts w:ascii="Times New Roman" w:hAnsi="Times New Roman" w:cs="Times New Roman"/>
          <w:sz w:val="24"/>
          <w:szCs w:val="24"/>
        </w:rPr>
        <w:t>1</w:t>
      </w:r>
      <w:r w:rsidR="00F00679" w:rsidRPr="00474A1F">
        <w:rPr>
          <w:rFonts w:ascii="Times New Roman" w:hAnsi="Times New Roman" w:cs="Times New Roman"/>
          <w:sz w:val="24"/>
          <w:szCs w:val="24"/>
        </w:rPr>
        <w:t>)</w:t>
      </w:r>
    </w:p>
    <w:p w14:paraId="4C4FC070" w14:textId="155C49FE" w:rsidR="001A5B53" w:rsidRPr="00474A1F" w:rsidRDefault="009B57F8" w:rsidP="00DB4333">
      <w:pPr>
        <w:spacing w:after="0" w:line="360" w:lineRule="auto"/>
        <w:ind w:firstLine="708"/>
        <w:jc w:val="both"/>
        <w:rPr>
          <w:rFonts w:ascii="Times New Roman" w:hAnsi="Times New Roman" w:cs="Times New Roman"/>
          <w:sz w:val="24"/>
        </w:rPr>
      </w:pPr>
      <w:r w:rsidRPr="00474A1F">
        <w:rPr>
          <w:rFonts w:ascii="Times New Roman" w:hAnsi="Times New Roman" w:cs="Times New Roman"/>
          <w:sz w:val="24"/>
        </w:rPr>
        <w:lastRenderedPageBreak/>
        <w:t xml:space="preserve">donde </w:t>
      </w:r>
      <w:r w:rsidR="006A2862" w:rsidRPr="00474A1F">
        <w:rPr>
          <w:rFonts w:ascii="Times New Roman" w:hAnsi="Times New Roman" w:cs="Times New Roman"/>
          <w:i/>
          <w:sz w:val="24"/>
        </w:rPr>
        <w:t>Y</w:t>
      </w:r>
      <w:r w:rsidR="00814F05" w:rsidRPr="00474A1F">
        <w:rPr>
          <w:rFonts w:ascii="Times New Roman" w:hAnsi="Times New Roman" w:cs="Times New Roman"/>
          <w:sz w:val="24"/>
        </w:rPr>
        <w:t xml:space="preserve"> </w:t>
      </w:r>
      <w:r w:rsidRPr="00474A1F">
        <w:rPr>
          <w:rFonts w:ascii="Times New Roman" w:hAnsi="Times New Roman" w:cs="Times New Roman"/>
          <w:sz w:val="24"/>
        </w:rPr>
        <w:t xml:space="preserve">es el vector de parámetros, </w:t>
      </w:r>
      <w:proofErr w:type="spellStart"/>
      <w:r w:rsidR="00AA2824" w:rsidRPr="00474A1F">
        <w:rPr>
          <w:rFonts w:ascii="Times New Roman" w:hAnsi="Times New Roman" w:cs="Times New Roman"/>
          <w:i/>
          <w:sz w:val="24"/>
        </w:rPr>
        <w:t>X</w:t>
      </w:r>
      <w:r w:rsidRPr="00474A1F">
        <w:rPr>
          <w:rFonts w:ascii="Times New Roman" w:hAnsi="Times New Roman" w:cs="Times New Roman"/>
          <w:i/>
          <w:sz w:val="24"/>
          <w:vertAlign w:val="subscript"/>
        </w:rPr>
        <w:t>it</w:t>
      </w:r>
      <w:proofErr w:type="spellEnd"/>
      <w:r w:rsidRPr="00474A1F">
        <w:rPr>
          <w:rFonts w:ascii="Times New Roman" w:hAnsi="Times New Roman" w:cs="Times New Roman"/>
          <w:sz w:val="24"/>
        </w:rPr>
        <w:t xml:space="preserve"> es un vector de </w:t>
      </w:r>
      <w:r w:rsidRPr="00474A1F">
        <w:rPr>
          <w:rFonts w:ascii="Times New Roman" w:hAnsi="Times New Roman" w:cs="Times New Roman"/>
          <w:i/>
          <w:sz w:val="24"/>
        </w:rPr>
        <w:t>k</w:t>
      </w:r>
      <w:r w:rsidRPr="00474A1F">
        <w:rPr>
          <w:rFonts w:ascii="Times New Roman" w:hAnsi="Times New Roman" w:cs="Times New Roman"/>
          <w:sz w:val="24"/>
        </w:rPr>
        <w:t xml:space="preserve"> variables explicativas; </w:t>
      </w:r>
      <w:r w:rsidRPr="00474A1F">
        <w:rPr>
          <w:rFonts w:ascii="Times New Roman" w:hAnsi="Times New Roman" w:cs="Times New Roman"/>
          <w:i/>
          <w:sz w:val="24"/>
        </w:rPr>
        <w:t>i: 1</w:t>
      </w:r>
      <w:r w:rsidRPr="00474A1F">
        <w:rPr>
          <w:rFonts w:ascii="Times New Roman" w:hAnsi="Times New Roman" w:cs="Times New Roman"/>
          <w:sz w:val="24"/>
        </w:rPr>
        <w:t>,</w:t>
      </w:r>
      <w:r w:rsidR="006A2862" w:rsidRPr="00474A1F">
        <w:rPr>
          <w:rFonts w:ascii="Times New Roman" w:hAnsi="Times New Roman" w:cs="Times New Roman"/>
          <w:sz w:val="24"/>
        </w:rPr>
        <w:t xml:space="preserve"> </w:t>
      </w:r>
      <w:r w:rsidRPr="00474A1F">
        <w:rPr>
          <w:rFonts w:ascii="Times New Roman" w:hAnsi="Times New Roman" w:cs="Times New Roman"/>
          <w:sz w:val="24"/>
        </w:rPr>
        <w:t xml:space="preserve">…, </w:t>
      </w:r>
      <w:r w:rsidRPr="00474A1F">
        <w:rPr>
          <w:rFonts w:ascii="Times New Roman" w:hAnsi="Times New Roman" w:cs="Times New Roman"/>
          <w:i/>
          <w:sz w:val="24"/>
        </w:rPr>
        <w:t>n</w:t>
      </w:r>
      <w:r w:rsidRPr="00474A1F">
        <w:rPr>
          <w:rFonts w:ascii="Times New Roman" w:hAnsi="Times New Roman" w:cs="Times New Roman"/>
          <w:sz w:val="24"/>
        </w:rPr>
        <w:t xml:space="preserve"> denota las unidades muestrales, </w:t>
      </w:r>
      <w:r w:rsidRPr="00474A1F">
        <w:rPr>
          <w:rFonts w:ascii="Times New Roman" w:hAnsi="Times New Roman" w:cs="Times New Roman"/>
          <w:i/>
          <w:sz w:val="24"/>
        </w:rPr>
        <w:t>t: 1,</w:t>
      </w:r>
      <w:r w:rsidRPr="00474A1F">
        <w:rPr>
          <w:rFonts w:ascii="Times New Roman" w:hAnsi="Times New Roman" w:cs="Times New Roman"/>
          <w:sz w:val="24"/>
        </w:rPr>
        <w:t xml:space="preserve"> …, </w:t>
      </w:r>
      <w:r w:rsidRPr="00474A1F">
        <w:rPr>
          <w:rFonts w:ascii="Times New Roman" w:hAnsi="Times New Roman" w:cs="Times New Roman"/>
          <w:i/>
          <w:sz w:val="24"/>
        </w:rPr>
        <w:t>T</w:t>
      </w:r>
      <w:r w:rsidRPr="00474A1F">
        <w:rPr>
          <w:rFonts w:ascii="Times New Roman" w:hAnsi="Times New Roman" w:cs="Times New Roman"/>
          <w:sz w:val="24"/>
        </w:rPr>
        <w:t xml:space="preserve"> indica los periodos, </w:t>
      </w:r>
      <w:r w:rsidRPr="00474A1F">
        <w:rPr>
          <w:rFonts w:ascii="Times New Roman" w:hAnsi="Times New Roman" w:cs="Times New Roman"/>
          <w:i/>
          <w:sz w:val="24"/>
        </w:rPr>
        <w:t>k: 1</w:t>
      </w:r>
      <w:r w:rsidRPr="00474A1F">
        <w:rPr>
          <w:rFonts w:ascii="Times New Roman" w:hAnsi="Times New Roman" w:cs="Times New Roman"/>
          <w:sz w:val="24"/>
        </w:rPr>
        <w:t xml:space="preserve">, …, </w:t>
      </w:r>
      <w:r w:rsidR="00814F05" w:rsidRPr="00474A1F">
        <w:rPr>
          <w:rFonts w:ascii="Times New Roman" w:hAnsi="Times New Roman" w:cs="Times New Roman"/>
          <w:i/>
          <w:sz w:val="28"/>
          <w:szCs w:val="24"/>
        </w:rPr>
        <w:t>β</w:t>
      </w:r>
      <w:r w:rsidRPr="00474A1F">
        <w:rPr>
          <w:rFonts w:ascii="Times New Roman" w:hAnsi="Times New Roman" w:cs="Times New Roman"/>
          <w:sz w:val="24"/>
        </w:rPr>
        <w:t xml:space="preserve"> representa las covariables, </w:t>
      </w:r>
      <w:proofErr w:type="spellStart"/>
      <w:r w:rsidR="00814F05" w:rsidRPr="00474A1F">
        <w:rPr>
          <w:rFonts w:ascii="Times New Roman" w:hAnsi="Times New Roman" w:cs="Times New Roman"/>
          <w:i/>
          <w:sz w:val="28"/>
          <w:szCs w:val="24"/>
        </w:rPr>
        <w:t>ε</w:t>
      </w:r>
      <w:r w:rsidRPr="00474A1F">
        <w:rPr>
          <w:rFonts w:ascii="Times New Roman" w:hAnsi="Times New Roman" w:cs="Times New Roman"/>
          <w:i/>
          <w:sz w:val="24"/>
          <w:vertAlign w:val="subscript"/>
        </w:rPr>
        <w:t>it</w:t>
      </w:r>
      <w:proofErr w:type="spellEnd"/>
      <w:r w:rsidRPr="00474A1F">
        <w:rPr>
          <w:rFonts w:ascii="Times New Roman" w:hAnsi="Times New Roman" w:cs="Times New Roman"/>
          <w:sz w:val="24"/>
        </w:rPr>
        <w:t xml:space="preserve"> los errores aleatorios.</w:t>
      </w:r>
    </w:p>
    <w:p w14:paraId="35AC5461" w14:textId="67BAF352" w:rsidR="001A4A0B" w:rsidRDefault="00CC4CCA" w:rsidP="00E2057D">
      <w:pPr>
        <w:autoSpaceDE w:val="0"/>
        <w:autoSpaceDN w:val="0"/>
        <w:adjustRightInd w:val="0"/>
        <w:spacing w:after="0" w:line="360" w:lineRule="auto"/>
        <w:ind w:firstLine="709"/>
        <w:jc w:val="both"/>
        <w:rPr>
          <w:rFonts w:ascii="Times New Roman" w:hAnsi="Times New Roman" w:cs="Times New Roman"/>
          <w:sz w:val="24"/>
          <w:szCs w:val="24"/>
        </w:rPr>
      </w:pPr>
      <w:r w:rsidRPr="00474A1F">
        <w:rPr>
          <w:rFonts w:ascii="Times New Roman" w:hAnsi="Times New Roman" w:cs="Times New Roman"/>
          <w:sz w:val="24"/>
          <w:szCs w:val="24"/>
        </w:rPr>
        <w:t>De esta manera</w:t>
      </w:r>
      <w:r w:rsidR="006A2862" w:rsidRPr="00474A1F">
        <w:rPr>
          <w:rFonts w:ascii="Times New Roman" w:hAnsi="Times New Roman" w:cs="Times New Roman"/>
          <w:sz w:val="24"/>
          <w:szCs w:val="24"/>
        </w:rPr>
        <w:t>,</w:t>
      </w:r>
      <w:r w:rsidRPr="00474A1F">
        <w:rPr>
          <w:rFonts w:ascii="Times New Roman" w:hAnsi="Times New Roman" w:cs="Times New Roman"/>
          <w:sz w:val="24"/>
          <w:szCs w:val="24"/>
        </w:rPr>
        <w:t xml:space="preserve"> s</w:t>
      </w:r>
      <w:r w:rsidR="003D7359" w:rsidRPr="00474A1F">
        <w:rPr>
          <w:rFonts w:ascii="Times New Roman" w:hAnsi="Times New Roman" w:cs="Times New Roman"/>
          <w:sz w:val="24"/>
          <w:szCs w:val="24"/>
        </w:rPr>
        <w:t xml:space="preserve">e emplearon datos anuales sobre las patentes, empresas, grandes empresas, posgrados de calidad, centros de investigación e investigadores, durante el periodo 2014-2017, para estimar un </w:t>
      </w:r>
      <w:r w:rsidRPr="00474A1F">
        <w:rPr>
          <w:rFonts w:ascii="Times New Roman" w:hAnsi="Times New Roman" w:cs="Times New Roman"/>
          <w:sz w:val="24"/>
        </w:rPr>
        <w:t>MDP</w:t>
      </w:r>
      <w:r w:rsidR="003D7359" w:rsidRPr="00474A1F">
        <w:rPr>
          <w:rFonts w:ascii="Times New Roman" w:hAnsi="Times New Roman" w:cs="Times New Roman"/>
          <w:sz w:val="24"/>
          <w:szCs w:val="24"/>
        </w:rPr>
        <w:t xml:space="preserve"> conformado por 378 municipios de México, especificado por medio de la ecuación (2):</w:t>
      </w:r>
    </w:p>
    <w:p w14:paraId="0A157858" w14:textId="77777777" w:rsidR="00C713E7" w:rsidRPr="00474A1F" w:rsidRDefault="00C713E7" w:rsidP="00E2057D">
      <w:pPr>
        <w:autoSpaceDE w:val="0"/>
        <w:autoSpaceDN w:val="0"/>
        <w:adjustRightInd w:val="0"/>
        <w:spacing w:after="0" w:line="360" w:lineRule="auto"/>
        <w:ind w:firstLine="709"/>
        <w:jc w:val="both"/>
        <w:rPr>
          <w:rFonts w:ascii="Times New Roman" w:hAnsi="Times New Roman" w:cs="Times New Roman"/>
          <w:sz w:val="24"/>
          <w:szCs w:val="24"/>
        </w:rPr>
      </w:pPr>
    </w:p>
    <w:p w14:paraId="359770FC" w14:textId="04DACF73" w:rsidR="002C06C3" w:rsidRPr="00474A1F" w:rsidRDefault="002F33E5" w:rsidP="00286E03">
      <w:pPr>
        <w:autoSpaceDE w:val="0"/>
        <w:autoSpaceDN w:val="0"/>
        <w:adjustRightInd w:val="0"/>
        <w:spacing w:after="0" w:line="360" w:lineRule="auto"/>
        <w:jc w:val="center"/>
        <w:rPr>
          <w:rFonts w:ascii="Times New Roman" w:hAnsi="Times New Roman" w:cs="Times New Roman"/>
          <w:sz w:val="24"/>
          <w:szCs w:val="24"/>
        </w:rPr>
      </w:pPr>
      <m:oMath>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16"/>
                <w:szCs w:val="20"/>
              </w:rPr>
            </m:ctrlPr>
          </m:sSubPr>
          <m:e>
            <m:r>
              <m:rPr>
                <m:sty m:val="bi"/>
              </m:rPr>
              <w:rPr>
                <w:rFonts w:ascii="Cambria Math" w:hAnsi="Cambria Math" w:cs="Times New Roman"/>
                <w:sz w:val="20"/>
                <w:szCs w:val="24"/>
                <w:lang w:val="es-VE"/>
              </w:rPr>
              <m:t>ȡ</m:t>
            </m:r>
            <m:ctrlPr>
              <w:rPr>
                <w:rFonts w:ascii="Cambria Math" w:eastAsia="Cambria Math" w:hAnsi="Cambria Math" w:cs="Times New Roman"/>
                <w:i/>
                <w:sz w:val="16"/>
                <w:szCs w:val="20"/>
              </w:rPr>
            </m:ctrlPr>
          </m:e>
          <m:sub>
            <m:r>
              <w:rPr>
                <w:rFonts w:ascii="Cambria Math" w:hAnsi="Cambria Math" w:cs="Times New Roman"/>
                <w:sz w:val="16"/>
                <w:szCs w:val="20"/>
              </w:rPr>
              <m:t>i</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m:t>
            </m:r>
            <m:r>
              <m:rPr>
                <m:nor/>
              </m:rPr>
              <w:rPr>
                <w:rFonts w:ascii="Times New Roman" w:hAnsi="Times New Roman" w:cs="Times New Roman"/>
                <w:sz w:val="20"/>
                <w:szCs w:val="20"/>
              </w:rPr>
              <w:sym w:font="Symbol" w:char="F062"/>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E</m:t>
            </m:r>
            <m:ctrlPr>
              <w:rPr>
                <w:rFonts w:ascii="Cambria Math" w:eastAsia="Cambria Math" w:hAnsi="Cambria Math" w:cs="Times New Roman"/>
                <w:i/>
                <w:sz w:val="20"/>
                <w:szCs w:val="20"/>
              </w:rPr>
            </m:ctrlP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w:sym w:font="Symbol" w:char="F062"/>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F</m:t>
            </m:r>
            <m:ctrlPr>
              <w:rPr>
                <w:rFonts w:ascii="Cambria Math" w:eastAsia="Cambria Math" w:hAnsi="Cambria Math" w:cs="Times New Roman"/>
                <w:i/>
                <w:sz w:val="20"/>
                <w:szCs w:val="20"/>
              </w:rPr>
            </m:ctrlP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w:sym w:font="Symbol" w:char="F062"/>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G</m:t>
            </m:r>
            <m:ctrlPr>
              <w:rPr>
                <w:rFonts w:ascii="Cambria Math" w:eastAsia="Cambria Math" w:hAnsi="Cambria Math" w:cs="Times New Roman"/>
                <w:i/>
                <w:sz w:val="20"/>
                <w:szCs w:val="20"/>
              </w:rPr>
            </m:ctrlP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w:sym w:font="Symbol" w:char="F062"/>
            </m:r>
          </m:e>
          <m:sub>
            <m:r>
              <w:rPr>
                <w:rFonts w:ascii="Cambria Math" w:hAnsi="Cambria Math" w:cs="Times New Roman"/>
                <w:sz w:val="20"/>
                <w:szCs w:val="20"/>
              </w:rPr>
              <m:t>4</m:t>
            </m:r>
          </m:sub>
        </m:sSub>
        <m:sSub>
          <m:sSubPr>
            <m:ctrlPr>
              <w:rPr>
                <w:rFonts w:ascii="Cambria Math" w:hAnsi="Cambria Math" w:cs="Times New Roman"/>
                <w:i/>
                <w:sz w:val="20"/>
                <w:szCs w:val="20"/>
              </w:rPr>
            </m:ctrlPr>
          </m:sSubPr>
          <m:e>
            <m:r>
              <w:rPr>
                <w:rFonts w:ascii="Cambria Math" w:hAnsi="Cambria Math" w:cs="Times New Roman"/>
                <w:sz w:val="20"/>
                <w:szCs w:val="20"/>
              </w:rPr>
              <m:t>H</m:t>
            </m:r>
            <m:ctrlPr>
              <w:rPr>
                <w:rFonts w:ascii="Cambria Math" w:eastAsia="Cambria Math" w:hAnsi="Cambria Math" w:cs="Times New Roman"/>
                <w:i/>
                <w:sz w:val="20"/>
                <w:szCs w:val="20"/>
              </w:rPr>
            </m:ctrlP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p"/>
              </m:rPr>
              <w:rPr>
                <w:rFonts w:ascii="Cambria Math" w:hAnsi="Cambria Math" w:cs="Times New Roman"/>
                <w:sz w:val="20"/>
                <w:szCs w:val="20"/>
              </w:rPr>
              <w:sym w:font="Symbol" w:char="F062"/>
            </m:r>
          </m:e>
          <m:sub>
            <m:r>
              <w:rPr>
                <w:rFonts w:ascii="Cambria Math" w:hAnsi="Cambria Math" w:cs="Times New Roman"/>
                <w:sz w:val="20"/>
                <w:szCs w:val="20"/>
              </w:rPr>
              <m:t>5</m:t>
            </m:r>
          </m:sub>
        </m:sSub>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eastAsia="Cambria Math" w:hAnsi="Cambria Math" w:cs="Times New Roman"/>
                <w:i/>
                <w:sz w:val="20"/>
                <w:szCs w:val="20"/>
              </w:rPr>
            </m:ctrlPr>
          </m:e>
          <m:sub>
            <m:r>
              <w:rPr>
                <w:rFonts w:ascii="Cambria Math" w:hAnsi="Cambria Math" w:cs="Times New Roman"/>
                <w:sz w:val="20"/>
                <w:szCs w:val="20"/>
              </w:rPr>
              <m:t>it</m:t>
            </m:r>
          </m:sub>
        </m:sSub>
        <m:r>
          <w:rPr>
            <w:rFonts w:ascii="Cambria Math" w:eastAsiaTheme="minorEastAsia" w:hAnsi="Cambria Math" w:cs="Times New Roman"/>
            <w:sz w:val="20"/>
            <w:szCs w:val="20"/>
          </w:rPr>
          <m:t>+</m:t>
        </m:r>
        <m:sSub>
          <m:sSubPr>
            <m:ctrlPr>
              <w:rPr>
                <w:rFonts w:ascii="Cambria Math" w:hAnsi="Cambria Math" w:cs="Times New Roman"/>
                <w:i/>
                <w:sz w:val="16"/>
                <w:szCs w:val="20"/>
              </w:rPr>
            </m:ctrlPr>
          </m:sSubPr>
          <m:e>
            <m:r>
              <m:rPr>
                <m:sty m:val="bi"/>
              </m:rPr>
              <w:rPr>
                <w:rFonts w:ascii="Cambria Math" w:hAnsi="Cambria Math" w:cs="Times New Roman"/>
                <w:sz w:val="20"/>
                <w:szCs w:val="24"/>
                <w:lang w:val="en-US"/>
              </w:rPr>
              <m:t>ε</m:t>
            </m:r>
            <m:ctrlPr>
              <w:rPr>
                <w:rFonts w:ascii="Cambria Math" w:eastAsia="Cambria Math" w:hAnsi="Cambria Math" w:cs="Times New Roman"/>
                <w:i/>
                <w:sz w:val="16"/>
                <w:szCs w:val="20"/>
              </w:rPr>
            </m:ctrlPr>
          </m:e>
          <m:sub>
            <m:r>
              <w:rPr>
                <w:rFonts w:ascii="Cambria Math" w:hAnsi="Cambria Math" w:cs="Times New Roman"/>
                <w:sz w:val="16"/>
                <w:szCs w:val="20"/>
              </w:rPr>
              <m:t>i</m:t>
            </m:r>
          </m:sub>
        </m:sSub>
      </m:oMath>
      <w:r w:rsidR="002C06C3" w:rsidRPr="00474A1F">
        <w:rPr>
          <w:rFonts w:ascii="Times New Roman" w:hAnsi="Times New Roman" w:cs="Times New Roman"/>
          <w:sz w:val="24"/>
          <w:szCs w:val="24"/>
        </w:rPr>
        <w:tab/>
      </w:r>
      <w:r w:rsidR="002C06C3" w:rsidRPr="00474A1F">
        <w:rPr>
          <w:rFonts w:ascii="Times New Roman" w:hAnsi="Times New Roman" w:cs="Times New Roman"/>
          <w:b/>
          <w:i/>
          <w:sz w:val="16"/>
          <w:szCs w:val="16"/>
        </w:rPr>
        <w:t>ecuación</w:t>
      </w:r>
      <w:r w:rsidR="002C06C3" w:rsidRPr="00474A1F">
        <w:rPr>
          <w:rFonts w:ascii="Times New Roman" w:hAnsi="Times New Roman" w:cs="Times New Roman"/>
          <w:b/>
          <w:i/>
          <w:sz w:val="24"/>
          <w:szCs w:val="24"/>
        </w:rPr>
        <w:t xml:space="preserve"> </w:t>
      </w:r>
      <w:r w:rsidR="002C06C3" w:rsidRPr="00474A1F">
        <w:rPr>
          <w:rFonts w:ascii="Times New Roman" w:hAnsi="Times New Roman" w:cs="Times New Roman"/>
          <w:sz w:val="24"/>
          <w:szCs w:val="24"/>
        </w:rPr>
        <w:t>(2)</w:t>
      </w:r>
    </w:p>
    <w:p w14:paraId="17D2D447" w14:textId="77777777" w:rsidR="00C713E7" w:rsidRDefault="00C713E7" w:rsidP="002D01BD">
      <w:pPr>
        <w:autoSpaceDE w:val="0"/>
        <w:autoSpaceDN w:val="0"/>
        <w:adjustRightInd w:val="0"/>
        <w:spacing w:after="0" w:line="360" w:lineRule="auto"/>
        <w:ind w:firstLine="709"/>
        <w:jc w:val="both"/>
        <w:rPr>
          <w:rFonts w:ascii="Times New Roman" w:hAnsi="Times New Roman" w:cs="Times New Roman"/>
          <w:sz w:val="24"/>
          <w:szCs w:val="24"/>
        </w:rPr>
      </w:pPr>
    </w:p>
    <w:p w14:paraId="735117AA" w14:textId="77777777" w:rsidR="00C713E7" w:rsidRDefault="003D7359" w:rsidP="002D01BD">
      <w:pPr>
        <w:autoSpaceDE w:val="0"/>
        <w:autoSpaceDN w:val="0"/>
        <w:adjustRightInd w:val="0"/>
        <w:spacing w:after="0" w:line="360" w:lineRule="auto"/>
        <w:ind w:firstLine="709"/>
        <w:jc w:val="both"/>
        <w:rPr>
          <w:rFonts w:ascii="Times New Roman" w:hAnsi="Times New Roman" w:cs="Times New Roman"/>
          <w:sz w:val="24"/>
          <w:szCs w:val="24"/>
        </w:rPr>
      </w:pPr>
      <w:r w:rsidRPr="00474A1F">
        <w:rPr>
          <w:rFonts w:ascii="Times New Roman" w:hAnsi="Times New Roman" w:cs="Times New Roman"/>
          <w:sz w:val="24"/>
          <w:szCs w:val="24"/>
        </w:rPr>
        <w:t xml:space="preserve">donde el subíndice </w:t>
      </w:r>
      <w:r w:rsidRPr="00474A1F">
        <w:rPr>
          <w:rFonts w:ascii="Times New Roman" w:hAnsi="Times New Roman" w:cs="Times New Roman"/>
          <w:i/>
          <w:sz w:val="24"/>
          <w:szCs w:val="24"/>
        </w:rPr>
        <w:t>(i)</w:t>
      </w:r>
      <w:r w:rsidRPr="00474A1F">
        <w:rPr>
          <w:rFonts w:ascii="Times New Roman" w:hAnsi="Times New Roman" w:cs="Times New Roman"/>
          <w:sz w:val="24"/>
          <w:szCs w:val="24"/>
        </w:rPr>
        <w:t xml:space="preserve"> </w:t>
      </w:r>
      <w:r w:rsidR="002C06C3" w:rsidRPr="00474A1F">
        <w:rPr>
          <w:rFonts w:ascii="Times New Roman" w:hAnsi="Times New Roman" w:cs="Times New Roman"/>
          <w:sz w:val="24"/>
          <w:szCs w:val="24"/>
        </w:rPr>
        <w:t xml:space="preserve">refiere </w:t>
      </w:r>
      <w:r w:rsidRPr="00474A1F">
        <w:rPr>
          <w:rFonts w:ascii="Times New Roman" w:hAnsi="Times New Roman" w:cs="Times New Roman"/>
          <w:sz w:val="24"/>
          <w:szCs w:val="24"/>
        </w:rPr>
        <w:t xml:space="preserve">los </w:t>
      </w:r>
      <w:r w:rsidR="002C06C3" w:rsidRPr="00474A1F">
        <w:rPr>
          <w:rFonts w:ascii="Times New Roman" w:hAnsi="Times New Roman" w:cs="Times New Roman"/>
          <w:sz w:val="24"/>
          <w:szCs w:val="24"/>
        </w:rPr>
        <w:t xml:space="preserve">municipios </w:t>
      </w:r>
      <w:r w:rsidRPr="00474A1F">
        <w:rPr>
          <w:rFonts w:ascii="Times New Roman" w:hAnsi="Times New Roman" w:cs="Times New Roman"/>
          <w:sz w:val="24"/>
          <w:szCs w:val="24"/>
        </w:rPr>
        <w:t xml:space="preserve">del panel y el subíndice </w:t>
      </w:r>
      <w:r w:rsidRPr="00474A1F">
        <w:rPr>
          <w:rFonts w:ascii="Times New Roman" w:hAnsi="Times New Roman" w:cs="Times New Roman"/>
          <w:i/>
          <w:sz w:val="24"/>
          <w:szCs w:val="24"/>
        </w:rPr>
        <w:t>(t)</w:t>
      </w:r>
      <w:r w:rsidRPr="00474A1F">
        <w:rPr>
          <w:rFonts w:ascii="Times New Roman" w:hAnsi="Times New Roman" w:cs="Times New Roman"/>
          <w:sz w:val="24"/>
          <w:szCs w:val="24"/>
        </w:rPr>
        <w:t xml:space="preserve"> se refiere al periodo de tiempo. El parámetro </w:t>
      </w:r>
      <w:r w:rsidRPr="00474A1F">
        <w:rPr>
          <w:rFonts w:ascii="Times New Roman" w:hAnsi="Times New Roman" w:cs="Times New Roman"/>
          <w:i/>
          <w:sz w:val="24"/>
          <w:szCs w:val="24"/>
        </w:rPr>
        <w:t>(d)</w:t>
      </w:r>
      <w:r w:rsidRPr="00474A1F">
        <w:rPr>
          <w:rFonts w:ascii="Times New Roman" w:hAnsi="Times New Roman" w:cs="Times New Roman"/>
          <w:sz w:val="24"/>
          <w:szCs w:val="24"/>
        </w:rPr>
        <w:t xml:space="preserve"> recoge los componentes determinativos, como el intercepto, lo que permite efectos fijos entre </w:t>
      </w:r>
      <w:r w:rsidR="002E10CB" w:rsidRPr="00474A1F">
        <w:rPr>
          <w:rFonts w:ascii="Times New Roman" w:hAnsi="Times New Roman" w:cs="Times New Roman"/>
          <w:sz w:val="24"/>
          <w:szCs w:val="24"/>
        </w:rPr>
        <w:t xml:space="preserve">municipios </w:t>
      </w:r>
      <w:r w:rsidRPr="00474A1F">
        <w:rPr>
          <w:rFonts w:ascii="Times New Roman" w:hAnsi="Times New Roman" w:cs="Times New Roman"/>
          <w:sz w:val="24"/>
          <w:szCs w:val="24"/>
        </w:rPr>
        <w:t xml:space="preserve">y tendencias. </w:t>
      </w:r>
      <w:r w:rsidR="002E10CB" w:rsidRPr="00474A1F">
        <w:rPr>
          <w:rFonts w:ascii="Times New Roman" w:hAnsi="Times New Roman" w:cs="Times New Roman"/>
          <w:sz w:val="24"/>
          <w:szCs w:val="24"/>
        </w:rPr>
        <w:t xml:space="preserve">La innovación </w:t>
      </w:r>
      <w:r w:rsidRPr="00474A1F">
        <w:rPr>
          <w:rFonts w:ascii="Times New Roman" w:hAnsi="Times New Roman" w:cs="Times New Roman"/>
          <w:sz w:val="24"/>
          <w:szCs w:val="24"/>
        </w:rPr>
        <w:t>está representad</w:t>
      </w:r>
      <w:r w:rsidR="002E10CB" w:rsidRPr="00474A1F">
        <w:rPr>
          <w:rFonts w:ascii="Times New Roman" w:hAnsi="Times New Roman" w:cs="Times New Roman"/>
          <w:sz w:val="24"/>
          <w:szCs w:val="24"/>
        </w:rPr>
        <w:t>a</w:t>
      </w:r>
      <w:r w:rsidRPr="00474A1F">
        <w:rPr>
          <w:rFonts w:ascii="Times New Roman" w:hAnsi="Times New Roman" w:cs="Times New Roman"/>
          <w:sz w:val="24"/>
          <w:szCs w:val="24"/>
        </w:rPr>
        <w:t xml:space="preserve"> por </w:t>
      </w:r>
      <w:r w:rsidRPr="00474A1F">
        <w:rPr>
          <w:rFonts w:ascii="Times New Roman" w:hAnsi="Times New Roman" w:cs="Times New Roman"/>
          <w:i/>
          <w:sz w:val="24"/>
          <w:szCs w:val="24"/>
        </w:rPr>
        <w:t>(y)</w:t>
      </w:r>
      <w:r w:rsidRPr="00474A1F">
        <w:rPr>
          <w:rFonts w:ascii="Times New Roman" w:hAnsi="Times New Roman" w:cs="Times New Roman"/>
          <w:sz w:val="24"/>
          <w:szCs w:val="24"/>
        </w:rPr>
        <w:t xml:space="preserve">, </w:t>
      </w:r>
      <w:r w:rsidR="00E60542" w:rsidRPr="00474A1F">
        <w:rPr>
          <w:rFonts w:ascii="Times New Roman" w:hAnsi="Times New Roman" w:cs="Times New Roman"/>
          <w:i/>
          <w:sz w:val="24"/>
          <w:szCs w:val="24"/>
        </w:rPr>
        <w:t>β</w:t>
      </w:r>
      <w:r w:rsidR="00E60542" w:rsidRPr="00474A1F">
        <w:rPr>
          <w:rFonts w:ascii="Times New Roman" w:hAnsi="Times New Roman" w:cs="Times New Roman"/>
          <w:sz w:val="24"/>
          <w:szCs w:val="24"/>
        </w:rPr>
        <w:t xml:space="preserve"> representa las covariables, que en este caso son </w:t>
      </w:r>
      <w:r w:rsidRPr="00474A1F">
        <w:rPr>
          <w:rFonts w:ascii="Times New Roman" w:hAnsi="Times New Roman" w:cs="Times New Roman"/>
          <w:i/>
          <w:sz w:val="24"/>
          <w:szCs w:val="24"/>
        </w:rPr>
        <w:t>(</w:t>
      </w:r>
      <w:r w:rsidR="002E10CB" w:rsidRPr="00474A1F">
        <w:rPr>
          <w:rFonts w:ascii="Times New Roman" w:hAnsi="Times New Roman" w:cs="Times New Roman"/>
          <w:i/>
          <w:sz w:val="24"/>
          <w:szCs w:val="24"/>
        </w:rPr>
        <w:t>E</w:t>
      </w:r>
      <w:r w:rsidRPr="00474A1F">
        <w:rPr>
          <w:rFonts w:ascii="Times New Roman" w:hAnsi="Times New Roman" w:cs="Times New Roman"/>
          <w:i/>
          <w:sz w:val="24"/>
          <w:szCs w:val="24"/>
        </w:rPr>
        <w:t>)</w:t>
      </w:r>
      <w:r w:rsidR="00E60542" w:rsidRPr="00474A1F">
        <w:rPr>
          <w:rFonts w:ascii="Times New Roman" w:hAnsi="Times New Roman" w:cs="Times New Roman"/>
          <w:sz w:val="24"/>
          <w:szCs w:val="24"/>
        </w:rPr>
        <w:t xml:space="preserve"> para las empresas</w:t>
      </w:r>
      <w:r w:rsidRPr="00474A1F">
        <w:rPr>
          <w:rFonts w:ascii="Times New Roman" w:hAnsi="Times New Roman" w:cs="Times New Roman"/>
          <w:sz w:val="24"/>
          <w:szCs w:val="24"/>
        </w:rPr>
        <w:t xml:space="preserve">, </w:t>
      </w:r>
      <w:r w:rsidRPr="00474A1F">
        <w:rPr>
          <w:rFonts w:ascii="Times New Roman" w:hAnsi="Times New Roman" w:cs="Times New Roman"/>
          <w:i/>
          <w:sz w:val="24"/>
          <w:szCs w:val="24"/>
        </w:rPr>
        <w:t>(</w:t>
      </w:r>
      <w:r w:rsidR="002E10CB" w:rsidRPr="00474A1F">
        <w:rPr>
          <w:rFonts w:ascii="Times New Roman" w:hAnsi="Times New Roman" w:cs="Times New Roman"/>
          <w:i/>
          <w:sz w:val="24"/>
          <w:szCs w:val="24"/>
        </w:rPr>
        <w:t>F</w:t>
      </w:r>
      <w:r w:rsidRPr="00474A1F">
        <w:rPr>
          <w:rFonts w:ascii="Times New Roman" w:hAnsi="Times New Roman" w:cs="Times New Roman"/>
          <w:i/>
          <w:sz w:val="24"/>
          <w:szCs w:val="24"/>
        </w:rPr>
        <w:t>)</w:t>
      </w:r>
      <w:r w:rsidR="00E60542" w:rsidRPr="00474A1F">
        <w:rPr>
          <w:rFonts w:ascii="Times New Roman" w:hAnsi="Times New Roman" w:cs="Times New Roman"/>
          <w:sz w:val="24"/>
          <w:szCs w:val="24"/>
        </w:rPr>
        <w:t xml:space="preserve"> para las grandes empresas</w:t>
      </w:r>
      <w:r w:rsidR="002E10CB" w:rsidRPr="00474A1F">
        <w:rPr>
          <w:rFonts w:ascii="Times New Roman" w:hAnsi="Times New Roman" w:cs="Times New Roman"/>
          <w:sz w:val="24"/>
          <w:szCs w:val="24"/>
        </w:rPr>
        <w:t xml:space="preserve">, </w:t>
      </w:r>
      <w:r w:rsidRPr="00474A1F">
        <w:rPr>
          <w:rFonts w:ascii="Times New Roman" w:hAnsi="Times New Roman" w:cs="Times New Roman"/>
          <w:i/>
          <w:sz w:val="24"/>
          <w:szCs w:val="24"/>
        </w:rPr>
        <w:t>(</w:t>
      </w:r>
      <w:r w:rsidR="002E10CB" w:rsidRPr="00474A1F">
        <w:rPr>
          <w:rFonts w:ascii="Times New Roman" w:hAnsi="Times New Roman" w:cs="Times New Roman"/>
          <w:i/>
          <w:sz w:val="24"/>
          <w:szCs w:val="24"/>
        </w:rPr>
        <w:t>G</w:t>
      </w:r>
      <w:r w:rsidRPr="00474A1F">
        <w:rPr>
          <w:rFonts w:ascii="Times New Roman" w:hAnsi="Times New Roman" w:cs="Times New Roman"/>
          <w:i/>
          <w:sz w:val="24"/>
          <w:szCs w:val="24"/>
        </w:rPr>
        <w:t>)</w:t>
      </w:r>
      <w:r w:rsidR="00E60542" w:rsidRPr="00474A1F">
        <w:rPr>
          <w:rFonts w:ascii="Times New Roman" w:hAnsi="Times New Roman" w:cs="Times New Roman"/>
          <w:sz w:val="24"/>
          <w:szCs w:val="24"/>
        </w:rPr>
        <w:t xml:space="preserve"> para los posgrados de calidad</w:t>
      </w:r>
      <w:r w:rsidR="002E10CB" w:rsidRPr="00474A1F">
        <w:rPr>
          <w:rFonts w:ascii="Times New Roman" w:hAnsi="Times New Roman" w:cs="Times New Roman"/>
          <w:sz w:val="24"/>
          <w:szCs w:val="24"/>
        </w:rPr>
        <w:t xml:space="preserve">, </w:t>
      </w:r>
      <w:r w:rsidR="00BF1132" w:rsidRPr="00474A1F">
        <w:rPr>
          <w:rFonts w:ascii="Times New Roman" w:hAnsi="Times New Roman" w:cs="Times New Roman"/>
          <w:i/>
          <w:sz w:val="24"/>
          <w:szCs w:val="24"/>
        </w:rPr>
        <w:t>(H)</w:t>
      </w:r>
      <w:r w:rsidR="00E60542" w:rsidRPr="00474A1F">
        <w:rPr>
          <w:rFonts w:ascii="Times New Roman" w:hAnsi="Times New Roman" w:cs="Times New Roman"/>
          <w:sz w:val="24"/>
          <w:szCs w:val="24"/>
        </w:rPr>
        <w:t xml:space="preserve"> para los centros de investigación </w:t>
      </w:r>
      <w:r w:rsidR="00BF1132" w:rsidRPr="00474A1F">
        <w:rPr>
          <w:rFonts w:ascii="Times New Roman" w:hAnsi="Times New Roman" w:cs="Times New Roman"/>
          <w:sz w:val="24"/>
          <w:szCs w:val="24"/>
        </w:rPr>
        <w:t xml:space="preserve">y </w:t>
      </w:r>
      <w:r w:rsidR="00BF1132" w:rsidRPr="00474A1F">
        <w:rPr>
          <w:rFonts w:ascii="Times New Roman" w:hAnsi="Times New Roman" w:cs="Times New Roman"/>
          <w:i/>
          <w:sz w:val="24"/>
          <w:szCs w:val="24"/>
        </w:rPr>
        <w:t>(J)</w:t>
      </w:r>
      <w:r w:rsidR="00E60542" w:rsidRPr="00474A1F">
        <w:rPr>
          <w:rFonts w:ascii="Times New Roman" w:hAnsi="Times New Roman" w:cs="Times New Roman"/>
          <w:sz w:val="24"/>
          <w:szCs w:val="24"/>
        </w:rPr>
        <w:t xml:space="preserve"> para los investigadores</w:t>
      </w:r>
      <w:r w:rsidR="00BF1132" w:rsidRPr="00474A1F">
        <w:rPr>
          <w:rFonts w:ascii="Times New Roman" w:hAnsi="Times New Roman" w:cs="Times New Roman"/>
          <w:sz w:val="24"/>
          <w:szCs w:val="24"/>
        </w:rPr>
        <w:t xml:space="preserve">. </w:t>
      </w:r>
      <w:r w:rsidRPr="00474A1F">
        <w:rPr>
          <w:rFonts w:ascii="Times New Roman" w:hAnsi="Times New Roman" w:cs="Times New Roman"/>
          <w:sz w:val="24"/>
          <w:szCs w:val="24"/>
        </w:rPr>
        <w:t>Finalmente</w:t>
      </w:r>
      <w:r w:rsidR="006A2862" w:rsidRPr="00474A1F">
        <w:rPr>
          <w:rFonts w:ascii="Times New Roman" w:hAnsi="Times New Roman" w:cs="Times New Roman"/>
          <w:sz w:val="24"/>
          <w:szCs w:val="24"/>
        </w:rPr>
        <w:t>,</w:t>
      </w:r>
      <w:r w:rsidRPr="00474A1F">
        <w:rPr>
          <w:rFonts w:ascii="Times New Roman" w:hAnsi="Times New Roman" w:cs="Times New Roman"/>
          <w:sz w:val="24"/>
          <w:szCs w:val="24"/>
        </w:rPr>
        <w:t xml:space="preserve"> </w:t>
      </w:r>
      <w:r w:rsidRPr="00474A1F">
        <w:rPr>
          <w:rFonts w:ascii="Times New Roman" w:hAnsi="Times New Roman" w:cs="Times New Roman"/>
          <w:i/>
          <w:sz w:val="24"/>
          <w:szCs w:val="24"/>
        </w:rPr>
        <w:t>(</w:t>
      </w:r>
      <w:r w:rsidR="00E60542" w:rsidRPr="00474A1F">
        <w:rPr>
          <w:rFonts w:ascii="Times New Roman" w:hAnsi="Times New Roman" w:cs="Times New Roman"/>
          <w:i/>
          <w:sz w:val="24"/>
          <w:szCs w:val="24"/>
        </w:rPr>
        <w:t>e</w:t>
      </w:r>
      <w:r w:rsidRPr="00474A1F">
        <w:rPr>
          <w:rFonts w:ascii="Times New Roman" w:hAnsi="Times New Roman" w:cs="Times New Roman"/>
          <w:i/>
          <w:sz w:val="24"/>
          <w:szCs w:val="24"/>
        </w:rPr>
        <w:t>)</w:t>
      </w:r>
      <w:r w:rsidRPr="00474A1F">
        <w:rPr>
          <w:rFonts w:ascii="Times New Roman" w:hAnsi="Times New Roman" w:cs="Times New Roman"/>
          <w:sz w:val="24"/>
          <w:szCs w:val="24"/>
        </w:rPr>
        <w:t xml:space="preserve"> </w:t>
      </w:r>
      <w:r w:rsidR="00BF1132" w:rsidRPr="00474A1F">
        <w:rPr>
          <w:rFonts w:ascii="Times New Roman" w:hAnsi="Times New Roman" w:cs="Times New Roman"/>
          <w:sz w:val="24"/>
          <w:szCs w:val="24"/>
        </w:rPr>
        <w:t xml:space="preserve">refiere </w:t>
      </w:r>
      <w:r w:rsidR="00E60542" w:rsidRPr="00474A1F">
        <w:rPr>
          <w:rFonts w:ascii="Times New Roman" w:hAnsi="Times New Roman" w:cs="Times New Roman"/>
          <w:sz w:val="24"/>
          <w:szCs w:val="24"/>
        </w:rPr>
        <w:t xml:space="preserve">al </w:t>
      </w:r>
      <w:r w:rsidRPr="00474A1F">
        <w:rPr>
          <w:rFonts w:ascii="Times New Roman" w:hAnsi="Times New Roman" w:cs="Times New Roman"/>
          <w:sz w:val="24"/>
          <w:szCs w:val="24"/>
        </w:rPr>
        <w:t>error</w:t>
      </w:r>
      <w:r w:rsidR="00E60542" w:rsidRPr="00474A1F">
        <w:rPr>
          <w:rFonts w:ascii="Times New Roman" w:hAnsi="Times New Roman" w:cs="Times New Roman"/>
          <w:sz w:val="24"/>
          <w:szCs w:val="24"/>
        </w:rPr>
        <w:t xml:space="preserve"> aleatorio</w:t>
      </w:r>
      <w:r w:rsidRPr="00474A1F">
        <w:rPr>
          <w:rFonts w:ascii="Times New Roman" w:hAnsi="Times New Roman" w:cs="Times New Roman"/>
          <w:sz w:val="24"/>
          <w:szCs w:val="24"/>
        </w:rPr>
        <w:t xml:space="preserve">, con media cero, varianza constante y no </w:t>
      </w:r>
      <w:proofErr w:type="spellStart"/>
      <w:r w:rsidRPr="00474A1F">
        <w:rPr>
          <w:rFonts w:ascii="Times New Roman" w:hAnsi="Times New Roman" w:cs="Times New Roman"/>
          <w:sz w:val="24"/>
          <w:szCs w:val="24"/>
        </w:rPr>
        <w:t>autocorrelacionado</w:t>
      </w:r>
      <w:proofErr w:type="spellEnd"/>
      <w:r w:rsidRPr="00474A1F">
        <w:rPr>
          <w:rFonts w:ascii="Times New Roman" w:hAnsi="Times New Roman" w:cs="Times New Roman"/>
          <w:sz w:val="24"/>
          <w:szCs w:val="24"/>
        </w:rPr>
        <w:t>.</w:t>
      </w:r>
      <w:r w:rsidR="00060BA5" w:rsidRPr="00474A1F">
        <w:rPr>
          <w:rFonts w:ascii="Times New Roman" w:hAnsi="Times New Roman" w:cs="Times New Roman"/>
          <w:sz w:val="24"/>
          <w:szCs w:val="24"/>
        </w:rPr>
        <w:t xml:space="preserve"> </w:t>
      </w:r>
    </w:p>
    <w:p w14:paraId="42312410" w14:textId="0905BBF0" w:rsidR="00581E30" w:rsidRDefault="006A2862" w:rsidP="002D01BD">
      <w:pPr>
        <w:autoSpaceDE w:val="0"/>
        <w:autoSpaceDN w:val="0"/>
        <w:adjustRightInd w:val="0"/>
        <w:spacing w:after="0" w:line="360" w:lineRule="auto"/>
        <w:ind w:firstLine="709"/>
        <w:jc w:val="both"/>
        <w:rPr>
          <w:rFonts w:ascii="Times New Roman" w:hAnsi="Times New Roman" w:cs="Times New Roman"/>
          <w:sz w:val="24"/>
          <w:szCs w:val="24"/>
        </w:rPr>
      </w:pPr>
      <w:r w:rsidRPr="00474A1F">
        <w:rPr>
          <w:rFonts w:ascii="Times New Roman" w:hAnsi="Times New Roman" w:cs="Times New Roman"/>
          <w:sz w:val="24"/>
          <w:szCs w:val="24"/>
        </w:rPr>
        <w:t>Así</w:t>
      </w:r>
      <w:r w:rsidR="00060BA5" w:rsidRPr="00474A1F">
        <w:rPr>
          <w:rFonts w:ascii="Times New Roman" w:hAnsi="Times New Roman" w:cs="Times New Roman"/>
          <w:sz w:val="24"/>
          <w:szCs w:val="24"/>
        </w:rPr>
        <w:t xml:space="preserve">, </w:t>
      </w:r>
      <w:r w:rsidR="006A0ABA">
        <w:rPr>
          <w:rFonts w:ascii="Times New Roman" w:hAnsi="Times New Roman" w:cs="Times New Roman"/>
          <w:sz w:val="24"/>
          <w:szCs w:val="24"/>
        </w:rPr>
        <w:t xml:space="preserve">la figura 1 muestra que </w:t>
      </w:r>
      <w:r w:rsidR="00060BA5" w:rsidRPr="00474A1F">
        <w:rPr>
          <w:rFonts w:ascii="Times New Roman" w:hAnsi="Times New Roman" w:cs="Times New Roman"/>
          <w:sz w:val="24"/>
          <w:szCs w:val="24"/>
        </w:rPr>
        <w:t xml:space="preserve">el diseño de estimación toma como variable dependiente las patentes como </w:t>
      </w:r>
      <w:r w:rsidR="00232984" w:rsidRPr="00474A1F">
        <w:rPr>
          <w:rFonts w:ascii="Times New Roman" w:hAnsi="Times New Roman" w:cs="Times New Roman"/>
          <w:sz w:val="24"/>
          <w:szCs w:val="24"/>
        </w:rPr>
        <w:t>elementos de la innovación</w:t>
      </w:r>
      <w:r w:rsidRPr="00474A1F">
        <w:rPr>
          <w:rFonts w:ascii="Times New Roman" w:hAnsi="Times New Roman" w:cs="Times New Roman"/>
          <w:sz w:val="24"/>
          <w:szCs w:val="24"/>
        </w:rPr>
        <w:t>, m</w:t>
      </w:r>
      <w:r w:rsidR="00060BA5" w:rsidRPr="00474A1F">
        <w:rPr>
          <w:rFonts w:ascii="Times New Roman" w:hAnsi="Times New Roman" w:cs="Times New Roman"/>
          <w:sz w:val="24"/>
          <w:szCs w:val="24"/>
        </w:rPr>
        <w:t xml:space="preserve">ientras que las variables independientes </w:t>
      </w:r>
      <w:r w:rsidR="00232984" w:rsidRPr="00474A1F">
        <w:rPr>
          <w:rFonts w:ascii="Times New Roman" w:hAnsi="Times New Roman" w:cs="Times New Roman"/>
          <w:sz w:val="24"/>
          <w:szCs w:val="24"/>
        </w:rPr>
        <w:t xml:space="preserve">son las covariables antes mencionadas. </w:t>
      </w:r>
    </w:p>
    <w:p w14:paraId="3C079E4F" w14:textId="0B51186A" w:rsidR="00C713E7" w:rsidRDefault="00C713E7" w:rsidP="002D01BD">
      <w:pPr>
        <w:autoSpaceDE w:val="0"/>
        <w:autoSpaceDN w:val="0"/>
        <w:adjustRightInd w:val="0"/>
        <w:spacing w:after="0" w:line="360" w:lineRule="auto"/>
        <w:ind w:firstLine="709"/>
        <w:jc w:val="both"/>
        <w:rPr>
          <w:rFonts w:ascii="Times New Roman" w:hAnsi="Times New Roman" w:cs="Times New Roman"/>
          <w:sz w:val="24"/>
          <w:szCs w:val="24"/>
        </w:rPr>
      </w:pPr>
    </w:p>
    <w:p w14:paraId="41225A92" w14:textId="5DF9787E" w:rsidR="00C713E7" w:rsidRDefault="00C713E7" w:rsidP="002D01BD">
      <w:pPr>
        <w:autoSpaceDE w:val="0"/>
        <w:autoSpaceDN w:val="0"/>
        <w:adjustRightInd w:val="0"/>
        <w:spacing w:after="0" w:line="360" w:lineRule="auto"/>
        <w:ind w:firstLine="709"/>
        <w:jc w:val="both"/>
        <w:rPr>
          <w:rFonts w:ascii="Times New Roman" w:hAnsi="Times New Roman" w:cs="Times New Roman"/>
          <w:sz w:val="24"/>
          <w:szCs w:val="24"/>
        </w:rPr>
      </w:pPr>
    </w:p>
    <w:p w14:paraId="325A3093"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4906343E"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0E0F1B3F"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749508DD"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14820358"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5AC70096"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1F6E6E7C" w14:textId="77777777" w:rsidR="00D93FE6" w:rsidRDefault="00D93FE6" w:rsidP="002D01BD">
      <w:pPr>
        <w:autoSpaceDE w:val="0"/>
        <w:autoSpaceDN w:val="0"/>
        <w:adjustRightInd w:val="0"/>
        <w:spacing w:after="0" w:line="360" w:lineRule="auto"/>
        <w:ind w:firstLine="709"/>
        <w:jc w:val="both"/>
        <w:rPr>
          <w:rFonts w:ascii="Times New Roman" w:hAnsi="Times New Roman" w:cs="Times New Roman"/>
          <w:sz w:val="24"/>
          <w:szCs w:val="24"/>
        </w:rPr>
      </w:pPr>
    </w:p>
    <w:p w14:paraId="4692A7B5" w14:textId="264E7D38" w:rsidR="0053179A" w:rsidRPr="00D93FE6" w:rsidRDefault="0053179A" w:rsidP="004F4330">
      <w:pPr>
        <w:autoSpaceDE w:val="0"/>
        <w:autoSpaceDN w:val="0"/>
        <w:adjustRightInd w:val="0"/>
        <w:spacing w:after="0" w:line="360" w:lineRule="auto"/>
        <w:jc w:val="center"/>
        <w:rPr>
          <w:rFonts w:ascii="Times New Roman" w:hAnsi="Times New Roman" w:cs="Times New Roman"/>
          <w:sz w:val="24"/>
          <w:szCs w:val="24"/>
        </w:rPr>
      </w:pPr>
      <w:r w:rsidRPr="00D93FE6">
        <w:rPr>
          <w:rFonts w:ascii="Times New Roman" w:hAnsi="Times New Roman" w:cs="Times New Roman"/>
          <w:b/>
          <w:sz w:val="24"/>
          <w:szCs w:val="24"/>
        </w:rPr>
        <w:lastRenderedPageBreak/>
        <w:t>Figura 1.</w:t>
      </w:r>
      <w:r w:rsidRPr="00D93FE6">
        <w:rPr>
          <w:rFonts w:ascii="Times New Roman" w:hAnsi="Times New Roman" w:cs="Times New Roman"/>
          <w:sz w:val="24"/>
          <w:szCs w:val="24"/>
        </w:rPr>
        <w:t xml:space="preserve"> Variables independientes y dependiente</w:t>
      </w:r>
      <w:r w:rsidR="00CC4CCA" w:rsidRPr="00D93FE6">
        <w:rPr>
          <w:rFonts w:ascii="Times New Roman" w:hAnsi="Times New Roman" w:cs="Times New Roman"/>
          <w:sz w:val="24"/>
          <w:szCs w:val="24"/>
        </w:rPr>
        <w:t>s</w:t>
      </w:r>
    </w:p>
    <w:p w14:paraId="0D9812C4" w14:textId="64900420" w:rsidR="0053179A" w:rsidRPr="00474A1F" w:rsidRDefault="00922DE5" w:rsidP="00DC498B">
      <w:pPr>
        <w:autoSpaceDE w:val="0"/>
        <w:autoSpaceDN w:val="0"/>
        <w:adjustRightInd w:val="0"/>
        <w:spacing w:after="0" w:line="360" w:lineRule="auto"/>
        <w:jc w:val="center"/>
        <w:rPr>
          <w:rFonts w:ascii="Times New Roman" w:hAnsi="Times New Roman" w:cs="Times New Roman"/>
          <w:sz w:val="24"/>
          <w:szCs w:val="24"/>
        </w:rPr>
      </w:pPr>
      <w:r w:rsidRPr="00474A1F">
        <w:rPr>
          <w:rFonts w:ascii="Times New Roman" w:hAnsi="Times New Roman" w:cs="Times New Roman"/>
          <w:noProof/>
          <w:lang w:eastAsia="es-MX"/>
        </w:rPr>
        <w:drawing>
          <wp:inline distT="0" distB="0" distL="0" distR="0" wp14:anchorId="477D944E" wp14:editId="255B94E3">
            <wp:extent cx="4654459" cy="26022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4231" cy="2753055"/>
                    </a:xfrm>
                    <a:prstGeom prst="rect">
                      <a:avLst/>
                    </a:prstGeom>
                    <a:noFill/>
                    <a:ln>
                      <a:noFill/>
                    </a:ln>
                  </pic:spPr>
                </pic:pic>
              </a:graphicData>
            </a:graphic>
          </wp:inline>
        </w:drawing>
      </w:r>
    </w:p>
    <w:p w14:paraId="162AC3A3" w14:textId="1D168317" w:rsidR="0053179A" w:rsidRPr="00D93FE6" w:rsidRDefault="0053179A" w:rsidP="0053179A">
      <w:pPr>
        <w:autoSpaceDE w:val="0"/>
        <w:autoSpaceDN w:val="0"/>
        <w:adjustRightInd w:val="0"/>
        <w:spacing w:after="0" w:line="360" w:lineRule="auto"/>
        <w:ind w:firstLine="709"/>
        <w:jc w:val="center"/>
        <w:rPr>
          <w:rFonts w:ascii="Times New Roman" w:hAnsi="Times New Roman" w:cs="Times New Roman"/>
          <w:sz w:val="24"/>
          <w:szCs w:val="24"/>
        </w:rPr>
      </w:pPr>
      <w:r w:rsidRPr="00D93FE6">
        <w:rPr>
          <w:rFonts w:ascii="Times New Roman" w:hAnsi="Times New Roman" w:cs="Times New Roman"/>
          <w:sz w:val="24"/>
          <w:szCs w:val="24"/>
        </w:rPr>
        <w:t xml:space="preserve">Fuente: </w:t>
      </w:r>
      <w:r w:rsidR="006A2862" w:rsidRPr="00D93FE6">
        <w:rPr>
          <w:rFonts w:ascii="Times New Roman" w:hAnsi="Times New Roman" w:cs="Times New Roman"/>
          <w:sz w:val="24"/>
          <w:szCs w:val="24"/>
        </w:rPr>
        <w:t>E</w:t>
      </w:r>
      <w:r w:rsidRPr="00D93FE6">
        <w:rPr>
          <w:rFonts w:ascii="Times New Roman" w:hAnsi="Times New Roman" w:cs="Times New Roman"/>
          <w:sz w:val="24"/>
          <w:szCs w:val="24"/>
        </w:rPr>
        <w:t>laboración propia</w:t>
      </w:r>
    </w:p>
    <w:p w14:paraId="7466A06A" w14:textId="77777777" w:rsidR="00C713E7" w:rsidRDefault="00C713E7" w:rsidP="00E2057D">
      <w:pPr>
        <w:autoSpaceDE w:val="0"/>
        <w:autoSpaceDN w:val="0"/>
        <w:adjustRightInd w:val="0"/>
        <w:spacing w:after="0" w:line="360" w:lineRule="auto"/>
        <w:ind w:left="708" w:firstLine="709"/>
        <w:jc w:val="both"/>
        <w:rPr>
          <w:rFonts w:ascii="Times New Roman" w:hAnsi="Times New Roman" w:cs="Times New Roman"/>
          <w:sz w:val="24"/>
          <w:szCs w:val="24"/>
        </w:rPr>
      </w:pPr>
    </w:p>
    <w:p w14:paraId="6857444F" w14:textId="5097D44B" w:rsidR="001A4A0B" w:rsidRDefault="00173F77" w:rsidP="00C713E7">
      <w:pPr>
        <w:autoSpaceDE w:val="0"/>
        <w:autoSpaceDN w:val="0"/>
        <w:adjustRightInd w:val="0"/>
        <w:spacing w:after="0" w:line="360" w:lineRule="auto"/>
        <w:ind w:firstLine="709"/>
        <w:jc w:val="both"/>
        <w:rPr>
          <w:rFonts w:ascii="Times New Roman" w:hAnsi="Times New Roman" w:cs="Times New Roman"/>
          <w:sz w:val="24"/>
          <w:szCs w:val="24"/>
        </w:rPr>
      </w:pPr>
      <w:r w:rsidRPr="00474A1F">
        <w:rPr>
          <w:rFonts w:ascii="Times New Roman" w:hAnsi="Times New Roman" w:cs="Times New Roman"/>
          <w:sz w:val="24"/>
          <w:szCs w:val="24"/>
        </w:rPr>
        <w:t xml:space="preserve">Específicamente, en la tabla 1 se </w:t>
      </w:r>
      <w:r w:rsidR="0053179A" w:rsidRPr="00474A1F">
        <w:rPr>
          <w:rFonts w:ascii="Times New Roman" w:hAnsi="Times New Roman" w:cs="Times New Roman"/>
          <w:sz w:val="24"/>
          <w:szCs w:val="24"/>
        </w:rPr>
        <w:t xml:space="preserve">definen </w:t>
      </w:r>
      <w:r w:rsidRPr="00474A1F">
        <w:rPr>
          <w:rFonts w:ascii="Times New Roman" w:hAnsi="Times New Roman" w:cs="Times New Roman"/>
          <w:sz w:val="24"/>
          <w:szCs w:val="24"/>
        </w:rPr>
        <w:t xml:space="preserve">las variables utilizadas en función de los factores económicos y educativos. </w:t>
      </w:r>
      <w:r w:rsidR="006A2862" w:rsidRPr="00474A1F">
        <w:rPr>
          <w:rFonts w:ascii="Times New Roman" w:hAnsi="Times New Roman" w:cs="Times New Roman"/>
          <w:sz w:val="24"/>
          <w:szCs w:val="24"/>
        </w:rPr>
        <w:t xml:space="preserve"> </w:t>
      </w:r>
    </w:p>
    <w:p w14:paraId="6BB80F8B" w14:textId="77777777" w:rsidR="00C713E7" w:rsidRPr="00474A1F" w:rsidRDefault="00C713E7" w:rsidP="00C713E7">
      <w:pPr>
        <w:autoSpaceDE w:val="0"/>
        <w:autoSpaceDN w:val="0"/>
        <w:adjustRightInd w:val="0"/>
        <w:spacing w:after="0" w:line="360" w:lineRule="auto"/>
        <w:ind w:firstLine="709"/>
        <w:jc w:val="both"/>
        <w:rPr>
          <w:rFonts w:ascii="Times New Roman" w:hAnsi="Times New Roman" w:cs="Times New Roman"/>
          <w:sz w:val="24"/>
          <w:szCs w:val="24"/>
        </w:rPr>
      </w:pPr>
    </w:p>
    <w:p w14:paraId="1CFD4232" w14:textId="24D08E7E" w:rsidR="00B17072" w:rsidRPr="00D93FE6" w:rsidRDefault="00B17072" w:rsidP="00D93FE6">
      <w:pPr>
        <w:autoSpaceDE w:val="0"/>
        <w:autoSpaceDN w:val="0"/>
        <w:adjustRightInd w:val="0"/>
        <w:spacing w:after="0" w:line="360" w:lineRule="auto"/>
        <w:jc w:val="center"/>
        <w:rPr>
          <w:rFonts w:ascii="Times New Roman" w:hAnsi="Times New Roman" w:cs="Times New Roman"/>
          <w:sz w:val="24"/>
          <w:szCs w:val="24"/>
        </w:rPr>
      </w:pPr>
      <w:r w:rsidRPr="00D93FE6">
        <w:rPr>
          <w:rFonts w:ascii="Times New Roman" w:hAnsi="Times New Roman" w:cs="Times New Roman"/>
          <w:b/>
          <w:sz w:val="24"/>
          <w:szCs w:val="24"/>
        </w:rPr>
        <w:t>Tabla 1.</w:t>
      </w:r>
      <w:r w:rsidRPr="00D93FE6">
        <w:rPr>
          <w:rFonts w:ascii="Times New Roman" w:hAnsi="Times New Roman" w:cs="Times New Roman"/>
          <w:sz w:val="24"/>
          <w:szCs w:val="24"/>
        </w:rPr>
        <w:t xml:space="preserve"> Definición de variables</w:t>
      </w:r>
    </w:p>
    <w:tbl>
      <w:tblPr>
        <w:tblStyle w:val="Tablaconcuadrcula"/>
        <w:tblW w:w="0" w:type="auto"/>
        <w:tblLook w:val="04A0" w:firstRow="1" w:lastRow="0" w:firstColumn="1" w:lastColumn="0" w:noHBand="0" w:noVBand="1"/>
      </w:tblPr>
      <w:tblGrid>
        <w:gridCol w:w="2972"/>
        <w:gridCol w:w="5856"/>
      </w:tblGrid>
      <w:tr w:rsidR="00B17072" w:rsidRPr="00474A1F" w14:paraId="5AF1B057" w14:textId="77777777" w:rsidTr="002D650E">
        <w:tc>
          <w:tcPr>
            <w:tcW w:w="2972" w:type="dxa"/>
          </w:tcPr>
          <w:p w14:paraId="116F70F5" w14:textId="5796DFCB" w:rsidR="00B17072" w:rsidRPr="00474A1F" w:rsidRDefault="00EA55A8" w:rsidP="00EA55A8">
            <w:pPr>
              <w:autoSpaceDE w:val="0"/>
              <w:autoSpaceDN w:val="0"/>
              <w:adjustRightInd w:val="0"/>
              <w:spacing w:line="360" w:lineRule="auto"/>
              <w:jc w:val="center"/>
              <w:rPr>
                <w:rFonts w:ascii="Times New Roman" w:hAnsi="Times New Roman" w:cs="Times New Roman"/>
                <w:b/>
                <w:sz w:val="24"/>
                <w:szCs w:val="24"/>
              </w:rPr>
            </w:pPr>
            <w:r w:rsidRPr="00474A1F">
              <w:rPr>
                <w:rFonts w:ascii="Times New Roman" w:hAnsi="Times New Roman" w:cs="Times New Roman"/>
                <w:b/>
                <w:sz w:val="24"/>
                <w:szCs w:val="24"/>
              </w:rPr>
              <w:t>Variables</w:t>
            </w:r>
          </w:p>
        </w:tc>
        <w:tc>
          <w:tcPr>
            <w:tcW w:w="5856" w:type="dxa"/>
          </w:tcPr>
          <w:p w14:paraId="7B4D2E2F" w14:textId="6B7B7B9E" w:rsidR="00B17072" w:rsidRPr="00474A1F" w:rsidRDefault="00EA55A8" w:rsidP="00EA55A8">
            <w:pPr>
              <w:autoSpaceDE w:val="0"/>
              <w:autoSpaceDN w:val="0"/>
              <w:adjustRightInd w:val="0"/>
              <w:spacing w:line="360" w:lineRule="auto"/>
              <w:jc w:val="center"/>
              <w:rPr>
                <w:rFonts w:ascii="Times New Roman" w:hAnsi="Times New Roman" w:cs="Times New Roman"/>
                <w:b/>
                <w:sz w:val="24"/>
                <w:szCs w:val="24"/>
              </w:rPr>
            </w:pPr>
            <w:r w:rsidRPr="00474A1F">
              <w:rPr>
                <w:rFonts w:ascii="Times New Roman" w:hAnsi="Times New Roman" w:cs="Times New Roman"/>
                <w:b/>
                <w:sz w:val="24"/>
                <w:szCs w:val="24"/>
              </w:rPr>
              <w:t>Definiciones</w:t>
            </w:r>
          </w:p>
        </w:tc>
      </w:tr>
      <w:tr w:rsidR="00B17072" w:rsidRPr="00474A1F" w14:paraId="2252160E" w14:textId="77777777" w:rsidTr="002D650E">
        <w:tc>
          <w:tcPr>
            <w:tcW w:w="2972" w:type="dxa"/>
          </w:tcPr>
          <w:p w14:paraId="0506EFC5" w14:textId="06F7A284" w:rsidR="00B17072" w:rsidRPr="00474A1F" w:rsidRDefault="00B17072" w:rsidP="00060BA5">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Patentes</w:t>
            </w:r>
          </w:p>
        </w:tc>
        <w:tc>
          <w:tcPr>
            <w:tcW w:w="5856" w:type="dxa"/>
          </w:tcPr>
          <w:p w14:paraId="76291D33" w14:textId="23A286B4" w:rsidR="00B17072" w:rsidRPr="00474A1F" w:rsidRDefault="00463314" w:rsidP="00060BA5">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Número de patentes solicitadas</w:t>
            </w:r>
          </w:p>
        </w:tc>
      </w:tr>
      <w:tr w:rsidR="00B17072" w:rsidRPr="00474A1F" w14:paraId="06B6A213" w14:textId="77777777" w:rsidTr="002D650E">
        <w:tc>
          <w:tcPr>
            <w:tcW w:w="2972" w:type="dxa"/>
          </w:tcPr>
          <w:p w14:paraId="4224D98C" w14:textId="33A148FE" w:rsidR="00B17072" w:rsidRPr="00474A1F" w:rsidRDefault="00460473"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P</w:t>
            </w:r>
            <w:r w:rsidR="006A2862" w:rsidRPr="00474A1F">
              <w:rPr>
                <w:rFonts w:ascii="Times New Roman" w:hAnsi="Times New Roman" w:cs="Times New Roman"/>
                <w:szCs w:val="24"/>
              </w:rPr>
              <w:t>ymes</w:t>
            </w:r>
          </w:p>
        </w:tc>
        <w:tc>
          <w:tcPr>
            <w:tcW w:w="5856" w:type="dxa"/>
          </w:tcPr>
          <w:p w14:paraId="1ABAAE1F" w14:textId="4D7A0C0B" w:rsidR="00B17072" w:rsidRPr="00474A1F" w:rsidRDefault="00B44638" w:rsidP="006A286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Número de registros patronales en el IMSS</w:t>
            </w:r>
          </w:p>
        </w:tc>
      </w:tr>
      <w:tr w:rsidR="00B17072" w:rsidRPr="00474A1F" w14:paraId="6BF1819A" w14:textId="77777777" w:rsidTr="002D650E">
        <w:tc>
          <w:tcPr>
            <w:tcW w:w="2972" w:type="dxa"/>
          </w:tcPr>
          <w:p w14:paraId="277458F8" w14:textId="12A57CD1" w:rsidR="00B17072" w:rsidRPr="00474A1F" w:rsidRDefault="00B17072"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Grandes empresas</w:t>
            </w:r>
          </w:p>
        </w:tc>
        <w:tc>
          <w:tcPr>
            <w:tcW w:w="5856" w:type="dxa"/>
          </w:tcPr>
          <w:p w14:paraId="3585E00F" w14:textId="6ED7BD0D" w:rsidR="00B17072" w:rsidRPr="00474A1F" w:rsidRDefault="00463314"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 xml:space="preserve">Número de </w:t>
            </w:r>
            <w:r w:rsidR="000501BC" w:rsidRPr="00474A1F">
              <w:rPr>
                <w:rFonts w:ascii="Times New Roman" w:hAnsi="Times New Roman" w:cs="Times New Roman"/>
                <w:szCs w:val="24"/>
              </w:rPr>
              <w:t xml:space="preserve">empresas </w:t>
            </w:r>
            <w:r w:rsidR="006A2862" w:rsidRPr="00474A1F">
              <w:rPr>
                <w:rFonts w:ascii="Times New Roman" w:hAnsi="Times New Roman" w:cs="Times New Roman"/>
                <w:szCs w:val="24"/>
              </w:rPr>
              <w:t>que están del t</w:t>
            </w:r>
            <w:r w:rsidRPr="00474A1F">
              <w:rPr>
                <w:rFonts w:ascii="Times New Roman" w:hAnsi="Times New Roman" w:cs="Times New Roman"/>
                <w:szCs w:val="24"/>
              </w:rPr>
              <w:t>op 500 CNN</w:t>
            </w:r>
          </w:p>
        </w:tc>
      </w:tr>
      <w:tr w:rsidR="00B17072" w:rsidRPr="00474A1F" w14:paraId="76BE106C" w14:textId="77777777" w:rsidTr="002D650E">
        <w:tc>
          <w:tcPr>
            <w:tcW w:w="2972" w:type="dxa"/>
          </w:tcPr>
          <w:p w14:paraId="2B05EF33" w14:textId="5813056D" w:rsidR="00B17072" w:rsidRPr="00474A1F" w:rsidRDefault="00B17072"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Posgrados de calidad</w:t>
            </w:r>
          </w:p>
        </w:tc>
        <w:tc>
          <w:tcPr>
            <w:tcW w:w="5856" w:type="dxa"/>
          </w:tcPr>
          <w:p w14:paraId="1DB653EB" w14:textId="76883B16" w:rsidR="00B17072" w:rsidRPr="00474A1F" w:rsidRDefault="00463314"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 xml:space="preserve">Número programas de posgrado certificados por </w:t>
            </w:r>
            <w:proofErr w:type="spellStart"/>
            <w:r w:rsidRPr="00474A1F">
              <w:rPr>
                <w:rFonts w:ascii="Times New Roman" w:hAnsi="Times New Roman" w:cs="Times New Roman"/>
                <w:szCs w:val="24"/>
              </w:rPr>
              <w:t>C</w:t>
            </w:r>
            <w:r w:rsidR="006A2862" w:rsidRPr="00474A1F">
              <w:rPr>
                <w:rFonts w:ascii="Times New Roman" w:hAnsi="Times New Roman" w:cs="Times New Roman"/>
                <w:szCs w:val="24"/>
              </w:rPr>
              <w:t>onacyt</w:t>
            </w:r>
            <w:proofErr w:type="spellEnd"/>
          </w:p>
        </w:tc>
      </w:tr>
      <w:tr w:rsidR="00B17072" w:rsidRPr="00474A1F" w14:paraId="490908EE" w14:textId="77777777" w:rsidTr="002D650E">
        <w:tc>
          <w:tcPr>
            <w:tcW w:w="2972" w:type="dxa"/>
          </w:tcPr>
          <w:p w14:paraId="7488E5F5" w14:textId="3520E812" w:rsidR="00B17072" w:rsidRPr="00474A1F" w:rsidRDefault="00B17072"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Centros de investigación</w:t>
            </w:r>
          </w:p>
        </w:tc>
        <w:tc>
          <w:tcPr>
            <w:tcW w:w="5856" w:type="dxa"/>
          </w:tcPr>
          <w:p w14:paraId="42EAE968" w14:textId="02C86AAA" w:rsidR="00B17072" w:rsidRPr="00474A1F" w:rsidRDefault="00463314"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Número de centros (clave SCIAN 5417)</w:t>
            </w:r>
          </w:p>
        </w:tc>
      </w:tr>
      <w:tr w:rsidR="00B17072" w:rsidRPr="00474A1F" w14:paraId="4C02FB26" w14:textId="77777777" w:rsidTr="002D650E">
        <w:tc>
          <w:tcPr>
            <w:tcW w:w="2972" w:type="dxa"/>
          </w:tcPr>
          <w:p w14:paraId="7AA87D9B" w14:textId="550F884B" w:rsidR="00B17072" w:rsidRPr="00474A1F" w:rsidRDefault="00B17072"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Investigadores</w:t>
            </w:r>
          </w:p>
        </w:tc>
        <w:tc>
          <w:tcPr>
            <w:tcW w:w="5856" w:type="dxa"/>
          </w:tcPr>
          <w:p w14:paraId="2CE799C6" w14:textId="63BAF6DF" w:rsidR="00B17072" w:rsidRPr="00474A1F" w:rsidRDefault="00463314" w:rsidP="00B17072">
            <w:pPr>
              <w:autoSpaceDE w:val="0"/>
              <w:autoSpaceDN w:val="0"/>
              <w:adjustRightInd w:val="0"/>
              <w:spacing w:line="360" w:lineRule="auto"/>
              <w:jc w:val="both"/>
              <w:rPr>
                <w:rFonts w:ascii="Times New Roman" w:hAnsi="Times New Roman" w:cs="Times New Roman"/>
                <w:szCs w:val="24"/>
              </w:rPr>
            </w:pPr>
            <w:r w:rsidRPr="00474A1F">
              <w:rPr>
                <w:rFonts w:ascii="Times New Roman" w:hAnsi="Times New Roman" w:cs="Times New Roman"/>
                <w:szCs w:val="24"/>
              </w:rPr>
              <w:t xml:space="preserve">Miembros del </w:t>
            </w:r>
            <w:r w:rsidR="00D93FE6">
              <w:rPr>
                <w:rFonts w:ascii="Times New Roman" w:hAnsi="Times New Roman" w:cs="Times New Roman"/>
                <w:szCs w:val="24"/>
              </w:rPr>
              <w:t>SIN</w:t>
            </w:r>
          </w:p>
        </w:tc>
      </w:tr>
    </w:tbl>
    <w:p w14:paraId="38DAC9C6" w14:textId="634FADA1" w:rsidR="00173F77" w:rsidRPr="00D93FE6" w:rsidRDefault="00463314" w:rsidP="00463314">
      <w:pPr>
        <w:autoSpaceDE w:val="0"/>
        <w:autoSpaceDN w:val="0"/>
        <w:adjustRightInd w:val="0"/>
        <w:spacing w:after="0" w:line="360" w:lineRule="auto"/>
        <w:ind w:firstLine="709"/>
        <w:jc w:val="center"/>
        <w:rPr>
          <w:rFonts w:ascii="Times New Roman" w:hAnsi="Times New Roman" w:cs="Times New Roman"/>
          <w:sz w:val="24"/>
          <w:szCs w:val="24"/>
        </w:rPr>
      </w:pPr>
      <w:r w:rsidRPr="00D93FE6">
        <w:rPr>
          <w:rFonts w:ascii="Times New Roman" w:hAnsi="Times New Roman" w:cs="Times New Roman"/>
          <w:sz w:val="24"/>
          <w:szCs w:val="24"/>
        </w:rPr>
        <w:t>Fuentes: IMCO</w:t>
      </w:r>
      <w:r w:rsidR="00922DE5" w:rsidRPr="00D93FE6">
        <w:rPr>
          <w:rFonts w:ascii="Times New Roman" w:hAnsi="Times New Roman" w:cs="Times New Roman"/>
          <w:sz w:val="24"/>
          <w:szCs w:val="24"/>
        </w:rPr>
        <w:t xml:space="preserve"> (</w:t>
      </w:r>
      <w:r w:rsidRPr="00D93FE6">
        <w:rPr>
          <w:rFonts w:ascii="Times New Roman" w:hAnsi="Times New Roman" w:cs="Times New Roman"/>
          <w:sz w:val="24"/>
          <w:szCs w:val="24"/>
        </w:rPr>
        <w:t>2018</w:t>
      </w:r>
      <w:r w:rsidR="00922DE5" w:rsidRPr="00D93FE6">
        <w:rPr>
          <w:rFonts w:ascii="Times New Roman" w:hAnsi="Times New Roman" w:cs="Times New Roman"/>
          <w:sz w:val="24"/>
          <w:szCs w:val="24"/>
        </w:rPr>
        <w:t>)</w:t>
      </w:r>
    </w:p>
    <w:p w14:paraId="39E65DA8" w14:textId="02C4F63F" w:rsidR="007526D4" w:rsidRPr="00474A1F" w:rsidRDefault="007526D4" w:rsidP="007526D4">
      <w:pPr>
        <w:autoSpaceDE w:val="0"/>
        <w:autoSpaceDN w:val="0"/>
        <w:adjustRightInd w:val="0"/>
        <w:spacing w:after="0" w:line="360" w:lineRule="auto"/>
        <w:ind w:firstLine="709"/>
        <w:jc w:val="both"/>
        <w:rPr>
          <w:rFonts w:ascii="Times New Roman" w:hAnsi="Times New Roman" w:cs="Times New Roman"/>
          <w:color w:val="231F20"/>
          <w:sz w:val="24"/>
          <w:szCs w:val="24"/>
        </w:rPr>
      </w:pPr>
      <w:r w:rsidRPr="00474A1F">
        <w:rPr>
          <w:rFonts w:ascii="Times New Roman" w:hAnsi="Times New Roman" w:cs="Times New Roman"/>
          <w:color w:val="231F20"/>
          <w:sz w:val="24"/>
          <w:szCs w:val="24"/>
        </w:rPr>
        <w:t xml:space="preserve">Los datos </w:t>
      </w:r>
      <w:r w:rsidR="00DA422F" w:rsidRPr="00474A1F">
        <w:rPr>
          <w:rFonts w:ascii="Times New Roman" w:hAnsi="Times New Roman" w:cs="Times New Roman"/>
          <w:color w:val="231F20"/>
          <w:sz w:val="24"/>
          <w:szCs w:val="24"/>
        </w:rPr>
        <w:t xml:space="preserve">empleados corresponden al </w:t>
      </w:r>
      <w:r w:rsidR="00DA422F" w:rsidRPr="00474A1F">
        <w:rPr>
          <w:rFonts w:ascii="Times New Roman" w:eastAsia="Times New Roman" w:hAnsi="Times New Roman" w:cs="Times New Roman"/>
          <w:sz w:val="24"/>
          <w:szCs w:val="24"/>
        </w:rPr>
        <w:t xml:space="preserve">índice de competitividad </w:t>
      </w:r>
      <w:r w:rsidR="002E7FF8" w:rsidRPr="00474A1F">
        <w:rPr>
          <w:rFonts w:ascii="Times New Roman" w:eastAsia="Times New Roman" w:hAnsi="Times New Roman" w:cs="Times New Roman"/>
          <w:sz w:val="24"/>
          <w:szCs w:val="24"/>
        </w:rPr>
        <w:t xml:space="preserve">urbana </w:t>
      </w:r>
      <w:r w:rsidR="002E7FF8" w:rsidRPr="00474A1F">
        <w:rPr>
          <w:rFonts w:ascii="Times New Roman" w:eastAsia="Times New Roman" w:hAnsi="Times New Roman" w:cs="Times New Roman"/>
          <w:noProof/>
          <w:sz w:val="24"/>
          <w:szCs w:val="24"/>
        </w:rPr>
        <w:t>201</w:t>
      </w:r>
      <w:r w:rsidR="00922DE5" w:rsidRPr="00474A1F">
        <w:rPr>
          <w:rFonts w:ascii="Times New Roman" w:eastAsia="Times New Roman" w:hAnsi="Times New Roman" w:cs="Times New Roman"/>
          <w:noProof/>
          <w:sz w:val="24"/>
          <w:szCs w:val="24"/>
        </w:rPr>
        <w:t>8</w:t>
      </w:r>
      <w:r w:rsidR="005A63CB" w:rsidRPr="00474A1F">
        <w:rPr>
          <w:rFonts w:ascii="Times New Roman" w:eastAsia="Times New Roman" w:hAnsi="Times New Roman" w:cs="Times New Roman"/>
          <w:noProof/>
          <w:sz w:val="24"/>
          <w:szCs w:val="24"/>
        </w:rPr>
        <w:t xml:space="preserve"> </w:t>
      </w:r>
      <w:r w:rsidR="005A63CB" w:rsidRPr="00474A1F">
        <w:rPr>
          <w:rFonts w:ascii="Times New Roman" w:eastAsia="Times New Roman" w:hAnsi="Times New Roman" w:cs="Times New Roman"/>
          <w:sz w:val="24"/>
          <w:szCs w:val="24"/>
        </w:rPr>
        <w:t xml:space="preserve">desarrollado por </w:t>
      </w:r>
      <w:r w:rsidR="00DA422F" w:rsidRPr="00474A1F">
        <w:rPr>
          <w:rFonts w:ascii="Times New Roman" w:eastAsia="Times New Roman" w:hAnsi="Times New Roman" w:cs="Times New Roman"/>
          <w:sz w:val="24"/>
          <w:szCs w:val="24"/>
        </w:rPr>
        <w:t xml:space="preserve">el </w:t>
      </w:r>
      <w:r w:rsidR="00DA422F" w:rsidRPr="00474A1F">
        <w:rPr>
          <w:rFonts w:ascii="Times New Roman" w:eastAsia="Times New Roman" w:hAnsi="Times New Roman" w:cs="Times New Roman"/>
          <w:noProof/>
          <w:sz w:val="24"/>
          <w:szCs w:val="24"/>
        </w:rPr>
        <w:t xml:space="preserve">Instituto Mexicano de Competitividad </w:t>
      </w:r>
      <w:r w:rsidR="00CC4CCA" w:rsidRPr="00474A1F">
        <w:rPr>
          <w:rFonts w:ascii="Times New Roman" w:eastAsia="Times New Roman" w:hAnsi="Times New Roman" w:cs="Times New Roman"/>
          <w:noProof/>
          <w:sz w:val="24"/>
          <w:szCs w:val="24"/>
        </w:rPr>
        <w:t>(</w:t>
      </w:r>
      <w:r w:rsidR="00DA422F" w:rsidRPr="00474A1F">
        <w:rPr>
          <w:rFonts w:ascii="Times New Roman" w:eastAsia="Times New Roman" w:hAnsi="Times New Roman" w:cs="Times New Roman"/>
          <w:noProof/>
          <w:sz w:val="24"/>
          <w:szCs w:val="24"/>
        </w:rPr>
        <w:t>IMCO</w:t>
      </w:r>
      <w:r w:rsidR="00CC4CCA" w:rsidRPr="00474A1F">
        <w:rPr>
          <w:rFonts w:ascii="Times New Roman" w:eastAsia="Times New Roman" w:hAnsi="Times New Roman" w:cs="Times New Roman"/>
          <w:noProof/>
          <w:sz w:val="24"/>
          <w:szCs w:val="24"/>
        </w:rPr>
        <w:t>)</w:t>
      </w:r>
      <w:r w:rsidR="005F5ACE" w:rsidRPr="00474A1F">
        <w:rPr>
          <w:rFonts w:ascii="Times New Roman" w:eastAsia="Times New Roman" w:hAnsi="Times New Roman" w:cs="Times New Roman"/>
          <w:noProof/>
          <w:sz w:val="24"/>
          <w:szCs w:val="24"/>
        </w:rPr>
        <w:t>. As</w:t>
      </w:r>
      <w:r w:rsidR="00CC4CCA" w:rsidRPr="00474A1F">
        <w:rPr>
          <w:rFonts w:ascii="Times New Roman" w:eastAsia="Times New Roman" w:hAnsi="Times New Roman" w:cs="Times New Roman"/>
          <w:noProof/>
          <w:sz w:val="24"/>
          <w:szCs w:val="24"/>
        </w:rPr>
        <w:t>i</w:t>
      </w:r>
      <w:r w:rsidR="005F5ACE" w:rsidRPr="00474A1F">
        <w:rPr>
          <w:rFonts w:ascii="Times New Roman" w:eastAsia="Times New Roman" w:hAnsi="Times New Roman" w:cs="Times New Roman"/>
          <w:noProof/>
          <w:sz w:val="24"/>
          <w:szCs w:val="24"/>
        </w:rPr>
        <w:t xml:space="preserve">mismo, </w:t>
      </w:r>
      <w:r w:rsidRPr="00474A1F">
        <w:rPr>
          <w:rFonts w:ascii="Times New Roman" w:hAnsi="Times New Roman" w:cs="Times New Roman"/>
          <w:color w:val="231F20"/>
          <w:sz w:val="24"/>
          <w:szCs w:val="24"/>
        </w:rPr>
        <w:t xml:space="preserve">las variables se </w:t>
      </w:r>
      <w:r w:rsidR="005F5ACE" w:rsidRPr="00474A1F">
        <w:rPr>
          <w:rFonts w:ascii="Times New Roman" w:hAnsi="Times New Roman" w:cs="Times New Roman"/>
          <w:color w:val="231F20"/>
          <w:sz w:val="24"/>
          <w:szCs w:val="24"/>
        </w:rPr>
        <w:t xml:space="preserve">especifican </w:t>
      </w:r>
      <w:r w:rsidRPr="00474A1F">
        <w:rPr>
          <w:rFonts w:ascii="Times New Roman" w:hAnsi="Times New Roman" w:cs="Times New Roman"/>
          <w:color w:val="231F20"/>
          <w:sz w:val="24"/>
          <w:szCs w:val="24"/>
        </w:rPr>
        <w:t>en logaritmos naturales con el fin de corregir problemas de escala y varianza.</w:t>
      </w:r>
    </w:p>
    <w:p w14:paraId="18E4E8BB" w14:textId="77777777" w:rsidR="00D93FE6" w:rsidRDefault="00D93FE6" w:rsidP="001A6DF6">
      <w:pPr>
        <w:autoSpaceDE w:val="0"/>
        <w:autoSpaceDN w:val="0"/>
        <w:adjustRightInd w:val="0"/>
        <w:spacing w:after="0" w:line="360" w:lineRule="auto"/>
        <w:ind w:firstLine="709"/>
        <w:jc w:val="both"/>
        <w:rPr>
          <w:rFonts w:ascii="Times New Roman" w:hAnsi="Times New Roman" w:cs="Times New Roman"/>
          <w:color w:val="231F20"/>
          <w:sz w:val="24"/>
          <w:szCs w:val="24"/>
        </w:rPr>
      </w:pPr>
    </w:p>
    <w:p w14:paraId="6A62C424" w14:textId="35777739" w:rsidR="001A6DF6" w:rsidRPr="00474A1F" w:rsidRDefault="007526D4" w:rsidP="001A6DF6">
      <w:pPr>
        <w:autoSpaceDE w:val="0"/>
        <w:autoSpaceDN w:val="0"/>
        <w:adjustRightInd w:val="0"/>
        <w:spacing w:after="0" w:line="360" w:lineRule="auto"/>
        <w:ind w:firstLine="709"/>
        <w:jc w:val="both"/>
        <w:rPr>
          <w:rFonts w:ascii="Times New Roman" w:hAnsi="Times New Roman" w:cs="Times New Roman"/>
          <w:color w:val="231F20"/>
          <w:sz w:val="24"/>
          <w:szCs w:val="24"/>
        </w:rPr>
      </w:pPr>
      <w:r w:rsidRPr="00474A1F">
        <w:rPr>
          <w:rFonts w:ascii="Times New Roman" w:hAnsi="Times New Roman" w:cs="Times New Roman"/>
          <w:color w:val="231F20"/>
          <w:sz w:val="24"/>
          <w:szCs w:val="24"/>
        </w:rPr>
        <w:lastRenderedPageBreak/>
        <w:t xml:space="preserve">La metodología </w:t>
      </w:r>
      <w:r w:rsidR="006A2862" w:rsidRPr="00474A1F">
        <w:rPr>
          <w:rFonts w:ascii="Times New Roman" w:hAnsi="Times New Roman" w:cs="Times New Roman"/>
          <w:color w:val="231F20"/>
          <w:sz w:val="24"/>
          <w:szCs w:val="24"/>
        </w:rPr>
        <w:t>utilizada</w:t>
      </w:r>
      <w:r w:rsidR="00B02EDB" w:rsidRPr="00474A1F">
        <w:rPr>
          <w:rFonts w:ascii="Times New Roman" w:hAnsi="Times New Roman" w:cs="Times New Roman"/>
          <w:color w:val="231F20"/>
          <w:sz w:val="24"/>
          <w:szCs w:val="24"/>
        </w:rPr>
        <w:t xml:space="preserve"> en </w:t>
      </w:r>
      <w:r w:rsidRPr="00474A1F">
        <w:rPr>
          <w:rFonts w:ascii="Times New Roman" w:hAnsi="Times New Roman" w:cs="Times New Roman"/>
          <w:color w:val="231F20"/>
          <w:sz w:val="24"/>
          <w:szCs w:val="24"/>
        </w:rPr>
        <w:t>est</w:t>
      </w:r>
      <w:r w:rsidR="00B02EDB" w:rsidRPr="00474A1F">
        <w:rPr>
          <w:rFonts w:ascii="Times New Roman" w:hAnsi="Times New Roman" w:cs="Times New Roman"/>
          <w:color w:val="231F20"/>
          <w:sz w:val="24"/>
          <w:szCs w:val="24"/>
        </w:rPr>
        <w:t>a</w:t>
      </w:r>
      <w:r w:rsidRPr="00474A1F">
        <w:rPr>
          <w:rFonts w:ascii="Times New Roman" w:hAnsi="Times New Roman" w:cs="Times New Roman"/>
          <w:color w:val="231F20"/>
          <w:sz w:val="24"/>
          <w:szCs w:val="24"/>
        </w:rPr>
        <w:t xml:space="preserve"> </w:t>
      </w:r>
      <w:r w:rsidR="00814F05" w:rsidRPr="00474A1F">
        <w:rPr>
          <w:rFonts w:ascii="Times New Roman" w:hAnsi="Times New Roman" w:cs="Times New Roman"/>
          <w:color w:val="231F20"/>
          <w:sz w:val="24"/>
          <w:szCs w:val="24"/>
        </w:rPr>
        <w:t>investigación</w:t>
      </w:r>
      <w:r w:rsidR="00B02EDB" w:rsidRPr="00474A1F">
        <w:rPr>
          <w:rFonts w:ascii="Times New Roman" w:hAnsi="Times New Roman" w:cs="Times New Roman"/>
          <w:color w:val="231F20"/>
          <w:sz w:val="24"/>
          <w:szCs w:val="24"/>
        </w:rPr>
        <w:t xml:space="preserve"> </w:t>
      </w:r>
      <w:r w:rsidR="001F7008" w:rsidRPr="00474A1F">
        <w:rPr>
          <w:rFonts w:ascii="Times New Roman" w:hAnsi="Times New Roman" w:cs="Times New Roman"/>
          <w:color w:val="231F20"/>
          <w:sz w:val="24"/>
          <w:szCs w:val="24"/>
        </w:rPr>
        <w:t>corresponde a</w:t>
      </w:r>
      <w:r w:rsidR="000B6386" w:rsidRPr="00474A1F">
        <w:rPr>
          <w:rFonts w:ascii="Times New Roman" w:hAnsi="Times New Roman" w:cs="Times New Roman"/>
          <w:color w:val="231F20"/>
          <w:sz w:val="24"/>
          <w:szCs w:val="24"/>
        </w:rPr>
        <w:t xml:space="preserve"> </w:t>
      </w:r>
      <w:r w:rsidR="001F7008" w:rsidRPr="00474A1F">
        <w:rPr>
          <w:rFonts w:ascii="Times New Roman" w:hAnsi="Times New Roman" w:cs="Times New Roman"/>
          <w:color w:val="231F20"/>
          <w:sz w:val="24"/>
          <w:szCs w:val="24"/>
        </w:rPr>
        <w:t>l</w:t>
      </w:r>
      <w:r w:rsidR="000B6386" w:rsidRPr="00474A1F">
        <w:rPr>
          <w:rFonts w:ascii="Times New Roman" w:hAnsi="Times New Roman" w:cs="Times New Roman"/>
          <w:color w:val="231F20"/>
          <w:sz w:val="24"/>
          <w:szCs w:val="24"/>
        </w:rPr>
        <w:t>a</w:t>
      </w:r>
      <w:r w:rsidR="001F7008" w:rsidRPr="00474A1F">
        <w:rPr>
          <w:rFonts w:ascii="Times New Roman" w:hAnsi="Times New Roman" w:cs="Times New Roman"/>
          <w:color w:val="231F20"/>
          <w:sz w:val="24"/>
          <w:szCs w:val="24"/>
        </w:rPr>
        <w:t xml:space="preserve"> regresión agrupada: mínimos cuadrados ordinarios (OLS, por sus siglas en inglés)</w:t>
      </w:r>
      <w:r w:rsidR="000B6386" w:rsidRPr="00474A1F">
        <w:rPr>
          <w:rFonts w:ascii="Times New Roman" w:hAnsi="Times New Roman" w:cs="Times New Roman"/>
          <w:color w:val="231F20"/>
          <w:sz w:val="24"/>
          <w:szCs w:val="24"/>
        </w:rPr>
        <w:t>. Este es un</w:t>
      </w:r>
      <w:r w:rsidR="001F7008" w:rsidRPr="00474A1F">
        <w:rPr>
          <w:rFonts w:ascii="Times New Roman" w:hAnsi="Times New Roman" w:cs="Times New Roman"/>
          <w:color w:val="231F20"/>
          <w:sz w:val="24"/>
          <w:szCs w:val="24"/>
        </w:rPr>
        <w:t xml:space="preserve"> enfoque simple para analizar datos tipo panel, que omite las dimensiones del espacio y del tiempo de los datos agrupados</w:t>
      </w:r>
      <w:r w:rsidR="006B0016" w:rsidRPr="00474A1F">
        <w:rPr>
          <w:rFonts w:ascii="Times New Roman" w:hAnsi="Times New Roman" w:cs="Times New Roman"/>
          <w:color w:val="231F20"/>
          <w:sz w:val="24"/>
          <w:szCs w:val="24"/>
        </w:rPr>
        <w:t xml:space="preserve">. </w:t>
      </w:r>
      <w:r w:rsidR="006A2862" w:rsidRPr="00474A1F">
        <w:rPr>
          <w:rFonts w:ascii="Times New Roman" w:hAnsi="Times New Roman" w:cs="Times New Roman"/>
          <w:color w:val="231F20"/>
          <w:sz w:val="24"/>
          <w:szCs w:val="24"/>
        </w:rPr>
        <w:t xml:space="preserve">Sobre </w:t>
      </w:r>
      <w:r w:rsidR="00E60542" w:rsidRPr="00474A1F">
        <w:rPr>
          <w:rFonts w:ascii="Times New Roman" w:hAnsi="Times New Roman" w:cs="Times New Roman"/>
          <w:color w:val="231F20"/>
          <w:sz w:val="24"/>
          <w:szCs w:val="24"/>
        </w:rPr>
        <w:t>este punto</w:t>
      </w:r>
      <w:r w:rsidR="00CC4CCA" w:rsidRPr="00474A1F">
        <w:rPr>
          <w:rFonts w:ascii="Times New Roman" w:hAnsi="Times New Roman" w:cs="Times New Roman"/>
          <w:color w:val="231F20"/>
          <w:sz w:val="24"/>
          <w:szCs w:val="24"/>
        </w:rPr>
        <w:t>,</w:t>
      </w:r>
      <w:r w:rsidR="00E60542" w:rsidRPr="00474A1F">
        <w:rPr>
          <w:rFonts w:ascii="Times New Roman" w:hAnsi="Times New Roman" w:cs="Times New Roman"/>
          <w:color w:val="231F20"/>
          <w:sz w:val="24"/>
          <w:szCs w:val="24"/>
        </w:rPr>
        <w:t xml:space="preserve"> </w:t>
      </w:r>
      <w:r w:rsidR="00A01687" w:rsidRPr="00474A1F">
        <w:rPr>
          <w:rFonts w:ascii="Times New Roman" w:hAnsi="Times New Roman" w:cs="Times New Roman"/>
          <w:noProof/>
          <w:color w:val="231F20"/>
          <w:sz w:val="24"/>
          <w:szCs w:val="24"/>
          <w:lang w:val="es-ES"/>
        </w:rPr>
        <w:t xml:space="preserve">Cox, Popken </w:t>
      </w:r>
      <w:r w:rsidR="002437DF" w:rsidRPr="00474A1F">
        <w:rPr>
          <w:rFonts w:ascii="Times New Roman" w:hAnsi="Times New Roman" w:cs="Times New Roman"/>
          <w:noProof/>
          <w:color w:val="231F20"/>
          <w:sz w:val="24"/>
          <w:szCs w:val="24"/>
          <w:lang w:val="es-ES"/>
        </w:rPr>
        <w:t>y</w:t>
      </w:r>
      <w:r w:rsidR="00A01687" w:rsidRPr="00474A1F">
        <w:rPr>
          <w:rFonts w:ascii="Times New Roman" w:hAnsi="Times New Roman" w:cs="Times New Roman"/>
          <w:noProof/>
          <w:color w:val="231F20"/>
          <w:sz w:val="24"/>
          <w:szCs w:val="24"/>
          <w:lang w:val="es-ES"/>
        </w:rPr>
        <w:t xml:space="preserve"> Berman</w:t>
      </w:r>
      <w:r w:rsidR="00A01687" w:rsidRPr="00474A1F">
        <w:rPr>
          <w:rFonts w:ascii="Times New Roman" w:hAnsi="Times New Roman" w:cs="Times New Roman"/>
          <w:color w:val="231F20"/>
          <w:sz w:val="24"/>
          <w:szCs w:val="24"/>
        </w:rPr>
        <w:t xml:space="preserve"> </w:t>
      </w:r>
      <w:r w:rsidR="00CC4CCA" w:rsidRPr="00474A1F">
        <w:rPr>
          <w:rFonts w:ascii="Times New Roman" w:hAnsi="Times New Roman" w:cs="Times New Roman"/>
          <w:noProof/>
          <w:color w:val="231F20"/>
          <w:sz w:val="24"/>
          <w:szCs w:val="24"/>
          <w:lang w:val="es-ES"/>
        </w:rPr>
        <w:t>(2013)</w:t>
      </w:r>
      <w:r w:rsidR="00A01687" w:rsidRPr="00474A1F">
        <w:rPr>
          <w:rFonts w:ascii="Times New Roman" w:hAnsi="Times New Roman" w:cs="Times New Roman"/>
          <w:color w:val="231F20"/>
          <w:sz w:val="24"/>
          <w:szCs w:val="24"/>
        </w:rPr>
        <w:t xml:space="preserve"> </w:t>
      </w:r>
      <w:r w:rsidR="006A2862" w:rsidRPr="00474A1F">
        <w:rPr>
          <w:rFonts w:ascii="Times New Roman" w:hAnsi="Times New Roman" w:cs="Times New Roman"/>
          <w:color w:val="231F20"/>
          <w:sz w:val="24"/>
          <w:szCs w:val="24"/>
        </w:rPr>
        <w:t>señalan</w:t>
      </w:r>
      <w:r w:rsidR="006B0016" w:rsidRPr="00474A1F">
        <w:rPr>
          <w:rFonts w:ascii="Times New Roman" w:hAnsi="Times New Roman" w:cs="Times New Roman"/>
          <w:color w:val="231F20"/>
          <w:sz w:val="24"/>
          <w:szCs w:val="24"/>
        </w:rPr>
        <w:t xml:space="preserve"> </w:t>
      </w:r>
      <w:r w:rsidR="00C64F54" w:rsidRPr="00474A1F">
        <w:rPr>
          <w:rFonts w:ascii="Times New Roman" w:hAnsi="Times New Roman" w:cs="Times New Roman"/>
          <w:color w:val="231F20"/>
          <w:sz w:val="24"/>
          <w:szCs w:val="24"/>
        </w:rPr>
        <w:t>que</w:t>
      </w:r>
      <w:r w:rsidR="006B0016" w:rsidRPr="00474A1F">
        <w:rPr>
          <w:rFonts w:ascii="Times New Roman" w:hAnsi="Times New Roman" w:cs="Times New Roman"/>
          <w:color w:val="231F20"/>
          <w:sz w:val="24"/>
          <w:szCs w:val="24"/>
        </w:rPr>
        <w:t xml:space="preserve"> en las ecuaciones de regresión es común que se presente el problema de asociaciones espurias en datos panel. Para </w:t>
      </w:r>
      <w:r w:rsidR="006A2862" w:rsidRPr="00474A1F">
        <w:rPr>
          <w:rFonts w:ascii="Times New Roman" w:hAnsi="Times New Roman" w:cs="Times New Roman"/>
          <w:color w:val="231F20"/>
          <w:sz w:val="24"/>
          <w:szCs w:val="24"/>
        </w:rPr>
        <w:t>eso</w:t>
      </w:r>
      <w:r w:rsidR="006B0016" w:rsidRPr="00474A1F">
        <w:rPr>
          <w:rFonts w:ascii="Times New Roman" w:hAnsi="Times New Roman" w:cs="Times New Roman"/>
          <w:color w:val="231F20"/>
          <w:sz w:val="24"/>
          <w:szCs w:val="24"/>
        </w:rPr>
        <w:t xml:space="preserve">, es necesario determinar el orden de integración </w:t>
      </w:r>
      <w:r w:rsidR="009A180F" w:rsidRPr="00474A1F">
        <w:rPr>
          <w:rFonts w:ascii="Times New Roman" w:hAnsi="Times New Roman" w:cs="Times New Roman"/>
          <w:color w:val="231F20"/>
          <w:sz w:val="24"/>
          <w:szCs w:val="24"/>
        </w:rPr>
        <w:t xml:space="preserve">y el balance </w:t>
      </w:r>
      <w:r w:rsidR="006B0016" w:rsidRPr="00474A1F">
        <w:rPr>
          <w:rFonts w:ascii="Times New Roman" w:hAnsi="Times New Roman" w:cs="Times New Roman"/>
          <w:color w:val="231F20"/>
          <w:sz w:val="24"/>
          <w:szCs w:val="24"/>
        </w:rPr>
        <w:t xml:space="preserve">de las </w:t>
      </w:r>
      <w:r w:rsidR="009A180F" w:rsidRPr="00474A1F">
        <w:rPr>
          <w:rFonts w:ascii="Times New Roman" w:hAnsi="Times New Roman" w:cs="Times New Roman"/>
          <w:color w:val="231F20"/>
          <w:sz w:val="24"/>
          <w:szCs w:val="24"/>
        </w:rPr>
        <w:t xml:space="preserve">variables </w:t>
      </w:r>
      <w:r w:rsidR="006B0016" w:rsidRPr="00474A1F">
        <w:rPr>
          <w:rFonts w:ascii="Times New Roman" w:hAnsi="Times New Roman" w:cs="Times New Roman"/>
          <w:color w:val="231F20"/>
          <w:sz w:val="24"/>
          <w:szCs w:val="24"/>
        </w:rPr>
        <w:t xml:space="preserve">que conforman el modelo </w:t>
      </w:r>
      <w:r w:rsidR="00BA12FE" w:rsidRPr="00474A1F">
        <w:rPr>
          <w:rFonts w:ascii="Times New Roman" w:hAnsi="Times New Roman" w:cs="Times New Roman"/>
          <w:color w:val="231F20"/>
          <w:sz w:val="24"/>
          <w:szCs w:val="24"/>
        </w:rPr>
        <w:t xml:space="preserve">para </w:t>
      </w:r>
      <w:r w:rsidR="006B0016" w:rsidRPr="00474A1F">
        <w:rPr>
          <w:rFonts w:ascii="Times New Roman" w:hAnsi="Times New Roman" w:cs="Times New Roman"/>
          <w:color w:val="231F20"/>
          <w:sz w:val="24"/>
          <w:szCs w:val="24"/>
        </w:rPr>
        <w:t xml:space="preserve">conocer si las </w:t>
      </w:r>
      <w:r w:rsidR="009A180F" w:rsidRPr="00474A1F">
        <w:rPr>
          <w:rFonts w:ascii="Times New Roman" w:hAnsi="Times New Roman" w:cs="Times New Roman"/>
          <w:color w:val="231F20"/>
          <w:sz w:val="24"/>
          <w:szCs w:val="24"/>
        </w:rPr>
        <w:t xml:space="preserve">variables están balanceadas </w:t>
      </w:r>
      <w:r w:rsidR="006B0016" w:rsidRPr="00474A1F">
        <w:rPr>
          <w:rFonts w:ascii="Times New Roman" w:hAnsi="Times New Roman" w:cs="Times New Roman"/>
          <w:color w:val="231F20"/>
          <w:sz w:val="24"/>
          <w:szCs w:val="24"/>
        </w:rPr>
        <w:t>o no</w:t>
      </w:r>
      <w:r w:rsidR="009A180F" w:rsidRPr="00474A1F">
        <w:rPr>
          <w:rFonts w:ascii="Times New Roman" w:hAnsi="Times New Roman" w:cs="Times New Roman"/>
          <w:color w:val="231F20"/>
          <w:sz w:val="24"/>
          <w:szCs w:val="24"/>
        </w:rPr>
        <w:t xml:space="preserve">. </w:t>
      </w:r>
      <w:bookmarkStart w:id="3" w:name="_Toc432016573"/>
    </w:p>
    <w:p w14:paraId="6F232929" w14:textId="585CB77A" w:rsidR="003E76DC" w:rsidRPr="00474A1F" w:rsidRDefault="003142DC" w:rsidP="003E76DC">
      <w:pPr>
        <w:autoSpaceDE w:val="0"/>
        <w:autoSpaceDN w:val="0"/>
        <w:adjustRightInd w:val="0"/>
        <w:spacing w:after="0" w:line="360" w:lineRule="auto"/>
        <w:ind w:firstLine="709"/>
        <w:jc w:val="both"/>
        <w:rPr>
          <w:rFonts w:ascii="Times New Roman" w:hAnsi="Times New Roman" w:cs="Times New Roman"/>
          <w:color w:val="231F20"/>
          <w:sz w:val="24"/>
          <w:szCs w:val="24"/>
        </w:rPr>
      </w:pPr>
      <w:r w:rsidRPr="00474A1F">
        <w:rPr>
          <w:rFonts w:ascii="Times New Roman" w:hAnsi="Times New Roman" w:cs="Times New Roman"/>
          <w:color w:val="231F20"/>
          <w:sz w:val="24"/>
          <w:szCs w:val="24"/>
        </w:rPr>
        <w:t>En concordancia con esto,</w:t>
      </w:r>
      <w:r w:rsidR="00BA12FE" w:rsidRPr="00474A1F">
        <w:rPr>
          <w:rFonts w:ascii="Times New Roman" w:hAnsi="Times New Roman" w:cs="Times New Roman"/>
          <w:color w:val="231F20"/>
          <w:sz w:val="24"/>
          <w:szCs w:val="24"/>
        </w:rPr>
        <w:t xml:space="preserve"> </w:t>
      </w:r>
      <w:r w:rsidR="009B7C90" w:rsidRPr="00474A1F">
        <w:rPr>
          <w:rFonts w:ascii="Times New Roman" w:hAnsi="Times New Roman" w:cs="Times New Roman"/>
          <w:color w:val="231F20"/>
          <w:sz w:val="24"/>
          <w:szCs w:val="24"/>
        </w:rPr>
        <w:t xml:space="preserve">se aplicó al modelo presentado </w:t>
      </w:r>
      <w:r w:rsidR="000B6386" w:rsidRPr="00474A1F">
        <w:rPr>
          <w:rFonts w:ascii="Times New Roman" w:hAnsi="Times New Roman" w:cs="Times New Roman"/>
          <w:color w:val="231F20"/>
          <w:sz w:val="24"/>
          <w:szCs w:val="24"/>
        </w:rPr>
        <w:t xml:space="preserve">la prueba de </w:t>
      </w:r>
      <w:proofErr w:type="spellStart"/>
      <w:r w:rsidR="000B6386" w:rsidRPr="00474A1F">
        <w:rPr>
          <w:rFonts w:ascii="Times New Roman" w:hAnsi="Times New Roman" w:cs="Times New Roman"/>
          <w:color w:val="231F20"/>
          <w:sz w:val="24"/>
          <w:szCs w:val="24"/>
        </w:rPr>
        <w:t>Wooldridge</w:t>
      </w:r>
      <w:proofErr w:type="spellEnd"/>
      <w:r w:rsidR="000B6386" w:rsidRPr="00474A1F">
        <w:rPr>
          <w:rFonts w:ascii="Times New Roman" w:hAnsi="Times New Roman" w:cs="Times New Roman"/>
          <w:color w:val="231F20"/>
          <w:sz w:val="24"/>
          <w:szCs w:val="24"/>
        </w:rPr>
        <w:t xml:space="preserve"> y de Wald,</w:t>
      </w:r>
      <w:r w:rsidR="000501BC" w:rsidRPr="00474A1F">
        <w:rPr>
          <w:rFonts w:ascii="Times New Roman" w:hAnsi="Times New Roman" w:cs="Times New Roman"/>
          <w:color w:val="231F20"/>
          <w:sz w:val="24"/>
          <w:szCs w:val="24"/>
        </w:rPr>
        <w:t xml:space="preserve"> </w:t>
      </w:r>
      <w:r w:rsidR="000B6386" w:rsidRPr="00474A1F">
        <w:rPr>
          <w:rFonts w:ascii="Times New Roman" w:hAnsi="Times New Roman" w:cs="Times New Roman"/>
          <w:color w:val="231F20"/>
          <w:sz w:val="24"/>
          <w:szCs w:val="24"/>
        </w:rPr>
        <w:t xml:space="preserve">la cual </w:t>
      </w:r>
      <w:r w:rsidR="009B7C90" w:rsidRPr="00474A1F">
        <w:rPr>
          <w:rFonts w:ascii="Times New Roman" w:hAnsi="Times New Roman" w:cs="Times New Roman"/>
          <w:color w:val="231F20"/>
          <w:sz w:val="24"/>
          <w:szCs w:val="24"/>
        </w:rPr>
        <w:t xml:space="preserve">permite </w:t>
      </w:r>
      <w:r w:rsidR="001A6DF6" w:rsidRPr="00474A1F">
        <w:rPr>
          <w:rFonts w:ascii="Times New Roman" w:hAnsi="Times New Roman" w:cs="Times New Roman"/>
          <w:color w:val="231F20"/>
          <w:sz w:val="24"/>
          <w:szCs w:val="24"/>
        </w:rPr>
        <w:t>determinar la existencia de autocorrelación y heterocedasticidad</w:t>
      </w:r>
      <w:r w:rsidRPr="00474A1F">
        <w:rPr>
          <w:rFonts w:ascii="Times New Roman" w:hAnsi="Times New Roman" w:cs="Times New Roman"/>
          <w:color w:val="231F20"/>
          <w:sz w:val="24"/>
          <w:szCs w:val="24"/>
        </w:rPr>
        <w:t xml:space="preserve"> para</w:t>
      </w:r>
      <w:r w:rsidR="000B6386" w:rsidRPr="00474A1F">
        <w:rPr>
          <w:rFonts w:ascii="Times New Roman" w:hAnsi="Times New Roman" w:cs="Times New Roman"/>
          <w:color w:val="231F20"/>
          <w:sz w:val="24"/>
          <w:szCs w:val="24"/>
        </w:rPr>
        <w:t xml:space="preserve"> </w:t>
      </w:r>
      <w:r w:rsidR="001A6DF6" w:rsidRPr="00474A1F">
        <w:rPr>
          <w:rFonts w:ascii="Times New Roman" w:hAnsi="Times New Roman" w:cs="Times New Roman"/>
          <w:color w:val="231F20"/>
          <w:sz w:val="24"/>
          <w:szCs w:val="24"/>
        </w:rPr>
        <w:t>detectar y controlar posibles problemas de este tipo.</w:t>
      </w:r>
      <w:r w:rsidR="003E76DC" w:rsidRPr="00474A1F">
        <w:rPr>
          <w:rFonts w:ascii="Times New Roman" w:hAnsi="Times New Roman" w:cs="Times New Roman"/>
          <w:color w:val="231F20"/>
          <w:sz w:val="24"/>
          <w:szCs w:val="24"/>
        </w:rPr>
        <w:t xml:space="preserve"> </w:t>
      </w:r>
      <w:r w:rsidR="00893776" w:rsidRPr="00474A1F">
        <w:rPr>
          <w:rFonts w:ascii="Times New Roman" w:hAnsi="Times New Roman" w:cs="Times New Roman"/>
          <w:color w:val="231F20"/>
          <w:sz w:val="24"/>
          <w:szCs w:val="24"/>
        </w:rPr>
        <w:t xml:space="preserve">La aplicación de las diferentes pruebas </w:t>
      </w:r>
      <w:r w:rsidR="00085FA3" w:rsidRPr="00474A1F">
        <w:rPr>
          <w:rFonts w:ascii="Times New Roman" w:hAnsi="Times New Roman" w:cs="Times New Roman"/>
          <w:color w:val="231F20"/>
          <w:sz w:val="24"/>
          <w:szCs w:val="24"/>
        </w:rPr>
        <w:t>señaladas</w:t>
      </w:r>
      <w:r w:rsidR="00893776" w:rsidRPr="00474A1F">
        <w:rPr>
          <w:rFonts w:ascii="Times New Roman" w:hAnsi="Times New Roman" w:cs="Times New Roman"/>
          <w:color w:val="231F20"/>
          <w:sz w:val="24"/>
          <w:szCs w:val="24"/>
        </w:rPr>
        <w:t xml:space="preserve"> permitió minimizar la heterocedasticidad y la autocorrelación no observable del panel de datos. </w:t>
      </w:r>
      <w:r w:rsidR="003E76DC" w:rsidRPr="00474A1F">
        <w:rPr>
          <w:rFonts w:ascii="Times New Roman" w:hAnsi="Times New Roman" w:cs="Times New Roman"/>
          <w:color w:val="231F20"/>
          <w:sz w:val="24"/>
          <w:szCs w:val="24"/>
        </w:rPr>
        <w:t xml:space="preserve">De este modo, el estimador que se aplicó en esta investigación fue el de errores estándar corregidos para </w:t>
      </w:r>
      <w:r w:rsidR="00D65B48" w:rsidRPr="00474A1F">
        <w:rPr>
          <w:rFonts w:ascii="Times New Roman" w:hAnsi="Times New Roman" w:cs="Times New Roman"/>
          <w:color w:val="231F20"/>
          <w:sz w:val="24"/>
          <w:szCs w:val="24"/>
        </w:rPr>
        <w:t xml:space="preserve">datos </w:t>
      </w:r>
      <w:r w:rsidR="003E76DC" w:rsidRPr="00474A1F">
        <w:rPr>
          <w:rFonts w:ascii="Times New Roman" w:hAnsi="Times New Roman" w:cs="Times New Roman"/>
          <w:color w:val="231F20"/>
          <w:sz w:val="24"/>
          <w:szCs w:val="24"/>
        </w:rPr>
        <w:t>panel (</w:t>
      </w:r>
      <w:r w:rsidR="00893776" w:rsidRPr="00474A1F">
        <w:rPr>
          <w:rFonts w:ascii="Times New Roman" w:hAnsi="Times New Roman" w:cs="Times New Roman"/>
          <w:color w:val="231F20"/>
          <w:sz w:val="24"/>
          <w:szCs w:val="24"/>
        </w:rPr>
        <w:t>EEECP</w:t>
      </w:r>
      <w:r w:rsidR="003E76DC" w:rsidRPr="00474A1F">
        <w:rPr>
          <w:rFonts w:ascii="Times New Roman" w:hAnsi="Times New Roman" w:cs="Times New Roman"/>
          <w:color w:val="231F20"/>
          <w:sz w:val="24"/>
          <w:szCs w:val="24"/>
        </w:rPr>
        <w:t xml:space="preserve">) </w:t>
      </w:r>
      <w:r w:rsidRPr="00474A1F">
        <w:rPr>
          <w:rFonts w:ascii="Times New Roman" w:hAnsi="Times New Roman" w:cs="Times New Roman"/>
          <w:color w:val="231F20"/>
          <w:sz w:val="24"/>
          <w:szCs w:val="24"/>
        </w:rPr>
        <w:t>(</w:t>
      </w:r>
      <w:r w:rsidR="00893776" w:rsidRPr="00474A1F">
        <w:rPr>
          <w:rFonts w:ascii="Times New Roman" w:hAnsi="Times New Roman" w:cs="Times New Roman"/>
          <w:noProof/>
          <w:color w:val="231F20"/>
          <w:sz w:val="24"/>
          <w:szCs w:val="24"/>
          <w:lang w:val="es-ES"/>
        </w:rPr>
        <w:t xml:space="preserve">Baltagi </w:t>
      </w:r>
      <w:r w:rsidR="002437DF" w:rsidRPr="00474A1F">
        <w:rPr>
          <w:rFonts w:ascii="Times New Roman" w:hAnsi="Times New Roman" w:cs="Times New Roman"/>
          <w:noProof/>
          <w:color w:val="231F20"/>
          <w:sz w:val="24"/>
          <w:szCs w:val="24"/>
          <w:lang w:val="es-ES"/>
        </w:rPr>
        <w:t>y</w:t>
      </w:r>
      <w:r w:rsidR="00893776" w:rsidRPr="00474A1F">
        <w:rPr>
          <w:rFonts w:ascii="Times New Roman" w:hAnsi="Times New Roman" w:cs="Times New Roman"/>
          <w:noProof/>
          <w:color w:val="231F20"/>
          <w:sz w:val="24"/>
          <w:szCs w:val="24"/>
          <w:lang w:val="es-ES"/>
        </w:rPr>
        <w:t xml:space="preserve"> Maasoumi</w:t>
      </w:r>
      <w:r w:rsidRPr="00474A1F">
        <w:rPr>
          <w:rFonts w:ascii="Times New Roman" w:hAnsi="Times New Roman" w:cs="Times New Roman"/>
          <w:noProof/>
          <w:color w:val="231F20"/>
          <w:sz w:val="24"/>
          <w:szCs w:val="24"/>
          <w:lang w:val="es-ES"/>
        </w:rPr>
        <w:t>,</w:t>
      </w:r>
      <w:r w:rsidR="00BA12FE" w:rsidRPr="00474A1F">
        <w:rPr>
          <w:rFonts w:ascii="Times New Roman" w:hAnsi="Times New Roman" w:cs="Times New Roman"/>
          <w:noProof/>
          <w:color w:val="231F20"/>
          <w:sz w:val="24"/>
          <w:szCs w:val="24"/>
          <w:lang w:val="es-ES"/>
        </w:rPr>
        <w:t xml:space="preserve"> 2018)</w:t>
      </w:r>
      <w:r w:rsidR="003E76DC" w:rsidRPr="00474A1F">
        <w:rPr>
          <w:rFonts w:ascii="Times New Roman" w:hAnsi="Times New Roman" w:cs="Times New Roman"/>
          <w:color w:val="231F20"/>
          <w:sz w:val="24"/>
          <w:szCs w:val="24"/>
        </w:rPr>
        <w:t xml:space="preserve">. </w:t>
      </w:r>
    </w:p>
    <w:bookmarkEnd w:id="3"/>
    <w:p w14:paraId="49C50AD3" w14:textId="3E3A4E2C" w:rsidR="00E02881" w:rsidRPr="00474A1F" w:rsidRDefault="00E02881" w:rsidP="002D650E">
      <w:pPr>
        <w:autoSpaceDE w:val="0"/>
        <w:autoSpaceDN w:val="0"/>
        <w:adjustRightInd w:val="0"/>
        <w:spacing w:after="0" w:line="360" w:lineRule="auto"/>
        <w:jc w:val="both"/>
        <w:rPr>
          <w:rFonts w:ascii="Times New Roman" w:hAnsi="Times New Roman" w:cs="Times New Roman"/>
          <w:sz w:val="24"/>
          <w:szCs w:val="24"/>
        </w:rPr>
      </w:pPr>
    </w:p>
    <w:p w14:paraId="4392F6D1" w14:textId="79298805" w:rsidR="007D2E1B" w:rsidRPr="00E2057D" w:rsidRDefault="00E02881" w:rsidP="00E2057D">
      <w:pPr>
        <w:pStyle w:val="Ttulo1"/>
        <w:jc w:val="center"/>
        <w:rPr>
          <w:sz w:val="32"/>
          <w:szCs w:val="32"/>
          <w:lang w:val="es-ES"/>
        </w:rPr>
      </w:pPr>
      <w:r w:rsidRPr="00E2057D">
        <w:rPr>
          <w:sz w:val="32"/>
          <w:szCs w:val="32"/>
          <w:lang w:val="es-ES"/>
        </w:rPr>
        <w:t>Resultados</w:t>
      </w:r>
    </w:p>
    <w:p w14:paraId="6832DB60" w14:textId="44142F0E" w:rsidR="006F3E18" w:rsidRPr="00474A1F" w:rsidRDefault="003142DC" w:rsidP="003142DC">
      <w:pPr>
        <w:autoSpaceDE w:val="0"/>
        <w:autoSpaceDN w:val="0"/>
        <w:adjustRightInd w:val="0"/>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En primer lugar, s</w:t>
      </w:r>
      <w:r w:rsidR="006F3E18" w:rsidRPr="00474A1F">
        <w:rPr>
          <w:rFonts w:ascii="Times New Roman" w:hAnsi="Times New Roman" w:cs="Times New Roman"/>
          <w:sz w:val="24"/>
          <w:szCs w:val="24"/>
        </w:rPr>
        <w:t>e realizó una primera corrida de las variables para determinar si eran significativas con la variable dependiente. Así, la aplicación de las diferentes etapas de la metodología de OLS permitió corroborar las heterogeneidades no observables del panel de datos, tratando de controlar el carácter individual d</w:t>
      </w:r>
      <w:r w:rsidRPr="00474A1F">
        <w:rPr>
          <w:rFonts w:ascii="Times New Roman" w:hAnsi="Times New Roman" w:cs="Times New Roman"/>
          <w:sz w:val="24"/>
          <w:szCs w:val="24"/>
        </w:rPr>
        <w:t>e cada entidad y corregir, si era</w:t>
      </w:r>
      <w:r w:rsidR="006F3E18" w:rsidRPr="00474A1F">
        <w:rPr>
          <w:rFonts w:ascii="Times New Roman" w:hAnsi="Times New Roman" w:cs="Times New Roman"/>
          <w:sz w:val="24"/>
          <w:szCs w:val="24"/>
        </w:rPr>
        <w:t xml:space="preserve"> el caso, los problemas de heterocedasticidad y autocorrelación que puede presentar el modelo. </w:t>
      </w:r>
    </w:p>
    <w:p w14:paraId="7FE768E4" w14:textId="0BC96114" w:rsidR="00B049EA" w:rsidRDefault="006F3E18" w:rsidP="002D01BD">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74A1F">
        <w:rPr>
          <w:rFonts w:ascii="Times New Roman" w:hAnsi="Times New Roman" w:cs="Times New Roman"/>
          <w:sz w:val="24"/>
          <w:szCs w:val="24"/>
        </w:rPr>
        <w:t>En este orden de ideas, en la búsqueda por establecer el mejor estimador para datos tipo panel a partir de las pruebas anteriores</w:t>
      </w:r>
      <w:r w:rsidR="00CD2FA4" w:rsidRPr="00474A1F">
        <w:rPr>
          <w:rFonts w:ascii="Times New Roman" w:hAnsi="Times New Roman" w:cs="Times New Roman"/>
          <w:sz w:val="24"/>
          <w:szCs w:val="24"/>
        </w:rPr>
        <w:t>,</w:t>
      </w:r>
      <w:r w:rsidRPr="00474A1F">
        <w:rPr>
          <w:rFonts w:ascii="Times New Roman" w:hAnsi="Times New Roman" w:cs="Times New Roman"/>
          <w:sz w:val="24"/>
          <w:szCs w:val="24"/>
        </w:rPr>
        <w:t xml:space="preserve"> se encontraron los resultados</w:t>
      </w:r>
      <w:r w:rsidR="003142DC" w:rsidRPr="00474A1F">
        <w:rPr>
          <w:rFonts w:ascii="Times New Roman" w:hAnsi="Times New Roman" w:cs="Times New Roman"/>
          <w:sz w:val="24"/>
          <w:szCs w:val="24"/>
        </w:rPr>
        <w:t xml:space="preserve"> que se muestran en seguida</w:t>
      </w:r>
      <w:r w:rsidRPr="00474A1F">
        <w:rPr>
          <w:rFonts w:ascii="Times New Roman" w:hAnsi="Times New Roman" w:cs="Times New Roman"/>
          <w:sz w:val="24"/>
          <w:szCs w:val="24"/>
        </w:rPr>
        <w:t xml:space="preserve">. </w:t>
      </w:r>
      <w:r w:rsidR="003142DC" w:rsidRPr="00474A1F">
        <w:rPr>
          <w:rFonts w:ascii="Times New Roman" w:hAnsi="Times New Roman" w:cs="Times New Roman"/>
          <w:sz w:val="24"/>
          <w:szCs w:val="24"/>
        </w:rPr>
        <w:t>Antes, vale acotar que e</w:t>
      </w:r>
      <w:r w:rsidRPr="00474A1F">
        <w:rPr>
          <w:rFonts w:ascii="Times New Roman" w:hAnsi="Times New Roman" w:cs="Times New Roman"/>
          <w:color w:val="000000"/>
          <w:sz w:val="24"/>
          <w:szCs w:val="24"/>
        </w:rPr>
        <w:t xml:space="preserve">ste tipo de estimador se ha </w:t>
      </w:r>
      <w:r w:rsidR="003F469E" w:rsidRPr="00474A1F">
        <w:rPr>
          <w:rFonts w:ascii="Times New Roman" w:hAnsi="Times New Roman" w:cs="Times New Roman"/>
          <w:color w:val="000000"/>
          <w:sz w:val="24"/>
          <w:szCs w:val="24"/>
        </w:rPr>
        <w:t xml:space="preserve">utilizado en varias </w:t>
      </w:r>
      <w:r w:rsidRPr="00474A1F">
        <w:rPr>
          <w:rFonts w:ascii="Times New Roman" w:hAnsi="Times New Roman" w:cs="Times New Roman"/>
          <w:color w:val="000000"/>
          <w:sz w:val="24"/>
          <w:szCs w:val="24"/>
        </w:rPr>
        <w:t xml:space="preserve">investigaciones </w:t>
      </w:r>
      <w:r w:rsidR="003F469E" w:rsidRPr="00474A1F">
        <w:rPr>
          <w:rFonts w:ascii="Times New Roman" w:hAnsi="Times New Roman" w:cs="Times New Roman"/>
          <w:color w:val="000000"/>
          <w:sz w:val="24"/>
          <w:szCs w:val="24"/>
        </w:rPr>
        <w:t>con datos tipo panel como en series de tiempo</w:t>
      </w:r>
      <w:r w:rsidR="003142DC" w:rsidRPr="00474A1F">
        <w:rPr>
          <w:rFonts w:ascii="Times New Roman" w:hAnsi="Times New Roman" w:cs="Times New Roman"/>
          <w:color w:val="000000"/>
          <w:sz w:val="24"/>
          <w:szCs w:val="24"/>
        </w:rPr>
        <w:t>. Al respecto,</w:t>
      </w:r>
      <w:r w:rsidR="003F469E" w:rsidRPr="00474A1F">
        <w:rPr>
          <w:rFonts w:ascii="Times New Roman" w:hAnsi="Times New Roman" w:cs="Times New Roman"/>
          <w:color w:val="000000"/>
          <w:sz w:val="24"/>
          <w:szCs w:val="24"/>
        </w:rPr>
        <w:t xml:space="preserve"> </w:t>
      </w:r>
      <w:proofErr w:type="spellStart"/>
      <w:r w:rsidR="00A07D19" w:rsidRPr="00474A1F">
        <w:rPr>
          <w:rFonts w:ascii="Times New Roman" w:hAnsi="Times New Roman" w:cs="Times New Roman"/>
          <w:sz w:val="24"/>
          <w:szCs w:val="24"/>
          <w:shd w:val="clear" w:color="auto" w:fill="FFFFFF"/>
          <w:lang w:val="es-VE"/>
        </w:rPr>
        <w:t>Kachlami</w:t>
      </w:r>
      <w:proofErr w:type="spellEnd"/>
      <w:r w:rsidR="00A07D19" w:rsidRPr="00474A1F">
        <w:rPr>
          <w:rFonts w:ascii="Times New Roman" w:hAnsi="Times New Roman" w:cs="Times New Roman"/>
          <w:sz w:val="24"/>
          <w:szCs w:val="24"/>
          <w:shd w:val="clear" w:color="auto" w:fill="FFFFFF"/>
          <w:lang w:val="es-VE"/>
        </w:rPr>
        <w:t xml:space="preserve"> y </w:t>
      </w:r>
      <w:proofErr w:type="spellStart"/>
      <w:r w:rsidR="00A07D19" w:rsidRPr="00474A1F">
        <w:rPr>
          <w:rFonts w:ascii="Times New Roman" w:hAnsi="Times New Roman" w:cs="Times New Roman"/>
          <w:sz w:val="24"/>
          <w:szCs w:val="24"/>
          <w:shd w:val="clear" w:color="auto" w:fill="FFFFFF"/>
          <w:lang w:val="es-VE"/>
        </w:rPr>
        <w:t>Yazdanfar</w:t>
      </w:r>
      <w:proofErr w:type="spellEnd"/>
      <w:r w:rsidR="00A07D19" w:rsidRPr="00474A1F">
        <w:rPr>
          <w:rFonts w:ascii="Times New Roman" w:hAnsi="Times New Roman" w:cs="Times New Roman"/>
          <w:noProof/>
          <w:color w:val="000000"/>
          <w:sz w:val="24"/>
          <w:szCs w:val="24"/>
        </w:rPr>
        <w:t xml:space="preserve"> </w:t>
      </w:r>
      <w:r w:rsidR="003142DC" w:rsidRPr="00474A1F">
        <w:rPr>
          <w:rFonts w:ascii="Times New Roman" w:hAnsi="Times New Roman" w:cs="Times New Roman"/>
          <w:noProof/>
          <w:color w:val="000000"/>
          <w:sz w:val="24"/>
          <w:szCs w:val="24"/>
        </w:rPr>
        <w:t>(</w:t>
      </w:r>
      <w:r w:rsidR="00CD2FA4" w:rsidRPr="00474A1F">
        <w:rPr>
          <w:rFonts w:ascii="Times New Roman" w:hAnsi="Times New Roman" w:cs="Times New Roman"/>
          <w:noProof/>
          <w:color w:val="000000"/>
          <w:sz w:val="24"/>
          <w:szCs w:val="24"/>
        </w:rPr>
        <w:t>2016)</w:t>
      </w:r>
      <w:r w:rsidR="003F469E" w:rsidRPr="00474A1F">
        <w:rPr>
          <w:rFonts w:ascii="Times New Roman" w:hAnsi="Times New Roman" w:cs="Times New Roman"/>
          <w:color w:val="000000"/>
          <w:sz w:val="24"/>
          <w:szCs w:val="24"/>
        </w:rPr>
        <w:t xml:space="preserve"> y </w:t>
      </w:r>
      <w:r w:rsidR="00CD2FA4" w:rsidRPr="00474A1F">
        <w:rPr>
          <w:rFonts w:ascii="Times New Roman" w:hAnsi="Times New Roman" w:cs="Times New Roman"/>
          <w:noProof/>
          <w:color w:val="000000"/>
          <w:sz w:val="24"/>
          <w:szCs w:val="24"/>
        </w:rPr>
        <w:t xml:space="preserve">Yao, Chen, Che, Wang </w:t>
      </w:r>
      <w:r w:rsidR="00922DE5" w:rsidRPr="00474A1F">
        <w:rPr>
          <w:rFonts w:ascii="Times New Roman" w:hAnsi="Times New Roman" w:cs="Times New Roman"/>
          <w:noProof/>
          <w:color w:val="000000"/>
          <w:sz w:val="24"/>
          <w:szCs w:val="24"/>
        </w:rPr>
        <w:t>y</w:t>
      </w:r>
      <w:r w:rsidR="00CD2FA4" w:rsidRPr="00474A1F">
        <w:rPr>
          <w:rFonts w:ascii="Times New Roman" w:hAnsi="Times New Roman" w:cs="Times New Roman"/>
          <w:noProof/>
          <w:color w:val="000000"/>
          <w:sz w:val="24"/>
          <w:szCs w:val="24"/>
        </w:rPr>
        <w:t xml:space="preserve"> Guan </w:t>
      </w:r>
      <w:r w:rsidR="003142DC" w:rsidRPr="00474A1F">
        <w:rPr>
          <w:rFonts w:ascii="Times New Roman" w:hAnsi="Times New Roman" w:cs="Times New Roman"/>
          <w:noProof/>
          <w:color w:val="000000"/>
          <w:sz w:val="24"/>
          <w:szCs w:val="24"/>
        </w:rPr>
        <w:t>(</w:t>
      </w:r>
      <w:r w:rsidR="00CD2FA4" w:rsidRPr="00474A1F">
        <w:rPr>
          <w:rFonts w:ascii="Times New Roman" w:hAnsi="Times New Roman" w:cs="Times New Roman"/>
          <w:noProof/>
          <w:color w:val="000000"/>
          <w:sz w:val="24"/>
          <w:szCs w:val="24"/>
        </w:rPr>
        <w:t>2018)</w:t>
      </w:r>
      <w:r w:rsidR="00C17249" w:rsidRPr="00474A1F">
        <w:rPr>
          <w:rFonts w:ascii="Times New Roman" w:hAnsi="Times New Roman" w:cs="Times New Roman"/>
          <w:color w:val="000000"/>
          <w:sz w:val="24"/>
          <w:szCs w:val="24"/>
        </w:rPr>
        <w:t xml:space="preserve"> </w:t>
      </w:r>
      <w:r w:rsidRPr="00474A1F">
        <w:rPr>
          <w:rFonts w:ascii="Times New Roman" w:hAnsi="Times New Roman" w:cs="Times New Roman"/>
          <w:color w:val="000000"/>
          <w:sz w:val="24"/>
          <w:szCs w:val="24"/>
        </w:rPr>
        <w:t>demostraron que este estimador es más preciso para los datos panel</w:t>
      </w:r>
      <w:r w:rsidR="002D01BD">
        <w:rPr>
          <w:rFonts w:ascii="Times New Roman" w:hAnsi="Times New Roman" w:cs="Times New Roman"/>
          <w:color w:val="000000"/>
          <w:sz w:val="24"/>
          <w:szCs w:val="24"/>
        </w:rPr>
        <w:t xml:space="preserve">, tal como se muestra en la </w:t>
      </w:r>
      <w:r w:rsidR="003142DC" w:rsidRPr="00474A1F">
        <w:rPr>
          <w:rFonts w:ascii="Times New Roman" w:hAnsi="Times New Roman" w:cs="Times New Roman"/>
          <w:color w:val="000000"/>
          <w:sz w:val="24"/>
          <w:szCs w:val="24"/>
        </w:rPr>
        <w:t>t</w:t>
      </w:r>
      <w:r w:rsidRPr="00474A1F">
        <w:rPr>
          <w:rFonts w:ascii="Times New Roman" w:hAnsi="Times New Roman" w:cs="Times New Roman"/>
          <w:color w:val="000000"/>
          <w:sz w:val="24"/>
          <w:szCs w:val="24"/>
        </w:rPr>
        <w:t>abla 2.</w:t>
      </w:r>
    </w:p>
    <w:p w14:paraId="479DE181" w14:textId="0EE0F645" w:rsidR="00E854A2" w:rsidRDefault="00E854A2" w:rsidP="002D01BD">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675477D3" w14:textId="2E85D3C9" w:rsidR="00E854A2" w:rsidRDefault="00E854A2" w:rsidP="002D01BD">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5F1AA2B4" w14:textId="77777777" w:rsidR="00E854A2" w:rsidRPr="00474A1F" w:rsidRDefault="00E854A2" w:rsidP="002D01BD">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11893C5D" w14:textId="189C0B50" w:rsidR="006F3E18" w:rsidRPr="00D93FE6" w:rsidRDefault="00975CB2" w:rsidP="006F380A">
      <w:pPr>
        <w:autoSpaceDE w:val="0"/>
        <w:autoSpaceDN w:val="0"/>
        <w:adjustRightInd w:val="0"/>
        <w:spacing w:after="0" w:line="360" w:lineRule="auto"/>
        <w:jc w:val="center"/>
        <w:rPr>
          <w:rFonts w:ascii="Times New Roman" w:hAnsi="Times New Roman" w:cs="Times New Roman"/>
          <w:sz w:val="24"/>
          <w:szCs w:val="24"/>
        </w:rPr>
      </w:pPr>
      <w:r w:rsidRPr="00D93FE6">
        <w:rPr>
          <w:rFonts w:ascii="Times New Roman" w:hAnsi="Times New Roman" w:cs="Times New Roman"/>
          <w:b/>
          <w:sz w:val="24"/>
          <w:szCs w:val="24"/>
        </w:rPr>
        <w:lastRenderedPageBreak/>
        <w:t>Tabla 2.</w:t>
      </w:r>
      <w:r w:rsidRPr="00D93FE6">
        <w:rPr>
          <w:rFonts w:ascii="Times New Roman" w:hAnsi="Times New Roman" w:cs="Times New Roman"/>
          <w:sz w:val="24"/>
          <w:szCs w:val="24"/>
        </w:rPr>
        <w:t xml:space="preserve"> </w:t>
      </w:r>
      <w:r w:rsidR="00BB5951" w:rsidRPr="00D93FE6">
        <w:rPr>
          <w:rFonts w:ascii="Times New Roman" w:hAnsi="Times New Roman" w:cs="Times New Roman"/>
          <w:sz w:val="24"/>
          <w:szCs w:val="24"/>
        </w:rPr>
        <w:t>Innovación y transferencia de conocimientos en México</w:t>
      </w:r>
    </w:p>
    <w:tbl>
      <w:tblPr>
        <w:tblStyle w:val="Tablaconcuadrcula"/>
        <w:tblW w:w="0" w:type="auto"/>
        <w:jc w:val="center"/>
        <w:tblLook w:val="04A0" w:firstRow="1" w:lastRow="0" w:firstColumn="1" w:lastColumn="0" w:noHBand="0" w:noVBand="1"/>
      </w:tblPr>
      <w:tblGrid>
        <w:gridCol w:w="3964"/>
        <w:gridCol w:w="1272"/>
        <w:gridCol w:w="1066"/>
      </w:tblGrid>
      <w:tr w:rsidR="00C17249" w:rsidRPr="00474A1F" w14:paraId="495BBBE9" w14:textId="72E947C1" w:rsidTr="00382579">
        <w:trPr>
          <w:jc w:val="center"/>
        </w:trPr>
        <w:tc>
          <w:tcPr>
            <w:tcW w:w="3964" w:type="dxa"/>
          </w:tcPr>
          <w:p w14:paraId="3DE4210E" w14:textId="03CDFEF0" w:rsidR="00C17249" w:rsidRPr="00474A1F" w:rsidRDefault="00C17249" w:rsidP="000449BC">
            <w:pPr>
              <w:autoSpaceDE w:val="0"/>
              <w:autoSpaceDN w:val="0"/>
              <w:adjustRightInd w:val="0"/>
              <w:spacing w:line="360" w:lineRule="auto"/>
              <w:jc w:val="both"/>
              <w:rPr>
                <w:rFonts w:ascii="Times New Roman" w:hAnsi="Times New Roman" w:cs="Times New Roman"/>
                <w:b/>
                <w:sz w:val="20"/>
                <w:szCs w:val="20"/>
              </w:rPr>
            </w:pPr>
            <w:r w:rsidRPr="00474A1F">
              <w:rPr>
                <w:rFonts w:ascii="Times New Roman" w:hAnsi="Times New Roman" w:cs="Times New Roman"/>
                <w:b/>
                <w:sz w:val="20"/>
                <w:szCs w:val="20"/>
              </w:rPr>
              <w:t>Variable dependiente</w:t>
            </w:r>
          </w:p>
        </w:tc>
        <w:tc>
          <w:tcPr>
            <w:tcW w:w="1272" w:type="dxa"/>
          </w:tcPr>
          <w:p w14:paraId="73D4E4D5" w14:textId="45238A4C" w:rsidR="00C17249" w:rsidRPr="00474A1F" w:rsidRDefault="00C17249" w:rsidP="00586557">
            <w:pPr>
              <w:autoSpaceDE w:val="0"/>
              <w:autoSpaceDN w:val="0"/>
              <w:adjustRightInd w:val="0"/>
              <w:spacing w:line="360" w:lineRule="auto"/>
              <w:jc w:val="center"/>
              <w:rPr>
                <w:rFonts w:ascii="Times New Roman" w:hAnsi="Times New Roman" w:cs="Times New Roman"/>
                <w:b/>
                <w:sz w:val="20"/>
                <w:szCs w:val="20"/>
              </w:rPr>
            </w:pPr>
          </w:p>
        </w:tc>
        <w:tc>
          <w:tcPr>
            <w:tcW w:w="1066" w:type="dxa"/>
          </w:tcPr>
          <w:p w14:paraId="7A72B07E" w14:textId="7FFDC2B5" w:rsidR="00C17249" w:rsidRPr="00474A1F" w:rsidRDefault="00C17249" w:rsidP="00586557">
            <w:pPr>
              <w:autoSpaceDE w:val="0"/>
              <w:autoSpaceDN w:val="0"/>
              <w:adjustRightInd w:val="0"/>
              <w:spacing w:line="360" w:lineRule="auto"/>
              <w:jc w:val="center"/>
              <w:rPr>
                <w:rFonts w:ascii="Times New Roman" w:hAnsi="Times New Roman" w:cs="Times New Roman"/>
                <w:b/>
                <w:sz w:val="20"/>
                <w:szCs w:val="20"/>
              </w:rPr>
            </w:pPr>
          </w:p>
        </w:tc>
      </w:tr>
      <w:tr w:rsidR="000449BC" w:rsidRPr="00474A1F" w14:paraId="13174655" w14:textId="77777777" w:rsidTr="00382579">
        <w:trPr>
          <w:jc w:val="center"/>
        </w:trPr>
        <w:tc>
          <w:tcPr>
            <w:tcW w:w="3964" w:type="dxa"/>
          </w:tcPr>
          <w:p w14:paraId="24F2BF2A" w14:textId="50344311" w:rsidR="000449BC" w:rsidRPr="000449BC" w:rsidRDefault="000449BC" w:rsidP="000449BC">
            <w:pPr>
              <w:autoSpaceDE w:val="0"/>
              <w:autoSpaceDN w:val="0"/>
              <w:adjustRightInd w:val="0"/>
              <w:spacing w:line="360" w:lineRule="auto"/>
              <w:jc w:val="both"/>
              <w:rPr>
                <w:rFonts w:ascii="Times New Roman" w:hAnsi="Times New Roman" w:cs="Times New Roman"/>
                <w:bCs/>
                <w:sz w:val="20"/>
                <w:szCs w:val="20"/>
              </w:rPr>
            </w:pPr>
            <w:r w:rsidRPr="000449BC">
              <w:rPr>
                <w:rFonts w:ascii="Times New Roman" w:hAnsi="Times New Roman" w:cs="Times New Roman"/>
                <w:bCs/>
                <w:sz w:val="20"/>
                <w:szCs w:val="20"/>
              </w:rPr>
              <w:t>Patentes</w:t>
            </w:r>
          </w:p>
        </w:tc>
        <w:tc>
          <w:tcPr>
            <w:tcW w:w="1272" w:type="dxa"/>
          </w:tcPr>
          <w:p w14:paraId="0F9C6961" w14:textId="77777777" w:rsidR="000449BC" w:rsidRPr="00474A1F" w:rsidRDefault="000449BC" w:rsidP="00586557">
            <w:pPr>
              <w:autoSpaceDE w:val="0"/>
              <w:autoSpaceDN w:val="0"/>
              <w:adjustRightInd w:val="0"/>
              <w:spacing w:line="360" w:lineRule="auto"/>
              <w:jc w:val="center"/>
              <w:rPr>
                <w:rFonts w:ascii="Times New Roman" w:hAnsi="Times New Roman" w:cs="Times New Roman"/>
                <w:b/>
                <w:sz w:val="20"/>
                <w:szCs w:val="20"/>
              </w:rPr>
            </w:pPr>
          </w:p>
        </w:tc>
        <w:tc>
          <w:tcPr>
            <w:tcW w:w="1066" w:type="dxa"/>
          </w:tcPr>
          <w:p w14:paraId="7E836DC6" w14:textId="77777777" w:rsidR="000449BC" w:rsidRPr="00474A1F" w:rsidRDefault="000449BC" w:rsidP="00586557">
            <w:pPr>
              <w:autoSpaceDE w:val="0"/>
              <w:autoSpaceDN w:val="0"/>
              <w:adjustRightInd w:val="0"/>
              <w:spacing w:line="360" w:lineRule="auto"/>
              <w:jc w:val="center"/>
              <w:rPr>
                <w:rFonts w:ascii="Times New Roman" w:hAnsi="Times New Roman" w:cs="Times New Roman"/>
                <w:b/>
                <w:sz w:val="20"/>
                <w:szCs w:val="20"/>
              </w:rPr>
            </w:pPr>
          </w:p>
        </w:tc>
      </w:tr>
      <w:tr w:rsidR="000449BC" w:rsidRPr="00474A1F" w14:paraId="3E951DAC" w14:textId="77777777" w:rsidTr="00382579">
        <w:trPr>
          <w:jc w:val="center"/>
        </w:trPr>
        <w:tc>
          <w:tcPr>
            <w:tcW w:w="3964" w:type="dxa"/>
          </w:tcPr>
          <w:p w14:paraId="24F53A38" w14:textId="4E5DC126" w:rsidR="000449BC" w:rsidRPr="00474A1F" w:rsidRDefault="000449BC" w:rsidP="000449BC">
            <w:pPr>
              <w:autoSpaceDE w:val="0"/>
              <w:autoSpaceDN w:val="0"/>
              <w:adjustRightInd w:val="0"/>
              <w:spacing w:line="360" w:lineRule="auto"/>
              <w:jc w:val="both"/>
              <w:rPr>
                <w:rFonts w:ascii="Times New Roman" w:hAnsi="Times New Roman" w:cs="Times New Roman"/>
                <w:b/>
                <w:sz w:val="20"/>
                <w:szCs w:val="20"/>
              </w:rPr>
            </w:pPr>
            <w:r w:rsidRPr="00474A1F">
              <w:rPr>
                <w:rFonts w:ascii="Times New Roman" w:hAnsi="Times New Roman" w:cs="Times New Roman"/>
                <w:b/>
                <w:sz w:val="20"/>
                <w:szCs w:val="20"/>
              </w:rPr>
              <w:t>Variables independientes</w:t>
            </w:r>
          </w:p>
        </w:tc>
        <w:tc>
          <w:tcPr>
            <w:tcW w:w="1272" w:type="dxa"/>
          </w:tcPr>
          <w:p w14:paraId="6EC74A30" w14:textId="7DC7A3C5" w:rsidR="000449BC" w:rsidRPr="00474A1F" w:rsidRDefault="000449BC" w:rsidP="000449BC">
            <w:pPr>
              <w:autoSpaceDE w:val="0"/>
              <w:autoSpaceDN w:val="0"/>
              <w:adjustRightInd w:val="0"/>
              <w:spacing w:line="360" w:lineRule="auto"/>
              <w:jc w:val="center"/>
              <w:rPr>
                <w:rFonts w:ascii="Times New Roman" w:hAnsi="Times New Roman" w:cs="Times New Roman"/>
                <w:b/>
                <w:sz w:val="20"/>
                <w:szCs w:val="20"/>
              </w:rPr>
            </w:pPr>
            <w:r w:rsidRPr="00474A1F">
              <w:rPr>
                <w:rFonts w:ascii="Times New Roman" w:hAnsi="Times New Roman" w:cs="Times New Roman"/>
                <w:b/>
                <w:sz w:val="20"/>
                <w:szCs w:val="20"/>
              </w:rPr>
              <w:t>Coeficiente</w:t>
            </w:r>
          </w:p>
        </w:tc>
        <w:tc>
          <w:tcPr>
            <w:tcW w:w="1066" w:type="dxa"/>
          </w:tcPr>
          <w:p w14:paraId="6E75F717" w14:textId="6EE2BC04" w:rsidR="000449BC" w:rsidRPr="00474A1F" w:rsidRDefault="000449BC" w:rsidP="000449BC">
            <w:pPr>
              <w:autoSpaceDE w:val="0"/>
              <w:autoSpaceDN w:val="0"/>
              <w:adjustRightInd w:val="0"/>
              <w:spacing w:line="360" w:lineRule="auto"/>
              <w:jc w:val="center"/>
              <w:rPr>
                <w:rFonts w:ascii="Times New Roman" w:hAnsi="Times New Roman" w:cs="Times New Roman"/>
                <w:b/>
                <w:sz w:val="20"/>
                <w:szCs w:val="20"/>
              </w:rPr>
            </w:pPr>
            <w:proofErr w:type="spellStart"/>
            <w:r w:rsidRPr="00474A1F">
              <w:rPr>
                <w:rFonts w:ascii="Times New Roman" w:hAnsi="Times New Roman" w:cs="Times New Roman"/>
                <w:b/>
                <w:sz w:val="20"/>
                <w:szCs w:val="20"/>
              </w:rPr>
              <w:t>Std</w:t>
            </w:r>
            <w:proofErr w:type="spellEnd"/>
            <w:r w:rsidRPr="00474A1F">
              <w:rPr>
                <w:rFonts w:ascii="Times New Roman" w:hAnsi="Times New Roman" w:cs="Times New Roman"/>
                <w:b/>
                <w:sz w:val="20"/>
                <w:szCs w:val="20"/>
              </w:rPr>
              <w:t xml:space="preserve">. </w:t>
            </w:r>
            <w:proofErr w:type="spellStart"/>
            <w:r w:rsidRPr="00474A1F">
              <w:rPr>
                <w:rFonts w:ascii="Times New Roman" w:hAnsi="Times New Roman" w:cs="Times New Roman"/>
                <w:b/>
                <w:sz w:val="20"/>
                <w:szCs w:val="20"/>
              </w:rPr>
              <w:t>Err</w:t>
            </w:r>
            <w:proofErr w:type="spellEnd"/>
            <w:r w:rsidRPr="00474A1F">
              <w:rPr>
                <w:rFonts w:ascii="Times New Roman" w:hAnsi="Times New Roman" w:cs="Times New Roman"/>
                <w:b/>
                <w:sz w:val="20"/>
                <w:szCs w:val="20"/>
              </w:rPr>
              <w:t>.</w:t>
            </w:r>
          </w:p>
        </w:tc>
      </w:tr>
      <w:tr w:rsidR="000449BC" w:rsidRPr="00474A1F" w14:paraId="27AE8C0B" w14:textId="1147759B" w:rsidTr="00382579">
        <w:trPr>
          <w:jc w:val="center"/>
        </w:trPr>
        <w:tc>
          <w:tcPr>
            <w:tcW w:w="3964" w:type="dxa"/>
          </w:tcPr>
          <w:p w14:paraId="654011AA"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Empresas</w:t>
            </w:r>
          </w:p>
        </w:tc>
        <w:tc>
          <w:tcPr>
            <w:tcW w:w="1272" w:type="dxa"/>
          </w:tcPr>
          <w:p w14:paraId="65F29E44" w14:textId="12593615"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-.0141 **</w:t>
            </w:r>
          </w:p>
        </w:tc>
        <w:tc>
          <w:tcPr>
            <w:tcW w:w="1066" w:type="dxa"/>
          </w:tcPr>
          <w:p w14:paraId="7D776A23" w14:textId="1891CD72"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.0072</w:t>
            </w:r>
          </w:p>
        </w:tc>
      </w:tr>
      <w:tr w:rsidR="000449BC" w:rsidRPr="00474A1F" w14:paraId="657A00BA" w14:textId="692FAEB5" w:rsidTr="00382579">
        <w:trPr>
          <w:jc w:val="center"/>
        </w:trPr>
        <w:tc>
          <w:tcPr>
            <w:tcW w:w="3964" w:type="dxa"/>
          </w:tcPr>
          <w:p w14:paraId="6E3F46B4"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Grandes empresas</w:t>
            </w:r>
          </w:p>
        </w:tc>
        <w:tc>
          <w:tcPr>
            <w:tcW w:w="1272" w:type="dxa"/>
          </w:tcPr>
          <w:p w14:paraId="0C8856E3" w14:textId="037C71DD"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.1590*</w:t>
            </w:r>
          </w:p>
        </w:tc>
        <w:tc>
          <w:tcPr>
            <w:tcW w:w="1066" w:type="dxa"/>
          </w:tcPr>
          <w:p w14:paraId="654E4878" w14:textId="10DA91C8"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.0392</w:t>
            </w:r>
          </w:p>
        </w:tc>
      </w:tr>
      <w:tr w:rsidR="000449BC" w:rsidRPr="00474A1F" w14:paraId="76436E81" w14:textId="073F00F5" w:rsidTr="00382579">
        <w:trPr>
          <w:jc w:val="center"/>
        </w:trPr>
        <w:tc>
          <w:tcPr>
            <w:tcW w:w="3964" w:type="dxa"/>
          </w:tcPr>
          <w:p w14:paraId="147ADD9A"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Posgrados de calidad</w:t>
            </w:r>
          </w:p>
        </w:tc>
        <w:tc>
          <w:tcPr>
            <w:tcW w:w="1272" w:type="dxa"/>
          </w:tcPr>
          <w:p w14:paraId="4894245A" w14:textId="33610BBA"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.7146**</w:t>
            </w:r>
          </w:p>
        </w:tc>
        <w:tc>
          <w:tcPr>
            <w:tcW w:w="1066" w:type="dxa"/>
          </w:tcPr>
          <w:p w14:paraId="171476EC" w14:textId="485C8C9C"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.3337</w:t>
            </w:r>
          </w:p>
        </w:tc>
      </w:tr>
      <w:tr w:rsidR="000449BC" w:rsidRPr="00474A1F" w14:paraId="3A73D2E5" w14:textId="0722ECE4" w:rsidTr="00382579">
        <w:trPr>
          <w:jc w:val="center"/>
        </w:trPr>
        <w:tc>
          <w:tcPr>
            <w:tcW w:w="3964" w:type="dxa"/>
          </w:tcPr>
          <w:p w14:paraId="13F33497"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Centros de investigación</w:t>
            </w:r>
          </w:p>
        </w:tc>
        <w:tc>
          <w:tcPr>
            <w:tcW w:w="1272" w:type="dxa"/>
          </w:tcPr>
          <w:p w14:paraId="743543B8" w14:textId="35C284E9"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26.97**</w:t>
            </w:r>
          </w:p>
        </w:tc>
        <w:tc>
          <w:tcPr>
            <w:tcW w:w="1066" w:type="dxa"/>
          </w:tcPr>
          <w:p w14:paraId="61E6A04C" w14:textId="53AC1530"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13.4884</w:t>
            </w:r>
          </w:p>
        </w:tc>
      </w:tr>
      <w:tr w:rsidR="000449BC" w:rsidRPr="00474A1F" w14:paraId="629E32F6" w14:textId="67A069A9" w:rsidTr="00382579">
        <w:trPr>
          <w:jc w:val="center"/>
        </w:trPr>
        <w:tc>
          <w:tcPr>
            <w:tcW w:w="3964" w:type="dxa"/>
          </w:tcPr>
          <w:p w14:paraId="086E6825"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Investigadores</w:t>
            </w:r>
          </w:p>
        </w:tc>
        <w:tc>
          <w:tcPr>
            <w:tcW w:w="1272" w:type="dxa"/>
          </w:tcPr>
          <w:p w14:paraId="0E9E1BD3" w14:textId="68F3F2FA"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-.0114</w:t>
            </w:r>
          </w:p>
        </w:tc>
        <w:tc>
          <w:tcPr>
            <w:tcW w:w="1066" w:type="dxa"/>
          </w:tcPr>
          <w:p w14:paraId="1002615F"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p>
        </w:tc>
      </w:tr>
      <w:tr w:rsidR="000449BC" w:rsidRPr="00474A1F" w14:paraId="614FA9CD" w14:textId="77777777" w:rsidTr="00382579">
        <w:trPr>
          <w:jc w:val="center"/>
        </w:trPr>
        <w:tc>
          <w:tcPr>
            <w:tcW w:w="3964" w:type="dxa"/>
          </w:tcPr>
          <w:p w14:paraId="02A04A1F"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Número de observaciones</w:t>
            </w:r>
          </w:p>
          <w:p w14:paraId="51081DCA" w14:textId="21D7355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r w:rsidRPr="00474A1F">
              <w:rPr>
                <w:rFonts w:ascii="Times New Roman" w:hAnsi="Times New Roman" w:cs="Times New Roman"/>
                <w:sz w:val="20"/>
                <w:szCs w:val="20"/>
              </w:rPr>
              <w:t>R-cuadrada</w:t>
            </w:r>
          </w:p>
        </w:tc>
        <w:tc>
          <w:tcPr>
            <w:tcW w:w="1272" w:type="dxa"/>
          </w:tcPr>
          <w:p w14:paraId="3E54BC12" w14:textId="5826214C"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756</w:t>
            </w:r>
          </w:p>
          <w:p w14:paraId="3F6BAFA4" w14:textId="0FE882F7" w:rsidR="000449BC" w:rsidRPr="00474A1F" w:rsidRDefault="000449BC" w:rsidP="000449BC">
            <w:pPr>
              <w:autoSpaceDE w:val="0"/>
              <w:autoSpaceDN w:val="0"/>
              <w:adjustRightInd w:val="0"/>
              <w:spacing w:line="360" w:lineRule="auto"/>
              <w:jc w:val="right"/>
              <w:rPr>
                <w:rFonts w:ascii="Times New Roman" w:hAnsi="Times New Roman" w:cs="Times New Roman"/>
                <w:sz w:val="20"/>
                <w:szCs w:val="20"/>
              </w:rPr>
            </w:pPr>
            <w:r w:rsidRPr="00474A1F">
              <w:rPr>
                <w:rFonts w:ascii="Times New Roman" w:hAnsi="Times New Roman" w:cs="Times New Roman"/>
                <w:sz w:val="20"/>
                <w:szCs w:val="20"/>
              </w:rPr>
              <w:t>0.8915</w:t>
            </w:r>
          </w:p>
        </w:tc>
        <w:tc>
          <w:tcPr>
            <w:tcW w:w="1066" w:type="dxa"/>
          </w:tcPr>
          <w:p w14:paraId="213DF794" w14:textId="77777777" w:rsidR="000449BC" w:rsidRPr="00474A1F" w:rsidRDefault="000449BC" w:rsidP="000449BC">
            <w:pPr>
              <w:autoSpaceDE w:val="0"/>
              <w:autoSpaceDN w:val="0"/>
              <w:adjustRightInd w:val="0"/>
              <w:spacing w:line="360" w:lineRule="auto"/>
              <w:jc w:val="both"/>
              <w:rPr>
                <w:rFonts w:ascii="Times New Roman" w:hAnsi="Times New Roman" w:cs="Times New Roman"/>
                <w:sz w:val="20"/>
                <w:szCs w:val="20"/>
              </w:rPr>
            </w:pPr>
          </w:p>
        </w:tc>
      </w:tr>
    </w:tbl>
    <w:p w14:paraId="1D9CCBBA" w14:textId="1B478994" w:rsidR="00C17249" w:rsidRPr="00D93FE6" w:rsidRDefault="00C17249" w:rsidP="00D93FE6">
      <w:pPr>
        <w:autoSpaceDE w:val="0"/>
        <w:autoSpaceDN w:val="0"/>
        <w:adjustRightInd w:val="0"/>
        <w:spacing w:after="0" w:line="240" w:lineRule="auto"/>
        <w:jc w:val="center"/>
        <w:rPr>
          <w:rFonts w:ascii="Times New Roman" w:hAnsi="Times New Roman" w:cs="Times New Roman"/>
          <w:color w:val="1D1D1B"/>
          <w:sz w:val="24"/>
          <w:szCs w:val="24"/>
        </w:rPr>
      </w:pPr>
      <w:r w:rsidRPr="00D93FE6">
        <w:rPr>
          <w:rFonts w:ascii="Times New Roman" w:hAnsi="Times New Roman" w:cs="Times New Roman"/>
          <w:color w:val="1D1D1B"/>
          <w:sz w:val="24"/>
          <w:szCs w:val="24"/>
        </w:rPr>
        <w:t>* Significativa 1</w:t>
      </w:r>
      <w:r w:rsidR="003142DC" w:rsidRPr="00D93FE6">
        <w:rPr>
          <w:rFonts w:ascii="Times New Roman" w:hAnsi="Times New Roman" w:cs="Times New Roman"/>
          <w:color w:val="1D1D1B"/>
          <w:sz w:val="24"/>
          <w:szCs w:val="24"/>
        </w:rPr>
        <w:t> </w:t>
      </w:r>
      <w:r w:rsidRPr="00D93FE6">
        <w:rPr>
          <w:rFonts w:ascii="Times New Roman" w:hAnsi="Times New Roman" w:cs="Times New Roman"/>
          <w:color w:val="1D1D1B"/>
          <w:sz w:val="24"/>
          <w:szCs w:val="24"/>
        </w:rPr>
        <w:t>%. ** Significativa 5</w:t>
      </w:r>
      <w:r w:rsidR="003142DC" w:rsidRPr="00D93FE6">
        <w:rPr>
          <w:rFonts w:ascii="Times New Roman" w:hAnsi="Times New Roman" w:cs="Times New Roman"/>
          <w:color w:val="1D1D1B"/>
          <w:sz w:val="24"/>
          <w:szCs w:val="24"/>
        </w:rPr>
        <w:t> </w:t>
      </w:r>
      <w:r w:rsidRPr="00D93FE6">
        <w:rPr>
          <w:rFonts w:ascii="Times New Roman" w:hAnsi="Times New Roman" w:cs="Times New Roman"/>
          <w:color w:val="1D1D1B"/>
          <w:sz w:val="24"/>
          <w:szCs w:val="24"/>
        </w:rPr>
        <w:t>%. *** Significativa 10</w:t>
      </w:r>
      <w:r w:rsidR="003142DC" w:rsidRPr="00D93FE6">
        <w:rPr>
          <w:rFonts w:ascii="Times New Roman" w:hAnsi="Times New Roman" w:cs="Times New Roman"/>
          <w:color w:val="1D1D1B"/>
          <w:sz w:val="24"/>
          <w:szCs w:val="24"/>
        </w:rPr>
        <w:t> </w:t>
      </w:r>
      <w:r w:rsidRPr="00D93FE6">
        <w:rPr>
          <w:rFonts w:ascii="Times New Roman" w:hAnsi="Times New Roman" w:cs="Times New Roman"/>
          <w:color w:val="1D1D1B"/>
          <w:sz w:val="24"/>
          <w:szCs w:val="24"/>
        </w:rPr>
        <w:t>%.</w:t>
      </w:r>
    </w:p>
    <w:p w14:paraId="040F4AD0" w14:textId="1931EAC6" w:rsidR="00985E1C" w:rsidRPr="00D93FE6" w:rsidRDefault="00985E1C" w:rsidP="00D93FE6">
      <w:pPr>
        <w:autoSpaceDE w:val="0"/>
        <w:autoSpaceDN w:val="0"/>
        <w:adjustRightInd w:val="0"/>
        <w:spacing w:after="0" w:line="240" w:lineRule="auto"/>
        <w:ind w:left="708"/>
        <w:jc w:val="center"/>
        <w:rPr>
          <w:rFonts w:ascii="Times New Roman" w:hAnsi="Times New Roman" w:cs="Times New Roman"/>
          <w:color w:val="1D1D1B"/>
          <w:sz w:val="24"/>
          <w:szCs w:val="24"/>
        </w:rPr>
      </w:pPr>
      <w:r w:rsidRPr="00D93FE6">
        <w:rPr>
          <w:rFonts w:ascii="Times New Roman" w:hAnsi="Times New Roman" w:cs="Times New Roman"/>
          <w:color w:val="1D1D1B"/>
          <w:sz w:val="24"/>
          <w:szCs w:val="24"/>
        </w:rPr>
        <w:t xml:space="preserve">Nota: </w:t>
      </w:r>
      <w:r w:rsidR="003142DC" w:rsidRPr="00D93FE6">
        <w:rPr>
          <w:rFonts w:ascii="Times New Roman" w:hAnsi="Times New Roman" w:cs="Times New Roman"/>
          <w:color w:val="1D1D1B"/>
          <w:sz w:val="24"/>
          <w:szCs w:val="24"/>
        </w:rPr>
        <w:t>E</w:t>
      </w:r>
      <w:r w:rsidRPr="00D93FE6">
        <w:rPr>
          <w:rFonts w:ascii="Times New Roman" w:hAnsi="Times New Roman" w:cs="Times New Roman"/>
          <w:color w:val="1D1D1B"/>
          <w:sz w:val="24"/>
          <w:szCs w:val="24"/>
        </w:rPr>
        <w:t xml:space="preserve">n los anexos se puede verificar la captura de pantalla del </w:t>
      </w:r>
      <w:r w:rsidRPr="00D93FE6">
        <w:rPr>
          <w:rFonts w:ascii="Times New Roman" w:hAnsi="Times New Roman" w:cs="Times New Roman"/>
          <w:i/>
          <w:color w:val="1D1D1B"/>
          <w:sz w:val="24"/>
          <w:szCs w:val="24"/>
        </w:rPr>
        <w:t>software</w:t>
      </w:r>
      <w:r w:rsidRPr="00D93FE6">
        <w:rPr>
          <w:rFonts w:ascii="Times New Roman" w:hAnsi="Times New Roman" w:cs="Times New Roman"/>
          <w:color w:val="1D1D1B"/>
          <w:sz w:val="24"/>
          <w:szCs w:val="24"/>
        </w:rPr>
        <w:t xml:space="preserve"> STATA 14.</w:t>
      </w:r>
    </w:p>
    <w:p w14:paraId="757BF580" w14:textId="2B085CFC" w:rsidR="007D2E1B" w:rsidRPr="00D93FE6" w:rsidRDefault="00C17249" w:rsidP="00D93FE6">
      <w:pPr>
        <w:spacing w:after="0" w:line="240" w:lineRule="auto"/>
        <w:jc w:val="center"/>
        <w:rPr>
          <w:rFonts w:ascii="Times New Roman" w:hAnsi="Times New Roman" w:cs="Times New Roman"/>
          <w:sz w:val="24"/>
          <w:szCs w:val="24"/>
        </w:rPr>
      </w:pPr>
      <w:r w:rsidRPr="00D93FE6">
        <w:rPr>
          <w:rFonts w:ascii="Times New Roman" w:hAnsi="Times New Roman" w:cs="Times New Roman"/>
          <w:color w:val="1D1D1B"/>
          <w:sz w:val="24"/>
          <w:szCs w:val="24"/>
        </w:rPr>
        <w:t>Fuente: Elaboración propia con base en STATA 14</w:t>
      </w:r>
    </w:p>
    <w:p w14:paraId="49C9DF2C" w14:textId="06603726" w:rsidR="007D2E1B" w:rsidRDefault="007D2E1B" w:rsidP="00B11EA0">
      <w:pPr>
        <w:spacing w:after="0" w:line="360" w:lineRule="auto"/>
        <w:rPr>
          <w:rFonts w:ascii="Times New Roman" w:hAnsi="Times New Roman" w:cs="Times New Roman"/>
          <w:sz w:val="24"/>
        </w:rPr>
      </w:pPr>
    </w:p>
    <w:p w14:paraId="623CB053" w14:textId="0631848F" w:rsidR="00C3445E" w:rsidRPr="00E2057D" w:rsidRDefault="00C3445E" w:rsidP="00C3445E">
      <w:pPr>
        <w:pStyle w:val="Ttulo1"/>
        <w:jc w:val="center"/>
        <w:rPr>
          <w:sz w:val="32"/>
          <w:szCs w:val="32"/>
          <w:lang w:val="es-ES"/>
        </w:rPr>
      </w:pPr>
      <w:r>
        <w:rPr>
          <w:sz w:val="32"/>
          <w:szCs w:val="32"/>
          <w:lang w:val="es-ES"/>
        </w:rPr>
        <w:t>Discusión</w:t>
      </w:r>
    </w:p>
    <w:p w14:paraId="38C13185" w14:textId="466BDFE8" w:rsidR="00E40A8E" w:rsidRPr="00474A1F" w:rsidRDefault="002E7FF8" w:rsidP="008243D3">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 xml:space="preserve">Los resultados muestran que las variables más significativas con orientación positiva a la variable dependiente </w:t>
      </w:r>
      <w:r w:rsidR="003142DC" w:rsidRPr="00474A1F">
        <w:rPr>
          <w:rFonts w:ascii="Times New Roman" w:hAnsi="Times New Roman" w:cs="Times New Roman"/>
          <w:sz w:val="24"/>
          <w:szCs w:val="24"/>
        </w:rPr>
        <w:t>fueron estas</w:t>
      </w:r>
      <w:r w:rsidRPr="00474A1F">
        <w:rPr>
          <w:rFonts w:ascii="Times New Roman" w:hAnsi="Times New Roman" w:cs="Times New Roman"/>
          <w:sz w:val="24"/>
          <w:szCs w:val="24"/>
        </w:rPr>
        <w:t xml:space="preserve">: </w:t>
      </w:r>
      <w:r w:rsidR="003142DC" w:rsidRPr="00474A1F">
        <w:rPr>
          <w:rFonts w:ascii="Times New Roman" w:hAnsi="Times New Roman" w:cs="Times New Roman"/>
          <w:i/>
          <w:sz w:val="24"/>
          <w:szCs w:val="24"/>
        </w:rPr>
        <w:t>c</w:t>
      </w:r>
      <w:r w:rsidRPr="00474A1F">
        <w:rPr>
          <w:rFonts w:ascii="Times New Roman" w:hAnsi="Times New Roman" w:cs="Times New Roman"/>
          <w:i/>
          <w:sz w:val="24"/>
          <w:szCs w:val="24"/>
        </w:rPr>
        <w:t>entros de investigación</w:t>
      </w:r>
      <w:r w:rsidRPr="00474A1F">
        <w:rPr>
          <w:rFonts w:ascii="Times New Roman" w:hAnsi="Times New Roman" w:cs="Times New Roman"/>
          <w:sz w:val="24"/>
          <w:szCs w:val="24"/>
        </w:rPr>
        <w:t xml:space="preserve">, </w:t>
      </w:r>
      <w:r w:rsidR="00CD2FA4" w:rsidRPr="00474A1F">
        <w:rPr>
          <w:rFonts w:ascii="Times New Roman" w:hAnsi="Times New Roman" w:cs="Times New Roman"/>
          <w:i/>
          <w:sz w:val="24"/>
          <w:szCs w:val="24"/>
        </w:rPr>
        <w:t>p</w:t>
      </w:r>
      <w:r w:rsidRPr="00474A1F">
        <w:rPr>
          <w:rFonts w:ascii="Times New Roman" w:hAnsi="Times New Roman" w:cs="Times New Roman"/>
          <w:i/>
          <w:sz w:val="24"/>
          <w:szCs w:val="24"/>
        </w:rPr>
        <w:t>osgrados de calidad</w:t>
      </w:r>
      <w:r w:rsidRPr="00474A1F">
        <w:rPr>
          <w:rFonts w:ascii="Times New Roman" w:hAnsi="Times New Roman" w:cs="Times New Roman"/>
          <w:sz w:val="24"/>
          <w:szCs w:val="24"/>
        </w:rPr>
        <w:t xml:space="preserve"> y </w:t>
      </w:r>
      <w:r w:rsidR="00CD2FA4" w:rsidRPr="00474A1F">
        <w:rPr>
          <w:rFonts w:ascii="Times New Roman" w:hAnsi="Times New Roman" w:cs="Times New Roman"/>
          <w:i/>
          <w:sz w:val="24"/>
          <w:szCs w:val="24"/>
        </w:rPr>
        <w:t>g</w:t>
      </w:r>
      <w:r w:rsidRPr="00474A1F">
        <w:rPr>
          <w:rFonts w:ascii="Times New Roman" w:hAnsi="Times New Roman" w:cs="Times New Roman"/>
          <w:i/>
          <w:sz w:val="24"/>
          <w:szCs w:val="24"/>
        </w:rPr>
        <w:t>randes empresas</w:t>
      </w:r>
      <w:r w:rsidRPr="00474A1F">
        <w:rPr>
          <w:rFonts w:ascii="Times New Roman" w:hAnsi="Times New Roman" w:cs="Times New Roman"/>
          <w:sz w:val="24"/>
          <w:szCs w:val="24"/>
        </w:rPr>
        <w:t xml:space="preserve">. </w:t>
      </w:r>
      <w:r w:rsidR="003142DC" w:rsidRPr="00474A1F">
        <w:rPr>
          <w:rFonts w:ascii="Times New Roman" w:hAnsi="Times New Roman" w:cs="Times New Roman"/>
          <w:sz w:val="24"/>
          <w:szCs w:val="24"/>
        </w:rPr>
        <w:t>En cambio</w:t>
      </w:r>
      <w:r w:rsidR="00E40A8E" w:rsidRPr="00474A1F">
        <w:rPr>
          <w:rFonts w:ascii="Times New Roman" w:hAnsi="Times New Roman" w:cs="Times New Roman"/>
          <w:sz w:val="24"/>
          <w:szCs w:val="24"/>
        </w:rPr>
        <w:t xml:space="preserve">, </w:t>
      </w:r>
      <w:r w:rsidR="003142DC" w:rsidRPr="00474A1F">
        <w:rPr>
          <w:rFonts w:ascii="Times New Roman" w:hAnsi="Times New Roman" w:cs="Times New Roman"/>
          <w:i/>
          <w:sz w:val="24"/>
          <w:szCs w:val="24"/>
        </w:rPr>
        <w:t>empresas</w:t>
      </w:r>
      <w:r w:rsidR="003142DC" w:rsidRPr="00474A1F">
        <w:rPr>
          <w:rFonts w:ascii="Times New Roman" w:hAnsi="Times New Roman" w:cs="Times New Roman"/>
          <w:sz w:val="24"/>
          <w:szCs w:val="24"/>
        </w:rPr>
        <w:t xml:space="preserve"> fue </w:t>
      </w:r>
      <w:r w:rsidR="00E40A8E" w:rsidRPr="00474A1F">
        <w:rPr>
          <w:rFonts w:ascii="Times New Roman" w:hAnsi="Times New Roman" w:cs="Times New Roman"/>
          <w:sz w:val="24"/>
          <w:szCs w:val="24"/>
        </w:rPr>
        <w:t xml:space="preserve">la variable significativa con orientación negativa. La variable </w:t>
      </w:r>
      <w:r w:rsidR="00E40A8E" w:rsidRPr="00474A1F">
        <w:rPr>
          <w:rFonts w:ascii="Times New Roman" w:hAnsi="Times New Roman" w:cs="Times New Roman"/>
          <w:i/>
          <w:sz w:val="24"/>
          <w:szCs w:val="24"/>
        </w:rPr>
        <w:t>investigadores</w:t>
      </w:r>
      <w:r w:rsidR="00E40A8E" w:rsidRPr="00474A1F">
        <w:rPr>
          <w:rFonts w:ascii="Times New Roman" w:hAnsi="Times New Roman" w:cs="Times New Roman"/>
          <w:sz w:val="24"/>
          <w:szCs w:val="24"/>
        </w:rPr>
        <w:t xml:space="preserve"> no tuvo relación significativa con la</w:t>
      </w:r>
      <w:r w:rsidR="00A06681" w:rsidRPr="00474A1F">
        <w:rPr>
          <w:rFonts w:ascii="Times New Roman" w:hAnsi="Times New Roman" w:cs="Times New Roman"/>
          <w:sz w:val="24"/>
          <w:szCs w:val="24"/>
        </w:rPr>
        <w:t xml:space="preserve"> variable dependiente. </w:t>
      </w:r>
      <w:r w:rsidR="0053179A" w:rsidRPr="00474A1F">
        <w:rPr>
          <w:rFonts w:ascii="Times New Roman" w:hAnsi="Times New Roman" w:cs="Times New Roman"/>
          <w:sz w:val="24"/>
          <w:szCs w:val="24"/>
        </w:rPr>
        <w:t xml:space="preserve">En la </w:t>
      </w:r>
      <w:r w:rsidR="00A928BF" w:rsidRPr="00474A1F">
        <w:rPr>
          <w:rFonts w:ascii="Times New Roman" w:hAnsi="Times New Roman" w:cs="Times New Roman"/>
          <w:sz w:val="24"/>
          <w:szCs w:val="24"/>
        </w:rPr>
        <w:t>figura 2</w:t>
      </w:r>
      <w:r w:rsidR="0053179A" w:rsidRPr="00474A1F">
        <w:rPr>
          <w:rFonts w:ascii="Times New Roman" w:hAnsi="Times New Roman" w:cs="Times New Roman"/>
          <w:sz w:val="24"/>
          <w:szCs w:val="24"/>
        </w:rPr>
        <w:t xml:space="preserve"> se </w:t>
      </w:r>
      <w:r w:rsidR="00CD2FA4" w:rsidRPr="00474A1F">
        <w:rPr>
          <w:rFonts w:ascii="Times New Roman" w:hAnsi="Times New Roman" w:cs="Times New Roman"/>
          <w:sz w:val="24"/>
          <w:szCs w:val="24"/>
        </w:rPr>
        <w:t xml:space="preserve">aprecian </w:t>
      </w:r>
      <w:r w:rsidR="003142DC" w:rsidRPr="00474A1F">
        <w:rPr>
          <w:rFonts w:ascii="Times New Roman" w:hAnsi="Times New Roman" w:cs="Times New Roman"/>
          <w:sz w:val="24"/>
          <w:szCs w:val="24"/>
        </w:rPr>
        <w:t xml:space="preserve">estas relaciones </w:t>
      </w:r>
      <w:r w:rsidR="0053179A" w:rsidRPr="00474A1F">
        <w:rPr>
          <w:rFonts w:ascii="Times New Roman" w:hAnsi="Times New Roman" w:cs="Times New Roman"/>
          <w:sz w:val="24"/>
          <w:szCs w:val="24"/>
        </w:rPr>
        <w:t xml:space="preserve">de manera más clara. </w:t>
      </w:r>
    </w:p>
    <w:p w14:paraId="46A89991" w14:textId="77777777" w:rsidR="002D01BD" w:rsidRDefault="002D01BD" w:rsidP="008243D3">
      <w:pPr>
        <w:spacing w:after="0" w:line="360" w:lineRule="auto"/>
        <w:ind w:firstLine="708"/>
        <w:jc w:val="both"/>
        <w:rPr>
          <w:rFonts w:ascii="Times New Roman" w:hAnsi="Times New Roman" w:cs="Times New Roman"/>
          <w:sz w:val="24"/>
          <w:szCs w:val="24"/>
        </w:rPr>
      </w:pPr>
    </w:p>
    <w:p w14:paraId="301DCF30" w14:textId="77777777" w:rsidR="00D93FE6" w:rsidRDefault="00D93FE6" w:rsidP="008243D3">
      <w:pPr>
        <w:spacing w:after="0" w:line="360" w:lineRule="auto"/>
        <w:ind w:firstLine="708"/>
        <w:jc w:val="both"/>
        <w:rPr>
          <w:rFonts w:ascii="Times New Roman" w:hAnsi="Times New Roman" w:cs="Times New Roman"/>
          <w:sz w:val="24"/>
          <w:szCs w:val="24"/>
        </w:rPr>
      </w:pPr>
    </w:p>
    <w:p w14:paraId="02A240FA" w14:textId="77777777" w:rsidR="00D93FE6" w:rsidRDefault="00D93FE6" w:rsidP="008243D3">
      <w:pPr>
        <w:spacing w:after="0" w:line="360" w:lineRule="auto"/>
        <w:ind w:firstLine="708"/>
        <w:jc w:val="both"/>
        <w:rPr>
          <w:rFonts w:ascii="Times New Roman" w:hAnsi="Times New Roman" w:cs="Times New Roman"/>
          <w:sz w:val="24"/>
          <w:szCs w:val="24"/>
        </w:rPr>
      </w:pPr>
    </w:p>
    <w:p w14:paraId="25A376D0" w14:textId="77777777" w:rsidR="00D93FE6" w:rsidRDefault="00D93FE6" w:rsidP="008243D3">
      <w:pPr>
        <w:spacing w:after="0" w:line="360" w:lineRule="auto"/>
        <w:ind w:firstLine="708"/>
        <w:jc w:val="both"/>
        <w:rPr>
          <w:rFonts w:ascii="Times New Roman" w:hAnsi="Times New Roman" w:cs="Times New Roman"/>
          <w:sz w:val="24"/>
          <w:szCs w:val="24"/>
        </w:rPr>
      </w:pPr>
    </w:p>
    <w:p w14:paraId="0B11C1B1" w14:textId="77777777" w:rsidR="00D93FE6" w:rsidRDefault="00D93FE6" w:rsidP="008243D3">
      <w:pPr>
        <w:spacing w:after="0" w:line="360" w:lineRule="auto"/>
        <w:ind w:firstLine="708"/>
        <w:jc w:val="both"/>
        <w:rPr>
          <w:rFonts w:ascii="Times New Roman" w:hAnsi="Times New Roman" w:cs="Times New Roman"/>
          <w:sz w:val="24"/>
          <w:szCs w:val="24"/>
        </w:rPr>
      </w:pPr>
    </w:p>
    <w:p w14:paraId="4340494A" w14:textId="77777777" w:rsidR="00D93FE6" w:rsidRDefault="00D93FE6" w:rsidP="008243D3">
      <w:pPr>
        <w:spacing w:after="0" w:line="360" w:lineRule="auto"/>
        <w:ind w:firstLine="708"/>
        <w:jc w:val="both"/>
        <w:rPr>
          <w:rFonts w:ascii="Times New Roman" w:hAnsi="Times New Roman" w:cs="Times New Roman"/>
          <w:sz w:val="24"/>
          <w:szCs w:val="24"/>
        </w:rPr>
      </w:pPr>
    </w:p>
    <w:p w14:paraId="1448793F" w14:textId="77777777" w:rsidR="00D93FE6" w:rsidRDefault="00D93FE6" w:rsidP="008243D3">
      <w:pPr>
        <w:spacing w:after="0" w:line="360" w:lineRule="auto"/>
        <w:ind w:firstLine="708"/>
        <w:jc w:val="both"/>
        <w:rPr>
          <w:rFonts w:ascii="Times New Roman" w:hAnsi="Times New Roman" w:cs="Times New Roman"/>
          <w:sz w:val="24"/>
          <w:szCs w:val="24"/>
        </w:rPr>
      </w:pPr>
    </w:p>
    <w:p w14:paraId="3B6025CD" w14:textId="77777777" w:rsidR="00D93FE6" w:rsidRDefault="00D93FE6" w:rsidP="008243D3">
      <w:pPr>
        <w:spacing w:after="0" w:line="360" w:lineRule="auto"/>
        <w:ind w:firstLine="708"/>
        <w:jc w:val="both"/>
        <w:rPr>
          <w:rFonts w:ascii="Times New Roman" w:hAnsi="Times New Roman" w:cs="Times New Roman"/>
          <w:sz w:val="24"/>
          <w:szCs w:val="24"/>
        </w:rPr>
      </w:pPr>
    </w:p>
    <w:p w14:paraId="729700FC" w14:textId="77777777" w:rsidR="00D93FE6" w:rsidRDefault="00D93FE6" w:rsidP="008243D3">
      <w:pPr>
        <w:spacing w:after="0" w:line="360" w:lineRule="auto"/>
        <w:ind w:firstLine="708"/>
        <w:jc w:val="both"/>
        <w:rPr>
          <w:rFonts w:ascii="Times New Roman" w:hAnsi="Times New Roman" w:cs="Times New Roman"/>
          <w:sz w:val="24"/>
          <w:szCs w:val="24"/>
        </w:rPr>
      </w:pPr>
    </w:p>
    <w:p w14:paraId="260DC9BF" w14:textId="77777777" w:rsidR="00D93FE6" w:rsidRPr="00474A1F" w:rsidRDefault="00D93FE6" w:rsidP="008243D3">
      <w:pPr>
        <w:spacing w:after="0" w:line="360" w:lineRule="auto"/>
        <w:ind w:firstLine="708"/>
        <w:jc w:val="both"/>
        <w:rPr>
          <w:rFonts w:ascii="Times New Roman" w:hAnsi="Times New Roman" w:cs="Times New Roman"/>
          <w:sz w:val="24"/>
          <w:szCs w:val="24"/>
        </w:rPr>
      </w:pPr>
    </w:p>
    <w:p w14:paraId="4596239D" w14:textId="0A7DAEDD" w:rsidR="00F861E4" w:rsidRPr="00D93FE6" w:rsidRDefault="00A928BF" w:rsidP="00F861E4">
      <w:pPr>
        <w:spacing w:after="0" w:line="360" w:lineRule="auto"/>
        <w:jc w:val="center"/>
        <w:rPr>
          <w:rFonts w:ascii="Times New Roman" w:hAnsi="Times New Roman" w:cs="Times New Roman"/>
          <w:sz w:val="24"/>
          <w:szCs w:val="24"/>
        </w:rPr>
      </w:pPr>
      <w:r w:rsidRPr="00D93FE6">
        <w:rPr>
          <w:rFonts w:ascii="Times New Roman" w:hAnsi="Times New Roman" w:cs="Times New Roman"/>
          <w:b/>
          <w:sz w:val="24"/>
          <w:szCs w:val="24"/>
        </w:rPr>
        <w:lastRenderedPageBreak/>
        <w:t>Figura 2</w:t>
      </w:r>
      <w:r w:rsidR="00F861E4" w:rsidRPr="00D93FE6">
        <w:rPr>
          <w:rFonts w:ascii="Times New Roman" w:hAnsi="Times New Roman" w:cs="Times New Roman"/>
          <w:b/>
          <w:sz w:val="24"/>
          <w:szCs w:val="24"/>
        </w:rPr>
        <w:t>.</w:t>
      </w:r>
      <w:r w:rsidR="00F861E4" w:rsidRPr="00D93FE6">
        <w:rPr>
          <w:rFonts w:ascii="Times New Roman" w:hAnsi="Times New Roman" w:cs="Times New Roman"/>
          <w:sz w:val="24"/>
          <w:szCs w:val="24"/>
        </w:rPr>
        <w:t xml:space="preserve"> Gráfica de tendencias</w:t>
      </w:r>
    </w:p>
    <w:p w14:paraId="79896E05" w14:textId="20EAFDCA" w:rsidR="00922DE5" w:rsidRPr="00474A1F" w:rsidRDefault="00922DE5" w:rsidP="00922DE5">
      <w:pPr>
        <w:autoSpaceDE w:val="0"/>
        <w:autoSpaceDN w:val="0"/>
        <w:adjustRightInd w:val="0"/>
        <w:spacing w:after="0" w:line="360" w:lineRule="auto"/>
        <w:jc w:val="center"/>
        <w:rPr>
          <w:rFonts w:ascii="Times New Roman" w:hAnsi="Times New Roman" w:cs="Times New Roman"/>
          <w:color w:val="1D1D1B"/>
          <w:sz w:val="20"/>
          <w:szCs w:val="20"/>
        </w:rPr>
      </w:pPr>
      <w:r w:rsidRPr="00474A1F">
        <w:rPr>
          <w:rFonts w:ascii="Times New Roman" w:hAnsi="Times New Roman" w:cs="Times New Roman"/>
          <w:noProof/>
          <w:lang w:eastAsia="es-MX"/>
        </w:rPr>
        <w:drawing>
          <wp:inline distT="0" distB="0" distL="0" distR="0" wp14:anchorId="3418D2A1" wp14:editId="750A2730">
            <wp:extent cx="3686803" cy="193590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6457" cy="2072250"/>
                    </a:xfrm>
                    <a:prstGeom prst="rect">
                      <a:avLst/>
                    </a:prstGeom>
                    <a:noFill/>
                    <a:ln>
                      <a:noFill/>
                    </a:ln>
                  </pic:spPr>
                </pic:pic>
              </a:graphicData>
            </a:graphic>
          </wp:inline>
        </w:drawing>
      </w:r>
    </w:p>
    <w:p w14:paraId="4A054942" w14:textId="2267A3A5" w:rsidR="00B70FA7" w:rsidRPr="00D93FE6" w:rsidRDefault="00B70FA7" w:rsidP="00D93FE6">
      <w:pPr>
        <w:autoSpaceDE w:val="0"/>
        <w:autoSpaceDN w:val="0"/>
        <w:adjustRightInd w:val="0"/>
        <w:spacing w:after="0" w:line="360" w:lineRule="auto"/>
        <w:jc w:val="center"/>
        <w:rPr>
          <w:rFonts w:ascii="Times New Roman" w:hAnsi="Times New Roman" w:cs="Times New Roman"/>
          <w:sz w:val="24"/>
          <w:szCs w:val="24"/>
        </w:rPr>
      </w:pPr>
      <w:r w:rsidRPr="00D93FE6">
        <w:rPr>
          <w:rFonts w:ascii="Times New Roman" w:hAnsi="Times New Roman" w:cs="Times New Roman"/>
          <w:color w:val="1D1D1B"/>
          <w:sz w:val="24"/>
          <w:szCs w:val="24"/>
        </w:rPr>
        <w:t>* Significativa 1</w:t>
      </w:r>
      <w:r w:rsidR="00A928BF" w:rsidRPr="00D93FE6">
        <w:rPr>
          <w:rFonts w:ascii="Times New Roman" w:hAnsi="Times New Roman" w:cs="Times New Roman"/>
          <w:color w:val="1D1D1B"/>
          <w:sz w:val="24"/>
          <w:szCs w:val="24"/>
        </w:rPr>
        <w:t>8 </w:t>
      </w:r>
      <w:r w:rsidRPr="00D93FE6">
        <w:rPr>
          <w:rFonts w:ascii="Times New Roman" w:hAnsi="Times New Roman" w:cs="Times New Roman"/>
          <w:color w:val="1D1D1B"/>
          <w:sz w:val="24"/>
          <w:szCs w:val="24"/>
        </w:rPr>
        <w:t>%. ** Significativa 5</w:t>
      </w:r>
      <w:r w:rsidR="00A928BF" w:rsidRPr="00D93FE6">
        <w:rPr>
          <w:rFonts w:ascii="Times New Roman" w:hAnsi="Times New Roman" w:cs="Times New Roman"/>
          <w:color w:val="1D1D1B"/>
          <w:sz w:val="24"/>
          <w:szCs w:val="24"/>
        </w:rPr>
        <w:t> </w:t>
      </w:r>
      <w:r w:rsidRPr="00D93FE6">
        <w:rPr>
          <w:rFonts w:ascii="Times New Roman" w:hAnsi="Times New Roman" w:cs="Times New Roman"/>
          <w:color w:val="1D1D1B"/>
          <w:sz w:val="24"/>
          <w:szCs w:val="24"/>
        </w:rPr>
        <w:t>%. *** Significativa 10</w:t>
      </w:r>
      <w:r w:rsidR="00A928BF" w:rsidRPr="00D93FE6">
        <w:rPr>
          <w:rFonts w:ascii="Times New Roman" w:hAnsi="Times New Roman" w:cs="Times New Roman"/>
          <w:color w:val="1D1D1B"/>
          <w:sz w:val="24"/>
          <w:szCs w:val="24"/>
        </w:rPr>
        <w:t> </w:t>
      </w:r>
      <w:r w:rsidRPr="00D93FE6">
        <w:rPr>
          <w:rFonts w:ascii="Times New Roman" w:hAnsi="Times New Roman" w:cs="Times New Roman"/>
          <w:color w:val="1D1D1B"/>
          <w:sz w:val="24"/>
          <w:szCs w:val="24"/>
        </w:rPr>
        <w:t>%.</w:t>
      </w:r>
    </w:p>
    <w:p w14:paraId="779F840D" w14:textId="4CB48C94" w:rsidR="00F861E4" w:rsidRPr="00D93FE6" w:rsidRDefault="0025571D" w:rsidP="00D93FE6">
      <w:pPr>
        <w:spacing w:after="0" w:line="360" w:lineRule="auto"/>
        <w:jc w:val="center"/>
        <w:rPr>
          <w:rFonts w:ascii="Times New Roman" w:hAnsi="Times New Roman" w:cs="Times New Roman"/>
          <w:sz w:val="24"/>
          <w:szCs w:val="24"/>
        </w:rPr>
      </w:pPr>
      <w:r w:rsidRPr="00D93FE6">
        <w:rPr>
          <w:rFonts w:ascii="Times New Roman" w:hAnsi="Times New Roman" w:cs="Times New Roman"/>
          <w:sz w:val="24"/>
          <w:szCs w:val="24"/>
        </w:rPr>
        <w:t xml:space="preserve">Fuente: </w:t>
      </w:r>
      <w:r w:rsidR="00A928BF" w:rsidRPr="00D93FE6">
        <w:rPr>
          <w:rFonts w:ascii="Times New Roman" w:hAnsi="Times New Roman" w:cs="Times New Roman"/>
          <w:sz w:val="24"/>
          <w:szCs w:val="24"/>
        </w:rPr>
        <w:t>E</w:t>
      </w:r>
      <w:r w:rsidRPr="00D93FE6">
        <w:rPr>
          <w:rFonts w:ascii="Times New Roman" w:hAnsi="Times New Roman" w:cs="Times New Roman"/>
          <w:sz w:val="24"/>
          <w:szCs w:val="24"/>
        </w:rPr>
        <w:t xml:space="preserve">laboración propia </w:t>
      </w:r>
    </w:p>
    <w:p w14:paraId="12710A3D" w14:textId="20CC4365" w:rsidR="00A06681" w:rsidRPr="00474A1F" w:rsidRDefault="00A928BF" w:rsidP="008243D3">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En relación con</w:t>
      </w:r>
      <w:r w:rsidR="00A06681" w:rsidRPr="00474A1F">
        <w:rPr>
          <w:rFonts w:ascii="Times New Roman" w:hAnsi="Times New Roman" w:cs="Times New Roman"/>
          <w:sz w:val="24"/>
          <w:szCs w:val="24"/>
        </w:rPr>
        <w:t xml:space="preserve"> </w:t>
      </w:r>
      <w:r w:rsidR="006F380A" w:rsidRPr="00474A1F">
        <w:rPr>
          <w:rFonts w:ascii="Times New Roman" w:hAnsi="Times New Roman" w:cs="Times New Roman"/>
          <w:sz w:val="24"/>
          <w:szCs w:val="24"/>
        </w:rPr>
        <w:t xml:space="preserve">la </w:t>
      </w:r>
      <w:r w:rsidR="000C0702" w:rsidRPr="00474A1F">
        <w:rPr>
          <w:rFonts w:ascii="Times New Roman" w:hAnsi="Times New Roman" w:cs="Times New Roman"/>
          <w:sz w:val="24"/>
          <w:szCs w:val="24"/>
        </w:rPr>
        <w:t>orientación de</w:t>
      </w:r>
      <w:r w:rsidR="00200122" w:rsidRPr="00474A1F">
        <w:rPr>
          <w:rFonts w:ascii="Times New Roman" w:hAnsi="Times New Roman" w:cs="Times New Roman"/>
          <w:sz w:val="24"/>
          <w:szCs w:val="24"/>
        </w:rPr>
        <w:t xml:space="preserve">l signo negativo, </w:t>
      </w:r>
      <w:r w:rsidR="00A06681" w:rsidRPr="00474A1F">
        <w:rPr>
          <w:rFonts w:ascii="Times New Roman" w:hAnsi="Times New Roman" w:cs="Times New Roman"/>
          <w:sz w:val="24"/>
          <w:szCs w:val="24"/>
        </w:rPr>
        <w:t xml:space="preserve">se puede argumentar que </w:t>
      </w:r>
      <w:r w:rsidR="00200122" w:rsidRPr="00474A1F">
        <w:rPr>
          <w:rFonts w:ascii="Times New Roman" w:hAnsi="Times New Roman" w:cs="Times New Roman"/>
          <w:sz w:val="24"/>
          <w:szCs w:val="24"/>
        </w:rPr>
        <w:t>se explica una relación inversa, es decir</w:t>
      </w:r>
      <w:r w:rsidRPr="00474A1F">
        <w:rPr>
          <w:rFonts w:ascii="Times New Roman" w:hAnsi="Times New Roman" w:cs="Times New Roman"/>
          <w:sz w:val="24"/>
          <w:szCs w:val="24"/>
        </w:rPr>
        <w:t>,</w:t>
      </w:r>
      <w:r w:rsidR="00200122" w:rsidRPr="00474A1F">
        <w:rPr>
          <w:rFonts w:ascii="Times New Roman" w:hAnsi="Times New Roman" w:cs="Times New Roman"/>
          <w:sz w:val="24"/>
          <w:szCs w:val="24"/>
        </w:rPr>
        <w:t xml:space="preserve"> a menor presencia de la variable </w:t>
      </w:r>
      <w:r w:rsidR="00200122" w:rsidRPr="00474A1F">
        <w:rPr>
          <w:rFonts w:ascii="Times New Roman" w:hAnsi="Times New Roman" w:cs="Times New Roman"/>
          <w:i/>
          <w:sz w:val="24"/>
          <w:szCs w:val="24"/>
        </w:rPr>
        <w:t>empresa</w:t>
      </w:r>
      <w:r w:rsidR="00200122" w:rsidRPr="00474A1F">
        <w:rPr>
          <w:rFonts w:ascii="Times New Roman" w:hAnsi="Times New Roman" w:cs="Times New Roman"/>
          <w:sz w:val="24"/>
          <w:szCs w:val="24"/>
        </w:rPr>
        <w:t xml:space="preserve"> mayor posibilidad de innovación. Estos resultados se refuerzan con los postulados de </w:t>
      </w:r>
      <w:r w:rsidR="00200122" w:rsidRPr="00474A1F">
        <w:rPr>
          <w:rFonts w:ascii="Times New Roman" w:hAnsi="Times New Roman" w:cs="Times New Roman"/>
          <w:noProof/>
          <w:sz w:val="24"/>
          <w:szCs w:val="24"/>
        </w:rPr>
        <w:t>Olazaran, Albizu, Lavia y Otero</w:t>
      </w:r>
      <w:r w:rsidR="00200122" w:rsidRPr="00474A1F">
        <w:rPr>
          <w:rFonts w:ascii="Times New Roman" w:hAnsi="Times New Roman" w:cs="Times New Roman"/>
          <w:sz w:val="24"/>
          <w:szCs w:val="24"/>
        </w:rPr>
        <w:t xml:space="preserve"> </w:t>
      </w:r>
      <w:r w:rsidR="000F5DE4" w:rsidRPr="00474A1F">
        <w:rPr>
          <w:rFonts w:ascii="Times New Roman" w:hAnsi="Times New Roman" w:cs="Times New Roman"/>
          <w:noProof/>
          <w:sz w:val="24"/>
          <w:szCs w:val="24"/>
        </w:rPr>
        <w:t>(2013)</w:t>
      </w:r>
      <w:r w:rsidR="00200122" w:rsidRPr="00474A1F">
        <w:rPr>
          <w:rFonts w:ascii="Times New Roman" w:hAnsi="Times New Roman" w:cs="Times New Roman"/>
          <w:sz w:val="24"/>
          <w:szCs w:val="24"/>
        </w:rPr>
        <w:t xml:space="preserve">, quienes estudiaron la innovación en las </w:t>
      </w:r>
      <w:r w:rsidR="000F5DE4" w:rsidRPr="00474A1F">
        <w:rPr>
          <w:rFonts w:ascii="Times New Roman" w:hAnsi="Times New Roman" w:cs="Times New Roman"/>
          <w:sz w:val="24"/>
          <w:szCs w:val="24"/>
        </w:rPr>
        <w:t>p</w:t>
      </w:r>
      <w:r w:rsidR="00200122" w:rsidRPr="00474A1F">
        <w:rPr>
          <w:rFonts w:ascii="Times New Roman" w:hAnsi="Times New Roman" w:cs="Times New Roman"/>
          <w:sz w:val="24"/>
          <w:szCs w:val="24"/>
        </w:rPr>
        <w:t xml:space="preserve">equeñas y </w:t>
      </w:r>
      <w:r w:rsidR="000F5DE4" w:rsidRPr="00474A1F">
        <w:rPr>
          <w:rFonts w:ascii="Times New Roman" w:hAnsi="Times New Roman" w:cs="Times New Roman"/>
          <w:sz w:val="24"/>
          <w:szCs w:val="24"/>
        </w:rPr>
        <w:t>m</w:t>
      </w:r>
      <w:r w:rsidR="00200122" w:rsidRPr="00474A1F">
        <w:rPr>
          <w:rFonts w:ascii="Times New Roman" w:hAnsi="Times New Roman" w:cs="Times New Roman"/>
          <w:sz w:val="24"/>
          <w:szCs w:val="24"/>
        </w:rPr>
        <w:t xml:space="preserve">edianas </w:t>
      </w:r>
      <w:r w:rsidR="000F5DE4" w:rsidRPr="00474A1F">
        <w:rPr>
          <w:rFonts w:ascii="Times New Roman" w:hAnsi="Times New Roman" w:cs="Times New Roman"/>
          <w:sz w:val="24"/>
          <w:szCs w:val="24"/>
        </w:rPr>
        <w:t>e</w:t>
      </w:r>
      <w:r w:rsidR="00200122" w:rsidRPr="00474A1F">
        <w:rPr>
          <w:rFonts w:ascii="Times New Roman" w:hAnsi="Times New Roman" w:cs="Times New Roman"/>
          <w:sz w:val="24"/>
          <w:szCs w:val="24"/>
        </w:rPr>
        <w:t>mpresas (</w:t>
      </w:r>
      <w:r w:rsidRPr="00474A1F">
        <w:rPr>
          <w:rFonts w:ascii="Times New Roman" w:hAnsi="Times New Roman" w:cs="Times New Roman"/>
          <w:sz w:val="24"/>
          <w:szCs w:val="24"/>
        </w:rPr>
        <w:t>pymes</w:t>
      </w:r>
      <w:r w:rsidR="00200122" w:rsidRPr="00474A1F">
        <w:rPr>
          <w:rFonts w:ascii="Times New Roman" w:hAnsi="Times New Roman" w:cs="Times New Roman"/>
          <w:sz w:val="24"/>
          <w:szCs w:val="24"/>
        </w:rPr>
        <w:t>) de la comunidad de Navarra, España</w:t>
      </w:r>
      <w:r w:rsidRPr="00474A1F">
        <w:rPr>
          <w:rFonts w:ascii="Times New Roman" w:hAnsi="Times New Roman" w:cs="Times New Roman"/>
          <w:sz w:val="24"/>
          <w:szCs w:val="24"/>
        </w:rPr>
        <w:t>. En ese estudio encontraron</w:t>
      </w:r>
      <w:r w:rsidR="00200122" w:rsidRPr="00474A1F">
        <w:rPr>
          <w:rFonts w:ascii="Times New Roman" w:hAnsi="Times New Roman" w:cs="Times New Roman"/>
          <w:sz w:val="24"/>
          <w:szCs w:val="24"/>
        </w:rPr>
        <w:t xml:space="preserve"> que si bien la formación y </w:t>
      </w:r>
      <w:r w:rsidRPr="00474A1F">
        <w:rPr>
          <w:rFonts w:ascii="Times New Roman" w:hAnsi="Times New Roman" w:cs="Times New Roman"/>
          <w:sz w:val="24"/>
          <w:szCs w:val="24"/>
        </w:rPr>
        <w:t xml:space="preserve">la </w:t>
      </w:r>
      <w:r w:rsidR="00200122" w:rsidRPr="00474A1F">
        <w:rPr>
          <w:rFonts w:ascii="Times New Roman" w:hAnsi="Times New Roman" w:cs="Times New Roman"/>
          <w:sz w:val="24"/>
          <w:szCs w:val="24"/>
        </w:rPr>
        <w:t xml:space="preserve">preparación del personal tienen una aportación sobresaliente, los procesos de apoyo a la innovación se encuentran </w:t>
      </w:r>
      <w:r w:rsidR="00B70E78" w:rsidRPr="00474A1F">
        <w:rPr>
          <w:rFonts w:ascii="Times New Roman" w:hAnsi="Times New Roman" w:cs="Times New Roman"/>
          <w:sz w:val="24"/>
          <w:szCs w:val="24"/>
        </w:rPr>
        <w:t xml:space="preserve">muy </w:t>
      </w:r>
      <w:r w:rsidR="00200122" w:rsidRPr="00474A1F">
        <w:rPr>
          <w:rFonts w:ascii="Times New Roman" w:hAnsi="Times New Roman" w:cs="Times New Roman"/>
          <w:sz w:val="24"/>
          <w:szCs w:val="24"/>
        </w:rPr>
        <w:t xml:space="preserve">limitados. </w:t>
      </w:r>
      <w:r w:rsidRPr="00474A1F">
        <w:rPr>
          <w:rFonts w:ascii="Times New Roman" w:hAnsi="Times New Roman" w:cs="Times New Roman"/>
          <w:sz w:val="24"/>
          <w:szCs w:val="24"/>
        </w:rPr>
        <w:t xml:space="preserve">De hecho, aunque </w:t>
      </w:r>
      <w:r w:rsidR="00B70E78" w:rsidRPr="00474A1F">
        <w:rPr>
          <w:rFonts w:ascii="Times New Roman" w:hAnsi="Times New Roman" w:cs="Times New Roman"/>
          <w:sz w:val="24"/>
          <w:szCs w:val="24"/>
        </w:rPr>
        <w:t xml:space="preserve">estas </w:t>
      </w:r>
      <w:r w:rsidR="00200122" w:rsidRPr="00474A1F">
        <w:rPr>
          <w:rFonts w:ascii="Times New Roman" w:hAnsi="Times New Roman" w:cs="Times New Roman"/>
          <w:sz w:val="24"/>
          <w:szCs w:val="24"/>
        </w:rPr>
        <w:t xml:space="preserve">empresas </w:t>
      </w:r>
      <w:r w:rsidR="00742F03" w:rsidRPr="00474A1F">
        <w:rPr>
          <w:rFonts w:ascii="Times New Roman" w:hAnsi="Times New Roman" w:cs="Times New Roman"/>
          <w:sz w:val="24"/>
          <w:szCs w:val="24"/>
        </w:rPr>
        <w:t xml:space="preserve">tienen un rol </w:t>
      </w:r>
      <w:r w:rsidR="00200122" w:rsidRPr="00474A1F">
        <w:rPr>
          <w:rFonts w:ascii="Times New Roman" w:hAnsi="Times New Roman" w:cs="Times New Roman"/>
          <w:sz w:val="24"/>
          <w:szCs w:val="24"/>
        </w:rPr>
        <w:t xml:space="preserve">incipiente </w:t>
      </w:r>
      <w:r w:rsidR="00742F03" w:rsidRPr="00474A1F">
        <w:rPr>
          <w:rFonts w:ascii="Times New Roman" w:hAnsi="Times New Roman" w:cs="Times New Roman"/>
          <w:sz w:val="24"/>
          <w:szCs w:val="24"/>
        </w:rPr>
        <w:t xml:space="preserve">en </w:t>
      </w:r>
      <w:r w:rsidR="00200122" w:rsidRPr="00474A1F">
        <w:rPr>
          <w:rFonts w:ascii="Times New Roman" w:hAnsi="Times New Roman" w:cs="Times New Roman"/>
          <w:sz w:val="24"/>
          <w:szCs w:val="24"/>
        </w:rPr>
        <w:t xml:space="preserve">los procesos de innovación, el sistema de </w:t>
      </w:r>
      <w:r w:rsidR="00742F03" w:rsidRPr="00474A1F">
        <w:rPr>
          <w:rFonts w:ascii="Times New Roman" w:hAnsi="Times New Roman" w:cs="Times New Roman"/>
          <w:sz w:val="24"/>
          <w:szCs w:val="24"/>
        </w:rPr>
        <w:t>innovación y transferencia de conocimientos</w:t>
      </w:r>
      <w:r w:rsidRPr="00474A1F">
        <w:rPr>
          <w:rFonts w:ascii="Times New Roman" w:hAnsi="Times New Roman" w:cs="Times New Roman"/>
          <w:sz w:val="24"/>
          <w:szCs w:val="24"/>
        </w:rPr>
        <w:t>,</w:t>
      </w:r>
      <w:r w:rsidR="00742F03" w:rsidRPr="00474A1F">
        <w:rPr>
          <w:rFonts w:ascii="Times New Roman" w:hAnsi="Times New Roman" w:cs="Times New Roman"/>
          <w:sz w:val="24"/>
          <w:szCs w:val="24"/>
        </w:rPr>
        <w:t xml:space="preserve"> </w:t>
      </w:r>
      <w:r w:rsidRPr="00474A1F">
        <w:rPr>
          <w:rFonts w:ascii="Times New Roman" w:hAnsi="Times New Roman" w:cs="Times New Roman"/>
          <w:sz w:val="24"/>
          <w:szCs w:val="24"/>
        </w:rPr>
        <w:t xml:space="preserve">en general, </w:t>
      </w:r>
      <w:r w:rsidR="00742F03" w:rsidRPr="00474A1F">
        <w:rPr>
          <w:rFonts w:ascii="Times New Roman" w:hAnsi="Times New Roman" w:cs="Times New Roman"/>
          <w:sz w:val="24"/>
          <w:szCs w:val="24"/>
        </w:rPr>
        <w:t xml:space="preserve">se </w:t>
      </w:r>
      <w:r w:rsidR="00200122" w:rsidRPr="00474A1F">
        <w:rPr>
          <w:rFonts w:ascii="Times New Roman" w:hAnsi="Times New Roman" w:cs="Times New Roman"/>
          <w:sz w:val="24"/>
          <w:szCs w:val="24"/>
        </w:rPr>
        <w:t xml:space="preserve">encuentra </w:t>
      </w:r>
      <w:r w:rsidR="00742F03" w:rsidRPr="00474A1F">
        <w:rPr>
          <w:rFonts w:ascii="Times New Roman" w:hAnsi="Times New Roman" w:cs="Times New Roman"/>
          <w:sz w:val="24"/>
          <w:szCs w:val="24"/>
        </w:rPr>
        <w:t xml:space="preserve">desarticulado entre </w:t>
      </w:r>
      <w:r w:rsidRPr="00474A1F">
        <w:rPr>
          <w:rFonts w:ascii="Times New Roman" w:hAnsi="Times New Roman" w:cs="Times New Roman"/>
          <w:sz w:val="24"/>
          <w:szCs w:val="24"/>
        </w:rPr>
        <w:t>e</w:t>
      </w:r>
      <w:r w:rsidR="00B70E78" w:rsidRPr="00474A1F">
        <w:rPr>
          <w:rFonts w:ascii="Times New Roman" w:hAnsi="Times New Roman" w:cs="Times New Roman"/>
          <w:sz w:val="24"/>
          <w:szCs w:val="24"/>
        </w:rPr>
        <w:t xml:space="preserve">stas y los </w:t>
      </w:r>
      <w:r w:rsidR="00742F03" w:rsidRPr="00474A1F">
        <w:rPr>
          <w:rFonts w:ascii="Times New Roman" w:hAnsi="Times New Roman" w:cs="Times New Roman"/>
          <w:sz w:val="24"/>
          <w:szCs w:val="24"/>
        </w:rPr>
        <w:t xml:space="preserve">centros de </w:t>
      </w:r>
      <w:r w:rsidR="00B70E78" w:rsidRPr="00474A1F">
        <w:rPr>
          <w:rFonts w:ascii="Times New Roman" w:hAnsi="Times New Roman" w:cs="Times New Roman"/>
          <w:sz w:val="24"/>
          <w:szCs w:val="24"/>
        </w:rPr>
        <w:t>investigación,</w:t>
      </w:r>
      <w:r w:rsidR="00742F03" w:rsidRPr="00474A1F">
        <w:rPr>
          <w:rFonts w:ascii="Times New Roman" w:hAnsi="Times New Roman" w:cs="Times New Roman"/>
          <w:sz w:val="24"/>
          <w:szCs w:val="24"/>
        </w:rPr>
        <w:t xml:space="preserve"> </w:t>
      </w:r>
      <w:r w:rsidR="00B70E78" w:rsidRPr="00474A1F">
        <w:rPr>
          <w:rFonts w:ascii="Times New Roman" w:hAnsi="Times New Roman" w:cs="Times New Roman"/>
          <w:sz w:val="24"/>
          <w:szCs w:val="24"/>
        </w:rPr>
        <w:t>así como las instituciones de educación superior</w:t>
      </w:r>
      <w:r w:rsidR="00200122" w:rsidRPr="00474A1F">
        <w:rPr>
          <w:rFonts w:ascii="Times New Roman" w:hAnsi="Times New Roman" w:cs="Times New Roman"/>
          <w:sz w:val="24"/>
          <w:szCs w:val="24"/>
        </w:rPr>
        <w:t xml:space="preserve">. </w:t>
      </w:r>
      <w:r w:rsidR="0000119F" w:rsidRPr="00474A1F">
        <w:rPr>
          <w:rFonts w:ascii="Times New Roman" w:hAnsi="Times New Roman" w:cs="Times New Roman"/>
          <w:sz w:val="24"/>
          <w:szCs w:val="24"/>
        </w:rPr>
        <w:t xml:space="preserve">Estas últimas afirmaciones de </w:t>
      </w:r>
      <w:r w:rsidR="00B70E78" w:rsidRPr="00474A1F">
        <w:rPr>
          <w:rFonts w:ascii="Times New Roman" w:hAnsi="Times New Roman" w:cs="Times New Roman"/>
          <w:sz w:val="24"/>
          <w:szCs w:val="24"/>
        </w:rPr>
        <w:t>l</w:t>
      </w:r>
      <w:r w:rsidR="0000119F" w:rsidRPr="00474A1F">
        <w:rPr>
          <w:rFonts w:ascii="Times New Roman" w:hAnsi="Times New Roman" w:cs="Times New Roman"/>
          <w:sz w:val="24"/>
          <w:szCs w:val="24"/>
        </w:rPr>
        <w:t xml:space="preserve">a </w:t>
      </w:r>
      <w:r w:rsidR="004A65EF" w:rsidRPr="00474A1F">
        <w:rPr>
          <w:rFonts w:ascii="Times New Roman" w:hAnsi="Times New Roman" w:cs="Times New Roman"/>
          <w:sz w:val="24"/>
          <w:szCs w:val="24"/>
        </w:rPr>
        <w:t xml:space="preserve">desvinculación </w:t>
      </w:r>
      <w:r w:rsidR="0000119F" w:rsidRPr="00474A1F">
        <w:rPr>
          <w:rFonts w:ascii="Times New Roman" w:hAnsi="Times New Roman" w:cs="Times New Roman"/>
          <w:sz w:val="24"/>
          <w:szCs w:val="24"/>
        </w:rPr>
        <w:t xml:space="preserve">confirman también los datos arrojados en </w:t>
      </w:r>
      <w:r w:rsidRPr="00474A1F">
        <w:rPr>
          <w:rFonts w:ascii="Times New Roman" w:hAnsi="Times New Roman" w:cs="Times New Roman"/>
          <w:sz w:val="24"/>
          <w:szCs w:val="24"/>
        </w:rPr>
        <w:t>la presente</w:t>
      </w:r>
      <w:r w:rsidR="0000119F" w:rsidRPr="00474A1F">
        <w:rPr>
          <w:rFonts w:ascii="Times New Roman" w:hAnsi="Times New Roman" w:cs="Times New Roman"/>
          <w:sz w:val="24"/>
          <w:szCs w:val="24"/>
        </w:rPr>
        <w:t xml:space="preserve"> investigación, </w:t>
      </w:r>
      <w:r w:rsidRPr="00474A1F">
        <w:rPr>
          <w:rFonts w:ascii="Times New Roman" w:hAnsi="Times New Roman" w:cs="Times New Roman"/>
          <w:sz w:val="24"/>
          <w:szCs w:val="24"/>
        </w:rPr>
        <w:t>pues se observó</w:t>
      </w:r>
      <w:r w:rsidR="0000119F" w:rsidRPr="00474A1F">
        <w:rPr>
          <w:rFonts w:ascii="Times New Roman" w:hAnsi="Times New Roman" w:cs="Times New Roman"/>
          <w:sz w:val="24"/>
          <w:szCs w:val="24"/>
        </w:rPr>
        <w:t xml:space="preserve"> que no resultaron significativas </w:t>
      </w:r>
      <w:r w:rsidR="004A65EF" w:rsidRPr="00474A1F">
        <w:rPr>
          <w:rFonts w:ascii="Times New Roman" w:hAnsi="Times New Roman" w:cs="Times New Roman"/>
          <w:sz w:val="24"/>
          <w:szCs w:val="24"/>
        </w:rPr>
        <w:t xml:space="preserve">las </w:t>
      </w:r>
      <w:r w:rsidR="0000119F" w:rsidRPr="00474A1F">
        <w:rPr>
          <w:rFonts w:ascii="Times New Roman" w:hAnsi="Times New Roman" w:cs="Times New Roman"/>
          <w:sz w:val="24"/>
          <w:szCs w:val="24"/>
        </w:rPr>
        <w:t xml:space="preserve">variables entre </w:t>
      </w:r>
      <w:r w:rsidR="004A65EF" w:rsidRPr="00474A1F">
        <w:rPr>
          <w:rFonts w:ascii="Times New Roman" w:hAnsi="Times New Roman" w:cs="Times New Roman"/>
          <w:i/>
          <w:sz w:val="24"/>
          <w:szCs w:val="24"/>
        </w:rPr>
        <w:t>centros de investigación</w:t>
      </w:r>
      <w:r w:rsidR="004A65EF" w:rsidRPr="00474A1F">
        <w:rPr>
          <w:rFonts w:ascii="Times New Roman" w:hAnsi="Times New Roman" w:cs="Times New Roman"/>
          <w:sz w:val="24"/>
          <w:szCs w:val="24"/>
        </w:rPr>
        <w:t xml:space="preserve">, </w:t>
      </w:r>
      <w:r w:rsidR="004A65EF" w:rsidRPr="00474A1F">
        <w:rPr>
          <w:rFonts w:ascii="Times New Roman" w:hAnsi="Times New Roman" w:cs="Times New Roman"/>
          <w:i/>
          <w:sz w:val="24"/>
          <w:szCs w:val="24"/>
        </w:rPr>
        <w:t>universidades</w:t>
      </w:r>
      <w:r w:rsidR="004A65EF" w:rsidRPr="00474A1F">
        <w:rPr>
          <w:rFonts w:ascii="Times New Roman" w:hAnsi="Times New Roman" w:cs="Times New Roman"/>
          <w:sz w:val="24"/>
          <w:szCs w:val="24"/>
        </w:rPr>
        <w:t xml:space="preserve">, </w:t>
      </w:r>
      <w:r w:rsidR="004A65EF" w:rsidRPr="00474A1F">
        <w:rPr>
          <w:rFonts w:ascii="Times New Roman" w:hAnsi="Times New Roman" w:cs="Times New Roman"/>
          <w:i/>
          <w:sz w:val="24"/>
          <w:szCs w:val="24"/>
        </w:rPr>
        <w:t>patentes</w:t>
      </w:r>
      <w:r w:rsidR="004A65EF" w:rsidRPr="00474A1F">
        <w:rPr>
          <w:rFonts w:ascii="Times New Roman" w:hAnsi="Times New Roman" w:cs="Times New Roman"/>
          <w:sz w:val="24"/>
          <w:szCs w:val="24"/>
        </w:rPr>
        <w:t xml:space="preserve"> y </w:t>
      </w:r>
      <w:r w:rsidR="004A65EF" w:rsidRPr="00474A1F">
        <w:rPr>
          <w:rFonts w:ascii="Times New Roman" w:hAnsi="Times New Roman" w:cs="Times New Roman"/>
          <w:i/>
          <w:sz w:val="24"/>
          <w:szCs w:val="24"/>
        </w:rPr>
        <w:t>empresas</w:t>
      </w:r>
      <w:r w:rsidR="0000119F" w:rsidRPr="00474A1F">
        <w:rPr>
          <w:rFonts w:ascii="Times New Roman" w:hAnsi="Times New Roman" w:cs="Times New Roman"/>
          <w:sz w:val="24"/>
          <w:szCs w:val="24"/>
        </w:rPr>
        <w:t xml:space="preserve">. </w:t>
      </w:r>
    </w:p>
    <w:p w14:paraId="7DEF5202" w14:textId="5CB36B3E" w:rsidR="00D41286" w:rsidRPr="00474A1F" w:rsidRDefault="008243D3" w:rsidP="008243D3">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 xml:space="preserve">Siguiendo con </w:t>
      </w:r>
      <w:r w:rsidR="00293D1E" w:rsidRPr="00474A1F">
        <w:rPr>
          <w:rFonts w:ascii="Times New Roman" w:hAnsi="Times New Roman" w:cs="Times New Roman"/>
          <w:sz w:val="24"/>
          <w:szCs w:val="24"/>
        </w:rPr>
        <w:t xml:space="preserve">las </w:t>
      </w:r>
      <w:r w:rsidR="00A928BF" w:rsidRPr="00474A1F">
        <w:rPr>
          <w:rFonts w:ascii="Times New Roman" w:hAnsi="Times New Roman" w:cs="Times New Roman"/>
          <w:sz w:val="24"/>
          <w:szCs w:val="24"/>
        </w:rPr>
        <w:t>pymes</w:t>
      </w:r>
      <w:r w:rsidR="00293D1E" w:rsidRPr="00474A1F">
        <w:rPr>
          <w:rFonts w:ascii="Times New Roman" w:hAnsi="Times New Roman" w:cs="Times New Roman"/>
          <w:sz w:val="24"/>
          <w:szCs w:val="24"/>
        </w:rPr>
        <w:t xml:space="preserve">, </w:t>
      </w:r>
      <w:r w:rsidR="00293D1E" w:rsidRPr="00474A1F">
        <w:rPr>
          <w:rFonts w:ascii="Times New Roman" w:hAnsi="Times New Roman" w:cs="Times New Roman"/>
          <w:noProof/>
          <w:sz w:val="24"/>
          <w:szCs w:val="24"/>
        </w:rPr>
        <w:t>Gli</w:t>
      </w:r>
      <w:r w:rsidR="00A07D19" w:rsidRPr="00474A1F">
        <w:rPr>
          <w:rFonts w:ascii="Times New Roman" w:hAnsi="Times New Roman" w:cs="Times New Roman"/>
          <w:noProof/>
          <w:sz w:val="24"/>
          <w:szCs w:val="24"/>
        </w:rPr>
        <w:t>g</w:t>
      </w:r>
      <w:r w:rsidR="00293D1E" w:rsidRPr="00474A1F">
        <w:rPr>
          <w:rFonts w:ascii="Times New Roman" w:hAnsi="Times New Roman" w:cs="Times New Roman"/>
          <w:noProof/>
          <w:sz w:val="24"/>
          <w:szCs w:val="24"/>
        </w:rPr>
        <w:t xml:space="preserve">o </w:t>
      </w:r>
      <w:r w:rsidR="000F5DE4" w:rsidRPr="00474A1F">
        <w:rPr>
          <w:rFonts w:ascii="Times New Roman" w:hAnsi="Times New Roman" w:cs="Times New Roman"/>
          <w:noProof/>
          <w:sz w:val="24"/>
          <w:szCs w:val="24"/>
        </w:rPr>
        <w:t>(2016)</w:t>
      </w:r>
      <w:r w:rsidR="00293D1E" w:rsidRPr="00474A1F">
        <w:rPr>
          <w:rFonts w:ascii="Times New Roman" w:hAnsi="Times New Roman" w:cs="Times New Roman"/>
          <w:sz w:val="24"/>
          <w:szCs w:val="24"/>
        </w:rPr>
        <w:t xml:space="preserve"> señala que estas empresas presentan graves problemas</w:t>
      </w:r>
      <w:r w:rsidR="00A928BF" w:rsidRPr="00474A1F">
        <w:rPr>
          <w:rFonts w:ascii="Times New Roman" w:hAnsi="Times New Roman" w:cs="Times New Roman"/>
          <w:sz w:val="24"/>
          <w:szCs w:val="24"/>
        </w:rPr>
        <w:t>,</w:t>
      </w:r>
      <w:r w:rsidR="00293D1E" w:rsidRPr="00474A1F">
        <w:rPr>
          <w:rFonts w:ascii="Times New Roman" w:hAnsi="Times New Roman" w:cs="Times New Roman"/>
          <w:sz w:val="24"/>
          <w:szCs w:val="24"/>
        </w:rPr>
        <w:t xml:space="preserve"> como menor productividad relativa, </w:t>
      </w:r>
      <w:r w:rsidR="00A928BF" w:rsidRPr="00474A1F">
        <w:rPr>
          <w:rFonts w:ascii="Times New Roman" w:hAnsi="Times New Roman" w:cs="Times New Roman"/>
          <w:sz w:val="24"/>
          <w:szCs w:val="24"/>
        </w:rPr>
        <w:t>bajos</w:t>
      </w:r>
      <w:r w:rsidR="00293D1E" w:rsidRPr="00474A1F">
        <w:rPr>
          <w:rFonts w:ascii="Times New Roman" w:hAnsi="Times New Roman" w:cs="Times New Roman"/>
          <w:sz w:val="24"/>
          <w:szCs w:val="24"/>
        </w:rPr>
        <w:t xml:space="preserve"> salarios, falta de personal calificado, </w:t>
      </w:r>
      <w:r w:rsidR="00A928BF" w:rsidRPr="00474A1F">
        <w:rPr>
          <w:rFonts w:ascii="Times New Roman" w:hAnsi="Times New Roman" w:cs="Times New Roman"/>
          <w:sz w:val="24"/>
          <w:szCs w:val="24"/>
        </w:rPr>
        <w:t>escaso</w:t>
      </w:r>
      <w:r w:rsidR="00293D1E" w:rsidRPr="00474A1F">
        <w:rPr>
          <w:rFonts w:ascii="Times New Roman" w:hAnsi="Times New Roman" w:cs="Times New Roman"/>
          <w:sz w:val="24"/>
          <w:szCs w:val="24"/>
        </w:rPr>
        <w:t xml:space="preserve"> nivel de exportaciones y </w:t>
      </w:r>
      <w:r w:rsidR="00A928BF" w:rsidRPr="00474A1F">
        <w:rPr>
          <w:rFonts w:ascii="Times New Roman" w:hAnsi="Times New Roman" w:cs="Times New Roman"/>
          <w:sz w:val="24"/>
          <w:szCs w:val="24"/>
        </w:rPr>
        <w:t>poco</w:t>
      </w:r>
      <w:r w:rsidR="00293D1E" w:rsidRPr="00474A1F">
        <w:rPr>
          <w:rFonts w:ascii="Times New Roman" w:hAnsi="Times New Roman" w:cs="Times New Roman"/>
          <w:sz w:val="24"/>
          <w:szCs w:val="24"/>
        </w:rPr>
        <w:t xml:space="preserve"> acceso a financiamiento</w:t>
      </w:r>
      <w:r w:rsidR="00754103" w:rsidRPr="00474A1F">
        <w:rPr>
          <w:rFonts w:ascii="Times New Roman" w:hAnsi="Times New Roman" w:cs="Times New Roman"/>
          <w:sz w:val="24"/>
          <w:szCs w:val="24"/>
        </w:rPr>
        <w:t xml:space="preserve">. Todos estos factores inherentes a este tipo de </w:t>
      </w:r>
      <w:r w:rsidR="009F2349" w:rsidRPr="00474A1F">
        <w:rPr>
          <w:rFonts w:ascii="Times New Roman" w:hAnsi="Times New Roman" w:cs="Times New Roman"/>
          <w:sz w:val="24"/>
          <w:szCs w:val="24"/>
        </w:rPr>
        <w:t>empresas</w:t>
      </w:r>
      <w:r w:rsidR="00754103" w:rsidRPr="00474A1F">
        <w:rPr>
          <w:rFonts w:ascii="Times New Roman" w:hAnsi="Times New Roman" w:cs="Times New Roman"/>
          <w:sz w:val="24"/>
          <w:szCs w:val="24"/>
        </w:rPr>
        <w:t xml:space="preserve"> </w:t>
      </w:r>
      <w:r w:rsidR="00A928BF" w:rsidRPr="00474A1F">
        <w:rPr>
          <w:rFonts w:ascii="Times New Roman" w:hAnsi="Times New Roman" w:cs="Times New Roman"/>
          <w:sz w:val="24"/>
          <w:szCs w:val="24"/>
        </w:rPr>
        <w:t>obstaculizan</w:t>
      </w:r>
      <w:r w:rsidR="00754103" w:rsidRPr="00474A1F">
        <w:rPr>
          <w:rFonts w:ascii="Times New Roman" w:hAnsi="Times New Roman" w:cs="Times New Roman"/>
          <w:sz w:val="24"/>
          <w:szCs w:val="24"/>
        </w:rPr>
        <w:t xml:space="preserve"> la innovación empresarial</w:t>
      </w:r>
      <w:r w:rsidR="009F2349" w:rsidRPr="00474A1F">
        <w:rPr>
          <w:rFonts w:ascii="Times New Roman" w:hAnsi="Times New Roman" w:cs="Times New Roman"/>
          <w:sz w:val="24"/>
          <w:szCs w:val="24"/>
        </w:rPr>
        <w:t>, disminu</w:t>
      </w:r>
      <w:r w:rsidR="00A928BF" w:rsidRPr="00474A1F">
        <w:rPr>
          <w:rFonts w:ascii="Times New Roman" w:hAnsi="Times New Roman" w:cs="Times New Roman"/>
          <w:sz w:val="24"/>
          <w:szCs w:val="24"/>
        </w:rPr>
        <w:t>yen</w:t>
      </w:r>
      <w:r w:rsidR="009F2349" w:rsidRPr="00474A1F">
        <w:rPr>
          <w:rFonts w:ascii="Times New Roman" w:hAnsi="Times New Roman" w:cs="Times New Roman"/>
          <w:sz w:val="24"/>
          <w:szCs w:val="24"/>
        </w:rPr>
        <w:t xml:space="preserve"> la inversión en actividades de innovación</w:t>
      </w:r>
      <w:r w:rsidR="00A928BF" w:rsidRPr="00474A1F">
        <w:rPr>
          <w:rFonts w:ascii="Times New Roman" w:hAnsi="Times New Roman" w:cs="Times New Roman"/>
          <w:sz w:val="24"/>
          <w:szCs w:val="24"/>
        </w:rPr>
        <w:t xml:space="preserve"> y desarticulan la</w:t>
      </w:r>
      <w:r w:rsidR="009F2349" w:rsidRPr="00474A1F">
        <w:rPr>
          <w:rFonts w:ascii="Times New Roman" w:hAnsi="Times New Roman" w:cs="Times New Roman"/>
          <w:sz w:val="24"/>
          <w:szCs w:val="24"/>
        </w:rPr>
        <w:t xml:space="preserve"> vinculación con universidades y centro</w:t>
      </w:r>
      <w:r w:rsidR="000F5DE4" w:rsidRPr="00474A1F">
        <w:rPr>
          <w:rFonts w:ascii="Times New Roman" w:hAnsi="Times New Roman" w:cs="Times New Roman"/>
          <w:sz w:val="24"/>
          <w:szCs w:val="24"/>
        </w:rPr>
        <w:t>s</w:t>
      </w:r>
      <w:r w:rsidR="009F2349" w:rsidRPr="00474A1F">
        <w:rPr>
          <w:rFonts w:ascii="Times New Roman" w:hAnsi="Times New Roman" w:cs="Times New Roman"/>
          <w:sz w:val="24"/>
          <w:szCs w:val="24"/>
        </w:rPr>
        <w:t xml:space="preserve"> de investigación</w:t>
      </w:r>
      <w:r w:rsidR="00754103" w:rsidRPr="00474A1F">
        <w:rPr>
          <w:rFonts w:ascii="Times New Roman" w:hAnsi="Times New Roman" w:cs="Times New Roman"/>
          <w:sz w:val="24"/>
          <w:szCs w:val="24"/>
        </w:rPr>
        <w:t xml:space="preserve">. </w:t>
      </w:r>
      <w:r w:rsidR="00A928BF" w:rsidRPr="00474A1F">
        <w:rPr>
          <w:rFonts w:ascii="Times New Roman" w:hAnsi="Times New Roman" w:cs="Times New Roman"/>
          <w:sz w:val="24"/>
          <w:szCs w:val="24"/>
        </w:rPr>
        <w:t>De hecho</w:t>
      </w:r>
      <w:r w:rsidR="001A4A0B" w:rsidRPr="00474A1F">
        <w:rPr>
          <w:rFonts w:ascii="Times New Roman" w:hAnsi="Times New Roman" w:cs="Times New Roman"/>
          <w:sz w:val="24"/>
          <w:szCs w:val="24"/>
        </w:rPr>
        <w:t xml:space="preserve">, </w:t>
      </w:r>
      <w:r w:rsidR="00265C27" w:rsidRPr="00474A1F">
        <w:rPr>
          <w:rFonts w:ascii="Times New Roman" w:hAnsi="Times New Roman" w:cs="Times New Roman"/>
          <w:sz w:val="24"/>
          <w:szCs w:val="24"/>
        </w:rPr>
        <w:t xml:space="preserve">los resultados significativos y con orientación positiva </w:t>
      </w:r>
      <w:r w:rsidR="001A4A0B" w:rsidRPr="00474A1F">
        <w:rPr>
          <w:rFonts w:ascii="Times New Roman" w:hAnsi="Times New Roman" w:cs="Times New Roman"/>
          <w:sz w:val="24"/>
          <w:szCs w:val="24"/>
        </w:rPr>
        <w:lastRenderedPageBreak/>
        <w:t xml:space="preserve">refuerzan lo expuesto anteriormente por </w:t>
      </w:r>
      <w:proofErr w:type="spellStart"/>
      <w:r w:rsidR="001A4A0B" w:rsidRPr="00474A1F">
        <w:rPr>
          <w:rFonts w:ascii="Times New Roman" w:hAnsi="Times New Roman" w:cs="Times New Roman"/>
          <w:sz w:val="24"/>
          <w:szCs w:val="24"/>
        </w:rPr>
        <w:t>Gli</w:t>
      </w:r>
      <w:r w:rsidR="00A07D19" w:rsidRPr="00474A1F">
        <w:rPr>
          <w:rFonts w:ascii="Times New Roman" w:hAnsi="Times New Roman" w:cs="Times New Roman"/>
          <w:sz w:val="24"/>
          <w:szCs w:val="24"/>
        </w:rPr>
        <w:t>g</w:t>
      </w:r>
      <w:r w:rsidR="001A4A0B" w:rsidRPr="00474A1F">
        <w:rPr>
          <w:rFonts w:ascii="Times New Roman" w:hAnsi="Times New Roman" w:cs="Times New Roman"/>
          <w:sz w:val="24"/>
          <w:szCs w:val="24"/>
        </w:rPr>
        <w:t>o</w:t>
      </w:r>
      <w:proofErr w:type="spellEnd"/>
      <w:r w:rsidR="001A4A0B" w:rsidRPr="00474A1F">
        <w:rPr>
          <w:rFonts w:ascii="Times New Roman" w:hAnsi="Times New Roman" w:cs="Times New Roman"/>
          <w:sz w:val="24"/>
          <w:szCs w:val="24"/>
        </w:rPr>
        <w:t xml:space="preserve"> </w:t>
      </w:r>
      <w:r w:rsidR="000F5DE4" w:rsidRPr="00474A1F">
        <w:rPr>
          <w:rFonts w:ascii="Times New Roman" w:hAnsi="Times New Roman" w:cs="Times New Roman"/>
          <w:noProof/>
          <w:sz w:val="24"/>
          <w:szCs w:val="24"/>
        </w:rPr>
        <w:t>(2016)</w:t>
      </w:r>
      <w:r w:rsidR="001A4A0B" w:rsidRPr="00474A1F">
        <w:rPr>
          <w:rFonts w:ascii="Times New Roman" w:hAnsi="Times New Roman" w:cs="Times New Roman"/>
          <w:sz w:val="24"/>
          <w:szCs w:val="24"/>
        </w:rPr>
        <w:t xml:space="preserve"> y </w:t>
      </w:r>
      <w:r w:rsidR="001A4A0B" w:rsidRPr="00474A1F">
        <w:rPr>
          <w:rFonts w:ascii="Times New Roman" w:hAnsi="Times New Roman" w:cs="Times New Roman"/>
          <w:noProof/>
          <w:sz w:val="24"/>
          <w:szCs w:val="24"/>
        </w:rPr>
        <w:t>Olazaran</w:t>
      </w:r>
      <w:r w:rsidR="00301C29" w:rsidRPr="00474A1F">
        <w:rPr>
          <w:rFonts w:ascii="Times New Roman" w:hAnsi="Times New Roman" w:cs="Times New Roman"/>
          <w:noProof/>
          <w:sz w:val="24"/>
          <w:szCs w:val="24"/>
        </w:rPr>
        <w:t xml:space="preserve"> </w:t>
      </w:r>
      <w:r w:rsidR="00301C29" w:rsidRPr="00474A1F">
        <w:rPr>
          <w:rFonts w:ascii="Times New Roman" w:hAnsi="Times New Roman" w:cs="Times New Roman"/>
          <w:i/>
          <w:noProof/>
          <w:sz w:val="24"/>
          <w:szCs w:val="24"/>
        </w:rPr>
        <w:t>et al</w:t>
      </w:r>
      <w:r w:rsidR="00301C29" w:rsidRPr="00474A1F">
        <w:rPr>
          <w:rFonts w:ascii="Times New Roman" w:hAnsi="Times New Roman" w:cs="Times New Roman"/>
          <w:noProof/>
          <w:sz w:val="24"/>
          <w:szCs w:val="24"/>
        </w:rPr>
        <w:t>.</w:t>
      </w:r>
      <w:r w:rsidR="001A4A0B" w:rsidRPr="00474A1F">
        <w:rPr>
          <w:rFonts w:ascii="Times New Roman" w:hAnsi="Times New Roman" w:cs="Times New Roman"/>
          <w:sz w:val="24"/>
          <w:szCs w:val="24"/>
        </w:rPr>
        <w:t xml:space="preserve"> </w:t>
      </w:r>
      <w:r w:rsidR="000F5DE4" w:rsidRPr="00474A1F">
        <w:rPr>
          <w:rFonts w:ascii="Times New Roman" w:hAnsi="Times New Roman" w:cs="Times New Roman"/>
          <w:noProof/>
          <w:sz w:val="24"/>
          <w:szCs w:val="24"/>
        </w:rPr>
        <w:t>(2013)</w:t>
      </w:r>
      <w:r w:rsidR="001A4A0B" w:rsidRPr="00474A1F">
        <w:rPr>
          <w:rFonts w:ascii="Times New Roman" w:hAnsi="Times New Roman" w:cs="Times New Roman"/>
          <w:sz w:val="24"/>
          <w:szCs w:val="24"/>
        </w:rPr>
        <w:t xml:space="preserve">, </w:t>
      </w:r>
      <w:r w:rsidR="00A928BF" w:rsidRPr="00474A1F">
        <w:rPr>
          <w:rFonts w:ascii="Times New Roman" w:hAnsi="Times New Roman" w:cs="Times New Roman"/>
          <w:sz w:val="24"/>
          <w:szCs w:val="24"/>
        </w:rPr>
        <w:t>ya que</w:t>
      </w:r>
      <w:r w:rsidR="001A4A0B" w:rsidRPr="00474A1F">
        <w:rPr>
          <w:rFonts w:ascii="Times New Roman" w:hAnsi="Times New Roman" w:cs="Times New Roman"/>
          <w:sz w:val="24"/>
          <w:szCs w:val="24"/>
        </w:rPr>
        <w:t xml:space="preserve"> el </w:t>
      </w:r>
      <w:r w:rsidR="00A928BF" w:rsidRPr="00474A1F">
        <w:rPr>
          <w:rFonts w:ascii="Times New Roman" w:hAnsi="Times New Roman" w:cs="Times New Roman"/>
          <w:sz w:val="24"/>
          <w:szCs w:val="24"/>
        </w:rPr>
        <w:t>clúster</w:t>
      </w:r>
      <w:r w:rsidR="00265C27" w:rsidRPr="00474A1F">
        <w:rPr>
          <w:rFonts w:ascii="Times New Roman" w:hAnsi="Times New Roman" w:cs="Times New Roman"/>
          <w:sz w:val="24"/>
          <w:szCs w:val="24"/>
        </w:rPr>
        <w:t xml:space="preserve"> </w:t>
      </w:r>
      <w:r w:rsidR="001A4A0B" w:rsidRPr="00474A1F">
        <w:rPr>
          <w:rFonts w:ascii="Times New Roman" w:hAnsi="Times New Roman" w:cs="Times New Roman"/>
          <w:sz w:val="24"/>
          <w:szCs w:val="24"/>
        </w:rPr>
        <w:t xml:space="preserve">integrado por </w:t>
      </w:r>
      <w:r w:rsidR="00265C27" w:rsidRPr="00474A1F">
        <w:rPr>
          <w:rFonts w:ascii="Times New Roman" w:hAnsi="Times New Roman" w:cs="Times New Roman"/>
          <w:sz w:val="24"/>
          <w:szCs w:val="24"/>
        </w:rPr>
        <w:t>grandes empresas, universidades y centros de investigación</w:t>
      </w:r>
      <w:r w:rsidR="001A4A0B" w:rsidRPr="00474A1F">
        <w:rPr>
          <w:rFonts w:ascii="Times New Roman" w:hAnsi="Times New Roman" w:cs="Times New Roman"/>
          <w:sz w:val="24"/>
          <w:szCs w:val="24"/>
        </w:rPr>
        <w:t xml:space="preserve"> es la triada de innovación y transferencia de tecnología</w:t>
      </w:r>
      <w:r w:rsidR="00265C27" w:rsidRPr="00474A1F">
        <w:rPr>
          <w:rFonts w:ascii="Times New Roman" w:hAnsi="Times New Roman" w:cs="Times New Roman"/>
          <w:sz w:val="24"/>
          <w:szCs w:val="24"/>
        </w:rPr>
        <w:t>.</w:t>
      </w:r>
    </w:p>
    <w:p w14:paraId="3E767927" w14:textId="1FA568B2" w:rsidR="003E2DD6" w:rsidRPr="00474A1F" w:rsidRDefault="00A928BF" w:rsidP="00971438">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 xml:space="preserve">Por ello, </w:t>
      </w:r>
      <w:r w:rsidR="00D41286" w:rsidRPr="00474A1F">
        <w:rPr>
          <w:rFonts w:ascii="Times New Roman" w:hAnsi="Times New Roman" w:cs="Times New Roman"/>
          <w:sz w:val="24"/>
          <w:szCs w:val="24"/>
        </w:rPr>
        <w:t>las grandes empresas</w:t>
      </w:r>
      <w:r w:rsidR="007F6479" w:rsidRPr="00474A1F">
        <w:rPr>
          <w:rFonts w:ascii="Times New Roman" w:hAnsi="Times New Roman" w:cs="Times New Roman"/>
          <w:sz w:val="24"/>
          <w:szCs w:val="24"/>
        </w:rPr>
        <w:t xml:space="preserve"> </w:t>
      </w:r>
      <w:r w:rsidRPr="00474A1F">
        <w:rPr>
          <w:rFonts w:ascii="Times New Roman" w:hAnsi="Times New Roman" w:cs="Times New Roman"/>
          <w:sz w:val="24"/>
          <w:szCs w:val="24"/>
        </w:rPr>
        <w:t>centran sus estrategias</w:t>
      </w:r>
      <w:r w:rsidR="007F6479" w:rsidRPr="00474A1F">
        <w:rPr>
          <w:rFonts w:ascii="Times New Roman" w:hAnsi="Times New Roman" w:cs="Times New Roman"/>
          <w:sz w:val="24"/>
          <w:szCs w:val="24"/>
        </w:rPr>
        <w:t xml:space="preserve">, generalmente, </w:t>
      </w:r>
      <w:r w:rsidRPr="00474A1F">
        <w:rPr>
          <w:rFonts w:ascii="Times New Roman" w:hAnsi="Times New Roman" w:cs="Times New Roman"/>
          <w:sz w:val="24"/>
          <w:szCs w:val="24"/>
        </w:rPr>
        <w:t>en e</w:t>
      </w:r>
      <w:r w:rsidR="00583AFE" w:rsidRPr="00474A1F">
        <w:rPr>
          <w:rFonts w:ascii="Times New Roman" w:hAnsi="Times New Roman" w:cs="Times New Roman"/>
          <w:sz w:val="24"/>
          <w:szCs w:val="24"/>
        </w:rPr>
        <w:t xml:space="preserve">l </w:t>
      </w:r>
      <w:r w:rsidR="00A40C56" w:rsidRPr="00474A1F">
        <w:rPr>
          <w:rFonts w:ascii="Times New Roman" w:hAnsi="Times New Roman" w:cs="Times New Roman"/>
          <w:sz w:val="24"/>
          <w:szCs w:val="24"/>
        </w:rPr>
        <w:t xml:space="preserve">reforzamiento </w:t>
      </w:r>
      <w:r w:rsidR="00583AFE" w:rsidRPr="00474A1F">
        <w:rPr>
          <w:rFonts w:ascii="Times New Roman" w:hAnsi="Times New Roman" w:cs="Times New Roman"/>
          <w:sz w:val="24"/>
          <w:szCs w:val="24"/>
        </w:rPr>
        <w:t xml:space="preserve">de </w:t>
      </w:r>
      <w:r w:rsidR="00A40C56" w:rsidRPr="00474A1F">
        <w:rPr>
          <w:rFonts w:ascii="Times New Roman" w:hAnsi="Times New Roman" w:cs="Times New Roman"/>
          <w:sz w:val="24"/>
          <w:szCs w:val="24"/>
        </w:rPr>
        <w:t xml:space="preserve">sus </w:t>
      </w:r>
      <w:r w:rsidR="00583AFE" w:rsidRPr="00474A1F">
        <w:rPr>
          <w:rFonts w:ascii="Times New Roman" w:hAnsi="Times New Roman" w:cs="Times New Roman"/>
          <w:sz w:val="24"/>
          <w:szCs w:val="24"/>
        </w:rPr>
        <w:t>ventajas competitivas mediante la estrategia de diferenciación</w:t>
      </w:r>
      <w:r w:rsidR="000F5DE4" w:rsidRPr="00474A1F">
        <w:rPr>
          <w:rFonts w:ascii="Times New Roman" w:hAnsi="Times New Roman" w:cs="Times New Roman"/>
          <w:sz w:val="24"/>
          <w:szCs w:val="24"/>
        </w:rPr>
        <w:t>,</w:t>
      </w:r>
      <w:r w:rsidR="004E027A" w:rsidRPr="00474A1F">
        <w:rPr>
          <w:rFonts w:ascii="Times New Roman" w:hAnsi="Times New Roman" w:cs="Times New Roman"/>
          <w:sz w:val="24"/>
          <w:szCs w:val="24"/>
        </w:rPr>
        <w:t xml:space="preserve"> </w:t>
      </w:r>
      <w:r w:rsidR="007F6479" w:rsidRPr="00474A1F">
        <w:rPr>
          <w:rFonts w:ascii="Times New Roman" w:hAnsi="Times New Roman" w:cs="Times New Roman"/>
          <w:sz w:val="24"/>
          <w:szCs w:val="24"/>
        </w:rPr>
        <w:t xml:space="preserve">para lo cual invierten </w:t>
      </w:r>
      <w:r w:rsidR="004E027A" w:rsidRPr="00474A1F">
        <w:rPr>
          <w:rFonts w:ascii="Times New Roman" w:hAnsi="Times New Roman" w:cs="Times New Roman"/>
          <w:sz w:val="24"/>
          <w:szCs w:val="24"/>
        </w:rPr>
        <w:t xml:space="preserve">en investigación y desarrollo, lo que redunda en la generación de </w:t>
      </w:r>
      <w:r w:rsidR="00971438" w:rsidRPr="00474A1F">
        <w:rPr>
          <w:rFonts w:ascii="Times New Roman" w:hAnsi="Times New Roman" w:cs="Times New Roman"/>
          <w:sz w:val="24"/>
          <w:szCs w:val="24"/>
        </w:rPr>
        <w:t>patentes.</w:t>
      </w:r>
      <w:r w:rsidR="00583AFE" w:rsidRPr="00474A1F">
        <w:rPr>
          <w:rFonts w:ascii="Times New Roman" w:hAnsi="Times New Roman" w:cs="Times New Roman"/>
          <w:sz w:val="24"/>
          <w:szCs w:val="24"/>
        </w:rPr>
        <w:t xml:space="preserve"> De este modo, las grandes empresas con </w:t>
      </w:r>
      <w:r w:rsidR="00D41286" w:rsidRPr="00474A1F">
        <w:rPr>
          <w:rFonts w:ascii="Times New Roman" w:hAnsi="Times New Roman" w:cs="Times New Roman"/>
          <w:sz w:val="24"/>
          <w:szCs w:val="24"/>
        </w:rPr>
        <w:t>alt</w:t>
      </w:r>
      <w:r w:rsidR="00583AFE" w:rsidRPr="00474A1F">
        <w:rPr>
          <w:rFonts w:ascii="Times New Roman" w:hAnsi="Times New Roman" w:cs="Times New Roman"/>
          <w:sz w:val="24"/>
          <w:szCs w:val="24"/>
        </w:rPr>
        <w:t xml:space="preserve">o desarrollo e </w:t>
      </w:r>
      <w:r w:rsidR="00D41286" w:rsidRPr="00474A1F">
        <w:rPr>
          <w:rFonts w:ascii="Times New Roman" w:hAnsi="Times New Roman" w:cs="Times New Roman"/>
          <w:sz w:val="24"/>
          <w:szCs w:val="24"/>
        </w:rPr>
        <w:t xml:space="preserve">industrialización </w:t>
      </w:r>
      <w:r w:rsidR="00583AFE" w:rsidRPr="00474A1F">
        <w:rPr>
          <w:rFonts w:ascii="Times New Roman" w:hAnsi="Times New Roman" w:cs="Times New Roman"/>
          <w:sz w:val="24"/>
          <w:szCs w:val="24"/>
        </w:rPr>
        <w:t xml:space="preserve">en sus </w:t>
      </w:r>
      <w:r w:rsidR="00C64608" w:rsidRPr="00474A1F">
        <w:rPr>
          <w:rFonts w:ascii="Times New Roman" w:hAnsi="Times New Roman" w:cs="Times New Roman"/>
          <w:sz w:val="24"/>
          <w:szCs w:val="24"/>
        </w:rPr>
        <w:t>procesos</w:t>
      </w:r>
      <w:r w:rsidR="00583AFE" w:rsidRPr="00474A1F">
        <w:rPr>
          <w:rFonts w:ascii="Times New Roman" w:hAnsi="Times New Roman" w:cs="Times New Roman"/>
          <w:sz w:val="24"/>
          <w:szCs w:val="24"/>
        </w:rPr>
        <w:t xml:space="preserve"> se </w:t>
      </w:r>
      <w:r w:rsidR="007F6479" w:rsidRPr="00474A1F">
        <w:rPr>
          <w:rFonts w:ascii="Times New Roman" w:hAnsi="Times New Roman" w:cs="Times New Roman"/>
          <w:sz w:val="24"/>
          <w:szCs w:val="24"/>
        </w:rPr>
        <w:t>ubican</w:t>
      </w:r>
      <w:r w:rsidR="00583AFE" w:rsidRPr="00474A1F">
        <w:rPr>
          <w:rFonts w:ascii="Times New Roman" w:hAnsi="Times New Roman" w:cs="Times New Roman"/>
          <w:sz w:val="24"/>
          <w:szCs w:val="24"/>
        </w:rPr>
        <w:t xml:space="preserve"> </w:t>
      </w:r>
      <w:r w:rsidR="00D41286" w:rsidRPr="00474A1F">
        <w:rPr>
          <w:rFonts w:ascii="Times New Roman" w:hAnsi="Times New Roman" w:cs="Times New Roman"/>
          <w:sz w:val="24"/>
          <w:szCs w:val="24"/>
        </w:rPr>
        <w:t xml:space="preserve">en </w:t>
      </w:r>
      <w:r w:rsidR="007F6479" w:rsidRPr="00474A1F">
        <w:rPr>
          <w:rFonts w:ascii="Times New Roman" w:hAnsi="Times New Roman" w:cs="Times New Roman"/>
          <w:sz w:val="24"/>
          <w:szCs w:val="24"/>
        </w:rPr>
        <w:t xml:space="preserve">un </w:t>
      </w:r>
      <w:r w:rsidR="00583AFE" w:rsidRPr="00474A1F">
        <w:rPr>
          <w:rFonts w:ascii="Times New Roman" w:hAnsi="Times New Roman" w:cs="Times New Roman"/>
          <w:sz w:val="24"/>
          <w:szCs w:val="24"/>
        </w:rPr>
        <w:t xml:space="preserve">lugar privilegiado </w:t>
      </w:r>
      <w:r w:rsidR="00A40C56" w:rsidRPr="00474A1F">
        <w:rPr>
          <w:rFonts w:ascii="Times New Roman" w:hAnsi="Times New Roman" w:cs="Times New Roman"/>
          <w:sz w:val="24"/>
          <w:szCs w:val="24"/>
        </w:rPr>
        <w:t xml:space="preserve">por encima de sus competidores, elevando así las barreas de entrada para cualquier nueva incursión en su segmento de mercado. De acuerdo con </w:t>
      </w:r>
      <w:r w:rsidR="00B53CB3" w:rsidRPr="00474A1F">
        <w:rPr>
          <w:rFonts w:ascii="Times New Roman" w:hAnsi="Times New Roman" w:cs="Times New Roman"/>
          <w:noProof/>
          <w:sz w:val="24"/>
          <w:szCs w:val="24"/>
          <w:lang w:val="es-ES"/>
        </w:rPr>
        <w:t xml:space="preserve">Lemley </w:t>
      </w:r>
      <w:r w:rsidR="00325BB2" w:rsidRPr="00474A1F">
        <w:rPr>
          <w:rFonts w:ascii="Times New Roman" w:hAnsi="Times New Roman" w:cs="Times New Roman"/>
          <w:noProof/>
          <w:sz w:val="24"/>
          <w:szCs w:val="24"/>
          <w:lang w:val="es-ES"/>
        </w:rPr>
        <w:t>y</w:t>
      </w:r>
      <w:r w:rsidR="00B53CB3" w:rsidRPr="00474A1F">
        <w:rPr>
          <w:rFonts w:ascii="Times New Roman" w:hAnsi="Times New Roman" w:cs="Times New Roman"/>
          <w:noProof/>
          <w:sz w:val="24"/>
          <w:szCs w:val="24"/>
          <w:lang w:val="es-ES"/>
        </w:rPr>
        <w:t xml:space="preserve"> Feldman</w:t>
      </w:r>
      <w:r w:rsidR="000F5DE4" w:rsidRPr="00474A1F">
        <w:rPr>
          <w:rFonts w:ascii="Times New Roman" w:hAnsi="Times New Roman" w:cs="Times New Roman"/>
          <w:noProof/>
          <w:sz w:val="24"/>
          <w:szCs w:val="24"/>
          <w:lang w:val="es-ES"/>
        </w:rPr>
        <w:t xml:space="preserve"> (2016)</w:t>
      </w:r>
      <w:r w:rsidR="00557DDB" w:rsidRPr="00474A1F">
        <w:rPr>
          <w:rFonts w:ascii="Times New Roman" w:hAnsi="Times New Roman" w:cs="Times New Roman"/>
          <w:sz w:val="24"/>
          <w:szCs w:val="24"/>
        </w:rPr>
        <w:t xml:space="preserve"> y </w:t>
      </w:r>
      <w:r w:rsidR="00A07D19" w:rsidRPr="00474A1F">
        <w:rPr>
          <w:rFonts w:ascii="Times New Roman" w:hAnsi="Times New Roman" w:cs="Times New Roman"/>
          <w:noProof/>
          <w:sz w:val="24"/>
          <w:szCs w:val="24"/>
          <w:lang w:val="es-VE"/>
        </w:rPr>
        <w:t>Zhang y Gallagher</w:t>
      </w:r>
      <w:r w:rsidR="000F5DE4" w:rsidRPr="00474A1F">
        <w:rPr>
          <w:rFonts w:ascii="Times New Roman" w:hAnsi="Times New Roman" w:cs="Times New Roman"/>
          <w:noProof/>
          <w:sz w:val="24"/>
          <w:szCs w:val="24"/>
          <w:lang w:val="es-ES"/>
        </w:rPr>
        <w:t xml:space="preserve"> (2016)</w:t>
      </w:r>
      <w:r w:rsidR="00557DDB" w:rsidRPr="00474A1F">
        <w:rPr>
          <w:rFonts w:ascii="Times New Roman" w:hAnsi="Times New Roman" w:cs="Times New Roman"/>
          <w:sz w:val="24"/>
          <w:szCs w:val="24"/>
        </w:rPr>
        <w:t xml:space="preserve">, </w:t>
      </w:r>
      <w:r w:rsidR="004E027A" w:rsidRPr="00474A1F">
        <w:rPr>
          <w:rFonts w:ascii="Times New Roman" w:hAnsi="Times New Roman" w:cs="Times New Roman"/>
          <w:sz w:val="24"/>
          <w:szCs w:val="24"/>
        </w:rPr>
        <w:t xml:space="preserve">las grandes empresas </w:t>
      </w:r>
      <w:r w:rsidR="00971438" w:rsidRPr="00474A1F">
        <w:rPr>
          <w:rFonts w:ascii="Times New Roman" w:hAnsi="Times New Roman" w:cs="Times New Roman"/>
          <w:sz w:val="24"/>
          <w:szCs w:val="24"/>
        </w:rPr>
        <w:t xml:space="preserve">constituyen </w:t>
      </w:r>
      <w:r w:rsidR="00D41286" w:rsidRPr="00474A1F">
        <w:rPr>
          <w:rFonts w:ascii="Times New Roman" w:hAnsi="Times New Roman" w:cs="Times New Roman"/>
          <w:sz w:val="24"/>
          <w:szCs w:val="24"/>
        </w:rPr>
        <w:t>un nuevo poderío económico y financiero</w:t>
      </w:r>
      <w:r w:rsidR="0015556C" w:rsidRPr="00474A1F">
        <w:rPr>
          <w:rFonts w:ascii="Times New Roman" w:hAnsi="Times New Roman" w:cs="Times New Roman"/>
          <w:sz w:val="24"/>
          <w:szCs w:val="24"/>
        </w:rPr>
        <w:t xml:space="preserve">, ya que sus actividades de innovación desafían la codificación y la estandarización, </w:t>
      </w:r>
      <w:r w:rsidR="005C1A06" w:rsidRPr="00474A1F">
        <w:rPr>
          <w:rFonts w:ascii="Times New Roman" w:hAnsi="Times New Roman" w:cs="Times New Roman"/>
          <w:sz w:val="24"/>
          <w:szCs w:val="24"/>
        </w:rPr>
        <w:t xml:space="preserve">lo que les permite </w:t>
      </w:r>
      <w:r w:rsidR="0015556C" w:rsidRPr="00474A1F">
        <w:rPr>
          <w:rFonts w:ascii="Times New Roman" w:hAnsi="Times New Roman" w:cs="Times New Roman"/>
          <w:sz w:val="24"/>
          <w:szCs w:val="24"/>
        </w:rPr>
        <w:t>s</w:t>
      </w:r>
      <w:r w:rsidR="005C1A06" w:rsidRPr="00474A1F">
        <w:rPr>
          <w:rFonts w:ascii="Times New Roman" w:hAnsi="Times New Roman" w:cs="Times New Roman"/>
          <w:sz w:val="24"/>
          <w:szCs w:val="24"/>
        </w:rPr>
        <w:t>e</w:t>
      </w:r>
      <w:r w:rsidR="000F5DE4" w:rsidRPr="00474A1F">
        <w:rPr>
          <w:rFonts w:ascii="Times New Roman" w:hAnsi="Times New Roman" w:cs="Times New Roman"/>
          <w:sz w:val="24"/>
          <w:szCs w:val="24"/>
        </w:rPr>
        <w:t xml:space="preserve">r </w:t>
      </w:r>
      <w:r w:rsidR="0015556C" w:rsidRPr="00474A1F">
        <w:rPr>
          <w:rFonts w:ascii="Times New Roman" w:hAnsi="Times New Roman" w:cs="Times New Roman"/>
          <w:sz w:val="24"/>
          <w:szCs w:val="24"/>
        </w:rPr>
        <w:t>intensivas en conocimiento</w:t>
      </w:r>
      <w:r w:rsidR="005C1A06" w:rsidRPr="00474A1F">
        <w:rPr>
          <w:rFonts w:ascii="Times New Roman" w:hAnsi="Times New Roman" w:cs="Times New Roman"/>
          <w:sz w:val="24"/>
          <w:szCs w:val="24"/>
        </w:rPr>
        <w:t>s</w:t>
      </w:r>
      <w:r w:rsidR="0015556C" w:rsidRPr="00474A1F">
        <w:rPr>
          <w:rFonts w:ascii="Times New Roman" w:hAnsi="Times New Roman" w:cs="Times New Roman"/>
          <w:sz w:val="24"/>
          <w:szCs w:val="24"/>
        </w:rPr>
        <w:t xml:space="preserve">, exclusivas </w:t>
      </w:r>
      <w:r w:rsidR="005C1A06" w:rsidRPr="00474A1F">
        <w:rPr>
          <w:rFonts w:ascii="Times New Roman" w:hAnsi="Times New Roman" w:cs="Times New Roman"/>
          <w:sz w:val="24"/>
          <w:szCs w:val="24"/>
        </w:rPr>
        <w:t xml:space="preserve">en derechos de uso y explotación, así como </w:t>
      </w:r>
      <w:r w:rsidR="0015556C" w:rsidRPr="00474A1F">
        <w:rPr>
          <w:rFonts w:ascii="Times New Roman" w:hAnsi="Times New Roman" w:cs="Times New Roman"/>
          <w:sz w:val="24"/>
          <w:szCs w:val="24"/>
        </w:rPr>
        <w:t>altamente re</w:t>
      </w:r>
      <w:r w:rsidR="005C1A06" w:rsidRPr="00474A1F">
        <w:rPr>
          <w:rFonts w:ascii="Times New Roman" w:hAnsi="Times New Roman" w:cs="Times New Roman"/>
          <w:sz w:val="24"/>
          <w:szCs w:val="24"/>
        </w:rPr>
        <w:t xml:space="preserve">dituables. </w:t>
      </w:r>
    </w:p>
    <w:p w14:paraId="5BF385A3" w14:textId="5CEACEC1" w:rsidR="003E2DD6" w:rsidRPr="00474A1F" w:rsidRDefault="00971438" w:rsidP="003E2DD6">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Por otro lado, l</w:t>
      </w:r>
      <w:r w:rsidR="00D41286" w:rsidRPr="00474A1F">
        <w:rPr>
          <w:rFonts w:ascii="Times New Roman" w:hAnsi="Times New Roman" w:cs="Times New Roman"/>
          <w:sz w:val="24"/>
          <w:szCs w:val="24"/>
        </w:rPr>
        <w:t xml:space="preserve">a globalización les </w:t>
      </w:r>
      <w:r w:rsidRPr="00474A1F">
        <w:rPr>
          <w:rFonts w:ascii="Times New Roman" w:hAnsi="Times New Roman" w:cs="Times New Roman"/>
          <w:sz w:val="24"/>
          <w:szCs w:val="24"/>
        </w:rPr>
        <w:t xml:space="preserve">permite posicionar su </w:t>
      </w:r>
      <w:r w:rsidR="00D41286" w:rsidRPr="00474A1F">
        <w:rPr>
          <w:rFonts w:ascii="Times New Roman" w:hAnsi="Times New Roman" w:cs="Times New Roman"/>
          <w:sz w:val="24"/>
          <w:szCs w:val="24"/>
        </w:rPr>
        <w:t xml:space="preserve">poderío </w:t>
      </w:r>
      <w:r w:rsidRPr="00474A1F">
        <w:rPr>
          <w:rFonts w:ascii="Times New Roman" w:hAnsi="Times New Roman" w:cs="Times New Roman"/>
          <w:sz w:val="24"/>
          <w:szCs w:val="24"/>
        </w:rPr>
        <w:t xml:space="preserve">en diferentes </w:t>
      </w:r>
      <w:r w:rsidR="00FA7965" w:rsidRPr="00474A1F">
        <w:rPr>
          <w:rFonts w:ascii="Times New Roman" w:hAnsi="Times New Roman" w:cs="Times New Roman"/>
          <w:sz w:val="24"/>
          <w:szCs w:val="24"/>
        </w:rPr>
        <w:t xml:space="preserve">países, al ubicar sus centros de producción en </w:t>
      </w:r>
      <w:r w:rsidR="000F5DE4" w:rsidRPr="00474A1F">
        <w:rPr>
          <w:rFonts w:ascii="Times New Roman" w:hAnsi="Times New Roman" w:cs="Times New Roman"/>
          <w:sz w:val="24"/>
          <w:szCs w:val="24"/>
        </w:rPr>
        <w:t xml:space="preserve">naciones </w:t>
      </w:r>
      <w:r w:rsidR="00FA7965" w:rsidRPr="00474A1F">
        <w:rPr>
          <w:rFonts w:ascii="Times New Roman" w:hAnsi="Times New Roman" w:cs="Times New Roman"/>
          <w:sz w:val="24"/>
          <w:szCs w:val="24"/>
        </w:rPr>
        <w:t xml:space="preserve">con beneficios fiscales y laborales, con menos gastos y exención de impuestos. </w:t>
      </w:r>
      <w:r w:rsidR="003E2DD6" w:rsidRPr="00474A1F">
        <w:rPr>
          <w:rFonts w:ascii="Times New Roman" w:hAnsi="Times New Roman" w:cs="Times New Roman"/>
          <w:sz w:val="24"/>
          <w:szCs w:val="24"/>
        </w:rPr>
        <w:t>Los efectos de esta globalización se dejan ver de manera tanto positiva como negativa</w:t>
      </w:r>
      <w:r w:rsidR="000F5DE4" w:rsidRPr="00474A1F">
        <w:rPr>
          <w:rFonts w:ascii="Times New Roman" w:hAnsi="Times New Roman" w:cs="Times New Roman"/>
          <w:sz w:val="24"/>
          <w:szCs w:val="24"/>
        </w:rPr>
        <w:t>, ya que</w:t>
      </w:r>
      <w:r w:rsidR="003E2DD6" w:rsidRPr="00474A1F">
        <w:rPr>
          <w:rFonts w:ascii="Times New Roman" w:hAnsi="Times New Roman" w:cs="Times New Roman"/>
          <w:sz w:val="24"/>
          <w:szCs w:val="24"/>
        </w:rPr>
        <w:t xml:space="preserve"> </w:t>
      </w:r>
      <w:r w:rsidR="007F6479" w:rsidRPr="00474A1F">
        <w:rPr>
          <w:rFonts w:ascii="Times New Roman" w:hAnsi="Times New Roman" w:cs="Times New Roman"/>
          <w:sz w:val="24"/>
          <w:szCs w:val="24"/>
        </w:rPr>
        <w:t xml:space="preserve">si bien </w:t>
      </w:r>
      <w:r w:rsidR="000F5DE4" w:rsidRPr="00474A1F">
        <w:rPr>
          <w:rFonts w:ascii="Times New Roman" w:hAnsi="Times New Roman" w:cs="Times New Roman"/>
          <w:sz w:val="24"/>
          <w:szCs w:val="24"/>
        </w:rPr>
        <w:t>son</w:t>
      </w:r>
      <w:r w:rsidR="003E2DD6" w:rsidRPr="00474A1F">
        <w:rPr>
          <w:rFonts w:ascii="Times New Roman" w:hAnsi="Times New Roman" w:cs="Times New Roman"/>
          <w:sz w:val="24"/>
          <w:szCs w:val="24"/>
        </w:rPr>
        <w:t xml:space="preserve"> indudable</w:t>
      </w:r>
      <w:r w:rsidR="000F5DE4" w:rsidRPr="00474A1F">
        <w:rPr>
          <w:rFonts w:ascii="Times New Roman" w:hAnsi="Times New Roman" w:cs="Times New Roman"/>
          <w:sz w:val="24"/>
          <w:szCs w:val="24"/>
        </w:rPr>
        <w:t>s</w:t>
      </w:r>
      <w:r w:rsidR="003E2DD6" w:rsidRPr="00474A1F">
        <w:rPr>
          <w:rFonts w:ascii="Times New Roman" w:hAnsi="Times New Roman" w:cs="Times New Roman"/>
          <w:sz w:val="24"/>
          <w:szCs w:val="24"/>
        </w:rPr>
        <w:t xml:space="preserve"> los avances de los sistemas informáticos, las nuevas tecnologías, así como las biotecnologías, entre otros, </w:t>
      </w:r>
      <w:r w:rsidR="007F6479" w:rsidRPr="00474A1F">
        <w:rPr>
          <w:rFonts w:ascii="Times New Roman" w:hAnsi="Times New Roman" w:cs="Times New Roman"/>
          <w:sz w:val="24"/>
          <w:szCs w:val="24"/>
        </w:rPr>
        <w:t xml:space="preserve">también se debe subrayar </w:t>
      </w:r>
      <w:r w:rsidR="003E2DD6" w:rsidRPr="00474A1F">
        <w:rPr>
          <w:rFonts w:ascii="Times New Roman" w:hAnsi="Times New Roman" w:cs="Times New Roman"/>
          <w:sz w:val="24"/>
          <w:szCs w:val="24"/>
        </w:rPr>
        <w:t xml:space="preserve">el </w:t>
      </w:r>
      <w:r w:rsidR="007F6479" w:rsidRPr="00474A1F">
        <w:rPr>
          <w:rFonts w:ascii="Times New Roman" w:hAnsi="Times New Roman" w:cs="Times New Roman"/>
          <w:sz w:val="24"/>
          <w:szCs w:val="24"/>
        </w:rPr>
        <w:t xml:space="preserve">bajo </w:t>
      </w:r>
      <w:r w:rsidR="003E2DD6" w:rsidRPr="00474A1F">
        <w:rPr>
          <w:rFonts w:ascii="Times New Roman" w:hAnsi="Times New Roman" w:cs="Times New Roman"/>
          <w:sz w:val="24"/>
          <w:szCs w:val="24"/>
        </w:rPr>
        <w:t>índice de bienestar</w:t>
      </w:r>
      <w:r w:rsidR="007F6479" w:rsidRPr="00474A1F">
        <w:rPr>
          <w:rFonts w:ascii="Times New Roman" w:hAnsi="Times New Roman" w:cs="Times New Roman"/>
          <w:sz w:val="24"/>
          <w:szCs w:val="24"/>
        </w:rPr>
        <w:t xml:space="preserve"> y</w:t>
      </w:r>
      <w:r w:rsidR="003E2DD6" w:rsidRPr="00474A1F">
        <w:rPr>
          <w:rFonts w:ascii="Times New Roman" w:hAnsi="Times New Roman" w:cs="Times New Roman"/>
          <w:sz w:val="24"/>
          <w:szCs w:val="24"/>
        </w:rPr>
        <w:t xml:space="preserve"> el deterioro ambiental del suelo y del agua. La innovación y la transferencia</w:t>
      </w:r>
      <w:r w:rsidR="007F6479" w:rsidRPr="00474A1F">
        <w:rPr>
          <w:rFonts w:ascii="Times New Roman" w:hAnsi="Times New Roman" w:cs="Times New Roman"/>
          <w:sz w:val="24"/>
          <w:szCs w:val="24"/>
        </w:rPr>
        <w:t>, por tanto,</w:t>
      </w:r>
      <w:r w:rsidR="003E2DD6" w:rsidRPr="00474A1F">
        <w:rPr>
          <w:rFonts w:ascii="Times New Roman" w:hAnsi="Times New Roman" w:cs="Times New Roman"/>
          <w:sz w:val="24"/>
          <w:szCs w:val="24"/>
        </w:rPr>
        <w:t xml:space="preserve"> no siempre </w:t>
      </w:r>
      <w:r w:rsidR="007F6479" w:rsidRPr="00474A1F">
        <w:rPr>
          <w:rFonts w:ascii="Times New Roman" w:hAnsi="Times New Roman" w:cs="Times New Roman"/>
          <w:sz w:val="24"/>
          <w:szCs w:val="24"/>
        </w:rPr>
        <w:t>ofrecen</w:t>
      </w:r>
      <w:r w:rsidR="003E2DD6" w:rsidRPr="00474A1F">
        <w:rPr>
          <w:rFonts w:ascii="Times New Roman" w:hAnsi="Times New Roman" w:cs="Times New Roman"/>
          <w:sz w:val="24"/>
          <w:szCs w:val="24"/>
        </w:rPr>
        <w:t xml:space="preserve"> un bien común</w:t>
      </w:r>
      <w:r w:rsidR="000F5DE4" w:rsidRPr="00474A1F">
        <w:rPr>
          <w:rFonts w:ascii="Times New Roman" w:hAnsi="Times New Roman" w:cs="Times New Roman"/>
          <w:sz w:val="24"/>
          <w:szCs w:val="24"/>
        </w:rPr>
        <w:t>,</w:t>
      </w:r>
      <w:r w:rsidR="003E2DD6" w:rsidRPr="00474A1F">
        <w:rPr>
          <w:rFonts w:ascii="Times New Roman" w:hAnsi="Times New Roman" w:cs="Times New Roman"/>
          <w:sz w:val="24"/>
          <w:szCs w:val="24"/>
        </w:rPr>
        <w:t xml:space="preserve"> </w:t>
      </w:r>
      <w:r w:rsidR="007F6479" w:rsidRPr="00474A1F">
        <w:rPr>
          <w:rFonts w:ascii="Times New Roman" w:hAnsi="Times New Roman" w:cs="Times New Roman"/>
          <w:sz w:val="24"/>
          <w:szCs w:val="24"/>
        </w:rPr>
        <w:t xml:space="preserve">pues </w:t>
      </w:r>
      <w:r w:rsidR="00BB1992" w:rsidRPr="00474A1F">
        <w:rPr>
          <w:rFonts w:ascii="Times New Roman" w:hAnsi="Times New Roman" w:cs="Times New Roman"/>
          <w:sz w:val="24"/>
          <w:szCs w:val="24"/>
        </w:rPr>
        <w:t>se debe recordar que las innovaciones también han servido para acentuar los efectos negativos en los múltiples conflictos bélicos.</w:t>
      </w:r>
    </w:p>
    <w:p w14:paraId="7973A64F" w14:textId="73A3EBCB" w:rsidR="00313594" w:rsidRPr="00474A1F" w:rsidRDefault="003E2DD6" w:rsidP="003E2DD6">
      <w:pPr>
        <w:spacing w:after="0" w:line="360" w:lineRule="auto"/>
        <w:ind w:firstLine="708"/>
        <w:jc w:val="both"/>
        <w:rPr>
          <w:rFonts w:ascii="Times New Roman" w:hAnsi="Times New Roman" w:cs="Times New Roman"/>
          <w:sz w:val="24"/>
        </w:rPr>
      </w:pPr>
      <w:r w:rsidRPr="00474A1F">
        <w:rPr>
          <w:rFonts w:ascii="Times New Roman" w:hAnsi="Times New Roman" w:cs="Times New Roman"/>
          <w:sz w:val="24"/>
          <w:szCs w:val="24"/>
        </w:rPr>
        <w:t xml:space="preserve">Un concepto importante que </w:t>
      </w:r>
      <w:r w:rsidR="00313594" w:rsidRPr="00474A1F">
        <w:rPr>
          <w:rFonts w:ascii="Times New Roman" w:hAnsi="Times New Roman" w:cs="Times New Roman"/>
          <w:sz w:val="24"/>
          <w:szCs w:val="24"/>
        </w:rPr>
        <w:t xml:space="preserve">subyace en los resultados encontrados en esta investigación es que la fuerte relación entre la triada de la innovación se da por redes de conocimiento, el cual transfiere lo generado en </w:t>
      </w:r>
      <w:r w:rsidR="00313594" w:rsidRPr="00474A1F">
        <w:rPr>
          <w:rFonts w:ascii="Times New Roman" w:hAnsi="Times New Roman" w:cs="Times New Roman"/>
          <w:sz w:val="24"/>
        </w:rPr>
        <w:t>las universidades y los centros de investigación</w:t>
      </w:r>
      <w:r w:rsidR="00313594" w:rsidRPr="00474A1F">
        <w:rPr>
          <w:rFonts w:ascii="Times New Roman" w:hAnsi="Times New Roman" w:cs="Times New Roman"/>
          <w:sz w:val="24"/>
          <w:szCs w:val="24"/>
        </w:rPr>
        <w:t xml:space="preserve"> hacia </w:t>
      </w:r>
      <w:r w:rsidR="00313594" w:rsidRPr="00474A1F">
        <w:rPr>
          <w:rFonts w:ascii="Times New Roman" w:hAnsi="Times New Roman" w:cs="Times New Roman"/>
          <w:sz w:val="24"/>
        </w:rPr>
        <w:t xml:space="preserve">las empresas y los sectores productivos de la región. </w:t>
      </w:r>
    </w:p>
    <w:p w14:paraId="52CAC9E1" w14:textId="77777777" w:rsidR="007F6479" w:rsidRPr="00474A1F" w:rsidRDefault="00313594" w:rsidP="006B73D4">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rPr>
        <w:t xml:space="preserve">En este sentido, para explicar el desarrollo de redes de vinculación, es pertinente retomar el concepto de </w:t>
      </w:r>
      <w:r w:rsidRPr="00474A1F">
        <w:rPr>
          <w:rFonts w:ascii="Times New Roman" w:hAnsi="Times New Roman" w:cs="Times New Roman"/>
          <w:i/>
          <w:sz w:val="24"/>
        </w:rPr>
        <w:t>asimilación</w:t>
      </w:r>
      <w:r w:rsidRPr="00474A1F">
        <w:rPr>
          <w:rFonts w:ascii="Times New Roman" w:hAnsi="Times New Roman" w:cs="Times New Roman"/>
          <w:sz w:val="24"/>
        </w:rPr>
        <w:t xml:space="preserve"> expuesto por </w:t>
      </w:r>
      <w:r w:rsidR="003E2DD6" w:rsidRPr="00474A1F">
        <w:rPr>
          <w:rFonts w:ascii="Times New Roman" w:hAnsi="Times New Roman" w:cs="Times New Roman"/>
          <w:sz w:val="24"/>
          <w:szCs w:val="24"/>
        </w:rPr>
        <w:t>Dávila</w:t>
      </w:r>
      <w:r w:rsidRPr="00474A1F">
        <w:rPr>
          <w:rFonts w:ascii="Times New Roman" w:hAnsi="Times New Roman" w:cs="Times New Roman"/>
          <w:sz w:val="24"/>
          <w:szCs w:val="24"/>
        </w:rPr>
        <w:t xml:space="preserve"> </w:t>
      </w:r>
      <w:r w:rsidR="00A41379" w:rsidRPr="00474A1F">
        <w:rPr>
          <w:rFonts w:ascii="Times New Roman" w:hAnsi="Times New Roman" w:cs="Times New Roman"/>
          <w:noProof/>
          <w:sz w:val="24"/>
          <w:szCs w:val="24"/>
          <w:lang w:val="es-ES"/>
        </w:rPr>
        <w:t>(2007)</w:t>
      </w:r>
      <w:r w:rsidR="007F6479" w:rsidRPr="00474A1F">
        <w:rPr>
          <w:rFonts w:ascii="Times New Roman" w:hAnsi="Times New Roman" w:cs="Times New Roman"/>
          <w:sz w:val="24"/>
          <w:szCs w:val="24"/>
        </w:rPr>
        <w:t>. Este autor</w:t>
      </w:r>
      <w:r w:rsidR="00A41379" w:rsidRPr="00474A1F">
        <w:rPr>
          <w:rFonts w:ascii="Times New Roman" w:hAnsi="Times New Roman" w:cs="Times New Roman"/>
          <w:sz w:val="24"/>
          <w:szCs w:val="24"/>
        </w:rPr>
        <w:t xml:space="preserve"> </w:t>
      </w:r>
      <w:r w:rsidRPr="00474A1F">
        <w:rPr>
          <w:rFonts w:ascii="Times New Roman" w:hAnsi="Times New Roman" w:cs="Times New Roman"/>
          <w:sz w:val="24"/>
          <w:szCs w:val="24"/>
        </w:rPr>
        <w:t>señala</w:t>
      </w:r>
      <w:r w:rsidR="00963D0E" w:rsidRPr="00474A1F">
        <w:rPr>
          <w:rFonts w:ascii="Times New Roman" w:hAnsi="Times New Roman" w:cs="Times New Roman"/>
          <w:sz w:val="24"/>
          <w:szCs w:val="24"/>
        </w:rPr>
        <w:t>,</w:t>
      </w:r>
      <w:r w:rsidRPr="00474A1F">
        <w:rPr>
          <w:rFonts w:ascii="Times New Roman" w:hAnsi="Times New Roman" w:cs="Times New Roman"/>
          <w:sz w:val="24"/>
          <w:szCs w:val="24"/>
        </w:rPr>
        <w:t xml:space="preserve"> en </w:t>
      </w:r>
      <w:r w:rsidR="003E2DD6" w:rsidRPr="00474A1F">
        <w:rPr>
          <w:rFonts w:ascii="Times New Roman" w:hAnsi="Times New Roman" w:cs="Times New Roman"/>
          <w:sz w:val="24"/>
          <w:szCs w:val="24"/>
        </w:rPr>
        <w:t>el marco de</w:t>
      </w:r>
      <w:r w:rsidR="00A160EC" w:rsidRPr="00474A1F">
        <w:rPr>
          <w:rFonts w:ascii="Times New Roman" w:hAnsi="Times New Roman" w:cs="Times New Roman"/>
          <w:sz w:val="24"/>
          <w:szCs w:val="24"/>
        </w:rPr>
        <w:t xml:space="preserve"> </w:t>
      </w:r>
      <w:r w:rsidR="003E2DD6" w:rsidRPr="00474A1F">
        <w:rPr>
          <w:rFonts w:ascii="Times New Roman" w:hAnsi="Times New Roman" w:cs="Times New Roman"/>
          <w:sz w:val="24"/>
          <w:szCs w:val="24"/>
        </w:rPr>
        <w:t>l</w:t>
      </w:r>
      <w:r w:rsidR="00A160EC" w:rsidRPr="00474A1F">
        <w:rPr>
          <w:rFonts w:ascii="Times New Roman" w:hAnsi="Times New Roman" w:cs="Times New Roman"/>
          <w:sz w:val="24"/>
          <w:szCs w:val="24"/>
        </w:rPr>
        <w:t>as innovaciones</w:t>
      </w:r>
      <w:r w:rsidR="003E2DD6" w:rsidRPr="00474A1F">
        <w:rPr>
          <w:rFonts w:ascii="Times New Roman" w:hAnsi="Times New Roman" w:cs="Times New Roman"/>
          <w:sz w:val="24"/>
          <w:szCs w:val="24"/>
        </w:rPr>
        <w:t xml:space="preserve"> científico-</w:t>
      </w:r>
      <w:r w:rsidR="00A160EC" w:rsidRPr="00474A1F">
        <w:rPr>
          <w:rFonts w:ascii="Times New Roman" w:hAnsi="Times New Roman" w:cs="Times New Roman"/>
          <w:sz w:val="24"/>
          <w:szCs w:val="24"/>
        </w:rPr>
        <w:t xml:space="preserve">tecnológicas, </w:t>
      </w:r>
      <w:r w:rsidR="007F6479" w:rsidRPr="00474A1F">
        <w:rPr>
          <w:rFonts w:ascii="Times New Roman" w:hAnsi="Times New Roman" w:cs="Times New Roman"/>
          <w:sz w:val="24"/>
          <w:szCs w:val="24"/>
        </w:rPr>
        <w:t xml:space="preserve">que </w:t>
      </w:r>
      <w:r w:rsidR="003E2DD6" w:rsidRPr="00474A1F">
        <w:rPr>
          <w:rFonts w:ascii="Times New Roman" w:hAnsi="Times New Roman" w:cs="Times New Roman"/>
          <w:sz w:val="24"/>
          <w:szCs w:val="24"/>
        </w:rPr>
        <w:t xml:space="preserve">la asimilación </w:t>
      </w:r>
      <w:r w:rsidR="00A160EC" w:rsidRPr="00474A1F">
        <w:rPr>
          <w:rFonts w:ascii="Times New Roman" w:hAnsi="Times New Roman" w:cs="Times New Roman"/>
          <w:sz w:val="24"/>
          <w:szCs w:val="24"/>
        </w:rPr>
        <w:t xml:space="preserve">permite observar </w:t>
      </w:r>
      <w:r w:rsidR="003E2DD6" w:rsidRPr="00474A1F">
        <w:rPr>
          <w:rFonts w:ascii="Times New Roman" w:hAnsi="Times New Roman" w:cs="Times New Roman"/>
          <w:sz w:val="24"/>
          <w:szCs w:val="24"/>
        </w:rPr>
        <w:t xml:space="preserve">la velocidad con que las empresas y </w:t>
      </w:r>
      <w:r w:rsidR="00A160EC" w:rsidRPr="00474A1F">
        <w:rPr>
          <w:rFonts w:ascii="Times New Roman" w:hAnsi="Times New Roman" w:cs="Times New Roman"/>
          <w:sz w:val="24"/>
          <w:szCs w:val="24"/>
        </w:rPr>
        <w:t xml:space="preserve">los </w:t>
      </w:r>
      <w:r w:rsidR="003E2DD6" w:rsidRPr="00474A1F">
        <w:rPr>
          <w:rFonts w:ascii="Times New Roman" w:hAnsi="Times New Roman" w:cs="Times New Roman"/>
          <w:sz w:val="24"/>
          <w:szCs w:val="24"/>
        </w:rPr>
        <w:t>países</w:t>
      </w:r>
      <w:r w:rsidR="00A160EC" w:rsidRPr="00474A1F">
        <w:rPr>
          <w:rFonts w:ascii="Times New Roman" w:hAnsi="Times New Roman" w:cs="Times New Roman"/>
          <w:sz w:val="24"/>
          <w:szCs w:val="24"/>
        </w:rPr>
        <w:t xml:space="preserve"> incorporan estos avances tecnológicos</w:t>
      </w:r>
      <w:r w:rsidR="00963D0E" w:rsidRPr="00474A1F">
        <w:rPr>
          <w:rFonts w:ascii="Times New Roman" w:hAnsi="Times New Roman" w:cs="Times New Roman"/>
          <w:sz w:val="24"/>
          <w:szCs w:val="24"/>
        </w:rPr>
        <w:t xml:space="preserve"> en torno </w:t>
      </w:r>
      <w:r w:rsidR="00963D0E" w:rsidRPr="00474A1F">
        <w:rPr>
          <w:rFonts w:ascii="Times New Roman" w:hAnsi="Times New Roman" w:cs="Times New Roman"/>
          <w:sz w:val="24"/>
          <w:szCs w:val="24"/>
        </w:rPr>
        <w:lastRenderedPageBreak/>
        <w:t>a la ciencia y la tecnología, lo que impulsa la investigación</w:t>
      </w:r>
      <w:r w:rsidR="007F6479" w:rsidRPr="00474A1F">
        <w:rPr>
          <w:rFonts w:ascii="Times New Roman" w:hAnsi="Times New Roman" w:cs="Times New Roman"/>
          <w:sz w:val="24"/>
          <w:szCs w:val="24"/>
        </w:rPr>
        <w:t>,</w:t>
      </w:r>
      <w:r w:rsidR="00963D0E" w:rsidRPr="00474A1F">
        <w:rPr>
          <w:rFonts w:ascii="Times New Roman" w:hAnsi="Times New Roman" w:cs="Times New Roman"/>
          <w:sz w:val="24"/>
          <w:szCs w:val="24"/>
        </w:rPr>
        <w:t xml:space="preserve"> el desarrollo y, por </w:t>
      </w:r>
      <w:r w:rsidR="003019AE" w:rsidRPr="00474A1F">
        <w:rPr>
          <w:rFonts w:ascii="Times New Roman" w:hAnsi="Times New Roman" w:cs="Times New Roman"/>
          <w:sz w:val="24"/>
          <w:szCs w:val="24"/>
        </w:rPr>
        <w:t>consiguiente</w:t>
      </w:r>
      <w:r w:rsidR="00963D0E" w:rsidRPr="00474A1F">
        <w:rPr>
          <w:rFonts w:ascii="Times New Roman" w:hAnsi="Times New Roman" w:cs="Times New Roman"/>
          <w:sz w:val="24"/>
          <w:szCs w:val="24"/>
        </w:rPr>
        <w:t>, la innovación.</w:t>
      </w:r>
      <w:r w:rsidR="00F22304" w:rsidRPr="00474A1F">
        <w:rPr>
          <w:rFonts w:ascii="Times New Roman" w:hAnsi="Times New Roman" w:cs="Times New Roman"/>
          <w:sz w:val="24"/>
          <w:szCs w:val="24"/>
        </w:rPr>
        <w:t xml:space="preserve"> </w:t>
      </w:r>
    </w:p>
    <w:p w14:paraId="79143849" w14:textId="728A0DC6" w:rsidR="003E2DD6" w:rsidRPr="00474A1F" w:rsidRDefault="00F22304" w:rsidP="006B73D4">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 xml:space="preserve">Sin embargo, no solo es importante incorporar las innovaciones a las operaciones de las empresas, </w:t>
      </w:r>
      <w:r w:rsidR="00DB38A8" w:rsidRPr="00474A1F">
        <w:rPr>
          <w:rFonts w:ascii="Times New Roman" w:hAnsi="Times New Roman" w:cs="Times New Roman"/>
          <w:sz w:val="24"/>
          <w:szCs w:val="24"/>
        </w:rPr>
        <w:t xml:space="preserve">ya que </w:t>
      </w:r>
      <w:r w:rsidRPr="00474A1F">
        <w:rPr>
          <w:rFonts w:ascii="Times New Roman" w:hAnsi="Times New Roman" w:cs="Times New Roman"/>
          <w:sz w:val="24"/>
          <w:szCs w:val="24"/>
        </w:rPr>
        <w:t xml:space="preserve">esto solo </w:t>
      </w:r>
      <w:r w:rsidR="007F6479" w:rsidRPr="00474A1F">
        <w:rPr>
          <w:rFonts w:ascii="Times New Roman" w:hAnsi="Times New Roman" w:cs="Times New Roman"/>
          <w:sz w:val="24"/>
          <w:szCs w:val="24"/>
        </w:rPr>
        <w:t>generaría</w:t>
      </w:r>
      <w:r w:rsidRPr="00474A1F">
        <w:rPr>
          <w:rFonts w:ascii="Times New Roman" w:hAnsi="Times New Roman" w:cs="Times New Roman"/>
          <w:sz w:val="24"/>
          <w:szCs w:val="24"/>
        </w:rPr>
        <w:t xml:space="preserve"> la adquisición de tecnología</w:t>
      </w:r>
      <w:r w:rsidR="00DB38A8" w:rsidRPr="00474A1F">
        <w:rPr>
          <w:rFonts w:ascii="Times New Roman" w:hAnsi="Times New Roman" w:cs="Times New Roman"/>
          <w:sz w:val="24"/>
          <w:szCs w:val="24"/>
        </w:rPr>
        <w:t>,</w:t>
      </w:r>
      <w:r w:rsidRPr="00474A1F">
        <w:rPr>
          <w:rFonts w:ascii="Times New Roman" w:hAnsi="Times New Roman" w:cs="Times New Roman"/>
          <w:sz w:val="24"/>
          <w:szCs w:val="24"/>
        </w:rPr>
        <w:t xml:space="preserve"> lo que las haría dependientes. </w:t>
      </w:r>
      <w:r w:rsidR="007F6479" w:rsidRPr="00474A1F">
        <w:rPr>
          <w:rFonts w:ascii="Times New Roman" w:hAnsi="Times New Roman" w:cs="Times New Roman"/>
          <w:sz w:val="24"/>
          <w:szCs w:val="24"/>
        </w:rPr>
        <w:t>Por ello, p</w:t>
      </w:r>
      <w:r w:rsidRPr="00474A1F">
        <w:rPr>
          <w:rFonts w:ascii="Times New Roman" w:hAnsi="Times New Roman" w:cs="Times New Roman"/>
          <w:sz w:val="24"/>
          <w:szCs w:val="24"/>
        </w:rPr>
        <w:t xml:space="preserve">ara la innovación </w:t>
      </w:r>
      <w:r w:rsidR="003E2DD6" w:rsidRPr="00474A1F">
        <w:rPr>
          <w:rFonts w:ascii="Times New Roman" w:hAnsi="Times New Roman" w:cs="Times New Roman"/>
          <w:sz w:val="24"/>
          <w:szCs w:val="24"/>
        </w:rPr>
        <w:t xml:space="preserve">resulta importante la creatividad </w:t>
      </w:r>
      <w:r w:rsidR="00AE3D9A" w:rsidRPr="00474A1F">
        <w:rPr>
          <w:rFonts w:ascii="Times New Roman" w:hAnsi="Times New Roman" w:cs="Times New Roman"/>
          <w:sz w:val="24"/>
          <w:szCs w:val="24"/>
        </w:rPr>
        <w:t xml:space="preserve">para </w:t>
      </w:r>
      <w:r w:rsidR="002D650E" w:rsidRPr="00474A1F">
        <w:rPr>
          <w:rFonts w:ascii="Times New Roman" w:hAnsi="Times New Roman" w:cs="Times New Roman"/>
          <w:sz w:val="24"/>
          <w:szCs w:val="24"/>
        </w:rPr>
        <w:t>resolver necesidades</w:t>
      </w:r>
      <w:r w:rsidR="00CD5B8C" w:rsidRPr="00474A1F">
        <w:rPr>
          <w:rFonts w:ascii="Times New Roman" w:hAnsi="Times New Roman" w:cs="Times New Roman"/>
          <w:sz w:val="24"/>
          <w:szCs w:val="24"/>
        </w:rPr>
        <w:t xml:space="preserve"> con elementos propios, sin recurrir a la imitación de estrategias, procedimientos o técnicas. </w:t>
      </w:r>
      <w:r w:rsidR="006B73D4" w:rsidRPr="00474A1F">
        <w:rPr>
          <w:rFonts w:ascii="Times New Roman" w:hAnsi="Times New Roman" w:cs="Times New Roman"/>
          <w:sz w:val="24"/>
          <w:szCs w:val="24"/>
        </w:rPr>
        <w:t xml:space="preserve">De este modo, </w:t>
      </w:r>
      <w:r w:rsidR="003E2DD6" w:rsidRPr="00474A1F">
        <w:rPr>
          <w:rFonts w:ascii="Times New Roman" w:hAnsi="Times New Roman" w:cs="Times New Roman"/>
          <w:sz w:val="24"/>
          <w:szCs w:val="24"/>
        </w:rPr>
        <w:t xml:space="preserve">las innovaciones </w:t>
      </w:r>
      <w:r w:rsidR="006B73D4" w:rsidRPr="00474A1F">
        <w:rPr>
          <w:rFonts w:ascii="Times New Roman" w:hAnsi="Times New Roman" w:cs="Times New Roman"/>
          <w:sz w:val="24"/>
          <w:szCs w:val="24"/>
        </w:rPr>
        <w:t xml:space="preserve">y las transferencias </w:t>
      </w:r>
      <w:r w:rsidR="003E2DD6" w:rsidRPr="00474A1F">
        <w:rPr>
          <w:rFonts w:ascii="Times New Roman" w:hAnsi="Times New Roman" w:cs="Times New Roman"/>
          <w:sz w:val="24"/>
          <w:szCs w:val="24"/>
        </w:rPr>
        <w:t xml:space="preserve">tecnológicas </w:t>
      </w:r>
      <w:r w:rsidR="006B73D4" w:rsidRPr="00474A1F">
        <w:rPr>
          <w:rFonts w:ascii="Times New Roman" w:hAnsi="Times New Roman" w:cs="Times New Roman"/>
          <w:sz w:val="24"/>
          <w:szCs w:val="24"/>
        </w:rPr>
        <w:t>se dan entre centros de investigación, universidades y grandes empresas</w:t>
      </w:r>
      <w:r w:rsidR="007F6479" w:rsidRPr="00474A1F">
        <w:rPr>
          <w:rFonts w:ascii="Times New Roman" w:hAnsi="Times New Roman" w:cs="Times New Roman"/>
          <w:sz w:val="24"/>
          <w:szCs w:val="24"/>
        </w:rPr>
        <w:t>, aunque</w:t>
      </w:r>
      <w:r w:rsidR="006B73D4" w:rsidRPr="00474A1F">
        <w:rPr>
          <w:rFonts w:ascii="Times New Roman" w:hAnsi="Times New Roman" w:cs="Times New Roman"/>
          <w:sz w:val="24"/>
          <w:szCs w:val="24"/>
        </w:rPr>
        <w:t xml:space="preserve"> la transferencia se realiza conforme a los requerimientos de estas </w:t>
      </w:r>
      <w:r w:rsidR="003E2DD6" w:rsidRPr="00474A1F">
        <w:rPr>
          <w:rFonts w:ascii="Times New Roman" w:hAnsi="Times New Roman" w:cs="Times New Roman"/>
          <w:sz w:val="24"/>
          <w:szCs w:val="24"/>
        </w:rPr>
        <w:t>empresas</w:t>
      </w:r>
      <w:r w:rsidR="006B73D4" w:rsidRPr="00474A1F">
        <w:rPr>
          <w:rFonts w:ascii="Times New Roman" w:hAnsi="Times New Roman" w:cs="Times New Roman"/>
          <w:sz w:val="24"/>
          <w:szCs w:val="24"/>
        </w:rPr>
        <w:t xml:space="preserve">, </w:t>
      </w:r>
      <w:r w:rsidR="003E2DD6" w:rsidRPr="00474A1F">
        <w:rPr>
          <w:rFonts w:ascii="Times New Roman" w:hAnsi="Times New Roman" w:cs="Times New Roman"/>
          <w:sz w:val="24"/>
          <w:szCs w:val="24"/>
        </w:rPr>
        <w:t xml:space="preserve">por lo que </w:t>
      </w:r>
      <w:r w:rsidR="006B73D4" w:rsidRPr="00474A1F">
        <w:rPr>
          <w:rFonts w:ascii="Times New Roman" w:hAnsi="Times New Roman" w:cs="Times New Roman"/>
          <w:sz w:val="24"/>
          <w:szCs w:val="24"/>
        </w:rPr>
        <w:t xml:space="preserve">ellas son las propulsoras del conocimiento </w:t>
      </w:r>
      <w:r w:rsidR="003E2DD6" w:rsidRPr="00474A1F">
        <w:rPr>
          <w:rFonts w:ascii="Times New Roman" w:hAnsi="Times New Roman" w:cs="Times New Roman"/>
          <w:sz w:val="24"/>
          <w:szCs w:val="24"/>
        </w:rPr>
        <w:t xml:space="preserve">y </w:t>
      </w:r>
      <w:r w:rsidR="002D650E" w:rsidRPr="00474A1F">
        <w:rPr>
          <w:rFonts w:ascii="Times New Roman" w:hAnsi="Times New Roman" w:cs="Times New Roman"/>
          <w:sz w:val="24"/>
          <w:szCs w:val="24"/>
        </w:rPr>
        <w:t>ejercen control</w:t>
      </w:r>
      <w:r w:rsidR="003E2DD6" w:rsidRPr="00474A1F">
        <w:rPr>
          <w:rFonts w:ascii="Times New Roman" w:hAnsi="Times New Roman" w:cs="Times New Roman"/>
          <w:sz w:val="24"/>
          <w:szCs w:val="24"/>
        </w:rPr>
        <w:t xml:space="preserve"> </w:t>
      </w:r>
      <w:r w:rsidR="007F6479" w:rsidRPr="00474A1F">
        <w:rPr>
          <w:rFonts w:ascii="Times New Roman" w:hAnsi="Times New Roman" w:cs="Times New Roman"/>
          <w:sz w:val="24"/>
          <w:szCs w:val="24"/>
        </w:rPr>
        <w:t>según</w:t>
      </w:r>
      <w:r w:rsidR="00441193" w:rsidRPr="00474A1F">
        <w:rPr>
          <w:rFonts w:ascii="Times New Roman" w:hAnsi="Times New Roman" w:cs="Times New Roman"/>
          <w:sz w:val="24"/>
          <w:szCs w:val="24"/>
        </w:rPr>
        <w:t xml:space="preserve"> </w:t>
      </w:r>
      <w:r w:rsidR="003E2DD6" w:rsidRPr="00474A1F">
        <w:rPr>
          <w:rFonts w:ascii="Times New Roman" w:hAnsi="Times New Roman" w:cs="Times New Roman"/>
          <w:sz w:val="24"/>
          <w:szCs w:val="24"/>
        </w:rPr>
        <w:t xml:space="preserve">sus </w:t>
      </w:r>
      <w:r w:rsidR="00441193" w:rsidRPr="00474A1F">
        <w:rPr>
          <w:rFonts w:ascii="Times New Roman" w:hAnsi="Times New Roman" w:cs="Times New Roman"/>
          <w:sz w:val="24"/>
          <w:szCs w:val="24"/>
        </w:rPr>
        <w:t xml:space="preserve">propios </w:t>
      </w:r>
      <w:r w:rsidR="003E2DD6" w:rsidRPr="00474A1F">
        <w:rPr>
          <w:rFonts w:ascii="Times New Roman" w:hAnsi="Times New Roman" w:cs="Times New Roman"/>
          <w:sz w:val="24"/>
          <w:szCs w:val="24"/>
        </w:rPr>
        <w:t>intereses.</w:t>
      </w:r>
    </w:p>
    <w:p w14:paraId="43CA3460" w14:textId="23698768" w:rsidR="003E2DD6" w:rsidRPr="00474A1F" w:rsidRDefault="007F6479" w:rsidP="006B73D4">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En síntesis</w:t>
      </w:r>
      <w:r w:rsidR="006B73D4" w:rsidRPr="00474A1F">
        <w:rPr>
          <w:rFonts w:ascii="Times New Roman" w:hAnsi="Times New Roman" w:cs="Times New Roman"/>
          <w:sz w:val="24"/>
          <w:szCs w:val="24"/>
        </w:rPr>
        <w:t xml:space="preserve">, los resultados </w:t>
      </w:r>
      <w:r w:rsidR="00D15769" w:rsidRPr="00474A1F">
        <w:rPr>
          <w:rFonts w:ascii="Times New Roman" w:hAnsi="Times New Roman" w:cs="Times New Roman"/>
          <w:sz w:val="24"/>
          <w:szCs w:val="24"/>
        </w:rPr>
        <w:t xml:space="preserve">encontrados </w:t>
      </w:r>
      <w:r w:rsidR="006B73D4" w:rsidRPr="00474A1F">
        <w:rPr>
          <w:rFonts w:ascii="Times New Roman" w:hAnsi="Times New Roman" w:cs="Times New Roman"/>
          <w:sz w:val="24"/>
          <w:szCs w:val="24"/>
        </w:rPr>
        <w:t xml:space="preserve">por la estimación </w:t>
      </w:r>
      <w:r w:rsidR="00814486" w:rsidRPr="00474A1F">
        <w:rPr>
          <w:rFonts w:ascii="Times New Roman" w:hAnsi="Times New Roman" w:cs="Times New Roman"/>
          <w:sz w:val="24"/>
          <w:szCs w:val="24"/>
        </w:rPr>
        <w:t>econométrica</w:t>
      </w:r>
      <w:r w:rsidR="006B73D4" w:rsidRPr="00474A1F">
        <w:rPr>
          <w:rFonts w:ascii="Times New Roman" w:hAnsi="Times New Roman" w:cs="Times New Roman"/>
          <w:sz w:val="24"/>
          <w:szCs w:val="24"/>
        </w:rPr>
        <w:t xml:space="preserve"> muestran </w:t>
      </w:r>
      <w:r w:rsidR="002D650E" w:rsidRPr="00474A1F">
        <w:rPr>
          <w:rFonts w:ascii="Times New Roman" w:hAnsi="Times New Roman" w:cs="Times New Roman"/>
          <w:sz w:val="24"/>
          <w:szCs w:val="24"/>
        </w:rPr>
        <w:t>que los</w:t>
      </w:r>
      <w:r w:rsidR="006B73D4" w:rsidRPr="00474A1F">
        <w:rPr>
          <w:rFonts w:ascii="Times New Roman" w:hAnsi="Times New Roman" w:cs="Times New Roman"/>
          <w:sz w:val="24"/>
          <w:szCs w:val="24"/>
        </w:rPr>
        <w:t xml:space="preserve"> </w:t>
      </w:r>
      <w:r w:rsidR="00E80226" w:rsidRPr="00474A1F">
        <w:rPr>
          <w:rFonts w:ascii="Times New Roman" w:hAnsi="Times New Roman" w:cs="Times New Roman"/>
          <w:sz w:val="24"/>
          <w:szCs w:val="24"/>
        </w:rPr>
        <w:t xml:space="preserve">factores </w:t>
      </w:r>
      <w:r w:rsidR="006B73D4" w:rsidRPr="00474A1F">
        <w:rPr>
          <w:rFonts w:ascii="Times New Roman" w:hAnsi="Times New Roman" w:cs="Times New Roman"/>
          <w:sz w:val="24"/>
          <w:szCs w:val="24"/>
        </w:rPr>
        <w:t>estudiad</w:t>
      </w:r>
      <w:r w:rsidR="00E80226" w:rsidRPr="00474A1F">
        <w:rPr>
          <w:rFonts w:ascii="Times New Roman" w:hAnsi="Times New Roman" w:cs="Times New Roman"/>
          <w:sz w:val="24"/>
          <w:szCs w:val="24"/>
        </w:rPr>
        <w:t>o</w:t>
      </w:r>
      <w:r w:rsidR="006B73D4" w:rsidRPr="00474A1F">
        <w:rPr>
          <w:rFonts w:ascii="Times New Roman" w:hAnsi="Times New Roman" w:cs="Times New Roman"/>
          <w:sz w:val="24"/>
          <w:szCs w:val="24"/>
        </w:rPr>
        <w:t xml:space="preserve">s son consistentes con </w:t>
      </w:r>
      <w:r w:rsidR="00E80226" w:rsidRPr="00474A1F">
        <w:rPr>
          <w:rFonts w:ascii="Times New Roman" w:hAnsi="Times New Roman" w:cs="Times New Roman"/>
          <w:sz w:val="24"/>
          <w:szCs w:val="24"/>
        </w:rPr>
        <w:t xml:space="preserve">otras investigaciones </w:t>
      </w:r>
      <w:r w:rsidR="006B73D4" w:rsidRPr="00474A1F">
        <w:rPr>
          <w:rFonts w:ascii="Times New Roman" w:hAnsi="Times New Roman" w:cs="Times New Roman"/>
          <w:sz w:val="24"/>
          <w:szCs w:val="24"/>
        </w:rPr>
        <w:t>mencionad</w:t>
      </w:r>
      <w:r w:rsidR="00E80226" w:rsidRPr="00474A1F">
        <w:rPr>
          <w:rFonts w:ascii="Times New Roman" w:hAnsi="Times New Roman" w:cs="Times New Roman"/>
          <w:sz w:val="24"/>
          <w:szCs w:val="24"/>
        </w:rPr>
        <w:t>as</w:t>
      </w:r>
      <w:r w:rsidR="006B73D4" w:rsidRPr="00474A1F">
        <w:rPr>
          <w:rFonts w:ascii="Times New Roman" w:hAnsi="Times New Roman" w:cs="Times New Roman"/>
          <w:sz w:val="24"/>
          <w:szCs w:val="24"/>
        </w:rPr>
        <w:t xml:space="preserve"> anteriormente</w:t>
      </w:r>
      <w:r w:rsidRPr="00474A1F">
        <w:rPr>
          <w:rFonts w:ascii="Times New Roman" w:hAnsi="Times New Roman" w:cs="Times New Roman"/>
          <w:sz w:val="24"/>
          <w:szCs w:val="24"/>
        </w:rPr>
        <w:t xml:space="preserve"> y</w:t>
      </w:r>
      <w:r w:rsidR="00E80226" w:rsidRPr="00474A1F">
        <w:rPr>
          <w:rFonts w:ascii="Times New Roman" w:hAnsi="Times New Roman" w:cs="Times New Roman"/>
          <w:sz w:val="24"/>
          <w:szCs w:val="24"/>
        </w:rPr>
        <w:t xml:space="preserve"> corrobora</w:t>
      </w:r>
      <w:r w:rsidRPr="00474A1F">
        <w:rPr>
          <w:rFonts w:ascii="Times New Roman" w:hAnsi="Times New Roman" w:cs="Times New Roman"/>
          <w:sz w:val="24"/>
          <w:szCs w:val="24"/>
        </w:rPr>
        <w:t>n</w:t>
      </w:r>
      <w:r w:rsidR="00E80226" w:rsidRPr="00474A1F">
        <w:rPr>
          <w:rFonts w:ascii="Times New Roman" w:hAnsi="Times New Roman" w:cs="Times New Roman"/>
          <w:sz w:val="24"/>
          <w:szCs w:val="24"/>
        </w:rPr>
        <w:t xml:space="preserve"> </w:t>
      </w:r>
      <w:r w:rsidR="006B73D4" w:rsidRPr="00474A1F">
        <w:rPr>
          <w:rFonts w:ascii="Times New Roman" w:hAnsi="Times New Roman" w:cs="Times New Roman"/>
          <w:sz w:val="24"/>
          <w:szCs w:val="24"/>
        </w:rPr>
        <w:t xml:space="preserve">lo predicho por los modelos de </w:t>
      </w:r>
      <w:r w:rsidR="00E80226" w:rsidRPr="00474A1F">
        <w:rPr>
          <w:rFonts w:ascii="Times New Roman" w:hAnsi="Times New Roman" w:cs="Times New Roman"/>
          <w:sz w:val="24"/>
          <w:szCs w:val="24"/>
        </w:rPr>
        <w:t>innovación tecnológica</w:t>
      </w:r>
      <w:r w:rsidR="006B73D4" w:rsidRPr="00474A1F">
        <w:rPr>
          <w:rFonts w:ascii="Times New Roman" w:hAnsi="Times New Roman" w:cs="Times New Roman"/>
          <w:sz w:val="24"/>
          <w:szCs w:val="24"/>
        </w:rPr>
        <w:t xml:space="preserve">, ya que </w:t>
      </w:r>
      <w:r w:rsidR="00814486" w:rsidRPr="00474A1F">
        <w:rPr>
          <w:rFonts w:ascii="Times New Roman" w:hAnsi="Times New Roman" w:cs="Times New Roman"/>
          <w:sz w:val="24"/>
          <w:szCs w:val="24"/>
        </w:rPr>
        <w:t>a</w:t>
      </w:r>
      <w:r w:rsidR="006B73D4" w:rsidRPr="00474A1F">
        <w:rPr>
          <w:rFonts w:ascii="Times New Roman" w:hAnsi="Times New Roman" w:cs="Times New Roman"/>
          <w:sz w:val="24"/>
          <w:szCs w:val="24"/>
        </w:rPr>
        <w:t xml:space="preserve"> mayor </w:t>
      </w:r>
      <w:r w:rsidR="00814486" w:rsidRPr="00474A1F">
        <w:rPr>
          <w:rFonts w:ascii="Times New Roman" w:hAnsi="Times New Roman" w:cs="Times New Roman"/>
          <w:sz w:val="24"/>
          <w:szCs w:val="24"/>
        </w:rPr>
        <w:t xml:space="preserve">relación entre </w:t>
      </w:r>
      <w:r w:rsidR="00814486" w:rsidRPr="00474A1F">
        <w:rPr>
          <w:rFonts w:ascii="Times New Roman" w:hAnsi="Times New Roman" w:cs="Times New Roman"/>
          <w:sz w:val="24"/>
        </w:rPr>
        <w:t>universidades, centros de investigación</w:t>
      </w:r>
      <w:r w:rsidR="00814486" w:rsidRPr="00474A1F">
        <w:rPr>
          <w:rFonts w:ascii="Times New Roman" w:hAnsi="Times New Roman" w:cs="Times New Roman"/>
          <w:sz w:val="24"/>
          <w:szCs w:val="24"/>
        </w:rPr>
        <w:t xml:space="preserve"> y grandes </w:t>
      </w:r>
      <w:r w:rsidR="00814486" w:rsidRPr="00474A1F">
        <w:rPr>
          <w:rFonts w:ascii="Times New Roman" w:hAnsi="Times New Roman" w:cs="Times New Roman"/>
          <w:sz w:val="24"/>
        </w:rPr>
        <w:t xml:space="preserve">empresas </w:t>
      </w:r>
      <w:r w:rsidR="00DB38A8" w:rsidRPr="00474A1F">
        <w:rPr>
          <w:rFonts w:ascii="Times New Roman" w:hAnsi="Times New Roman" w:cs="Times New Roman"/>
          <w:sz w:val="24"/>
        </w:rPr>
        <w:t xml:space="preserve">se </w:t>
      </w:r>
      <w:r w:rsidR="006B73D4" w:rsidRPr="00474A1F">
        <w:rPr>
          <w:rFonts w:ascii="Times New Roman" w:hAnsi="Times New Roman" w:cs="Times New Roman"/>
          <w:sz w:val="24"/>
          <w:szCs w:val="24"/>
        </w:rPr>
        <w:t>tiene</w:t>
      </w:r>
      <w:r w:rsidR="00DB38A8" w:rsidRPr="00474A1F">
        <w:rPr>
          <w:rFonts w:ascii="Times New Roman" w:hAnsi="Times New Roman" w:cs="Times New Roman"/>
          <w:sz w:val="24"/>
          <w:szCs w:val="24"/>
        </w:rPr>
        <w:t>n</w:t>
      </w:r>
      <w:r w:rsidR="006B73D4" w:rsidRPr="00474A1F">
        <w:rPr>
          <w:rFonts w:ascii="Times New Roman" w:hAnsi="Times New Roman" w:cs="Times New Roman"/>
          <w:sz w:val="24"/>
          <w:szCs w:val="24"/>
        </w:rPr>
        <w:t xml:space="preserve"> efectos positivos y significativos en </w:t>
      </w:r>
      <w:r w:rsidR="00814486" w:rsidRPr="00474A1F">
        <w:rPr>
          <w:rFonts w:ascii="Times New Roman" w:hAnsi="Times New Roman" w:cs="Times New Roman"/>
          <w:sz w:val="24"/>
          <w:szCs w:val="24"/>
        </w:rPr>
        <w:t>la innovación tecnológica</w:t>
      </w:r>
      <w:r w:rsidR="006B73D4" w:rsidRPr="00474A1F">
        <w:rPr>
          <w:rFonts w:ascii="Times New Roman" w:hAnsi="Times New Roman" w:cs="Times New Roman"/>
          <w:sz w:val="24"/>
          <w:szCs w:val="24"/>
        </w:rPr>
        <w:t>.</w:t>
      </w:r>
    </w:p>
    <w:p w14:paraId="353F4E34" w14:textId="77777777" w:rsidR="007F6479" w:rsidRPr="00474A1F" w:rsidRDefault="007F6479" w:rsidP="006B73D4">
      <w:pPr>
        <w:spacing w:after="0" w:line="360" w:lineRule="auto"/>
        <w:ind w:firstLine="708"/>
        <w:jc w:val="both"/>
        <w:rPr>
          <w:rFonts w:ascii="Times New Roman" w:hAnsi="Times New Roman" w:cs="Times New Roman"/>
          <w:sz w:val="24"/>
          <w:szCs w:val="24"/>
        </w:rPr>
      </w:pPr>
    </w:p>
    <w:p w14:paraId="62754DEE" w14:textId="6A243E41" w:rsidR="00E53C74" w:rsidRPr="000449BC" w:rsidRDefault="00E53C74" w:rsidP="000449BC">
      <w:pPr>
        <w:pStyle w:val="Ttulo1"/>
        <w:jc w:val="center"/>
        <w:rPr>
          <w:sz w:val="32"/>
          <w:szCs w:val="32"/>
          <w:lang w:val="es-ES"/>
        </w:rPr>
      </w:pPr>
      <w:r w:rsidRPr="000449BC">
        <w:rPr>
          <w:sz w:val="32"/>
          <w:szCs w:val="32"/>
          <w:lang w:val="es-ES"/>
        </w:rPr>
        <w:t>Conclusiones</w:t>
      </w:r>
    </w:p>
    <w:p w14:paraId="5922D119" w14:textId="3E110A2E" w:rsidR="00CF6A58" w:rsidRPr="00474A1F" w:rsidRDefault="00CF6A58" w:rsidP="00196F77">
      <w:pPr>
        <w:spacing w:after="0" w:line="360" w:lineRule="auto"/>
        <w:ind w:firstLine="708"/>
        <w:jc w:val="both"/>
        <w:rPr>
          <w:rFonts w:ascii="Times New Roman" w:hAnsi="Times New Roman" w:cs="Times New Roman"/>
          <w:sz w:val="24"/>
          <w:szCs w:val="24"/>
          <w:highlight w:val="yellow"/>
        </w:rPr>
      </w:pPr>
      <w:r w:rsidRPr="00474A1F">
        <w:rPr>
          <w:rFonts w:ascii="Times New Roman" w:hAnsi="Times New Roman" w:cs="Times New Roman"/>
          <w:sz w:val="24"/>
          <w:szCs w:val="24"/>
        </w:rPr>
        <w:t>El objetivo de est</w:t>
      </w:r>
      <w:r w:rsidR="00B975C6" w:rsidRPr="00474A1F">
        <w:rPr>
          <w:rFonts w:ascii="Times New Roman" w:hAnsi="Times New Roman" w:cs="Times New Roman"/>
          <w:sz w:val="24"/>
          <w:szCs w:val="24"/>
        </w:rPr>
        <w:t xml:space="preserve">a investigación </w:t>
      </w:r>
      <w:r w:rsidRPr="00474A1F">
        <w:rPr>
          <w:rFonts w:ascii="Times New Roman" w:hAnsi="Times New Roman" w:cs="Times New Roman"/>
          <w:sz w:val="24"/>
          <w:szCs w:val="24"/>
        </w:rPr>
        <w:t xml:space="preserve">fue analizar el papel que juega </w:t>
      </w:r>
      <w:r w:rsidR="00BC73AF" w:rsidRPr="00474A1F">
        <w:rPr>
          <w:rFonts w:ascii="Times New Roman" w:eastAsia="Times New Roman" w:hAnsi="Times New Roman" w:cs="Times New Roman"/>
          <w:color w:val="000000"/>
          <w:sz w:val="24"/>
          <w:szCs w:val="24"/>
          <w:lang w:eastAsia="es-MX"/>
        </w:rPr>
        <w:t xml:space="preserve">la </w:t>
      </w:r>
      <w:r w:rsidR="00EE7955" w:rsidRPr="00474A1F">
        <w:rPr>
          <w:rFonts w:ascii="Times New Roman" w:eastAsia="Times New Roman" w:hAnsi="Times New Roman" w:cs="Times New Roman"/>
          <w:color w:val="000000"/>
          <w:sz w:val="24"/>
          <w:szCs w:val="24"/>
          <w:lang w:eastAsia="es-MX"/>
        </w:rPr>
        <w:t xml:space="preserve">transferencia de conocimientos desde las </w:t>
      </w:r>
      <w:r w:rsidR="00BC73AF" w:rsidRPr="00474A1F">
        <w:rPr>
          <w:rFonts w:ascii="Times New Roman" w:eastAsia="Times New Roman" w:hAnsi="Times New Roman" w:cs="Times New Roman"/>
          <w:color w:val="000000"/>
          <w:sz w:val="24"/>
          <w:szCs w:val="24"/>
          <w:lang w:eastAsia="es-MX"/>
        </w:rPr>
        <w:t xml:space="preserve">universidades en la determinación de la </w:t>
      </w:r>
      <w:r w:rsidRPr="00474A1F">
        <w:rPr>
          <w:rFonts w:ascii="Times New Roman" w:hAnsi="Times New Roman" w:cs="Times New Roman"/>
          <w:sz w:val="24"/>
          <w:szCs w:val="24"/>
        </w:rPr>
        <w:t xml:space="preserve">innovación </w:t>
      </w:r>
      <w:r w:rsidR="00EE7955" w:rsidRPr="00474A1F">
        <w:rPr>
          <w:rFonts w:ascii="Times New Roman" w:hAnsi="Times New Roman" w:cs="Times New Roman"/>
          <w:sz w:val="24"/>
          <w:szCs w:val="24"/>
        </w:rPr>
        <w:t xml:space="preserve">tecnológica </w:t>
      </w:r>
      <w:r w:rsidR="00BC73AF" w:rsidRPr="00474A1F">
        <w:rPr>
          <w:rFonts w:ascii="Times New Roman" w:hAnsi="Times New Roman" w:cs="Times New Roman"/>
          <w:sz w:val="24"/>
          <w:szCs w:val="24"/>
        </w:rPr>
        <w:t>en México</w:t>
      </w:r>
      <w:r w:rsidRPr="00474A1F">
        <w:rPr>
          <w:rFonts w:ascii="Times New Roman" w:hAnsi="Times New Roman" w:cs="Times New Roman"/>
          <w:sz w:val="24"/>
          <w:szCs w:val="24"/>
        </w:rPr>
        <w:t xml:space="preserve">. </w:t>
      </w:r>
      <w:r w:rsidR="00DB38A8" w:rsidRPr="00474A1F">
        <w:rPr>
          <w:rFonts w:ascii="Times New Roman" w:hAnsi="Times New Roman" w:cs="Times New Roman"/>
          <w:sz w:val="24"/>
          <w:szCs w:val="24"/>
        </w:rPr>
        <w:t>Para esto s</w:t>
      </w:r>
      <w:r w:rsidRPr="00474A1F">
        <w:rPr>
          <w:rFonts w:ascii="Times New Roman" w:hAnsi="Times New Roman" w:cs="Times New Roman"/>
          <w:sz w:val="24"/>
          <w:szCs w:val="24"/>
        </w:rPr>
        <w:t xml:space="preserve">e </w:t>
      </w:r>
      <w:r w:rsidR="00EE7955" w:rsidRPr="00474A1F">
        <w:rPr>
          <w:rFonts w:ascii="Times New Roman" w:hAnsi="Times New Roman" w:cs="Times New Roman"/>
          <w:sz w:val="24"/>
          <w:szCs w:val="24"/>
        </w:rPr>
        <w:t xml:space="preserve">aplicó </w:t>
      </w:r>
      <w:r w:rsidRPr="00474A1F">
        <w:rPr>
          <w:rFonts w:ascii="Times New Roman" w:hAnsi="Times New Roman" w:cs="Times New Roman"/>
          <w:sz w:val="24"/>
          <w:szCs w:val="24"/>
        </w:rPr>
        <w:t xml:space="preserve">un modelo econométrico de MCO </w:t>
      </w:r>
      <w:r w:rsidR="00BB1992" w:rsidRPr="00474A1F">
        <w:rPr>
          <w:rFonts w:ascii="Times New Roman" w:hAnsi="Times New Roman" w:cs="Times New Roman"/>
          <w:sz w:val="24"/>
          <w:szCs w:val="24"/>
        </w:rPr>
        <w:t>que procuró</w:t>
      </w:r>
      <w:r w:rsidRPr="00474A1F">
        <w:rPr>
          <w:rFonts w:ascii="Times New Roman" w:hAnsi="Times New Roman" w:cs="Times New Roman"/>
          <w:sz w:val="24"/>
          <w:szCs w:val="24"/>
        </w:rPr>
        <w:t xml:space="preserve"> estimar la función de </w:t>
      </w:r>
      <w:r w:rsidR="00EE7955" w:rsidRPr="00474A1F">
        <w:rPr>
          <w:rFonts w:ascii="Times New Roman" w:hAnsi="Times New Roman" w:cs="Times New Roman"/>
          <w:sz w:val="24"/>
          <w:szCs w:val="24"/>
        </w:rPr>
        <w:t>la transferencia de conocimientos</w:t>
      </w:r>
      <w:r w:rsidRPr="00474A1F">
        <w:rPr>
          <w:rFonts w:ascii="Times New Roman" w:hAnsi="Times New Roman" w:cs="Times New Roman"/>
          <w:sz w:val="24"/>
          <w:szCs w:val="24"/>
        </w:rPr>
        <w:t xml:space="preserve">; asimismo, se </w:t>
      </w:r>
      <w:r w:rsidR="001F7A42" w:rsidRPr="00474A1F">
        <w:rPr>
          <w:rFonts w:ascii="Times New Roman" w:hAnsi="Times New Roman" w:cs="Times New Roman"/>
          <w:sz w:val="24"/>
          <w:szCs w:val="24"/>
        </w:rPr>
        <w:t xml:space="preserve">agruparon </w:t>
      </w:r>
      <w:r w:rsidRPr="00474A1F">
        <w:rPr>
          <w:rFonts w:ascii="Times New Roman" w:hAnsi="Times New Roman" w:cs="Times New Roman"/>
          <w:sz w:val="24"/>
          <w:szCs w:val="24"/>
        </w:rPr>
        <w:t xml:space="preserve">datos </w:t>
      </w:r>
      <w:r w:rsidR="001F7A42" w:rsidRPr="00474A1F">
        <w:rPr>
          <w:rFonts w:ascii="Times New Roman" w:hAnsi="Times New Roman" w:cs="Times New Roman"/>
          <w:sz w:val="24"/>
          <w:szCs w:val="24"/>
        </w:rPr>
        <w:t xml:space="preserve">tipo </w:t>
      </w:r>
      <w:r w:rsidRPr="00474A1F">
        <w:rPr>
          <w:rFonts w:ascii="Times New Roman" w:hAnsi="Times New Roman" w:cs="Times New Roman"/>
          <w:sz w:val="24"/>
          <w:szCs w:val="24"/>
        </w:rPr>
        <w:t xml:space="preserve">panel </w:t>
      </w:r>
      <w:r w:rsidR="00196F77" w:rsidRPr="00474A1F">
        <w:rPr>
          <w:rFonts w:ascii="Times New Roman" w:hAnsi="Times New Roman" w:cs="Times New Roman"/>
          <w:sz w:val="24"/>
          <w:szCs w:val="24"/>
        </w:rPr>
        <w:t xml:space="preserve">(en el periodo 2005-2017) </w:t>
      </w:r>
      <w:r w:rsidR="001F7A42" w:rsidRPr="00474A1F">
        <w:rPr>
          <w:rFonts w:ascii="Times New Roman" w:hAnsi="Times New Roman" w:cs="Times New Roman"/>
          <w:sz w:val="24"/>
          <w:szCs w:val="24"/>
        </w:rPr>
        <w:t xml:space="preserve">con las variables </w:t>
      </w:r>
      <w:r w:rsidR="00196F77" w:rsidRPr="00474A1F">
        <w:rPr>
          <w:rFonts w:ascii="Times New Roman" w:hAnsi="Times New Roman" w:cs="Times New Roman"/>
          <w:sz w:val="24"/>
          <w:szCs w:val="24"/>
        </w:rPr>
        <w:t>pymes</w:t>
      </w:r>
      <w:r w:rsidR="001F7A42" w:rsidRPr="00474A1F">
        <w:rPr>
          <w:rFonts w:ascii="Times New Roman" w:hAnsi="Times New Roman" w:cs="Times New Roman"/>
          <w:sz w:val="24"/>
          <w:szCs w:val="24"/>
        </w:rPr>
        <w:t>, grandes empresas, universidades, centros de investigación e investigadores</w:t>
      </w:r>
      <w:r w:rsidRPr="00474A1F">
        <w:rPr>
          <w:rFonts w:ascii="Times New Roman" w:hAnsi="Times New Roman" w:cs="Times New Roman"/>
          <w:sz w:val="24"/>
          <w:szCs w:val="24"/>
        </w:rPr>
        <w:t>.</w:t>
      </w:r>
    </w:p>
    <w:p w14:paraId="27BC998E" w14:textId="72B69F08" w:rsidR="00CF6A58" w:rsidRPr="00474A1F" w:rsidRDefault="00CF6A58" w:rsidP="00CF6A58">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t xml:space="preserve">De los resultados </w:t>
      </w:r>
      <w:r w:rsidR="001504E9" w:rsidRPr="00474A1F">
        <w:rPr>
          <w:rFonts w:ascii="Times New Roman" w:hAnsi="Times New Roman" w:cs="Times New Roman"/>
          <w:sz w:val="24"/>
          <w:szCs w:val="24"/>
        </w:rPr>
        <w:t>arrojados en esta investigación</w:t>
      </w:r>
      <w:r w:rsidR="00DB38A8" w:rsidRPr="00474A1F">
        <w:rPr>
          <w:rFonts w:ascii="Times New Roman" w:hAnsi="Times New Roman" w:cs="Times New Roman"/>
          <w:sz w:val="24"/>
          <w:szCs w:val="24"/>
        </w:rPr>
        <w:t>,</w:t>
      </w:r>
      <w:r w:rsidR="001504E9" w:rsidRPr="00474A1F">
        <w:rPr>
          <w:rFonts w:ascii="Times New Roman" w:hAnsi="Times New Roman" w:cs="Times New Roman"/>
          <w:sz w:val="24"/>
          <w:szCs w:val="24"/>
        </w:rPr>
        <w:t xml:space="preserve"> se muestra claramente </w:t>
      </w:r>
      <w:r w:rsidRPr="00474A1F">
        <w:rPr>
          <w:rFonts w:ascii="Times New Roman" w:hAnsi="Times New Roman" w:cs="Times New Roman"/>
          <w:sz w:val="24"/>
          <w:szCs w:val="24"/>
        </w:rPr>
        <w:t xml:space="preserve">que los postulados </w:t>
      </w:r>
      <w:r w:rsidR="001504E9" w:rsidRPr="00474A1F">
        <w:rPr>
          <w:rFonts w:ascii="Times New Roman" w:hAnsi="Times New Roman" w:cs="Times New Roman"/>
          <w:sz w:val="24"/>
          <w:szCs w:val="24"/>
        </w:rPr>
        <w:t xml:space="preserve">planteados por los modelos de innovación tecnológica </w:t>
      </w:r>
      <w:r w:rsidRPr="00474A1F">
        <w:rPr>
          <w:rFonts w:ascii="Times New Roman" w:hAnsi="Times New Roman" w:cs="Times New Roman"/>
          <w:sz w:val="24"/>
          <w:szCs w:val="24"/>
        </w:rPr>
        <w:t xml:space="preserve">se cumplen </w:t>
      </w:r>
      <w:r w:rsidR="00196F77" w:rsidRPr="00474A1F">
        <w:rPr>
          <w:rFonts w:ascii="Times New Roman" w:hAnsi="Times New Roman" w:cs="Times New Roman"/>
          <w:sz w:val="24"/>
          <w:szCs w:val="24"/>
        </w:rPr>
        <w:t xml:space="preserve">de manera </w:t>
      </w:r>
      <w:r w:rsidRPr="00474A1F">
        <w:rPr>
          <w:rFonts w:ascii="Times New Roman" w:hAnsi="Times New Roman" w:cs="Times New Roman"/>
          <w:sz w:val="24"/>
          <w:szCs w:val="24"/>
        </w:rPr>
        <w:t>significativa</w:t>
      </w:r>
      <w:r w:rsidR="001504E9" w:rsidRPr="00474A1F">
        <w:rPr>
          <w:rFonts w:ascii="Times New Roman" w:hAnsi="Times New Roman" w:cs="Times New Roman"/>
          <w:sz w:val="24"/>
          <w:szCs w:val="24"/>
        </w:rPr>
        <w:t xml:space="preserve"> y positiva</w:t>
      </w:r>
      <w:r w:rsidRPr="00474A1F">
        <w:rPr>
          <w:rFonts w:ascii="Times New Roman" w:hAnsi="Times New Roman" w:cs="Times New Roman"/>
          <w:sz w:val="24"/>
          <w:szCs w:val="24"/>
        </w:rPr>
        <w:t xml:space="preserve"> </w:t>
      </w:r>
      <w:r w:rsidR="001504E9" w:rsidRPr="00474A1F">
        <w:rPr>
          <w:rFonts w:ascii="Times New Roman" w:hAnsi="Times New Roman" w:cs="Times New Roman"/>
          <w:sz w:val="24"/>
          <w:szCs w:val="24"/>
        </w:rPr>
        <w:t xml:space="preserve">en </w:t>
      </w:r>
      <w:r w:rsidRPr="00474A1F">
        <w:rPr>
          <w:rFonts w:ascii="Times New Roman" w:hAnsi="Times New Roman" w:cs="Times New Roman"/>
          <w:sz w:val="24"/>
          <w:szCs w:val="24"/>
        </w:rPr>
        <w:t>el caso de México. Los resultados econométricos de la función de innovación proporcionan evidencia empírica suficiente del papel relevante de</w:t>
      </w:r>
      <w:r w:rsidR="001504E9" w:rsidRPr="00474A1F">
        <w:rPr>
          <w:rFonts w:ascii="Times New Roman" w:hAnsi="Times New Roman" w:cs="Times New Roman"/>
          <w:sz w:val="24"/>
          <w:szCs w:val="24"/>
        </w:rPr>
        <w:t xml:space="preserve"> </w:t>
      </w:r>
      <w:r w:rsidRPr="00474A1F">
        <w:rPr>
          <w:rFonts w:ascii="Times New Roman" w:hAnsi="Times New Roman" w:cs="Times New Roman"/>
          <w:sz w:val="24"/>
          <w:szCs w:val="24"/>
        </w:rPr>
        <w:t>l</w:t>
      </w:r>
      <w:r w:rsidR="001504E9" w:rsidRPr="00474A1F">
        <w:rPr>
          <w:rFonts w:ascii="Times New Roman" w:hAnsi="Times New Roman" w:cs="Times New Roman"/>
          <w:sz w:val="24"/>
          <w:szCs w:val="24"/>
        </w:rPr>
        <w:t>as universidades, los centros de investigación</w:t>
      </w:r>
      <w:r w:rsidRPr="00474A1F">
        <w:rPr>
          <w:rFonts w:ascii="Times New Roman" w:hAnsi="Times New Roman" w:cs="Times New Roman"/>
          <w:sz w:val="24"/>
          <w:szCs w:val="24"/>
        </w:rPr>
        <w:t> </w:t>
      </w:r>
      <w:r w:rsidR="001504E9" w:rsidRPr="00474A1F">
        <w:rPr>
          <w:rFonts w:ascii="Times New Roman" w:hAnsi="Times New Roman" w:cs="Times New Roman"/>
          <w:sz w:val="24"/>
          <w:szCs w:val="24"/>
        </w:rPr>
        <w:t xml:space="preserve">y las grandes empresas </w:t>
      </w:r>
      <w:r w:rsidRPr="00474A1F">
        <w:rPr>
          <w:rFonts w:ascii="Times New Roman" w:hAnsi="Times New Roman" w:cs="Times New Roman"/>
          <w:sz w:val="24"/>
          <w:szCs w:val="24"/>
        </w:rPr>
        <w:t>en la generación de innovaciones</w:t>
      </w:r>
      <w:r w:rsidR="00196F77" w:rsidRPr="00474A1F">
        <w:rPr>
          <w:rFonts w:ascii="Times New Roman" w:hAnsi="Times New Roman" w:cs="Times New Roman"/>
          <w:sz w:val="24"/>
          <w:szCs w:val="24"/>
        </w:rPr>
        <w:t>,</w:t>
      </w:r>
      <w:r w:rsidRPr="00474A1F">
        <w:rPr>
          <w:rFonts w:ascii="Times New Roman" w:hAnsi="Times New Roman" w:cs="Times New Roman"/>
          <w:sz w:val="24"/>
          <w:szCs w:val="24"/>
        </w:rPr>
        <w:t xml:space="preserve"> situación que es postulada </w:t>
      </w:r>
      <w:r w:rsidR="005A46FD" w:rsidRPr="00474A1F">
        <w:rPr>
          <w:rFonts w:ascii="Times New Roman" w:hAnsi="Times New Roman" w:cs="Times New Roman"/>
          <w:sz w:val="24"/>
          <w:szCs w:val="24"/>
        </w:rPr>
        <w:t>en diversas investigaciones referidas</w:t>
      </w:r>
      <w:r w:rsidRPr="00474A1F">
        <w:rPr>
          <w:rFonts w:ascii="Times New Roman" w:hAnsi="Times New Roman" w:cs="Times New Roman"/>
          <w:sz w:val="24"/>
          <w:szCs w:val="24"/>
        </w:rPr>
        <w:t>.</w:t>
      </w:r>
    </w:p>
    <w:p w14:paraId="11D2C1ED" w14:textId="462D3058" w:rsidR="00E53C74" w:rsidRPr="00474A1F" w:rsidRDefault="003D7EB9" w:rsidP="00431DAE">
      <w:pPr>
        <w:spacing w:after="0" w:line="360" w:lineRule="auto"/>
        <w:ind w:firstLine="708"/>
        <w:jc w:val="both"/>
        <w:rPr>
          <w:rFonts w:ascii="Times New Roman" w:hAnsi="Times New Roman" w:cs="Times New Roman"/>
          <w:sz w:val="24"/>
          <w:szCs w:val="24"/>
        </w:rPr>
      </w:pPr>
      <w:r w:rsidRPr="00474A1F">
        <w:rPr>
          <w:rFonts w:ascii="Times New Roman" w:hAnsi="Times New Roman" w:cs="Times New Roman"/>
          <w:sz w:val="24"/>
          <w:szCs w:val="24"/>
        </w:rPr>
        <w:lastRenderedPageBreak/>
        <w:t>Finalmente, con base en los resultados obtenidos del análisis empírico de la función de la</w:t>
      </w:r>
      <w:r w:rsidR="00431DAE" w:rsidRPr="00474A1F">
        <w:rPr>
          <w:rFonts w:ascii="Times New Roman" w:hAnsi="Times New Roman" w:cs="Times New Roman"/>
          <w:sz w:val="24"/>
          <w:szCs w:val="24"/>
        </w:rPr>
        <w:t>s</w:t>
      </w:r>
      <w:r w:rsidRPr="00474A1F">
        <w:rPr>
          <w:rFonts w:ascii="Times New Roman" w:hAnsi="Times New Roman" w:cs="Times New Roman"/>
          <w:sz w:val="24"/>
          <w:szCs w:val="24"/>
        </w:rPr>
        <w:t xml:space="preserve"> </w:t>
      </w:r>
      <w:r w:rsidR="00431DAE" w:rsidRPr="00474A1F">
        <w:rPr>
          <w:rFonts w:ascii="Times New Roman" w:hAnsi="Times New Roman" w:cs="Times New Roman"/>
          <w:sz w:val="24"/>
          <w:szCs w:val="24"/>
        </w:rPr>
        <w:t>patentes</w:t>
      </w:r>
      <w:r w:rsidRPr="00474A1F">
        <w:rPr>
          <w:rFonts w:ascii="Times New Roman" w:hAnsi="Times New Roman" w:cs="Times New Roman"/>
          <w:sz w:val="24"/>
          <w:szCs w:val="24"/>
        </w:rPr>
        <w:t xml:space="preserve">, </w:t>
      </w:r>
      <w:r w:rsidR="002D650E" w:rsidRPr="00474A1F">
        <w:rPr>
          <w:rFonts w:ascii="Times New Roman" w:hAnsi="Times New Roman" w:cs="Times New Roman"/>
          <w:sz w:val="24"/>
          <w:szCs w:val="24"/>
        </w:rPr>
        <w:t xml:space="preserve">se </w:t>
      </w:r>
      <w:r w:rsidR="00581E30" w:rsidRPr="00474A1F">
        <w:rPr>
          <w:rFonts w:ascii="Times New Roman" w:hAnsi="Times New Roman" w:cs="Times New Roman"/>
          <w:sz w:val="24"/>
          <w:szCs w:val="24"/>
        </w:rPr>
        <w:t>verificó que</w:t>
      </w:r>
      <w:r w:rsidRPr="00474A1F">
        <w:rPr>
          <w:rFonts w:ascii="Times New Roman" w:hAnsi="Times New Roman" w:cs="Times New Roman"/>
          <w:sz w:val="24"/>
          <w:szCs w:val="24"/>
        </w:rPr>
        <w:t xml:space="preserve"> la transferencia de tecnología desde las universidades y los centros de investigación </w:t>
      </w:r>
      <w:r w:rsidR="00431DAE" w:rsidRPr="00474A1F">
        <w:rPr>
          <w:rFonts w:ascii="Times New Roman" w:hAnsi="Times New Roman" w:cs="Times New Roman"/>
          <w:sz w:val="24"/>
          <w:szCs w:val="24"/>
        </w:rPr>
        <w:t>impactan de manera pos</w:t>
      </w:r>
      <w:r w:rsidR="00196F77" w:rsidRPr="00474A1F">
        <w:rPr>
          <w:rFonts w:ascii="Times New Roman" w:hAnsi="Times New Roman" w:cs="Times New Roman"/>
          <w:sz w:val="24"/>
          <w:szCs w:val="24"/>
        </w:rPr>
        <w:t xml:space="preserve">itiva en la innovación del país. Sin embargo, y </w:t>
      </w:r>
      <w:r w:rsidR="00431DAE" w:rsidRPr="00474A1F">
        <w:rPr>
          <w:rFonts w:ascii="Times New Roman" w:hAnsi="Times New Roman" w:cs="Times New Roman"/>
          <w:sz w:val="24"/>
          <w:szCs w:val="24"/>
        </w:rPr>
        <w:t xml:space="preserve">aun cuando estos efectos resultan significativos, los esfuerzos de transferencia tecnológica </w:t>
      </w:r>
      <w:r w:rsidR="00196F77" w:rsidRPr="00474A1F">
        <w:rPr>
          <w:rFonts w:ascii="Times New Roman" w:hAnsi="Times New Roman" w:cs="Times New Roman"/>
          <w:sz w:val="24"/>
          <w:szCs w:val="24"/>
        </w:rPr>
        <w:t>todavía</w:t>
      </w:r>
      <w:r w:rsidR="00431DAE" w:rsidRPr="00474A1F">
        <w:rPr>
          <w:rFonts w:ascii="Times New Roman" w:hAnsi="Times New Roman" w:cs="Times New Roman"/>
          <w:sz w:val="24"/>
          <w:szCs w:val="24"/>
        </w:rPr>
        <w:t xml:space="preserve"> son insipientes en México, por lo que esta vía de crecimiento sostenido puede representar un impacto en la economía en el país. </w:t>
      </w:r>
    </w:p>
    <w:p w14:paraId="2D494E5E" w14:textId="5CCB3943" w:rsidR="007D2E1B" w:rsidRPr="00474A1F" w:rsidRDefault="007D2E1B" w:rsidP="00B11EA0">
      <w:pPr>
        <w:spacing w:after="0" w:line="360" w:lineRule="auto"/>
        <w:rPr>
          <w:rFonts w:ascii="Times New Roman" w:hAnsi="Times New Roman" w:cs="Times New Roman"/>
        </w:rPr>
      </w:pPr>
    </w:p>
    <w:p w14:paraId="5AF94E03" w14:textId="19533719" w:rsidR="00196F77" w:rsidRPr="00D93FE6" w:rsidRDefault="00196F77" w:rsidP="00196F77">
      <w:pPr>
        <w:pStyle w:val="Ttulo1"/>
        <w:rPr>
          <w:rFonts w:ascii="Calibri" w:eastAsiaTheme="minorHAnsi" w:hAnsi="Calibri" w:cs="Calibri"/>
          <w:sz w:val="28"/>
          <w:lang w:val="es-ES" w:eastAsia="en-US"/>
        </w:rPr>
      </w:pPr>
      <w:r w:rsidRPr="00D93FE6">
        <w:rPr>
          <w:rFonts w:ascii="Calibri" w:eastAsiaTheme="minorHAnsi" w:hAnsi="Calibri" w:cs="Calibri"/>
          <w:sz w:val="28"/>
          <w:lang w:val="es-ES" w:eastAsia="en-US"/>
        </w:rPr>
        <w:t>Referencias</w:t>
      </w:r>
    </w:p>
    <w:p w14:paraId="12C0DC62" w14:textId="77777777" w:rsidR="00A24D07" w:rsidRPr="0015549D" w:rsidRDefault="00A24D07" w:rsidP="00A24D07">
      <w:pPr>
        <w:spacing w:line="360" w:lineRule="auto"/>
        <w:ind w:left="708" w:hanging="708"/>
        <w:jc w:val="both"/>
        <w:rPr>
          <w:rFonts w:ascii="Times New Roman" w:hAnsi="Times New Roman" w:cs="Times New Roman"/>
          <w:noProof/>
          <w:sz w:val="24"/>
          <w:szCs w:val="24"/>
          <w:lang w:val="en-US"/>
        </w:rPr>
      </w:pPr>
      <w:r w:rsidRPr="0015549D">
        <w:rPr>
          <w:rFonts w:ascii="Times New Roman" w:hAnsi="Times New Roman" w:cs="Times New Roman"/>
          <w:noProof/>
          <w:sz w:val="24"/>
          <w:szCs w:val="24"/>
          <w:lang w:val="en-US"/>
        </w:rPr>
        <w:t xml:space="preserve">AEMC (2013). </w:t>
      </w:r>
      <w:r w:rsidRPr="0015549D">
        <w:rPr>
          <w:rFonts w:ascii="Times New Roman" w:hAnsi="Times New Roman" w:cs="Times New Roman"/>
          <w:i/>
          <w:iCs/>
          <w:noProof/>
          <w:sz w:val="24"/>
          <w:szCs w:val="24"/>
          <w:lang w:val="en-US"/>
        </w:rPr>
        <w:t>Rebuilding the Industrial Commons</w:t>
      </w:r>
      <w:r w:rsidRPr="0015549D">
        <w:rPr>
          <w:rFonts w:ascii="Times New Roman" w:hAnsi="Times New Roman" w:cs="Times New Roman"/>
          <w:noProof/>
          <w:sz w:val="24"/>
          <w:szCs w:val="24"/>
          <w:lang w:val="en-US"/>
        </w:rPr>
        <w:t xml:space="preserve">. Recuperado de de </w:t>
      </w:r>
      <w:hyperlink r:id="rId10" w:history="1">
        <w:r w:rsidRPr="0015549D">
          <w:rPr>
            <w:rStyle w:val="Hipervnculo"/>
            <w:rFonts w:ascii="Times New Roman" w:hAnsi="Times New Roman" w:cs="Times New Roman"/>
            <w:noProof/>
            <w:sz w:val="24"/>
            <w:szCs w:val="24"/>
            <w:lang w:val="en-US"/>
          </w:rPr>
          <w:t>https://www.compete.org/storage/images/uploads/File/PDF%20Files/AEMC_Primer_FINAL.PDF</w:t>
        </w:r>
      </w:hyperlink>
      <w:r w:rsidRPr="0015549D">
        <w:rPr>
          <w:rFonts w:ascii="Times New Roman" w:hAnsi="Times New Roman" w:cs="Times New Roman"/>
          <w:noProof/>
          <w:sz w:val="24"/>
          <w:szCs w:val="24"/>
          <w:lang w:val="en-US"/>
        </w:rPr>
        <w:t xml:space="preserve">. </w:t>
      </w:r>
    </w:p>
    <w:p w14:paraId="0BD36363"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n-US"/>
        </w:rPr>
        <w:t xml:space="preserve">Baltagi, B. and Maasoumi, E. (2018). An Overview of Dependence in Cross-Section, Time-Series, and Panel Data. </w:t>
      </w:r>
      <w:r w:rsidRPr="0015549D">
        <w:rPr>
          <w:rFonts w:ascii="Times New Roman" w:hAnsi="Times New Roman" w:cs="Times New Roman"/>
          <w:i/>
          <w:iCs/>
          <w:noProof/>
          <w:sz w:val="24"/>
          <w:szCs w:val="24"/>
          <w:lang w:val="es-ES"/>
        </w:rPr>
        <w:t>Econometric Reviews, 32</w:t>
      </w:r>
      <w:r w:rsidRPr="0015549D">
        <w:rPr>
          <w:rFonts w:ascii="Times New Roman" w:hAnsi="Times New Roman" w:cs="Times New Roman"/>
          <w:noProof/>
          <w:sz w:val="24"/>
          <w:szCs w:val="24"/>
          <w:lang w:val="es-ES"/>
        </w:rPr>
        <w:t>(5/6), 543–546. Doi:10.1080/07474938.2012.740957</w:t>
      </w:r>
    </w:p>
    <w:p w14:paraId="479880E4"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Cabello, A. y Ortiz, E. (2013). Políticas públicas de innovación tecnológica y desarrollo: teoría y propuesta de educación superior. </w:t>
      </w:r>
      <w:r w:rsidRPr="0015549D">
        <w:rPr>
          <w:rFonts w:ascii="Times New Roman" w:hAnsi="Times New Roman" w:cs="Times New Roman"/>
          <w:i/>
          <w:iCs/>
          <w:noProof/>
          <w:sz w:val="24"/>
          <w:szCs w:val="24"/>
          <w:lang w:val="es-ES"/>
        </w:rPr>
        <w:t>Convergencia, 20</w:t>
      </w:r>
      <w:r w:rsidRPr="0015549D">
        <w:rPr>
          <w:rFonts w:ascii="Times New Roman" w:hAnsi="Times New Roman" w:cs="Times New Roman"/>
          <w:noProof/>
          <w:sz w:val="24"/>
          <w:szCs w:val="24"/>
          <w:lang w:val="es-ES"/>
        </w:rPr>
        <w:t>(61), 135-172.</w:t>
      </w:r>
    </w:p>
    <w:p w14:paraId="40957FF2"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Cabrero, E., Cárdenas, S., Arellano, D. y Ramírez, E. (2011). La vinculación entre la universidad y la industria en México. Una revisión a los hallazgos de la Encuesta Nacional de Vinculación. </w:t>
      </w:r>
      <w:r w:rsidRPr="0015549D">
        <w:rPr>
          <w:rFonts w:ascii="Times New Roman" w:hAnsi="Times New Roman" w:cs="Times New Roman"/>
          <w:i/>
          <w:iCs/>
          <w:noProof/>
          <w:sz w:val="24"/>
          <w:szCs w:val="24"/>
          <w:lang w:val="es-ES"/>
        </w:rPr>
        <w:t>Perfiles Educativos, 33</w:t>
      </w:r>
      <w:r w:rsidRPr="0015549D">
        <w:rPr>
          <w:rFonts w:ascii="Times New Roman" w:hAnsi="Times New Roman" w:cs="Times New Roman"/>
          <w:noProof/>
          <w:sz w:val="24"/>
          <w:szCs w:val="24"/>
          <w:lang w:val="es-ES"/>
        </w:rPr>
        <w:t>, 187-199.</w:t>
      </w:r>
    </w:p>
    <w:p w14:paraId="425A4DF1"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CNCTI (2019). </w:t>
      </w:r>
      <w:r w:rsidRPr="0015549D">
        <w:rPr>
          <w:rFonts w:ascii="Times New Roman" w:hAnsi="Times New Roman"/>
          <w:i/>
          <w:iCs/>
          <w:noProof/>
          <w:sz w:val="24"/>
          <w:szCs w:val="24"/>
          <w:lang w:val="es-ES"/>
        </w:rPr>
        <w:t>Conferencia Nacional de Ciencia, Tecnología e Innovación</w:t>
      </w:r>
      <w:r w:rsidRPr="0015549D">
        <w:rPr>
          <w:i/>
          <w:iCs/>
          <w:noProof/>
          <w:lang w:val="es-ES"/>
        </w:rPr>
        <w:t xml:space="preserve">. </w:t>
      </w:r>
      <w:r w:rsidRPr="0015549D">
        <w:rPr>
          <w:rFonts w:ascii="Times New Roman" w:hAnsi="Times New Roman" w:cs="Times New Roman"/>
          <w:noProof/>
          <w:sz w:val="24"/>
          <w:szCs w:val="24"/>
          <w:lang w:val="es-ES"/>
        </w:rPr>
        <w:t xml:space="preserve">Recuperado de </w:t>
      </w:r>
      <w:hyperlink r:id="rId11" w:history="1">
        <w:r w:rsidRPr="0015549D">
          <w:rPr>
            <w:rStyle w:val="Hipervnculo"/>
            <w:rFonts w:ascii="Times New Roman" w:hAnsi="Times New Roman" w:cs="Times New Roman"/>
            <w:noProof/>
            <w:sz w:val="24"/>
            <w:szCs w:val="24"/>
            <w:lang w:val="es-ES"/>
          </w:rPr>
          <w:t>https://www.conacyt.gob.mx/index.php/el-conacyt/conferencia-nacional-de-ciencia-tecnologia-e-innovacion</w:t>
        </w:r>
      </w:hyperlink>
      <w:r w:rsidRPr="0015549D">
        <w:rPr>
          <w:rFonts w:ascii="Times New Roman" w:hAnsi="Times New Roman" w:cs="Times New Roman"/>
          <w:noProof/>
          <w:sz w:val="24"/>
          <w:szCs w:val="24"/>
          <w:lang w:val="es-ES"/>
        </w:rPr>
        <w:t xml:space="preserve">. </w:t>
      </w:r>
    </w:p>
    <w:p w14:paraId="1D6CE707"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Conacyt (2019a). </w:t>
      </w:r>
      <w:r w:rsidRPr="0015549D">
        <w:rPr>
          <w:rFonts w:ascii="Times New Roman" w:hAnsi="Times New Roman" w:cs="Times New Roman"/>
          <w:i/>
          <w:iCs/>
          <w:noProof/>
          <w:sz w:val="24"/>
          <w:szCs w:val="24"/>
          <w:lang w:val="es-ES"/>
        </w:rPr>
        <w:t>Fondo a la innovación tecnológica</w:t>
      </w:r>
      <w:r w:rsidRPr="0015549D">
        <w:rPr>
          <w:rFonts w:ascii="Times New Roman" w:hAnsi="Times New Roman" w:cs="Times New Roman"/>
          <w:noProof/>
          <w:sz w:val="24"/>
          <w:szCs w:val="24"/>
          <w:lang w:val="es-ES"/>
        </w:rPr>
        <w:t xml:space="preserve">. Recuperado de </w:t>
      </w:r>
      <w:hyperlink r:id="rId12" w:history="1">
        <w:r w:rsidRPr="0015549D">
          <w:rPr>
            <w:rStyle w:val="Hipervnculo"/>
            <w:rFonts w:ascii="Times New Roman" w:hAnsi="Times New Roman" w:cs="Times New Roman"/>
            <w:noProof/>
            <w:sz w:val="24"/>
            <w:szCs w:val="24"/>
            <w:lang w:val="es-ES"/>
          </w:rPr>
          <w:t>https://www.conacyt.gob.mx/index.php/el-conacyt/convocatorias-y-resultados conacyt/convocatorias-fondos-sectoriales-constituidos/convocatoria-se-conacyt innovacion-tecnologica/convocatorias-cerradas-se-conacyt-innovacion tecnologica/convocatoria-se-conacyt</w:t>
        </w:r>
      </w:hyperlink>
      <w:r w:rsidRPr="0015549D">
        <w:rPr>
          <w:rFonts w:ascii="Times New Roman" w:hAnsi="Times New Roman" w:cs="Times New Roman"/>
          <w:noProof/>
          <w:sz w:val="24"/>
          <w:szCs w:val="24"/>
          <w:lang w:val="es-ES"/>
        </w:rPr>
        <w:t xml:space="preserve">. </w:t>
      </w:r>
    </w:p>
    <w:p w14:paraId="75E7AE2A"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lastRenderedPageBreak/>
        <w:t xml:space="preserve">Conacyt (2019b). </w:t>
      </w:r>
      <w:r w:rsidRPr="0015549D">
        <w:rPr>
          <w:rFonts w:ascii="Times New Roman" w:hAnsi="Times New Roman" w:cs="Times New Roman"/>
          <w:i/>
          <w:iCs/>
          <w:noProof/>
          <w:sz w:val="24"/>
          <w:szCs w:val="24"/>
          <w:lang w:val="es-ES"/>
        </w:rPr>
        <w:t>Apoyos a proyectos de innovación empresarial</w:t>
      </w:r>
      <w:r w:rsidRPr="0015549D">
        <w:rPr>
          <w:rFonts w:ascii="Times New Roman" w:hAnsi="Times New Roman" w:cs="Times New Roman"/>
          <w:noProof/>
          <w:sz w:val="24"/>
          <w:szCs w:val="24"/>
          <w:lang w:val="es-ES"/>
        </w:rPr>
        <w:t xml:space="preserve">. Recuperado de </w:t>
      </w:r>
      <w:hyperlink r:id="rId13" w:history="1">
        <w:r w:rsidRPr="0015549D">
          <w:rPr>
            <w:rStyle w:val="Hipervnculo"/>
            <w:rFonts w:ascii="Times New Roman" w:hAnsi="Times New Roman" w:cs="Times New Roman"/>
            <w:noProof/>
            <w:sz w:val="24"/>
            <w:szCs w:val="24"/>
            <w:lang w:val="es-ES"/>
          </w:rPr>
          <w:t>https://www.conacyt.gob.mx/index.php/el-conacyt/desarrollo-tecnologico-e-innovacion</w:t>
        </w:r>
      </w:hyperlink>
      <w:r w:rsidRPr="0015549D">
        <w:rPr>
          <w:rFonts w:ascii="Times New Roman" w:hAnsi="Times New Roman" w:cs="Times New Roman"/>
          <w:noProof/>
          <w:sz w:val="24"/>
          <w:szCs w:val="24"/>
          <w:lang w:val="es-ES"/>
        </w:rPr>
        <w:t xml:space="preserve">. </w:t>
      </w:r>
    </w:p>
    <w:p w14:paraId="54116B0E"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n-US"/>
        </w:rPr>
        <w:t xml:space="preserve">Cox, L., Popken, D. and Berman, D. (2013). Causal versus spurious spatial exposure-response associations in health risk analysis. </w:t>
      </w:r>
      <w:r w:rsidRPr="0015549D">
        <w:rPr>
          <w:rFonts w:ascii="Times New Roman" w:hAnsi="Times New Roman" w:cs="Times New Roman"/>
          <w:i/>
          <w:iCs/>
          <w:noProof/>
          <w:sz w:val="24"/>
          <w:szCs w:val="24"/>
          <w:lang w:val="es-ES"/>
        </w:rPr>
        <w:t>Critical Reviews in Toxicology, 43</w:t>
      </w:r>
      <w:r w:rsidRPr="0015549D">
        <w:rPr>
          <w:rFonts w:ascii="Times New Roman" w:hAnsi="Times New Roman" w:cs="Times New Roman"/>
          <w:noProof/>
          <w:sz w:val="24"/>
          <w:szCs w:val="24"/>
          <w:lang w:val="es-ES"/>
        </w:rPr>
        <w:t>, 26–38. Doi:doi.org/10.3109/10408444.2013.777689</w:t>
      </w:r>
    </w:p>
    <w:p w14:paraId="3B44E435"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Dávila, F. (2007). </w:t>
      </w:r>
      <w:r w:rsidRPr="0015549D">
        <w:rPr>
          <w:rFonts w:ascii="Times New Roman" w:hAnsi="Times New Roman" w:cs="Times New Roman"/>
          <w:i/>
          <w:iCs/>
          <w:noProof/>
          <w:sz w:val="24"/>
          <w:szCs w:val="24"/>
          <w:lang w:val="es-ES"/>
        </w:rPr>
        <w:t>Ciencia, transferencia e innovación tecnológica en Estados Unidos, La Unión Europea y Japón en la era de la globalización.</w:t>
      </w:r>
      <w:r w:rsidRPr="0015549D">
        <w:rPr>
          <w:rFonts w:ascii="Times New Roman" w:hAnsi="Times New Roman" w:cs="Times New Roman"/>
          <w:noProof/>
          <w:sz w:val="24"/>
          <w:szCs w:val="24"/>
          <w:lang w:val="es-ES"/>
        </w:rPr>
        <w:t xml:space="preserve"> México: Fontamara.</w:t>
      </w:r>
    </w:p>
    <w:p w14:paraId="5CF3A336"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De Arteche, M., Santucci, M. y Welsh, V. (2013). Redes y clusters para la innovación y la transferencia del conocimiento. Impacto en el crecimiento regional en Argentina. </w:t>
      </w:r>
      <w:r w:rsidRPr="0015549D">
        <w:rPr>
          <w:rFonts w:ascii="Times New Roman" w:hAnsi="Times New Roman" w:cs="Times New Roman"/>
          <w:i/>
          <w:iCs/>
          <w:noProof/>
          <w:sz w:val="24"/>
          <w:szCs w:val="24"/>
          <w:lang w:val="es-ES"/>
        </w:rPr>
        <w:t>Estudios Gerenciales, 29</w:t>
      </w:r>
      <w:r w:rsidRPr="0015549D">
        <w:rPr>
          <w:rFonts w:ascii="Times New Roman" w:hAnsi="Times New Roman" w:cs="Times New Roman"/>
          <w:noProof/>
          <w:sz w:val="24"/>
          <w:szCs w:val="24"/>
          <w:lang w:val="es-ES"/>
        </w:rPr>
        <w:t>(127), 125-272. Doi:10.1016/j.estger.2013.05.001</w:t>
      </w:r>
    </w:p>
    <w:p w14:paraId="09C94648"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Fonseca-Retana, L., Lafuente-Chryssopoulos, R. y Mora-Esquivel, R. (2016). Evolución de los modelos en los procesos de innovación, una revisión de la literatura. </w:t>
      </w:r>
      <w:r w:rsidRPr="0015549D">
        <w:rPr>
          <w:rFonts w:ascii="Times New Roman" w:hAnsi="Times New Roman" w:cs="Times New Roman"/>
          <w:i/>
          <w:iCs/>
          <w:noProof/>
          <w:sz w:val="24"/>
          <w:szCs w:val="24"/>
          <w:lang w:val="es-ES"/>
        </w:rPr>
        <w:t>Tecnología en Marcha, 29</w:t>
      </w:r>
      <w:r w:rsidRPr="0015549D">
        <w:rPr>
          <w:rFonts w:ascii="Times New Roman" w:hAnsi="Times New Roman" w:cs="Times New Roman"/>
          <w:noProof/>
          <w:sz w:val="24"/>
          <w:szCs w:val="24"/>
          <w:lang w:val="es-ES"/>
        </w:rPr>
        <w:t>(1), 108-117.</w:t>
      </w:r>
    </w:p>
    <w:p w14:paraId="0999EEB5"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VE"/>
        </w:rPr>
      </w:pPr>
      <w:r w:rsidRPr="0015549D">
        <w:rPr>
          <w:rFonts w:ascii="Times New Roman" w:hAnsi="Times New Roman" w:cs="Times New Roman"/>
          <w:noProof/>
          <w:sz w:val="24"/>
          <w:szCs w:val="24"/>
          <w:lang w:val="es-ES"/>
        </w:rPr>
        <w:t xml:space="preserve">Gligo, N. (2016). </w:t>
      </w:r>
      <w:r w:rsidRPr="0015549D">
        <w:rPr>
          <w:rFonts w:ascii="Times New Roman" w:hAnsi="Times New Roman" w:cs="Times New Roman"/>
          <w:i/>
          <w:iCs/>
          <w:noProof/>
          <w:sz w:val="24"/>
          <w:szCs w:val="24"/>
          <w:lang w:val="es-ES"/>
        </w:rPr>
        <w:t>Innovación en las pymes de América Latina.</w:t>
      </w:r>
      <w:r w:rsidRPr="0015549D">
        <w:rPr>
          <w:rFonts w:ascii="Times New Roman" w:hAnsi="Times New Roman" w:cs="Times New Roman"/>
          <w:noProof/>
          <w:sz w:val="24"/>
          <w:szCs w:val="24"/>
          <w:lang w:val="es-ES"/>
        </w:rPr>
        <w:t xml:space="preserve"> Seminario Innovación para pymes exportadoras. Santiago de Chile. </w:t>
      </w:r>
      <w:r w:rsidRPr="0015549D">
        <w:rPr>
          <w:rFonts w:ascii="Times New Roman" w:hAnsi="Times New Roman" w:cs="Times New Roman"/>
          <w:noProof/>
          <w:sz w:val="24"/>
          <w:szCs w:val="24"/>
          <w:lang w:val="es-VE"/>
        </w:rPr>
        <w:t xml:space="preserve">Recuperado de </w:t>
      </w:r>
      <w:hyperlink r:id="rId14" w:history="1">
        <w:r w:rsidRPr="0015549D">
          <w:rPr>
            <w:rStyle w:val="Hipervnculo"/>
            <w:rFonts w:ascii="Times New Roman" w:hAnsi="Times New Roman" w:cs="Times New Roman"/>
            <w:noProof/>
            <w:sz w:val="24"/>
            <w:szCs w:val="24"/>
            <w:lang w:val="es-VE"/>
          </w:rPr>
          <w:t>https://www.cepal.org/sites/default/files/events/files/nicolo_giglo.pdf</w:t>
        </w:r>
      </w:hyperlink>
      <w:r w:rsidRPr="0015549D">
        <w:rPr>
          <w:rFonts w:ascii="Times New Roman" w:hAnsi="Times New Roman" w:cs="Times New Roman"/>
          <w:noProof/>
          <w:sz w:val="24"/>
          <w:szCs w:val="24"/>
          <w:lang w:val="es-VE"/>
        </w:rPr>
        <w:t xml:space="preserve">. </w:t>
      </w:r>
    </w:p>
    <w:p w14:paraId="71675238"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IMCO (2018). </w:t>
      </w:r>
      <w:r w:rsidRPr="0015549D">
        <w:rPr>
          <w:rFonts w:ascii="Times New Roman" w:hAnsi="Times New Roman" w:cs="Times New Roman"/>
          <w:i/>
          <w:iCs/>
          <w:noProof/>
          <w:sz w:val="24"/>
          <w:szCs w:val="24"/>
          <w:lang w:val="es-ES"/>
        </w:rPr>
        <w:t>Índice de competitividad urbana. Califica a tu alcalde: manual urbano para ciudadanos exigentes.</w:t>
      </w:r>
      <w:r w:rsidRPr="0015549D">
        <w:rPr>
          <w:rFonts w:ascii="Times New Roman" w:hAnsi="Times New Roman" w:cs="Times New Roman"/>
          <w:noProof/>
          <w:sz w:val="24"/>
          <w:szCs w:val="24"/>
          <w:lang w:val="es-ES"/>
        </w:rPr>
        <w:t xml:space="preserve"> Recuperado de </w:t>
      </w:r>
      <w:hyperlink r:id="rId15" w:history="1">
        <w:r w:rsidRPr="0015549D">
          <w:rPr>
            <w:rStyle w:val="Hipervnculo"/>
            <w:rFonts w:ascii="Times New Roman" w:hAnsi="Times New Roman" w:cs="Times New Roman"/>
            <w:noProof/>
            <w:sz w:val="24"/>
            <w:szCs w:val="24"/>
            <w:lang w:val="es-ES"/>
          </w:rPr>
          <w:t>http://imco.org.mx/indices/califica-a-tu-alcalde/</w:t>
        </w:r>
      </w:hyperlink>
      <w:r w:rsidRPr="0015549D">
        <w:rPr>
          <w:rFonts w:ascii="Times New Roman" w:hAnsi="Times New Roman" w:cs="Times New Roman"/>
          <w:noProof/>
          <w:sz w:val="24"/>
          <w:szCs w:val="24"/>
          <w:lang w:val="es-ES"/>
        </w:rPr>
        <w:t xml:space="preserve">. </w:t>
      </w:r>
    </w:p>
    <w:p w14:paraId="23CA1E97"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Inadem (2019). Recuperado de </w:t>
      </w:r>
      <w:hyperlink r:id="rId16" w:history="1">
        <w:r w:rsidRPr="0015549D">
          <w:rPr>
            <w:rStyle w:val="Hipervnculo"/>
            <w:rFonts w:ascii="Times New Roman" w:hAnsi="Times New Roman" w:cs="Times New Roman"/>
            <w:noProof/>
            <w:sz w:val="24"/>
            <w:szCs w:val="24"/>
            <w:lang w:val="es-ES"/>
          </w:rPr>
          <w:t>https://www.inadem.gob.mx/</w:t>
        </w:r>
      </w:hyperlink>
      <w:r w:rsidRPr="0015549D">
        <w:rPr>
          <w:rFonts w:ascii="Times New Roman" w:hAnsi="Times New Roman" w:cs="Times New Roman"/>
          <w:noProof/>
          <w:sz w:val="24"/>
          <w:szCs w:val="24"/>
          <w:lang w:val="es-ES"/>
        </w:rPr>
        <w:t xml:space="preserve">. </w:t>
      </w:r>
    </w:p>
    <w:p w14:paraId="1C043E3B"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n-US"/>
        </w:rPr>
      </w:pPr>
      <w:proofErr w:type="spellStart"/>
      <w:r w:rsidRPr="0015549D">
        <w:rPr>
          <w:rFonts w:ascii="Times New Roman" w:hAnsi="Times New Roman" w:cs="Times New Roman"/>
          <w:sz w:val="24"/>
          <w:szCs w:val="24"/>
          <w:shd w:val="clear" w:color="auto" w:fill="FFFFFF"/>
          <w:lang w:val="en-US"/>
        </w:rPr>
        <w:t>Kachlami</w:t>
      </w:r>
      <w:proofErr w:type="spellEnd"/>
      <w:r w:rsidRPr="0015549D">
        <w:rPr>
          <w:rFonts w:ascii="Times New Roman" w:hAnsi="Times New Roman" w:cs="Times New Roman"/>
          <w:sz w:val="24"/>
          <w:szCs w:val="24"/>
          <w:shd w:val="clear" w:color="auto" w:fill="FFFFFF"/>
          <w:lang w:val="en-US"/>
        </w:rPr>
        <w:t>, H. and </w:t>
      </w:r>
      <w:proofErr w:type="spellStart"/>
      <w:r w:rsidRPr="0015549D">
        <w:rPr>
          <w:rFonts w:ascii="Times New Roman" w:hAnsi="Times New Roman" w:cs="Times New Roman"/>
          <w:sz w:val="24"/>
          <w:szCs w:val="24"/>
          <w:shd w:val="clear" w:color="auto" w:fill="FFFFFF"/>
          <w:lang w:val="en-US"/>
        </w:rPr>
        <w:t>Yazdanfar</w:t>
      </w:r>
      <w:proofErr w:type="spellEnd"/>
      <w:r w:rsidRPr="0015549D">
        <w:rPr>
          <w:rFonts w:ascii="Times New Roman" w:hAnsi="Times New Roman" w:cs="Times New Roman"/>
          <w:sz w:val="24"/>
          <w:szCs w:val="24"/>
          <w:shd w:val="clear" w:color="auto" w:fill="FFFFFF"/>
          <w:lang w:val="en-US"/>
        </w:rPr>
        <w:t>, D.</w:t>
      </w:r>
      <w:r w:rsidRPr="0015549D">
        <w:rPr>
          <w:rFonts w:ascii="Times New Roman" w:hAnsi="Times New Roman" w:cs="Times New Roman"/>
          <w:noProof/>
          <w:sz w:val="24"/>
          <w:szCs w:val="24"/>
          <w:lang w:val="en-US"/>
        </w:rPr>
        <w:t xml:space="preserve"> (2016). Determinants of SME growth: The influence of financing pattern. An empirical study based on Swedish data. </w:t>
      </w:r>
      <w:r w:rsidRPr="0015549D">
        <w:rPr>
          <w:rFonts w:ascii="Times New Roman" w:hAnsi="Times New Roman" w:cs="Times New Roman"/>
          <w:i/>
          <w:iCs/>
          <w:noProof/>
          <w:sz w:val="24"/>
          <w:szCs w:val="24"/>
          <w:lang w:val="en-US"/>
        </w:rPr>
        <w:t>Management Research Review, 39</w:t>
      </w:r>
      <w:r w:rsidRPr="0015549D">
        <w:rPr>
          <w:rFonts w:ascii="Times New Roman" w:hAnsi="Times New Roman" w:cs="Times New Roman"/>
          <w:noProof/>
          <w:sz w:val="24"/>
          <w:szCs w:val="24"/>
          <w:lang w:val="en-US"/>
        </w:rPr>
        <w:t>(9), 966-986. Doi:10.1108/MRR-04-2015-0093</w:t>
      </w:r>
    </w:p>
    <w:p w14:paraId="69D419D3"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n-US"/>
        </w:rPr>
        <w:t xml:space="preserve">Lemley, M. and Feldman, R. (2016). Patent Licensing, Technology Transfer, and Innovation. </w:t>
      </w:r>
      <w:r w:rsidRPr="0015549D">
        <w:rPr>
          <w:rFonts w:ascii="Times New Roman" w:hAnsi="Times New Roman" w:cs="Times New Roman"/>
          <w:i/>
          <w:iCs/>
          <w:noProof/>
          <w:sz w:val="24"/>
          <w:szCs w:val="24"/>
          <w:lang w:val="es-ES"/>
        </w:rPr>
        <w:t>American Economic Review, 106</w:t>
      </w:r>
      <w:r w:rsidRPr="0015549D">
        <w:rPr>
          <w:rFonts w:ascii="Times New Roman" w:hAnsi="Times New Roman" w:cs="Times New Roman"/>
          <w:noProof/>
          <w:sz w:val="24"/>
          <w:szCs w:val="24"/>
          <w:lang w:val="es-ES"/>
        </w:rPr>
        <w:t xml:space="preserve">(5), 188-192. Recuperado de </w:t>
      </w:r>
      <w:hyperlink r:id="rId17" w:history="1">
        <w:r w:rsidRPr="0015549D">
          <w:rPr>
            <w:rStyle w:val="Hipervnculo"/>
            <w:rFonts w:ascii="Times New Roman" w:hAnsi="Times New Roman" w:cs="Times New Roman"/>
            <w:noProof/>
            <w:sz w:val="24"/>
            <w:szCs w:val="24"/>
            <w:lang w:val="es-ES"/>
          </w:rPr>
          <w:t>https://doi.org/http://www.aeaweb.org/aer/</w:t>
        </w:r>
      </w:hyperlink>
      <w:r w:rsidRPr="0015549D">
        <w:rPr>
          <w:rFonts w:ascii="Times New Roman" w:hAnsi="Times New Roman" w:cs="Times New Roman"/>
          <w:noProof/>
          <w:sz w:val="24"/>
          <w:szCs w:val="24"/>
          <w:lang w:val="es-ES"/>
        </w:rPr>
        <w:t xml:space="preserve">. </w:t>
      </w:r>
    </w:p>
    <w:p w14:paraId="08EF9CEE"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Licona, A. y Pérez, O. (2018). El capital humano especializado en la estrategia de ciencia y tecnología en México. </w:t>
      </w:r>
      <w:r w:rsidRPr="0015549D">
        <w:rPr>
          <w:rFonts w:ascii="Times New Roman" w:hAnsi="Times New Roman" w:cs="Times New Roman"/>
          <w:i/>
          <w:iCs/>
          <w:noProof/>
          <w:sz w:val="24"/>
          <w:szCs w:val="24"/>
          <w:lang w:val="es-ES"/>
        </w:rPr>
        <w:t xml:space="preserve">Praxis Investigativa ReDIE: Revista Electrónica de la Red </w:t>
      </w:r>
      <w:r w:rsidRPr="0015549D">
        <w:rPr>
          <w:rFonts w:ascii="Times New Roman" w:hAnsi="Times New Roman" w:cs="Times New Roman"/>
          <w:i/>
          <w:iCs/>
          <w:noProof/>
          <w:sz w:val="24"/>
          <w:szCs w:val="24"/>
          <w:lang w:val="es-ES"/>
        </w:rPr>
        <w:lastRenderedPageBreak/>
        <w:t>Durango de Investigadores Educativos, 10</w:t>
      </w:r>
      <w:r w:rsidRPr="0015549D">
        <w:rPr>
          <w:rFonts w:ascii="Times New Roman" w:hAnsi="Times New Roman" w:cs="Times New Roman"/>
          <w:noProof/>
          <w:sz w:val="24"/>
          <w:szCs w:val="24"/>
          <w:lang w:val="es-ES"/>
        </w:rPr>
        <w:t xml:space="preserve">(19), 8-24. Recuperado de </w:t>
      </w:r>
      <w:hyperlink r:id="rId18" w:history="1">
        <w:r w:rsidRPr="0015549D">
          <w:rPr>
            <w:rStyle w:val="Hipervnculo"/>
            <w:rFonts w:ascii="Times New Roman" w:hAnsi="Times New Roman" w:cs="Times New Roman"/>
            <w:noProof/>
            <w:sz w:val="24"/>
            <w:szCs w:val="24"/>
            <w:lang w:val="es-ES"/>
          </w:rPr>
          <w:t>https://dialnet.unirioja.es/servlet/articulo?codigo=6571555</w:t>
        </w:r>
      </w:hyperlink>
      <w:r w:rsidRPr="0015549D">
        <w:rPr>
          <w:rFonts w:ascii="Times New Roman" w:hAnsi="Times New Roman" w:cs="Times New Roman"/>
          <w:noProof/>
          <w:sz w:val="24"/>
          <w:szCs w:val="24"/>
          <w:lang w:val="es-ES"/>
        </w:rPr>
        <w:t xml:space="preserve">. </w:t>
      </w:r>
    </w:p>
    <w:p w14:paraId="6B6411CD"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s-ES"/>
        </w:rPr>
      </w:pPr>
      <w:r w:rsidRPr="0015549D">
        <w:rPr>
          <w:rFonts w:ascii="Times New Roman" w:hAnsi="Times New Roman" w:cs="Times New Roman"/>
          <w:noProof/>
          <w:sz w:val="24"/>
          <w:szCs w:val="24"/>
          <w:lang w:val="es-ES"/>
        </w:rPr>
        <w:t xml:space="preserve">Olazaran, M., Albizu, E., Lavia, C. y Otero, B. (2013). Formación profesional, pymes e innovación en Navarra. </w:t>
      </w:r>
      <w:r w:rsidRPr="0015549D">
        <w:rPr>
          <w:rFonts w:ascii="Times New Roman" w:hAnsi="Times New Roman" w:cs="Times New Roman"/>
          <w:i/>
          <w:iCs/>
          <w:noProof/>
          <w:sz w:val="24"/>
          <w:szCs w:val="24"/>
          <w:lang w:val="es-ES"/>
        </w:rPr>
        <w:t>Cuadernos de Gestión, 13</w:t>
      </w:r>
      <w:r w:rsidRPr="0015549D">
        <w:rPr>
          <w:rFonts w:ascii="Times New Roman" w:hAnsi="Times New Roman" w:cs="Times New Roman"/>
          <w:noProof/>
          <w:sz w:val="24"/>
          <w:szCs w:val="24"/>
          <w:lang w:val="es-ES"/>
        </w:rPr>
        <w:t>(1), 15-40. Doi:10.5295/cdg.ll0290mo</w:t>
      </w:r>
    </w:p>
    <w:p w14:paraId="790BE047"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n-US"/>
        </w:rPr>
      </w:pPr>
      <w:r w:rsidRPr="0015549D">
        <w:rPr>
          <w:rFonts w:ascii="Times New Roman" w:hAnsi="Times New Roman" w:cs="Times New Roman"/>
          <w:noProof/>
          <w:sz w:val="24"/>
          <w:szCs w:val="24"/>
          <w:lang w:val="es-VE"/>
        </w:rPr>
        <w:t xml:space="preserve">Rautu, R., Racoviteanu, G. and Dinet, E. (2017). </w:t>
      </w:r>
      <w:r w:rsidRPr="0015549D">
        <w:rPr>
          <w:rFonts w:ascii="Times New Roman" w:hAnsi="Times New Roman" w:cs="Times New Roman"/>
          <w:noProof/>
          <w:sz w:val="24"/>
          <w:szCs w:val="24"/>
          <w:lang w:val="en-US"/>
        </w:rPr>
        <w:t xml:space="preserve">Use of Benchmarking For the Improvement of the Operation of the Drinking Water Supply Systems. </w:t>
      </w:r>
      <w:r w:rsidRPr="0015549D">
        <w:rPr>
          <w:rFonts w:ascii="Times New Roman" w:hAnsi="Times New Roman" w:cs="Times New Roman"/>
          <w:i/>
          <w:iCs/>
          <w:noProof/>
          <w:sz w:val="24"/>
          <w:szCs w:val="24"/>
          <w:lang w:val="en-US"/>
        </w:rPr>
        <w:t>Procedia Engineering, 209</w:t>
      </w:r>
      <w:r w:rsidRPr="0015549D">
        <w:rPr>
          <w:rFonts w:ascii="Times New Roman" w:hAnsi="Times New Roman" w:cs="Times New Roman"/>
          <w:noProof/>
          <w:sz w:val="24"/>
          <w:szCs w:val="24"/>
          <w:lang w:val="en-US"/>
        </w:rPr>
        <w:t>, 180-187. Doi:10.1016/j.proeng.2017.11.145</w:t>
      </w:r>
    </w:p>
    <w:p w14:paraId="57A7F8E8"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n-US"/>
        </w:rPr>
      </w:pPr>
      <w:r w:rsidRPr="0015549D">
        <w:rPr>
          <w:rFonts w:ascii="Times New Roman" w:hAnsi="Times New Roman" w:cs="Times New Roman"/>
          <w:noProof/>
          <w:sz w:val="24"/>
          <w:szCs w:val="24"/>
          <w:lang w:val="en-US"/>
        </w:rPr>
        <w:t xml:space="preserve">Sharifi, H., Liu, W. and Ismail, H. (2013). Higher education system and the ‘open’ knowledge transfer: a view from perception of senior managers at university knowledge transfer offices. </w:t>
      </w:r>
      <w:r w:rsidRPr="0015549D">
        <w:rPr>
          <w:rFonts w:ascii="Times New Roman" w:hAnsi="Times New Roman" w:cs="Times New Roman"/>
          <w:i/>
          <w:iCs/>
          <w:noProof/>
          <w:sz w:val="24"/>
          <w:szCs w:val="24"/>
          <w:lang w:val="en-US"/>
        </w:rPr>
        <w:t>Studies in Higher Education, 39</w:t>
      </w:r>
      <w:r w:rsidRPr="0015549D">
        <w:rPr>
          <w:rFonts w:ascii="Times New Roman" w:hAnsi="Times New Roman" w:cs="Times New Roman"/>
          <w:noProof/>
          <w:sz w:val="24"/>
          <w:szCs w:val="24"/>
          <w:lang w:val="en-US"/>
        </w:rPr>
        <w:t>(10), 1860-1884. Doi:10.1080/03075079.2013.818645</w:t>
      </w:r>
    </w:p>
    <w:p w14:paraId="6204B286"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n-US"/>
        </w:rPr>
      </w:pPr>
      <w:r w:rsidRPr="0015549D">
        <w:rPr>
          <w:rFonts w:ascii="Times New Roman" w:hAnsi="Times New Roman" w:cs="Times New Roman"/>
          <w:noProof/>
          <w:sz w:val="24"/>
          <w:szCs w:val="24"/>
          <w:lang w:val="en-US"/>
        </w:rPr>
        <w:t xml:space="preserve">Welsh, D., Tullar, W. and Nemati, H. (2016). Entrepreneurship education: Process, method, or both? </w:t>
      </w:r>
      <w:r w:rsidRPr="0015549D">
        <w:rPr>
          <w:rFonts w:ascii="Times New Roman" w:hAnsi="Times New Roman" w:cs="Times New Roman"/>
          <w:i/>
          <w:iCs/>
          <w:noProof/>
          <w:sz w:val="24"/>
          <w:szCs w:val="24"/>
          <w:lang w:val="en-US"/>
        </w:rPr>
        <w:t>Journal of Innovation &amp; Knowledge, 1</w:t>
      </w:r>
      <w:r w:rsidRPr="0015549D">
        <w:rPr>
          <w:rFonts w:ascii="Times New Roman" w:hAnsi="Times New Roman" w:cs="Times New Roman"/>
          <w:noProof/>
          <w:sz w:val="24"/>
          <w:szCs w:val="24"/>
          <w:lang w:val="en-US"/>
        </w:rPr>
        <w:t>(3), 125-180. Doi:10.1016/j.jik.2016.01.005</w:t>
      </w:r>
    </w:p>
    <w:p w14:paraId="69419B24" w14:textId="77777777" w:rsidR="00A24D07" w:rsidRPr="0015549D" w:rsidRDefault="00A24D07" w:rsidP="00A24D07">
      <w:pPr>
        <w:pStyle w:val="Bibliografa"/>
        <w:spacing w:after="0" w:line="360" w:lineRule="auto"/>
        <w:ind w:left="709" w:hanging="709"/>
        <w:jc w:val="both"/>
        <w:rPr>
          <w:rFonts w:ascii="Times New Roman" w:hAnsi="Times New Roman" w:cs="Times New Roman"/>
          <w:noProof/>
          <w:sz w:val="24"/>
          <w:szCs w:val="24"/>
          <w:lang w:val="en-US"/>
        </w:rPr>
      </w:pPr>
      <w:r w:rsidRPr="0015549D">
        <w:rPr>
          <w:rFonts w:ascii="Times New Roman" w:hAnsi="Times New Roman" w:cs="Times New Roman"/>
          <w:noProof/>
          <w:sz w:val="24"/>
          <w:szCs w:val="24"/>
          <w:lang w:val="en-US"/>
        </w:rPr>
        <w:t xml:space="preserve">Yao, Y., Chen, D., Che, L., Wang, H. and Guan, Q. (2018). A time series of urban extent in China using DSMP/OLS nighttime light data. </w:t>
      </w:r>
      <w:r w:rsidRPr="0015549D">
        <w:rPr>
          <w:rFonts w:ascii="Times New Roman" w:hAnsi="Times New Roman" w:cs="Times New Roman"/>
          <w:i/>
          <w:iCs/>
          <w:noProof/>
          <w:sz w:val="24"/>
          <w:szCs w:val="24"/>
          <w:lang w:val="en-US"/>
        </w:rPr>
        <w:t>PLoS ONE, 13</w:t>
      </w:r>
      <w:r w:rsidRPr="0015549D">
        <w:rPr>
          <w:rFonts w:ascii="Times New Roman" w:hAnsi="Times New Roman" w:cs="Times New Roman"/>
          <w:noProof/>
          <w:sz w:val="24"/>
          <w:szCs w:val="24"/>
          <w:lang w:val="en-US"/>
        </w:rPr>
        <w:t>(5), 1-24. Doi:10.1371/journal.pone.0198189</w:t>
      </w:r>
    </w:p>
    <w:p w14:paraId="14E99377" w14:textId="77777777" w:rsidR="00A24D07" w:rsidRPr="00474A1F" w:rsidRDefault="00A24D07" w:rsidP="00A24D07">
      <w:pPr>
        <w:pStyle w:val="Bibliografa"/>
        <w:spacing w:after="0" w:line="360" w:lineRule="auto"/>
        <w:ind w:left="709" w:hanging="709"/>
        <w:jc w:val="both"/>
        <w:rPr>
          <w:rFonts w:ascii="Times New Roman" w:hAnsi="Times New Roman" w:cs="Times New Roman"/>
          <w:noProof/>
          <w:sz w:val="24"/>
          <w:szCs w:val="24"/>
          <w:lang w:val="es-VE"/>
        </w:rPr>
      </w:pPr>
      <w:r w:rsidRPr="0015549D">
        <w:rPr>
          <w:rFonts w:ascii="Times New Roman" w:hAnsi="Times New Roman" w:cs="Times New Roman"/>
          <w:noProof/>
          <w:sz w:val="24"/>
          <w:szCs w:val="24"/>
          <w:lang w:val="en-US"/>
        </w:rPr>
        <w:t xml:space="preserve">Zhang, F. y Gallagher, K.  (2016). Innovation and technology transfer through global value chains: Evidence from China's PV industry. </w:t>
      </w:r>
      <w:r w:rsidRPr="0015549D">
        <w:rPr>
          <w:rFonts w:ascii="Times New Roman" w:hAnsi="Times New Roman" w:cs="Times New Roman"/>
          <w:i/>
          <w:iCs/>
          <w:noProof/>
          <w:sz w:val="24"/>
          <w:szCs w:val="24"/>
          <w:lang w:val="es-ES"/>
        </w:rPr>
        <w:t>Energy Policy, 94</w:t>
      </w:r>
      <w:r w:rsidRPr="0015549D">
        <w:rPr>
          <w:rFonts w:ascii="Times New Roman" w:hAnsi="Times New Roman" w:cs="Times New Roman"/>
          <w:noProof/>
          <w:sz w:val="24"/>
          <w:szCs w:val="24"/>
          <w:lang w:val="es-ES"/>
        </w:rPr>
        <w:t>(1), 191-203. Doi:10.1016/j.enpol.2016.04.014</w:t>
      </w:r>
    </w:p>
    <w:p w14:paraId="7ADF54FC" w14:textId="77777777" w:rsidR="00301C29" w:rsidRDefault="00301C29" w:rsidP="00A24D07">
      <w:pPr>
        <w:spacing w:after="0" w:line="360" w:lineRule="auto"/>
        <w:jc w:val="both"/>
        <w:rPr>
          <w:rFonts w:ascii="Times New Roman" w:hAnsi="Times New Roman" w:cs="Times New Roman"/>
          <w:sz w:val="24"/>
          <w:szCs w:val="24"/>
        </w:rPr>
      </w:pPr>
    </w:p>
    <w:p w14:paraId="22BF889D" w14:textId="77777777" w:rsidR="00D93FE6" w:rsidRDefault="00D93FE6" w:rsidP="00A24D07">
      <w:pPr>
        <w:spacing w:after="0" w:line="360" w:lineRule="auto"/>
        <w:jc w:val="both"/>
        <w:rPr>
          <w:rFonts w:ascii="Times New Roman" w:hAnsi="Times New Roman" w:cs="Times New Roman"/>
          <w:sz w:val="24"/>
          <w:szCs w:val="24"/>
        </w:rPr>
      </w:pPr>
    </w:p>
    <w:p w14:paraId="28E8BBEA" w14:textId="77777777" w:rsidR="00D93FE6" w:rsidRDefault="00D93FE6" w:rsidP="00A24D07">
      <w:pPr>
        <w:spacing w:after="0" w:line="360" w:lineRule="auto"/>
        <w:jc w:val="both"/>
        <w:rPr>
          <w:rFonts w:ascii="Times New Roman" w:hAnsi="Times New Roman" w:cs="Times New Roman"/>
          <w:sz w:val="24"/>
          <w:szCs w:val="24"/>
        </w:rPr>
      </w:pPr>
    </w:p>
    <w:p w14:paraId="037DC16D" w14:textId="77777777" w:rsidR="00D93FE6" w:rsidRDefault="00D93FE6" w:rsidP="00A24D07">
      <w:pPr>
        <w:spacing w:after="0" w:line="360" w:lineRule="auto"/>
        <w:jc w:val="both"/>
        <w:rPr>
          <w:rFonts w:ascii="Times New Roman" w:hAnsi="Times New Roman" w:cs="Times New Roman"/>
          <w:sz w:val="24"/>
          <w:szCs w:val="24"/>
        </w:rPr>
      </w:pPr>
    </w:p>
    <w:p w14:paraId="0A7215AB" w14:textId="77777777" w:rsidR="00D93FE6" w:rsidRDefault="00D93FE6" w:rsidP="00A24D07">
      <w:pPr>
        <w:spacing w:after="0" w:line="360" w:lineRule="auto"/>
        <w:jc w:val="both"/>
        <w:rPr>
          <w:rFonts w:ascii="Times New Roman" w:hAnsi="Times New Roman" w:cs="Times New Roman"/>
          <w:sz w:val="24"/>
          <w:szCs w:val="24"/>
        </w:rPr>
      </w:pPr>
    </w:p>
    <w:p w14:paraId="55B5F4E5" w14:textId="77777777" w:rsidR="00D93FE6" w:rsidRDefault="00D93FE6" w:rsidP="00A24D07">
      <w:pPr>
        <w:spacing w:after="0" w:line="360" w:lineRule="auto"/>
        <w:jc w:val="both"/>
        <w:rPr>
          <w:rFonts w:ascii="Times New Roman" w:hAnsi="Times New Roman" w:cs="Times New Roman"/>
          <w:sz w:val="24"/>
          <w:szCs w:val="24"/>
        </w:rPr>
      </w:pPr>
    </w:p>
    <w:p w14:paraId="4080E2BD" w14:textId="77777777" w:rsidR="00D93FE6" w:rsidRPr="00A24D07" w:rsidRDefault="00D93FE6" w:rsidP="00A24D07">
      <w:pPr>
        <w:spacing w:after="0" w:line="360" w:lineRule="auto"/>
        <w:jc w:val="both"/>
        <w:rPr>
          <w:rFonts w:ascii="Times New Roman" w:hAnsi="Times New Roman" w:cs="Times New Roman"/>
          <w:sz w:val="24"/>
          <w:szCs w:val="24"/>
        </w:rPr>
      </w:pPr>
    </w:p>
    <w:p w14:paraId="640A539A" w14:textId="238896AF" w:rsidR="00985E1C" w:rsidRPr="00EB51CC" w:rsidRDefault="00985E1C" w:rsidP="00301C29">
      <w:pPr>
        <w:pStyle w:val="Ttulo1"/>
        <w:rPr>
          <w:sz w:val="28"/>
          <w:szCs w:val="28"/>
        </w:rPr>
      </w:pPr>
      <w:r w:rsidRPr="00EB51CC">
        <w:rPr>
          <w:sz w:val="28"/>
          <w:szCs w:val="28"/>
        </w:rPr>
        <w:lastRenderedPageBreak/>
        <w:t>Anexos</w:t>
      </w:r>
    </w:p>
    <w:p w14:paraId="6CA11644" w14:textId="5C6A0B49" w:rsidR="00985E1C" w:rsidRPr="00474A1F" w:rsidRDefault="00985E1C" w:rsidP="00196F77">
      <w:pPr>
        <w:jc w:val="center"/>
        <w:rPr>
          <w:rFonts w:ascii="Times New Roman" w:hAnsi="Times New Roman" w:cs="Times New Roman"/>
        </w:rPr>
      </w:pPr>
      <w:r w:rsidRPr="00474A1F">
        <w:rPr>
          <w:rFonts w:ascii="Times New Roman" w:hAnsi="Times New Roman" w:cs="Times New Roman"/>
        </w:rPr>
        <w:t>Captura de pantalla del análisis MCO, STATA 14</w:t>
      </w:r>
    </w:p>
    <w:p w14:paraId="27EC6173" w14:textId="02573AFD" w:rsidR="00985E1C" w:rsidRPr="00474A1F" w:rsidRDefault="00985E1C" w:rsidP="003E27FE">
      <w:pPr>
        <w:spacing w:after="0" w:line="240" w:lineRule="auto"/>
        <w:jc w:val="center"/>
        <w:rPr>
          <w:rFonts w:ascii="Times New Roman" w:hAnsi="Times New Roman" w:cs="Times New Roman"/>
          <w:sz w:val="20"/>
        </w:rPr>
      </w:pPr>
      <w:r w:rsidRPr="00474A1F">
        <w:rPr>
          <w:rFonts w:ascii="Times New Roman" w:hAnsi="Times New Roman" w:cs="Times New Roman"/>
          <w:noProof/>
          <w:lang w:eastAsia="es-MX"/>
        </w:rPr>
        <w:drawing>
          <wp:inline distT="0" distB="0" distL="0" distR="0" wp14:anchorId="17AA8A7A" wp14:editId="2B2823D9">
            <wp:extent cx="4991212" cy="290899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9529" cy="2977956"/>
                    </a:xfrm>
                    <a:prstGeom prst="rect">
                      <a:avLst/>
                    </a:prstGeom>
                    <a:noFill/>
                    <a:ln>
                      <a:noFill/>
                    </a:ln>
                  </pic:spPr>
                </pic:pic>
              </a:graphicData>
            </a:graphic>
          </wp:inline>
        </w:drawing>
      </w:r>
    </w:p>
    <w:sectPr w:rsidR="00985E1C" w:rsidRPr="00474A1F" w:rsidSect="00D93FE6">
      <w:headerReference w:type="default" r:id="rId20"/>
      <w:footerReference w:type="default" r:id="rId21"/>
      <w:pgSz w:w="12240" w:h="15840"/>
      <w:pgMar w:top="1843"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D940" w14:textId="77777777" w:rsidR="002F33E5" w:rsidRDefault="002F33E5" w:rsidP="003A5F2B">
      <w:pPr>
        <w:spacing w:after="0" w:line="240" w:lineRule="auto"/>
      </w:pPr>
      <w:r>
        <w:separator/>
      </w:r>
    </w:p>
  </w:endnote>
  <w:endnote w:type="continuationSeparator" w:id="0">
    <w:p w14:paraId="7EAA9C4C" w14:textId="77777777" w:rsidR="002F33E5" w:rsidRDefault="002F33E5" w:rsidP="003A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FBA6" w14:textId="4ABB1876" w:rsidR="003A5F2B" w:rsidRDefault="00A91A58">
    <w:pPr>
      <w:pStyle w:val="Piedepgina"/>
    </w:pPr>
    <w:r>
      <w:t xml:space="preserve">              </w:t>
    </w:r>
    <w:r>
      <w:rPr>
        <w:noProof/>
      </w:rPr>
      <w:drawing>
        <wp:inline distT="0" distB="0" distL="0" distR="0" wp14:anchorId="117644BA" wp14:editId="01374D0C">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A5F2B">
      <w:t xml:space="preserve">              </w:t>
    </w:r>
    <w:r w:rsidR="003A5F2B">
      <w:rPr>
        <w:rFonts w:cstheme="minorHAnsi"/>
        <w:b/>
      </w:rPr>
      <w:t>Vol. 10, Núm. 19 Julio - Diciembre 2019, e0</w:t>
    </w:r>
    <w:r w:rsidR="00BD62CB">
      <w:rPr>
        <w:rFonts w:cstheme="minorHAnsi"/>
        <w:b/>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EB78" w14:textId="77777777" w:rsidR="002F33E5" w:rsidRDefault="002F33E5" w:rsidP="003A5F2B">
      <w:pPr>
        <w:spacing w:after="0" w:line="240" w:lineRule="auto"/>
      </w:pPr>
      <w:r>
        <w:separator/>
      </w:r>
    </w:p>
  </w:footnote>
  <w:footnote w:type="continuationSeparator" w:id="0">
    <w:p w14:paraId="11AF158F" w14:textId="77777777" w:rsidR="002F33E5" w:rsidRDefault="002F33E5" w:rsidP="003A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1DD1" w14:textId="1410600D" w:rsidR="003A5F2B" w:rsidRDefault="003A5F2B" w:rsidP="003A5F2B">
    <w:pPr>
      <w:pStyle w:val="Encabezado"/>
      <w:jc w:val="center"/>
    </w:pPr>
    <w:r w:rsidRPr="005A563C">
      <w:rPr>
        <w:noProof/>
        <w:lang w:eastAsia="es-MX"/>
      </w:rPr>
      <w:drawing>
        <wp:inline distT="0" distB="0" distL="0" distR="0" wp14:anchorId="53419868" wp14:editId="1680A4C7">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4673D"/>
    <w:multiLevelType w:val="hybridMultilevel"/>
    <w:tmpl w:val="E2C07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642104"/>
    <w:multiLevelType w:val="hybridMultilevel"/>
    <w:tmpl w:val="63B0B0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C63842"/>
    <w:multiLevelType w:val="hybridMultilevel"/>
    <w:tmpl w:val="0A9E8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yMDA3N7Q0sDA3tTRQ0lEKTi0uzszPAykwNK0FAISbVCYtAAAA"/>
  </w:docVars>
  <w:rsids>
    <w:rsidRoot w:val="00722C10"/>
    <w:rsid w:val="0000119F"/>
    <w:rsid w:val="00003F27"/>
    <w:rsid w:val="0000531E"/>
    <w:rsid w:val="000156F7"/>
    <w:rsid w:val="000257B9"/>
    <w:rsid w:val="00032D34"/>
    <w:rsid w:val="000337B0"/>
    <w:rsid w:val="000449BC"/>
    <w:rsid w:val="0004756F"/>
    <w:rsid w:val="000501BC"/>
    <w:rsid w:val="00060BA5"/>
    <w:rsid w:val="000635F5"/>
    <w:rsid w:val="0008241F"/>
    <w:rsid w:val="00085FA3"/>
    <w:rsid w:val="00094FDB"/>
    <w:rsid w:val="000B17B4"/>
    <w:rsid w:val="000B5F3F"/>
    <w:rsid w:val="000B6386"/>
    <w:rsid w:val="000C0702"/>
    <w:rsid w:val="000E05AC"/>
    <w:rsid w:val="000F189F"/>
    <w:rsid w:val="000F5DE4"/>
    <w:rsid w:val="0010258D"/>
    <w:rsid w:val="0010670F"/>
    <w:rsid w:val="0011409E"/>
    <w:rsid w:val="00116400"/>
    <w:rsid w:val="0012365B"/>
    <w:rsid w:val="00127CF1"/>
    <w:rsid w:val="001341B6"/>
    <w:rsid w:val="00140F7A"/>
    <w:rsid w:val="001504E9"/>
    <w:rsid w:val="0015556C"/>
    <w:rsid w:val="00173935"/>
    <w:rsid w:val="00173F77"/>
    <w:rsid w:val="00180F9B"/>
    <w:rsid w:val="001923E7"/>
    <w:rsid w:val="00195010"/>
    <w:rsid w:val="00196F77"/>
    <w:rsid w:val="00197E03"/>
    <w:rsid w:val="001A373C"/>
    <w:rsid w:val="001A4A0B"/>
    <w:rsid w:val="001A5B53"/>
    <w:rsid w:val="001A6DF6"/>
    <w:rsid w:val="001B0ECD"/>
    <w:rsid w:val="001C6F26"/>
    <w:rsid w:val="001C79A9"/>
    <w:rsid w:val="001D4534"/>
    <w:rsid w:val="001D6883"/>
    <w:rsid w:val="001E63DB"/>
    <w:rsid w:val="001F2DA2"/>
    <w:rsid w:val="001F7008"/>
    <w:rsid w:val="001F7A42"/>
    <w:rsid w:val="00200122"/>
    <w:rsid w:val="00206817"/>
    <w:rsid w:val="00207A67"/>
    <w:rsid w:val="002110FA"/>
    <w:rsid w:val="00217F55"/>
    <w:rsid w:val="00224857"/>
    <w:rsid w:val="0022568B"/>
    <w:rsid w:val="00232984"/>
    <w:rsid w:val="002437DF"/>
    <w:rsid w:val="002527D7"/>
    <w:rsid w:val="0025571D"/>
    <w:rsid w:val="00261FBC"/>
    <w:rsid w:val="00264F21"/>
    <w:rsid w:val="00265C27"/>
    <w:rsid w:val="0026705C"/>
    <w:rsid w:val="00280DA2"/>
    <w:rsid w:val="00281FA6"/>
    <w:rsid w:val="002844AF"/>
    <w:rsid w:val="00286E03"/>
    <w:rsid w:val="00293D1E"/>
    <w:rsid w:val="002A11E2"/>
    <w:rsid w:val="002A258F"/>
    <w:rsid w:val="002B7F90"/>
    <w:rsid w:val="002C06C3"/>
    <w:rsid w:val="002C66ED"/>
    <w:rsid w:val="002D01BD"/>
    <w:rsid w:val="002D4AD7"/>
    <w:rsid w:val="002D650E"/>
    <w:rsid w:val="002E10CB"/>
    <w:rsid w:val="002E5893"/>
    <w:rsid w:val="002E7FF8"/>
    <w:rsid w:val="002F33E5"/>
    <w:rsid w:val="002F5B94"/>
    <w:rsid w:val="003019AE"/>
    <w:rsid w:val="00301C29"/>
    <w:rsid w:val="00302858"/>
    <w:rsid w:val="0030523B"/>
    <w:rsid w:val="00311568"/>
    <w:rsid w:val="003134FB"/>
    <w:rsid w:val="00313594"/>
    <w:rsid w:val="003142DC"/>
    <w:rsid w:val="0031693B"/>
    <w:rsid w:val="003210BE"/>
    <w:rsid w:val="00325BB2"/>
    <w:rsid w:val="0032745B"/>
    <w:rsid w:val="00331858"/>
    <w:rsid w:val="00332BEA"/>
    <w:rsid w:val="0035583F"/>
    <w:rsid w:val="00364102"/>
    <w:rsid w:val="00372907"/>
    <w:rsid w:val="00372DF8"/>
    <w:rsid w:val="00374FEA"/>
    <w:rsid w:val="00377952"/>
    <w:rsid w:val="003805DF"/>
    <w:rsid w:val="00382579"/>
    <w:rsid w:val="00386DB4"/>
    <w:rsid w:val="00390CD2"/>
    <w:rsid w:val="003A57FA"/>
    <w:rsid w:val="003A5F2B"/>
    <w:rsid w:val="003A5F9A"/>
    <w:rsid w:val="003B0CCF"/>
    <w:rsid w:val="003B244D"/>
    <w:rsid w:val="003D41EB"/>
    <w:rsid w:val="003D5AB4"/>
    <w:rsid w:val="003D7351"/>
    <w:rsid w:val="003D7359"/>
    <w:rsid w:val="003D7EB9"/>
    <w:rsid w:val="003E27FE"/>
    <w:rsid w:val="003E2DD6"/>
    <w:rsid w:val="003E5DF7"/>
    <w:rsid w:val="003E76DC"/>
    <w:rsid w:val="003F469E"/>
    <w:rsid w:val="004126B6"/>
    <w:rsid w:val="00431DAE"/>
    <w:rsid w:val="00441193"/>
    <w:rsid w:val="00441D74"/>
    <w:rsid w:val="00445132"/>
    <w:rsid w:val="00447F36"/>
    <w:rsid w:val="0045180A"/>
    <w:rsid w:val="0045220C"/>
    <w:rsid w:val="00460473"/>
    <w:rsid w:val="00463314"/>
    <w:rsid w:val="00465640"/>
    <w:rsid w:val="00471D3C"/>
    <w:rsid w:val="00474A1F"/>
    <w:rsid w:val="00475A7A"/>
    <w:rsid w:val="0048797F"/>
    <w:rsid w:val="004978B0"/>
    <w:rsid w:val="004A4E03"/>
    <w:rsid w:val="004A65EF"/>
    <w:rsid w:val="004C117F"/>
    <w:rsid w:val="004C4966"/>
    <w:rsid w:val="004D04DD"/>
    <w:rsid w:val="004D11D0"/>
    <w:rsid w:val="004D7FF9"/>
    <w:rsid w:val="004E027A"/>
    <w:rsid w:val="004E0A95"/>
    <w:rsid w:val="004F4330"/>
    <w:rsid w:val="004F6CE0"/>
    <w:rsid w:val="005204A1"/>
    <w:rsid w:val="00524AC5"/>
    <w:rsid w:val="00524D25"/>
    <w:rsid w:val="0052697D"/>
    <w:rsid w:val="0053179A"/>
    <w:rsid w:val="00531F0E"/>
    <w:rsid w:val="00543765"/>
    <w:rsid w:val="00544594"/>
    <w:rsid w:val="00544A79"/>
    <w:rsid w:val="0055485E"/>
    <w:rsid w:val="00557DDB"/>
    <w:rsid w:val="005621A3"/>
    <w:rsid w:val="005669FB"/>
    <w:rsid w:val="00571633"/>
    <w:rsid w:val="00576E22"/>
    <w:rsid w:val="00581E30"/>
    <w:rsid w:val="00583AFE"/>
    <w:rsid w:val="00586557"/>
    <w:rsid w:val="0059559C"/>
    <w:rsid w:val="005A46FD"/>
    <w:rsid w:val="005A63CB"/>
    <w:rsid w:val="005B2F78"/>
    <w:rsid w:val="005C1028"/>
    <w:rsid w:val="005C1A06"/>
    <w:rsid w:val="005C46B7"/>
    <w:rsid w:val="005D62BF"/>
    <w:rsid w:val="005E598C"/>
    <w:rsid w:val="005F5ACE"/>
    <w:rsid w:val="005F6710"/>
    <w:rsid w:val="00602192"/>
    <w:rsid w:val="00615D35"/>
    <w:rsid w:val="0062069C"/>
    <w:rsid w:val="0065063A"/>
    <w:rsid w:val="00656B28"/>
    <w:rsid w:val="00671972"/>
    <w:rsid w:val="00680A88"/>
    <w:rsid w:val="00684362"/>
    <w:rsid w:val="00697EB0"/>
    <w:rsid w:val="006A0ABA"/>
    <w:rsid w:val="006A2862"/>
    <w:rsid w:val="006A2B9C"/>
    <w:rsid w:val="006B0016"/>
    <w:rsid w:val="006B6CC8"/>
    <w:rsid w:val="006B73D4"/>
    <w:rsid w:val="006C0A6B"/>
    <w:rsid w:val="006C0FB8"/>
    <w:rsid w:val="006C2B75"/>
    <w:rsid w:val="006C3BC4"/>
    <w:rsid w:val="006D5EA8"/>
    <w:rsid w:val="006D642B"/>
    <w:rsid w:val="006D6462"/>
    <w:rsid w:val="006D7427"/>
    <w:rsid w:val="006D7955"/>
    <w:rsid w:val="006E714D"/>
    <w:rsid w:val="006F380A"/>
    <w:rsid w:val="006F3E18"/>
    <w:rsid w:val="006F6184"/>
    <w:rsid w:val="00713683"/>
    <w:rsid w:val="007160C8"/>
    <w:rsid w:val="00722C10"/>
    <w:rsid w:val="0072584A"/>
    <w:rsid w:val="00735C0D"/>
    <w:rsid w:val="0073778D"/>
    <w:rsid w:val="00742F03"/>
    <w:rsid w:val="00743FCF"/>
    <w:rsid w:val="00751BE0"/>
    <w:rsid w:val="007526D4"/>
    <w:rsid w:val="00754103"/>
    <w:rsid w:val="007577C7"/>
    <w:rsid w:val="0076586D"/>
    <w:rsid w:val="00781759"/>
    <w:rsid w:val="00782103"/>
    <w:rsid w:val="007912E0"/>
    <w:rsid w:val="00791AB2"/>
    <w:rsid w:val="00796FAC"/>
    <w:rsid w:val="007A2FEA"/>
    <w:rsid w:val="007B07F6"/>
    <w:rsid w:val="007C0599"/>
    <w:rsid w:val="007C4130"/>
    <w:rsid w:val="007D2E1B"/>
    <w:rsid w:val="007E59FE"/>
    <w:rsid w:val="007F6479"/>
    <w:rsid w:val="00807C21"/>
    <w:rsid w:val="00814486"/>
    <w:rsid w:val="00814F05"/>
    <w:rsid w:val="00817658"/>
    <w:rsid w:val="008243D3"/>
    <w:rsid w:val="00827383"/>
    <w:rsid w:val="00856FAC"/>
    <w:rsid w:val="008604B7"/>
    <w:rsid w:val="00864FFF"/>
    <w:rsid w:val="00872428"/>
    <w:rsid w:val="00873870"/>
    <w:rsid w:val="0088190C"/>
    <w:rsid w:val="008931A9"/>
    <w:rsid w:val="00893776"/>
    <w:rsid w:val="00897311"/>
    <w:rsid w:val="008A09BF"/>
    <w:rsid w:val="008A4659"/>
    <w:rsid w:val="008A651F"/>
    <w:rsid w:val="008B0470"/>
    <w:rsid w:val="008C68F2"/>
    <w:rsid w:val="008D67DB"/>
    <w:rsid w:val="008F063B"/>
    <w:rsid w:val="008F56B4"/>
    <w:rsid w:val="00901D54"/>
    <w:rsid w:val="00902522"/>
    <w:rsid w:val="00922DE5"/>
    <w:rsid w:val="00930EC2"/>
    <w:rsid w:val="00951F8A"/>
    <w:rsid w:val="00953737"/>
    <w:rsid w:val="00963D0E"/>
    <w:rsid w:val="00965B20"/>
    <w:rsid w:val="00971438"/>
    <w:rsid w:val="00971631"/>
    <w:rsid w:val="009729C3"/>
    <w:rsid w:val="00973FB1"/>
    <w:rsid w:val="00975CB2"/>
    <w:rsid w:val="00985932"/>
    <w:rsid w:val="00985E1C"/>
    <w:rsid w:val="00990FD4"/>
    <w:rsid w:val="00996C22"/>
    <w:rsid w:val="009A0738"/>
    <w:rsid w:val="009A180F"/>
    <w:rsid w:val="009A5928"/>
    <w:rsid w:val="009B57F8"/>
    <w:rsid w:val="009B7C90"/>
    <w:rsid w:val="009C5329"/>
    <w:rsid w:val="009D5C94"/>
    <w:rsid w:val="009E7865"/>
    <w:rsid w:val="009F2349"/>
    <w:rsid w:val="009F3863"/>
    <w:rsid w:val="00A01687"/>
    <w:rsid w:val="00A05834"/>
    <w:rsid w:val="00A06681"/>
    <w:rsid w:val="00A07D19"/>
    <w:rsid w:val="00A160EC"/>
    <w:rsid w:val="00A22DE5"/>
    <w:rsid w:val="00A24D07"/>
    <w:rsid w:val="00A32CF4"/>
    <w:rsid w:val="00A3573E"/>
    <w:rsid w:val="00A40C56"/>
    <w:rsid w:val="00A41379"/>
    <w:rsid w:val="00A459F7"/>
    <w:rsid w:val="00A50CD3"/>
    <w:rsid w:val="00A5324C"/>
    <w:rsid w:val="00A64B53"/>
    <w:rsid w:val="00A743AD"/>
    <w:rsid w:val="00A77297"/>
    <w:rsid w:val="00A91A58"/>
    <w:rsid w:val="00A928BF"/>
    <w:rsid w:val="00AA1577"/>
    <w:rsid w:val="00AA2745"/>
    <w:rsid w:val="00AA2824"/>
    <w:rsid w:val="00AB1A6F"/>
    <w:rsid w:val="00AC1415"/>
    <w:rsid w:val="00AC4169"/>
    <w:rsid w:val="00AD08E3"/>
    <w:rsid w:val="00AE3D9A"/>
    <w:rsid w:val="00AE7B39"/>
    <w:rsid w:val="00AF1D3E"/>
    <w:rsid w:val="00B02EDB"/>
    <w:rsid w:val="00B049EA"/>
    <w:rsid w:val="00B11EA0"/>
    <w:rsid w:val="00B152C5"/>
    <w:rsid w:val="00B17072"/>
    <w:rsid w:val="00B2141A"/>
    <w:rsid w:val="00B259AD"/>
    <w:rsid w:val="00B30BE4"/>
    <w:rsid w:val="00B432BD"/>
    <w:rsid w:val="00B44051"/>
    <w:rsid w:val="00B44638"/>
    <w:rsid w:val="00B53CB3"/>
    <w:rsid w:val="00B6582F"/>
    <w:rsid w:val="00B67D06"/>
    <w:rsid w:val="00B70E78"/>
    <w:rsid w:val="00B70FA7"/>
    <w:rsid w:val="00B77FAD"/>
    <w:rsid w:val="00B87C0C"/>
    <w:rsid w:val="00B975C6"/>
    <w:rsid w:val="00BA12FE"/>
    <w:rsid w:val="00BA77C9"/>
    <w:rsid w:val="00BB1992"/>
    <w:rsid w:val="00BB23BE"/>
    <w:rsid w:val="00BB5951"/>
    <w:rsid w:val="00BC1139"/>
    <w:rsid w:val="00BC2EE9"/>
    <w:rsid w:val="00BC73AF"/>
    <w:rsid w:val="00BD00F1"/>
    <w:rsid w:val="00BD578F"/>
    <w:rsid w:val="00BD5D86"/>
    <w:rsid w:val="00BD62CB"/>
    <w:rsid w:val="00BD7E5B"/>
    <w:rsid w:val="00BE3C9C"/>
    <w:rsid w:val="00BE71DC"/>
    <w:rsid w:val="00BF0211"/>
    <w:rsid w:val="00BF1132"/>
    <w:rsid w:val="00BF17DA"/>
    <w:rsid w:val="00BF731C"/>
    <w:rsid w:val="00C02957"/>
    <w:rsid w:val="00C05B07"/>
    <w:rsid w:val="00C07B1B"/>
    <w:rsid w:val="00C11C0D"/>
    <w:rsid w:val="00C1507A"/>
    <w:rsid w:val="00C17249"/>
    <w:rsid w:val="00C3445E"/>
    <w:rsid w:val="00C62ABE"/>
    <w:rsid w:val="00C64608"/>
    <w:rsid w:val="00C64F54"/>
    <w:rsid w:val="00C713E7"/>
    <w:rsid w:val="00C775C9"/>
    <w:rsid w:val="00CA7F82"/>
    <w:rsid w:val="00CB18A7"/>
    <w:rsid w:val="00CB373A"/>
    <w:rsid w:val="00CB391A"/>
    <w:rsid w:val="00CB41A4"/>
    <w:rsid w:val="00CB51C0"/>
    <w:rsid w:val="00CC4CCA"/>
    <w:rsid w:val="00CD2FA4"/>
    <w:rsid w:val="00CD5B8C"/>
    <w:rsid w:val="00CD691D"/>
    <w:rsid w:val="00CF11D1"/>
    <w:rsid w:val="00CF6A58"/>
    <w:rsid w:val="00D00D8E"/>
    <w:rsid w:val="00D04A0B"/>
    <w:rsid w:val="00D15769"/>
    <w:rsid w:val="00D213BD"/>
    <w:rsid w:val="00D22E4D"/>
    <w:rsid w:val="00D25EE1"/>
    <w:rsid w:val="00D33054"/>
    <w:rsid w:val="00D3626C"/>
    <w:rsid w:val="00D37CC3"/>
    <w:rsid w:val="00D41286"/>
    <w:rsid w:val="00D52D23"/>
    <w:rsid w:val="00D65B48"/>
    <w:rsid w:val="00D7193E"/>
    <w:rsid w:val="00D92468"/>
    <w:rsid w:val="00D93FE6"/>
    <w:rsid w:val="00DA422F"/>
    <w:rsid w:val="00DB100F"/>
    <w:rsid w:val="00DB38A8"/>
    <w:rsid w:val="00DB4333"/>
    <w:rsid w:val="00DB5D1B"/>
    <w:rsid w:val="00DC498B"/>
    <w:rsid w:val="00DD4C6D"/>
    <w:rsid w:val="00DE3A5D"/>
    <w:rsid w:val="00DE486F"/>
    <w:rsid w:val="00DF7805"/>
    <w:rsid w:val="00E00511"/>
    <w:rsid w:val="00E02881"/>
    <w:rsid w:val="00E100DC"/>
    <w:rsid w:val="00E1466A"/>
    <w:rsid w:val="00E2057D"/>
    <w:rsid w:val="00E20B07"/>
    <w:rsid w:val="00E25AFA"/>
    <w:rsid w:val="00E26967"/>
    <w:rsid w:val="00E40A8E"/>
    <w:rsid w:val="00E41E7B"/>
    <w:rsid w:val="00E453A7"/>
    <w:rsid w:val="00E50323"/>
    <w:rsid w:val="00E53C74"/>
    <w:rsid w:val="00E56D52"/>
    <w:rsid w:val="00E60542"/>
    <w:rsid w:val="00E65A62"/>
    <w:rsid w:val="00E73CDC"/>
    <w:rsid w:val="00E80226"/>
    <w:rsid w:val="00E854A2"/>
    <w:rsid w:val="00E9174B"/>
    <w:rsid w:val="00E930E9"/>
    <w:rsid w:val="00EA0633"/>
    <w:rsid w:val="00EA55A8"/>
    <w:rsid w:val="00EB51CC"/>
    <w:rsid w:val="00EC4348"/>
    <w:rsid w:val="00ED312F"/>
    <w:rsid w:val="00EE7955"/>
    <w:rsid w:val="00EF5CBE"/>
    <w:rsid w:val="00EF7AB1"/>
    <w:rsid w:val="00F00051"/>
    <w:rsid w:val="00F00679"/>
    <w:rsid w:val="00F22304"/>
    <w:rsid w:val="00F26664"/>
    <w:rsid w:val="00F273CE"/>
    <w:rsid w:val="00F344F1"/>
    <w:rsid w:val="00F3763C"/>
    <w:rsid w:val="00F37E8A"/>
    <w:rsid w:val="00F64412"/>
    <w:rsid w:val="00F73F75"/>
    <w:rsid w:val="00F861E4"/>
    <w:rsid w:val="00F93010"/>
    <w:rsid w:val="00F96383"/>
    <w:rsid w:val="00FA3904"/>
    <w:rsid w:val="00FA4609"/>
    <w:rsid w:val="00FA7965"/>
    <w:rsid w:val="00FB1703"/>
    <w:rsid w:val="00FB2853"/>
    <w:rsid w:val="00FB76CE"/>
    <w:rsid w:val="00FC0EF3"/>
    <w:rsid w:val="00FC35D6"/>
    <w:rsid w:val="00FE4A4F"/>
    <w:rsid w:val="00FF3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928A"/>
  <w15:docId w15:val="{575E1C77-0B64-4568-8163-F50AA0F0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6F77"/>
    <w:pPr>
      <w:keepNext/>
      <w:keepLines/>
      <w:spacing w:after="0" w:line="360" w:lineRule="auto"/>
      <w:outlineLvl w:val="0"/>
    </w:pPr>
    <w:rPr>
      <w:rFonts w:ascii="Times New Roman" w:eastAsia="Times New Roman" w:hAnsi="Times New Roman" w:cs="Times New Roman"/>
      <w:b/>
      <w:sz w:val="24"/>
      <w:szCs w:val="24"/>
      <w:lang w:eastAsia="es-MX"/>
    </w:rPr>
  </w:style>
  <w:style w:type="paragraph" w:styleId="Ttulo2">
    <w:name w:val="heading 2"/>
    <w:basedOn w:val="Normal"/>
    <w:next w:val="Normal"/>
    <w:link w:val="Ttulo2Car"/>
    <w:uiPriority w:val="9"/>
    <w:unhideWhenUsed/>
    <w:qFormat/>
    <w:rsid w:val="00893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0681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48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8797F"/>
    <w:rPr>
      <w:rFonts w:ascii="Courier New" w:eastAsia="Times New Roman" w:hAnsi="Courier New" w:cs="Courier New"/>
      <w:sz w:val="20"/>
      <w:szCs w:val="20"/>
      <w:lang w:eastAsia="es-MX"/>
    </w:rPr>
  </w:style>
  <w:style w:type="character" w:styleId="Textoennegrita">
    <w:name w:val="Strong"/>
    <w:basedOn w:val="Fuentedeprrafopredeter"/>
    <w:uiPriority w:val="22"/>
    <w:qFormat/>
    <w:rsid w:val="00684362"/>
    <w:rPr>
      <w:b/>
      <w:bCs/>
    </w:rPr>
  </w:style>
  <w:style w:type="character" w:customStyle="1" w:styleId="Ttulo3Car">
    <w:name w:val="Título 3 Car"/>
    <w:basedOn w:val="Fuentedeprrafopredeter"/>
    <w:link w:val="Ttulo3"/>
    <w:uiPriority w:val="9"/>
    <w:rsid w:val="00206817"/>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C10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C1028"/>
    <w:rPr>
      <w:color w:val="0000FF"/>
      <w:u w:val="single"/>
    </w:rPr>
  </w:style>
  <w:style w:type="character" w:customStyle="1" w:styleId="Ttulo1Car">
    <w:name w:val="Título 1 Car"/>
    <w:basedOn w:val="Fuentedeprrafopredeter"/>
    <w:link w:val="Ttulo1"/>
    <w:uiPriority w:val="9"/>
    <w:rsid w:val="00196F77"/>
    <w:rPr>
      <w:rFonts w:ascii="Times New Roman" w:eastAsia="Times New Roman" w:hAnsi="Times New Roman" w:cs="Times New Roman"/>
      <w:b/>
      <w:sz w:val="24"/>
      <w:szCs w:val="24"/>
      <w:lang w:eastAsia="es-MX"/>
    </w:rPr>
  </w:style>
  <w:style w:type="paragraph" w:styleId="Bibliografa">
    <w:name w:val="Bibliography"/>
    <w:basedOn w:val="Normal"/>
    <w:next w:val="Normal"/>
    <w:uiPriority w:val="37"/>
    <w:unhideWhenUsed/>
    <w:rsid w:val="00E73CDC"/>
  </w:style>
  <w:style w:type="character" w:customStyle="1" w:styleId="Ttulo2Car">
    <w:name w:val="Título 2 Car"/>
    <w:basedOn w:val="Fuentedeprrafopredeter"/>
    <w:link w:val="Ttulo2"/>
    <w:uiPriority w:val="9"/>
    <w:rsid w:val="008931A9"/>
    <w:rPr>
      <w:rFonts w:asciiTheme="majorHAnsi" w:eastAsiaTheme="majorEastAsia" w:hAnsiTheme="majorHAnsi" w:cstheme="majorBidi"/>
      <w:color w:val="2F5496" w:themeColor="accent1" w:themeShade="BF"/>
      <w:sz w:val="26"/>
      <w:szCs w:val="26"/>
    </w:rPr>
  </w:style>
  <w:style w:type="paragraph" w:customStyle="1" w:styleId="elsevierstylepara">
    <w:name w:val="elsevierstylepara"/>
    <w:basedOn w:val="Normal"/>
    <w:rsid w:val="005548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italic">
    <w:name w:val="elsevierstyleitalic"/>
    <w:basedOn w:val="Fuentedeprrafopredeter"/>
    <w:rsid w:val="0055485E"/>
  </w:style>
  <w:style w:type="table" w:styleId="Tablaconcuadrcula">
    <w:name w:val="Table Grid"/>
    <w:basedOn w:val="Tablanormal"/>
    <w:uiPriority w:val="39"/>
    <w:rsid w:val="00FC35D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F6A58"/>
    <w:rPr>
      <w:i/>
      <w:iCs/>
    </w:rPr>
  </w:style>
  <w:style w:type="character" w:styleId="Refdecomentario">
    <w:name w:val="annotation reference"/>
    <w:basedOn w:val="Fuentedeprrafopredeter"/>
    <w:uiPriority w:val="99"/>
    <w:semiHidden/>
    <w:unhideWhenUsed/>
    <w:rsid w:val="00F273CE"/>
    <w:rPr>
      <w:sz w:val="16"/>
      <w:szCs w:val="16"/>
    </w:rPr>
  </w:style>
  <w:style w:type="paragraph" w:styleId="Textocomentario">
    <w:name w:val="annotation text"/>
    <w:basedOn w:val="Normal"/>
    <w:link w:val="TextocomentarioCar"/>
    <w:uiPriority w:val="99"/>
    <w:semiHidden/>
    <w:unhideWhenUsed/>
    <w:rsid w:val="00F27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73CE"/>
    <w:rPr>
      <w:sz w:val="20"/>
      <w:szCs w:val="20"/>
    </w:rPr>
  </w:style>
  <w:style w:type="paragraph" w:styleId="Asuntodelcomentario">
    <w:name w:val="annotation subject"/>
    <w:basedOn w:val="Textocomentario"/>
    <w:next w:val="Textocomentario"/>
    <w:link w:val="AsuntodelcomentarioCar"/>
    <w:uiPriority w:val="99"/>
    <w:semiHidden/>
    <w:unhideWhenUsed/>
    <w:rsid w:val="00F273CE"/>
    <w:rPr>
      <w:b/>
      <w:bCs/>
    </w:rPr>
  </w:style>
  <w:style w:type="character" w:customStyle="1" w:styleId="AsuntodelcomentarioCar">
    <w:name w:val="Asunto del comentario Car"/>
    <w:basedOn w:val="TextocomentarioCar"/>
    <w:link w:val="Asuntodelcomentario"/>
    <w:uiPriority w:val="99"/>
    <w:semiHidden/>
    <w:rsid w:val="00F273CE"/>
    <w:rPr>
      <w:b/>
      <w:bCs/>
      <w:sz w:val="20"/>
      <w:szCs w:val="20"/>
    </w:rPr>
  </w:style>
  <w:style w:type="paragraph" w:styleId="Textodeglobo">
    <w:name w:val="Balloon Text"/>
    <w:basedOn w:val="Normal"/>
    <w:link w:val="TextodegloboCar"/>
    <w:uiPriority w:val="99"/>
    <w:semiHidden/>
    <w:unhideWhenUsed/>
    <w:rsid w:val="00F273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3CE"/>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445132"/>
    <w:rPr>
      <w:color w:val="605E5C"/>
      <w:shd w:val="clear" w:color="auto" w:fill="E1DFDD"/>
    </w:rPr>
  </w:style>
  <w:style w:type="paragraph" w:styleId="Encabezado">
    <w:name w:val="header"/>
    <w:basedOn w:val="Normal"/>
    <w:link w:val="EncabezadoCar"/>
    <w:uiPriority w:val="99"/>
    <w:unhideWhenUsed/>
    <w:rsid w:val="003A5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F2B"/>
  </w:style>
  <w:style w:type="paragraph" w:styleId="Piedepgina">
    <w:name w:val="footer"/>
    <w:basedOn w:val="Normal"/>
    <w:link w:val="PiedepginaCar"/>
    <w:uiPriority w:val="99"/>
    <w:unhideWhenUsed/>
    <w:rsid w:val="003A5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F2B"/>
  </w:style>
  <w:style w:type="character" w:customStyle="1" w:styleId="Mencinsinresolver2">
    <w:name w:val="Mención sin resolver2"/>
    <w:basedOn w:val="Fuentedeprrafopredeter"/>
    <w:uiPriority w:val="99"/>
    <w:semiHidden/>
    <w:unhideWhenUsed/>
    <w:rsid w:val="0047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2727">
      <w:bodyDiv w:val="1"/>
      <w:marLeft w:val="0"/>
      <w:marRight w:val="0"/>
      <w:marTop w:val="0"/>
      <w:marBottom w:val="0"/>
      <w:divBdr>
        <w:top w:val="none" w:sz="0" w:space="0" w:color="auto"/>
        <w:left w:val="none" w:sz="0" w:space="0" w:color="auto"/>
        <w:bottom w:val="none" w:sz="0" w:space="0" w:color="auto"/>
        <w:right w:val="none" w:sz="0" w:space="0" w:color="auto"/>
      </w:divBdr>
    </w:div>
    <w:div w:id="50740459">
      <w:bodyDiv w:val="1"/>
      <w:marLeft w:val="0"/>
      <w:marRight w:val="0"/>
      <w:marTop w:val="0"/>
      <w:marBottom w:val="0"/>
      <w:divBdr>
        <w:top w:val="none" w:sz="0" w:space="0" w:color="auto"/>
        <w:left w:val="none" w:sz="0" w:space="0" w:color="auto"/>
        <w:bottom w:val="none" w:sz="0" w:space="0" w:color="auto"/>
        <w:right w:val="none" w:sz="0" w:space="0" w:color="auto"/>
      </w:divBdr>
    </w:div>
    <w:div w:id="107551306">
      <w:bodyDiv w:val="1"/>
      <w:marLeft w:val="0"/>
      <w:marRight w:val="0"/>
      <w:marTop w:val="0"/>
      <w:marBottom w:val="0"/>
      <w:divBdr>
        <w:top w:val="none" w:sz="0" w:space="0" w:color="auto"/>
        <w:left w:val="none" w:sz="0" w:space="0" w:color="auto"/>
        <w:bottom w:val="none" w:sz="0" w:space="0" w:color="auto"/>
        <w:right w:val="none" w:sz="0" w:space="0" w:color="auto"/>
      </w:divBdr>
    </w:div>
    <w:div w:id="146555671">
      <w:bodyDiv w:val="1"/>
      <w:marLeft w:val="0"/>
      <w:marRight w:val="0"/>
      <w:marTop w:val="0"/>
      <w:marBottom w:val="0"/>
      <w:divBdr>
        <w:top w:val="none" w:sz="0" w:space="0" w:color="auto"/>
        <w:left w:val="none" w:sz="0" w:space="0" w:color="auto"/>
        <w:bottom w:val="none" w:sz="0" w:space="0" w:color="auto"/>
        <w:right w:val="none" w:sz="0" w:space="0" w:color="auto"/>
      </w:divBdr>
    </w:div>
    <w:div w:id="150950677">
      <w:bodyDiv w:val="1"/>
      <w:marLeft w:val="0"/>
      <w:marRight w:val="0"/>
      <w:marTop w:val="0"/>
      <w:marBottom w:val="0"/>
      <w:divBdr>
        <w:top w:val="none" w:sz="0" w:space="0" w:color="auto"/>
        <w:left w:val="none" w:sz="0" w:space="0" w:color="auto"/>
        <w:bottom w:val="none" w:sz="0" w:space="0" w:color="auto"/>
        <w:right w:val="none" w:sz="0" w:space="0" w:color="auto"/>
      </w:divBdr>
    </w:div>
    <w:div w:id="155221282">
      <w:bodyDiv w:val="1"/>
      <w:marLeft w:val="0"/>
      <w:marRight w:val="0"/>
      <w:marTop w:val="0"/>
      <w:marBottom w:val="0"/>
      <w:divBdr>
        <w:top w:val="none" w:sz="0" w:space="0" w:color="auto"/>
        <w:left w:val="none" w:sz="0" w:space="0" w:color="auto"/>
        <w:bottom w:val="none" w:sz="0" w:space="0" w:color="auto"/>
        <w:right w:val="none" w:sz="0" w:space="0" w:color="auto"/>
      </w:divBdr>
    </w:div>
    <w:div w:id="237982359">
      <w:bodyDiv w:val="1"/>
      <w:marLeft w:val="0"/>
      <w:marRight w:val="0"/>
      <w:marTop w:val="0"/>
      <w:marBottom w:val="0"/>
      <w:divBdr>
        <w:top w:val="none" w:sz="0" w:space="0" w:color="auto"/>
        <w:left w:val="none" w:sz="0" w:space="0" w:color="auto"/>
        <w:bottom w:val="none" w:sz="0" w:space="0" w:color="auto"/>
        <w:right w:val="none" w:sz="0" w:space="0" w:color="auto"/>
      </w:divBdr>
    </w:div>
    <w:div w:id="255211756">
      <w:bodyDiv w:val="1"/>
      <w:marLeft w:val="0"/>
      <w:marRight w:val="0"/>
      <w:marTop w:val="0"/>
      <w:marBottom w:val="0"/>
      <w:divBdr>
        <w:top w:val="none" w:sz="0" w:space="0" w:color="auto"/>
        <w:left w:val="none" w:sz="0" w:space="0" w:color="auto"/>
        <w:bottom w:val="none" w:sz="0" w:space="0" w:color="auto"/>
        <w:right w:val="none" w:sz="0" w:space="0" w:color="auto"/>
      </w:divBdr>
    </w:div>
    <w:div w:id="271013550">
      <w:bodyDiv w:val="1"/>
      <w:marLeft w:val="0"/>
      <w:marRight w:val="0"/>
      <w:marTop w:val="0"/>
      <w:marBottom w:val="0"/>
      <w:divBdr>
        <w:top w:val="none" w:sz="0" w:space="0" w:color="auto"/>
        <w:left w:val="none" w:sz="0" w:space="0" w:color="auto"/>
        <w:bottom w:val="none" w:sz="0" w:space="0" w:color="auto"/>
        <w:right w:val="none" w:sz="0" w:space="0" w:color="auto"/>
      </w:divBdr>
    </w:div>
    <w:div w:id="296885711">
      <w:bodyDiv w:val="1"/>
      <w:marLeft w:val="0"/>
      <w:marRight w:val="0"/>
      <w:marTop w:val="0"/>
      <w:marBottom w:val="0"/>
      <w:divBdr>
        <w:top w:val="none" w:sz="0" w:space="0" w:color="auto"/>
        <w:left w:val="none" w:sz="0" w:space="0" w:color="auto"/>
        <w:bottom w:val="none" w:sz="0" w:space="0" w:color="auto"/>
        <w:right w:val="none" w:sz="0" w:space="0" w:color="auto"/>
      </w:divBdr>
    </w:div>
    <w:div w:id="325985258">
      <w:bodyDiv w:val="1"/>
      <w:marLeft w:val="0"/>
      <w:marRight w:val="0"/>
      <w:marTop w:val="0"/>
      <w:marBottom w:val="0"/>
      <w:divBdr>
        <w:top w:val="none" w:sz="0" w:space="0" w:color="auto"/>
        <w:left w:val="none" w:sz="0" w:space="0" w:color="auto"/>
        <w:bottom w:val="none" w:sz="0" w:space="0" w:color="auto"/>
        <w:right w:val="none" w:sz="0" w:space="0" w:color="auto"/>
      </w:divBdr>
    </w:div>
    <w:div w:id="328564469">
      <w:bodyDiv w:val="1"/>
      <w:marLeft w:val="0"/>
      <w:marRight w:val="0"/>
      <w:marTop w:val="0"/>
      <w:marBottom w:val="0"/>
      <w:divBdr>
        <w:top w:val="none" w:sz="0" w:space="0" w:color="auto"/>
        <w:left w:val="none" w:sz="0" w:space="0" w:color="auto"/>
        <w:bottom w:val="none" w:sz="0" w:space="0" w:color="auto"/>
        <w:right w:val="none" w:sz="0" w:space="0" w:color="auto"/>
      </w:divBdr>
    </w:div>
    <w:div w:id="377827869">
      <w:bodyDiv w:val="1"/>
      <w:marLeft w:val="0"/>
      <w:marRight w:val="0"/>
      <w:marTop w:val="0"/>
      <w:marBottom w:val="0"/>
      <w:divBdr>
        <w:top w:val="none" w:sz="0" w:space="0" w:color="auto"/>
        <w:left w:val="none" w:sz="0" w:space="0" w:color="auto"/>
        <w:bottom w:val="none" w:sz="0" w:space="0" w:color="auto"/>
        <w:right w:val="none" w:sz="0" w:space="0" w:color="auto"/>
      </w:divBdr>
    </w:div>
    <w:div w:id="429929319">
      <w:bodyDiv w:val="1"/>
      <w:marLeft w:val="0"/>
      <w:marRight w:val="0"/>
      <w:marTop w:val="0"/>
      <w:marBottom w:val="0"/>
      <w:divBdr>
        <w:top w:val="none" w:sz="0" w:space="0" w:color="auto"/>
        <w:left w:val="none" w:sz="0" w:space="0" w:color="auto"/>
        <w:bottom w:val="none" w:sz="0" w:space="0" w:color="auto"/>
        <w:right w:val="none" w:sz="0" w:space="0" w:color="auto"/>
      </w:divBdr>
    </w:div>
    <w:div w:id="430510957">
      <w:bodyDiv w:val="1"/>
      <w:marLeft w:val="0"/>
      <w:marRight w:val="0"/>
      <w:marTop w:val="0"/>
      <w:marBottom w:val="0"/>
      <w:divBdr>
        <w:top w:val="none" w:sz="0" w:space="0" w:color="auto"/>
        <w:left w:val="none" w:sz="0" w:space="0" w:color="auto"/>
        <w:bottom w:val="none" w:sz="0" w:space="0" w:color="auto"/>
        <w:right w:val="none" w:sz="0" w:space="0" w:color="auto"/>
      </w:divBdr>
    </w:div>
    <w:div w:id="453981469">
      <w:bodyDiv w:val="1"/>
      <w:marLeft w:val="0"/>
      <w:marRight w:val="0"/>
      <w:marTop w:val="0"/>
      <w:marBottom w:val="0"/>
      <w:divBdr>
        <w:top w:val="none" w:sz="0" w:space="0" w:color="auto"/>
        <w:left w:val="none" w:sz="0" w:space="0" w:color="auto"/>
        <w:bottom w:val="none" w:sz="0" w:space="0" w:color="auto"/>
        <w:right w:val="none" w:sz="0" w:space="0" w:color="auto"/>
      </w:divBdr>
    </w:div>
    <w:div w:id="504515657">
      <w:bodyDiv w:val="1"/>
      <w:marLeft w:val="0"/>
      <w:marRight w:val="0"/>
      <w:marTop w:val="0"/>
      <w:marBottom w:val="0"/>
      <w:divBdr>
        <w:top w:val="none" w:sz="0" w:space="0" w:color="auto"/>
        <w:left w:val="none" w:sz="0" w:space="0" w:color="auto"/>
        <w:bottom w:val="none" w:sz="0" w:space="0" w:color="auto"/>
        <w:right w:val="none" w:sz="0" w:space="0" w:color="auto"/>
      </w:divBdr>
    </w:div>
    <w:div w:id="604728115">
      <w:bodyDiv w:val="1"/>
      <w:marLeft w:val="0"/>
      <w:marRight w:val="0"/>
      <w:marTop w:val="0"/>
      <w:marBottom w:val="0"/>
      <w:divBdr>
        <w:top w:val="none" w:sz="0" w:space="0" w:color="auto"/>
        <w:left w:val="none" w:sz="0" w:space="0" w:color="auto"/>
        <w:bottom w:val="none" w:sz="0" w:space="0" w:color="auto"/>
        <w:right w:val="none" w:sz="0" w:space="0" w:color="auto"/>
      </w:divBdr>
    </w:div>
    <w:div w:id="615525653">
      <w:bodyDiv w:val="1"/>
      <w:marLeft w:val="0"/>
      <w:marRight w:val="0"/>
      <w:marTop w:val="0"/>
      <w:marBottom w:val="0"/>
      <w:divBdr>
        <w:top w:val="none" w:sz="0" w:space="0" w:color="auto"/>
        <w:left w:val="none" w:sz="0" w:space="0" w:color="auto"/>
        <w:bottom w:val="none" w:sz="0" w:space="0" w:color="auto"/>
        <w:right w:val="none" w:sz="0" w:space="0" w:color="auto"/>
      </w:divBdr>
    </w:div>
    <w:div w:id="616251837">
      <w:bodyDiv w:val="1"/>
      <w:marLeft w:val="0"/>
      <w:marRight w:val="0"/>
      <w:marTop w:val="0"/>
      <w:marBottom w:val="0"/>
      <w:divBdr>
        <w:top w:val="none" w:sz="0" w:space="0" w:color="auto"/>
        <w:left w:val="none" w:sz="0" w:space="0" w:color="auto"/>
        <w:bottom w:val="none" w:sz="0" w:space="0" w:color="auto"/>
        <w:right w:val="none" w:sz="0" w:space="0" w:color="auto"/>
      </w:divBdr>
    </w:div>
    <w:div w:id="627514432">
      <w:bodyDiv w:val="1"/>
      <w:marLeft w:val="0"/>
      <w:marRight w:val="0"/>
      <w:marTop w:val="0"/>
      <w:marBottom w:val="0"/>
      <w:divBdr>
        <w:top w:val="none" w:sz="0" w:space="0" w:color="auto"/>
        <w:left w:val="none" w:sz="0" w:space="0" w:color="auto"/>
        <w:bottom w:val="none" w:sz="0" w:space="0" w:color="auto"/>
        <w:right w:val="none" w:sz="0" w:space="0" w:color="auto"/>
      </w:divBdr>
    </w:div>
    <w:div w:id="638918181">
      <w:bodyDiv w:val="1"/>
      <w:marLeft w:val="0"/>
      <w:marRight w:val="0"/>
      <w:marTop w:val="0"/>
      <w:marBottom w:val="0"/>
      <w:divBdr>
        <w:top w:val="none" w:sz="0" w:space="0" w:color="auto"/>
        <w:left w:val="none" w:sz="0" w:space="0" w:color="auto"/>
        <w:bottom w:val="none" w:sz="0" w:space="0" w:color="auto"/>
        <w:right w:val="none" w:sz="0" w:space="0" w:color="auto"/>
      </w:divBdr>
    </w:div>
    <w:div w:id="660278930">
      <w:bodyDiv w:val="1"/>
      <w:marLeft w:val="0"/>
      <w:marRight w:val="0"/>
      <w:marTop w:val="0"/>
      <w:marBottom w:val="0"/>
      <w:divBdr>
        <w:top w:val="none" w:sz="0" w:space="0" w:color="auto"/>
        <w:left w:val="none" w:sz="0" w:space="0" w:color="auto"/>
        <w:bottom w:val="none" w:sz="0" w:space="0" w:color="auto"/>
        <w:right w:val="none" w:sz="0" w:space="0" w:color="auto"/>
      </w:divBdr>
    </w:div>
    <w:div w:id="691876669">
      <w:bodyDiv w:val="1"/>
      <w:marLeft w:val="0"/>
      <w:marRight w:val="0"/>
      <w:marTop w:val="0"/>
      <w:marBottom w:val="0"/>
      <w:divBdr>
        <w:top w:val="none" w:sz="0" w:space="0" w:color="auto"/>
        <w:left w:val="none" w:sz="0" w:space="0" w:color="auto"/>
        <w:bottom w:val="none" w:sz="0" w:space="0" w:color="auto"/>
        <w:right w:val="none" w:sz="0" w:space="0" w:color="auto"/>
      </w:divBdr>
    </w:div>
    <w:div w:id="714432688">
      <w:bodyDiv w:val="1"/>
      <w:marLeft w:val="0"/>
      <w:marRight w:val="0"/>
      <w:marTop w:val="0"/>
      <w:marBottom w:val="0"/>
      <w:divBdr>
        <w:top w:val="none" w:sz="0" w:space="0" w:color="auto"/>
        <w:left w:val="none" w:sz="0" w:space="0" w:color="auto"/>
        <w:bottom w:val="none" w:sz="0" w:space="0" w:color="auto"/>
        <w:right w:val="none" w:sz="0" w:space="0" w:color="auto"/>
      </w:divBdr>
    </w:div>
    <w:div w:id="729302861">
      <w:bodyDiv w:val="1"/>
      <w:marLeft w:val="0"/>
      <w:marRight w:val="0"/>
      <w:marTop w:val="0"/>
      <w:marBottom w:val="0"/>
      <w:divBdr>
        <w:top w:val="none" w:sz="0" w:space="0" w:color="auto"/>
        <w:left w:val="none" w:sz="0" w:space="0" w:color="auto"/>
        <w:bottom w:val="none" w:sz="0" w:space="0" w:color="auto"/>
        <w:right w:val="none" w:sz="0" w:space="0" w:color="auto"/>
      </w:divBdr>
    </w:div>
    <w:div w:id="732505899">
      <w:bodyDiv w:val="1"/>
      <w:marLeft w:val="0"/>
      <w:marRight w:val="0"/>
      <w:marTop w:val="0"/>
      <w:marBottom w:val="0"/>
      <w:divBdr>
        <w:top w:val="none" w:sz="0" w:space="0" w:color="auto"/>
        <w:left w:val="none" w:sz="0" w:space="0" w:color="auto"/>
        <w:bottom w:val="none" w:sz="0" w:space="0" w:color="auto"/>
        <w:right w:val="none" w:sz="0" w:space="0" w:color="auto"/>
      </w:divBdr>
    </w:div>
    <w:div w:id="762383264">
      <w:bodyDiv w:val="1"/>
      <w:marLeft w:val="0"/>
      <w:marRight w:val="0"/>
      <w:marTop w:val="0"/>
      <w:marBottom w:val="0"/>
      <w:divBdr>
        <w:top w:val="none" w:sz="0" w:space="0" w:color="auto"/>
        <w:left w:val="none" w:sz="0" w:space="0" w:color="auto"/>
        <w:bottom w:val="none" w:sz="0" w:space="0" w:color="auto"/>
        <w:right w:val="none" w:sz="0" w:space="0" w:color="auto"/>
      </w:divBdr>
    </w:div>
    <w:div w:id="766080602">
      <w:bodyDiv w:val="1"/>
      <w:marLeft w:val="0"/>
      <w:marRight w:val="0"/>
      <w:marTop w:val="0"/>
      <w:marBottom w:val="0"/>
      <w:divBdr>
        <w:top w:val="none" w:sz="0" w:space="0" w:color="auto"/>
        <w:left w:val="none" w:sz="0" w:space="0" w:color="auto"/>
        <w:bottom w:val="none" w:sz="0" w:space="0" w:color="auto"/>
        <w:right w:val="none" w:sz="0" w:space="0" w:color="auto"/>
      </w:divBdr>
    </w:div>
    <w:div w:id="773868096">
      <w:bodyDiv w:val="1"/>
      <w:marLeft w:val="0"/>
      <w:marRight w:val="0"/>
      <w:marTop w:val="0"/>
      <w:marBottom w:val="0"/>
      <w:divBdr>
        <w:top w:val="none" w:sz="0" w:space="0" w:color="auto"/>
        <w:left w:val="none" w:sz="0" w:space="0" w:color="auto"/>
        <w:bottom w:val="none" w:sz="0" w:space="0" w:color="auto"/>
        <w:right w:val="none" w:sz="0" w:space="0" w:color="auto"/>
      </w:divBdr>
    </w:div>
    <w:div w:id="783892123">
      <w:bodyDiv w:val="1"/>
      <w:marLeft w:val="0"/>
      <w:marRight w:val="0"/>
      <w:marTop w:val="0"/>
      <w:marBottom w:val="0"/>
      <w:divBdr>
        <w:top w:val="none" w:sz="0" w:space="0" w:color="auto"/>
        <w:left w:val="none" w:sz="0" w:space="0" w:color="auto"/>
        <w:bottom w:val="none" w:sz="0" w:space="0" w:color="auto"/>
        <w:right w:val="none" w:sz="0" w:space="0" w:color="auto"/>
      </w:divBdr>
    </w:div>
    <w:div w:id="784231143">
      <w:bodyDiv w:val="1"/>
      <w:marLeft w:val="0"/>
      <w:marRight w:val="0"/>
      <w:marTop w:val="0"/>
      <w:marBottom w:val="0"/>
      <w:divBdr>
        <w:top w:val="none" w:sz="0" w:space="0" w:color="auto"/>
        <w:left w:val="none" w:sz="0" w:space="0" w:color="auto"/>
        <w:bottom w:val="none" w:sz="0" w:space="0" w:color="auto"/>
        <w:right w:val="none" w:sz="0" w:space="0" w:color="auto"/>
      </w:divBdr>
    </w:div>
    <w:div w:id="811561183">
      <w:bodyDiv w:val="1"/>
      <w:marLeft w:val="0"/>
      <w:marRight w:val="0"/>
      <w:marTop w:val="0"/>
      <w:marBottom w:val="0"/>
      <w:divBdr>
        <w:top w:val="none" w:sz="0" w:space="0" w:color="auto"/>
        <w:left w:val="none" w:sz="0" w:space="0" w:color="auto"/>
        <w:bottom w:val="none" w:sz="0" w:space="0" w:color="auto"/>
        <w:right w:val="none" w:sz="0" w:space="0" w:color="auto"/>
      </w:divBdr>
    </w:div>
    <w:div w:id="869416553">
      <w:bodyDiv w:val="1"/>
      <w:marLeft w:val="0"/>
      <w:marRight w:val="0"/>
      <w:marTop w:val="0"/>
      <w:marBottom w:val="0"/>
      <w:divBdr>
        <w:top w:val="none" w:sz="0" w:space="0" w:color="auto"/>
        <w:left w:val="none" w:sz="0" w:space="0" w:color="auto"/>
        <w:bottom w:val="none" w:sz="0" w:space="0" w:color="auto"/>
        <w:right w:val="none" w:sz="0" w:space="0" w:color="auto"/>
      </w:divBdr>
    </w:div>
    <w:div w:id="884411917">
      <w:bodyDiv w:val="1"/>
      <w:marLeft w:val="0"/>
      <w:marRight w:val="0"/>
      <w:marTop w:val="0"/>
      <w:marBottom w:val="0"/>
      <w:divBdr>
        <w:top w:val="none" w:sz="0" w:space="0" w:color="auto"/>
        <w:left w:val="none" w:sz="0" w:space="0" w:color="auto"/>
        <w:bottom w:val="none" w:sz="0" w:space="0" w:color="auto"/>
        <w:right w:val="none" w:sz="0" w:space="0" w:color="auto"/>
      </w:divBdr>
    </w:div>
    <w:div w:id="927154754">
      <w:bodyDiv w:val="1"/>
      <w:marLeft w:val="0"/>
      <w:marRight w:val="0"/>
      <w:marTop w:val="0"/>
      <w:marBottom w:val="0"/>
      <w:divBdr>
        <w:top w:val="none" w:sz="0" w:space="0" w:color="auto"/>
        <w:left w:val="none" w:sz="0" w:space="0" w:color="auto"/>
        <w:bottom w:val="none" w:sz="0" w:space="0" w:color="auto"/>
        <w:right w:val="none" w:sz="0" w:space="0" w:color="auto"/>
      </w:divBdr>
    </w:div>
    <w:div w:id="986592127">
      <w:bodyDiv w:val="1"/>
      <w:marLeft w:val="0"/>
      <w:marRight w:val="0"/>
      <w:marTop w:val="0"/>
      <w:marBottom w:val="0"/>
      <w:divBdr>
        <w:top w:val="none" w:sz="0" w:space="0" w:color="auto"/>
        <w:left w:val="none" w:sz="0" w:space="0" w:color="auto"/>
        <w:bottom w:val="none" w:sz="0" w:space="0" w:color="auto"/>
        <w:right w:val="none" w:sz="0" w:space="0" w:color="auto"/>
      </w:divBdr>
    </w:div>
    <w:div w:id="1026712319">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06998910">
      <w:bodyDiv w:val="1"/>
      <w:marLeft w:val="0"/>
      <w:marRight w:val="0"/>
      <w:marTop w:val="0"/>
      <w:marBottom w:val="0"/>
      <w:divBdr>
        <w:top w:val="none" w:sz="0" w:space="0" w:color="auto"/>
        <w:left w:val="none" w:sz="0" w:space="0" w:color="auto"/>
        <w:bottom w:val="none" w:sz="0" w:space="0" w:color="auto"/>
        <w:right w:val="none" w:sz="0" w:space="0" w:color="auto"/>
      </w:divBdr>
    </w:div>
    <w:div w:id="1194346249">
      <w:bodyDiv w:val="1"/>
      <w:marLeft w:val="0"/>
      <w:marRight w:val="0"/>
      <w:marTop w:val="0"/>
      <w:marBottom w:val="0"/>
      <w:divBdr>
        <w:top w:val="none" w:sz="0" w:space="0" w:color="auto"/>
        <w:left w:val="none" w:sz="0" w:space="0" w:color="auto"/>
        <w:bottom w:val="none" w:sz="0" w:space="0" w:color="auto"/>
        <w:right w:val="none" w:sz="0" w:space="0" w:color="auto"/>
      </w:divBdr>
    </w:div>
    <w:div w:id="1199970398">
      <w:bodyDiv w:val="1"/>
      <w:marLeft w:val="0"/>
      <w:marRight w:val="0"/>
      <w:marTop w:val="0"/>
      <w:marBottom w:val="0"/>
      <w:divBdr>
        <w:top w:val="none" w:sz="0" w:space="0" w:color="auto"/>
        <w:left w:val="none" w:sz="0" w:space="0" w:color="auto"/>
        <w:bottom w:val="none" w:sz="0" w:space="0" w:color="auto"/>
        <w:right w:val="none" w:sz="0" w:space="0" w:color="auto"/>
      </w:divBdr>
    </w:div>
    <w:div w:id="1234659736">
      <w:bodyDiv w:val="1"/>
      <w:marLeft w:val="0"/>
      <w:marRight w:val="0"/>
      <w:marTop w:val="0"/>
      <w:marBottom w:val="0"/>
      <w:divBdr>
        <w:top w:val="none" w:sz="0" w:space="0" w:color="auto"/>
        <w:left w:val="none" w:sz="0" w:space="0" w:color="auto"/>
        <w:bottom w:val="none" w:sz="0" w:space="0" w:color="auto"/>
        <w:right w:val="none" w:sz="0" w:space="0" w:color="auto"/>
      </w:divBdr>
    </w:div>
    <w:div w:id="1335953733">
      <w:bodyDiv w:val="1"/>
      <w:marLeft w:val="0"/>
      <w:marRight w:val="0"/>
      <w:marTop w:val="0"/>
      <w:marBottom w:val="0"/>
      <w:divBdr>
        <w:top w:val="none" w:sz="0" w:space="0" w:color="auto"/>
        <w:left w:val="none" w:sz="0" w:space="0" w:color="auto"/>
        <w:bottom w:val="none" w:sz="0" w:space="0" w:color="auto"/>
        <w:right w:val="none" w:sz="0" w:space="0" w:color="auto"/>
      </w:divBdr>
    </w:div>
    <w:div w:id="1411191491">
      <w:bodyDiv w:val="1"/>
      <w:marLeft w:val="0"/>
      <w:marRight w:val="0"/>
      <w:marTop w:val="0"/>
      <w:marBottom w:val="0"/>
      <w:divBdr>
        <w:top w:val="none" w:sz="0" w:space="0" w:color="auto"/>
        <w:left w:val="none" w:sz="0" w:space="0" w:color="auto"/>
        <w:bottom w:val="none" w:sz="0" w:space="0" w:color="auto"/>
        <w:right w:val="none" w:sz="0" w:space="0" w:color="auto"/>
      </w:divBdr>
    </w:div>
    <w:div w:id="1423184325">
      <w:bodyDiv w:val="1"/>
      <w:marLeft w:val="0"/>
      <w:marRight w:val="0"/>
      <w:marTop w:val="0"/>
      <w:marBottom w:val="0"/>
      <w:divBdr>
        <w:top w:val="none" w:sz="0" w:space="0" w:color="auto"/>
        <w:left w:val="none" w:sz="0" w:space="0" w:color="auto"/>
        <w:bottom w:val="none" w:sz="0" w:space="0" w:color="auto"/>
        <w:right w:val="none" w:sz="0" w:space="0" w:color="auto"/>
      </w:divBdr>
    </w:div>
    <w:div w:id="1451625591">
      <w:bodyDiv w:val="1"/>
      <w:marLeft w:val="0"/>
      <w:marRight w:val="0"/>
      <w:marTop w:val="0"/>
      <w:marBottom w:val="0"/>
      <w:divBdr>
        <w:top w:val="none" w:sz="0" w:space="0" w:color="auto"/>
        <w:left w:val="none" w:sz="0" w:space="0" w:color="auto"/>
        <w:bottom w:val="none" w:sz="0" w:space="0" w:color="auto"/>
        <w:right w:val="none" w:sz="0" w:space="0" w:color="auto"/>
      </w:divBdr>
    </w:div>
    <w:div w:id="1452672761">
      <w:bodyDiv w:val="1"/>
      <w:marLeft w:val="0"/>
      <w:marRight w:val="0"/>
      <w:marTop w:val="0"/>
      <w:marBottom w:val="0"/>
      <w:divBdr>
        <w:top w:val="none" w:sz="0" w:space="0" w:color="auto"/>
        <w:left w:val="none" w:sz="0" w:space="0" w:color="auto"/>
        <w:bottom w:val="none" w:sz="0" w:space="0" w:color="auto"/>
        <w:right w:val="none" w:sz="0" w:space="0" w:color="auto"/>
      </w:divBdr>
    </w:div>
    <w:div w:id="1470396575">
      <w:bodyDiv w:val="1"/>
      <w:marLeft w:val="0"/>
      <w:marRight w:val="0"/>
      <w:marTop w:val="0"/>
      <w:marBottom w:val="0"/>
      <w:divBdr>
        <w:top w:val="none" w:sz="0" w:space="0" w:color="auto"/>
        <w:left w:val="none" w:sz="0" w:space="0" w:color="auto"/>
        <w:bottom w:val="none" w:sz="0" w:space="0" w:color="auto"/>
        <w:right w:val="none" w:sz="0" w:space="0" w:color="auto"/>
      </w:divBdr>
    </w:div>
    <w:div w:id="1512331658">
      <w:bodyDiv w:val="1"/>
      <w:marLeft w:val="0"/>
      <w:marRight w:val="0"/>
      <w:marTop w:val="0"/>
      <w:marBottom w:val="0"/>
      <w:divBdr>
        <w:top w:val="none" w:sz="0" w:space="0" w:color="auto"/>
        <w:left w:val="none" w:sz="0" w:space="0" w:color="auto"/>
        <w:bottom w:val="none" w:sz="0" w:space="0" w:color="auto"/>
        <w:right w:val="none" w:sz="0" w:space="0" w:color="auto"/>
      </w:divBdr>
    </w:div>
    <w:div w:id="1524976673">
      <w:bodyDiv w:val="1"/>
      <w:marLeft w:val="0"/>
      <w:marRight w:val="0"/>
      <w:marTop w:val="0"/>
      <w:marBottom w:val="0"/>
      <w:divBdr>
        <w:top w:val="none" w:sz="0" w:space="0" w:color="auto"/>
        <w:left w:val="none" w:sz="0" w:space="0" w:color="auto"/>
        <w:bottom w:val="none" w:sz="0" w:space="0" w:color="auto"/>
        <w:right w:val="none" w:sz="0" w:space="0" w:color="auto"/>
      </w:divBdr>
    </w:div>
    <w:div w:id="1530994428">
      <w:bodyDiv w:val="1"/>
      <w:marLeft w:val="0"/>
      <w:marRight w:val="0"/>
      <w:marTop w:val="0"/>
      <w:marBottom w:val="0"/>
      <w:divBdr>
        <w:top w:val="none" w:sz="0" w:space="0" w:color="auto"/>
        <w:left w:val="none" w:sz="0" w:space="0" w:color="auto"/>
        <w:bottom w:val="none" w:sz="0" w:space="0" w:color="auto"/>
        <w:right w:val="none" w:sz="0" w:space="0" w:color="auto"/>
      </w:divBdr>
    </w:div>
    <w:div w:id="1581141253">
      <w:bodyDiv w:val="1"/>
      <w:marLeft w:val="0"/>
      <w:marRight w:val="0"/>
      <w:marTop w:val="0"/>
      <w:marBottom w:val="0"/>
      <w:divBdr>
        <w:top w:val="none" w:sz="0" w:space="0" w:color="auto"/>
        <w:left w:val="none" w:sz="0" w:space="0" w:color="auto"/>
        <w:bottom w:val="none" w:sz="0" w:space="0" w:color="auto"/>
        <w:right w:val="none" w:sz="0" w:space="0" w:color="auto"/>
      </w:divBdr>
    </w:div>
    <w:div w:id="1637375805">
      <w:bodyDiv w:val="1"/>
      <w:marLeft w:val="0"/>
      <w:marRight w:val="0"/>
      <w:marTop w:val="0"/>
      <w:marBottom w:val="0"/>
      <w:divBdr>
        <w:top w:val="none" w:sz="0" w:space="0" w:color="auto"/>
        <w:left w:val="none" w:sz="0" w:space="0" w:color="auto"/>
        <w:bottom w:val="none" w:sz="0" w:space="0" w:color="auto"/>
        <w:right w:val="none" w:sz="0" w:space="0" w:color="auto"/>
      </w:divBdr>
    </w:div>
    <w:div w:id="1645741442">
      <w:bodyDiv w:val="1"/>
      <w:marLeft w:val="0"/>
      <w:marRight w:val="0"/>
      <w:marTop w:val="0"/>
      <w:marBottom w:val="0"/>
      <w:divBdr>
        <w:top w:val="none" w:sz="0" w:space="0" w:color="auto"/>
        <w:left w:val="none" w:sz="0" w:space="0" w:color="auto"/>
        <w:bottom w:val="none" w:sz="0" w:space="0" w:color="auto"/>
        <w:right w:val="none" w:sz="0" w:space="0" w:color="auto"/>
      </w:divBdr>
    </w:div>
    <w:div w:id="1680237309">
      <w:bodyDiv w:val="1"/>
      <w:marLeft w:val="0"/>
      <w:marRight w:val="0"/>
      <w:marTop w:val="0"/>
      <w:marBottom w:val="0"/>
      <w:divBdr>
        <w:top w:val="none" w:sz="0" w:space="0" w:color="auto"/>
        <w:left w:val="none" w:sz="0" w:space="0" w:color="auto"/>
        <w:bottom w:val="none" w:sz="0" w:space="0" w:color="auto"/>
        <w:right w:val="none" w:sz="0" w:space="0" w:color="auto"/>
      </w:divBdr>
    </w:div>
    <w:div w:id="1689915403">
      <w:bodyDiv w:val="1"/>
      <w:marLeft w:val="0"/>
      <w:marRight w:val="0"/>
      <w:marTop w:val="0"/>
      <w:marBottom w:val="0"/>
      <w:divBdr>
        <w:top w:val="none" w:sz="0" w:space="0" w:color="auto"/>
        <w:left w:val="none" w:sz="0" w:space="0" w:color="auto"/>
        <w:bottom w:val="none" w:sz="0" w:space="0" w:color="auto"/>
        <w:right w:val="none" w:sz="0" w:space="0" w:color="auto"/>
      </w:divBdr>
    </w:div>
    <w:div w:id="1698701981">
      <w:bodyDiv w:val="1"/>
      <w:marLeft w:val="0"/>
      <w:marRight w:val="0"/>
      <w:marTop w:val="0"/>
      <w:marBottom w:val="0"/>
      <w:divBdr>
        <w:top w:val="none" w:sz="0" w:space="0" w:color="auto"/>
        <w:left w:val="none" w:sz="0" w:space="0" w:color="auto"/>
        <w:bottom w:val="none" w:sz="0" w:space="0" w:color="auto"/>
        <w:right w:val="none" w:sz="0" w:space="0" w:color="auto"/>
      </w:divBdr>
    </w:div>
    <w:div w:id="1709135287">
      <w:bodyDiv w:val="1"/>
      <w:marLeft w:val="0"/>
      <w:marRight w:val="0"/>
      <w:marTop w:val="0"/>
      <w:marBottom w:val="0"/>
      <w:divBdr>
        <w:top w:val="none" w:sz="0" w:space="0" w:color="auto"/>
        <w:left w:val="none" w:sz="0" w:space="0" w:color="auto"/>
        <w:bottom w:val="none" w:sz="0" w:space="0" w:color="auto"/>
        <w:right w:val="none" w:sz="0" w:space="0" w:color="auto"/>
      </w:divBdr>
    </w:div>
    <w:div w:id="1720320859">
      <w:bodyDiv w:val="1"/>
      <w:marLeft w:val="0"/>
      <w:marRight w:val="0"/>
      <w:marTop w:val="0"/>
      <w:marBottom w:val="0"/>
      <w:divBdr>
        <w:top w:val="none" w:sz="0" w:space="0" w:color="auto"/>
        <w:left w:val="none" w:sz="0" w:space="0" w:color="auto"/>
        <w:bottom w:val="none" w:sz="0" w:space="0" w:color="auto"/>
        <w:right w:val="none" w:sz="0" w:space="0" w:color="auto"/>
      </w:divBdr>
    </w:div>
    <w:div w:id="1758598106">
      <w:bodyDiv w:val="1"/>
      <w:marLeft w:val="0"/>
      <w:marRight w:val="0"/>
      <w:marTop w:val="0"/>
      <w:marBottom w:val="0"/>
      <w:divBdr>
        <w:top w:val="none" w:sz="0" w:space="0" w:color="auto"/>
        <w:left w:val="none" w:sz="0" w:space="0" w:color="auto"/>
        <w:bottom w:val="none" w:sz="0" w:space="0" w:color="auto"/>
        <w:right w:val="none" w:sz="0" w:space="0" w:color="auto"/>
      </w:divBdr>
    </w:div>
    <w:div w:id="1801533041">
      <w:bodyDiv w:val="1"/>
      <w:marLeft w:val="0"/>
      <w:marRight w:val="0"/>
      <w:marTop w:val="0"/>
      <w:marBottom w:val="0"/>
      <w:divBdr>
        <w:top w:val="none" w:sz="0" w:space="0" w:color="auto"/>
        <w:left w:val="none" w:sz="0" w:space="0" w:color="auto"/>
        <w:bottom w:val="none" w:sz="0" w:space="0" w:color="auto"/>
        <w:right w:val="none" w:sz="0" w:space="0" w:color="auto"/>
      </w:divBdr>
    </w:div>
    <w:div w:id="1814256530">
      <w:bodyDiv w:val="1"/>
      <w:marLeft w:val="0"/>
      <w:marRight w:val="0"/>
      <w:marTop w:val="0"/>
      <w:marBottom w:val="0"/>
      <w:divBdr>
        <w:top w:val="none" w:sz="0" w:space="0" w:color="auto"/>
        <w:left w:val="none" w:sz="0" w:space="0" w:color="auto"/>
        <w:bottom w:val="none" w:sz="0" w:space="0" w:color="auto"/>
        <w:right w:val="none" w:sz="0" w:space="0" w:color="auto"/>
      </w:divBdr>
    </w:div>
    <w:div w:id="1846824151">
      <w:bodyDiv w:val="1"/>
      <w:marLeft w:val="0"/>
      <w:marRight w:val="0"/>
      <w:marTop w:val="0"/>
      <w:marBottom w:val="0"/>
      <w:divBdr>
        <w:top w:val="none" w:sz="0" w:space="0" w:color="auto"/>
        <w:left w:val="none" w:sz="0" w:space="0" w:color="auto"/>
        <w:bottom w:val="none" w:sz="0" w:space="0" w:color="auto"/>
        <w:right w:val="none" w:sz="0" w:space="0" w:color="auto"/>
      </w:divBdr>
    </w:div>
    <w:div w:id="1850832428">
      <w:bodyDiv w:val="1"/>
      <w:marLeft w:val="0"/>
      <w:marRight w:val="0"/>
      <w:marTop w:val="0"/>
      <w:marBottom w:val="0"/>
      <w:divBdr>
        <w:top w:val="none" w:sz="0" w:space="0" w:color="auto"/>
        <w:left w:val="none" w:sz="0" w:space="0" w:color="auto"/>
        <w:bottom w:val="none" w:sz="0" w:space="0" w:color="auto"/>
        <w:right w:val="none" w:sz="0" w:space="0" w:color="auto"/>
      </w:divBdr>
    </w:div>
    <w:div w:id="1882159979">
      <w:bodyDiv w:val="1"/>
      <w:marLeft w:val="0"/>
      <w:marRight w:val="0"/>
      <w:marTop w:val="0"/>
      <w:marBottom w:val="0"/>
      <w:divBdr>
        <w:top w:val="none" w:sz="0" w:space="0" w:color="auto"/>
        <w:left w:val="none" w:sz="0" w:space="0" w:color="auto"/>
        <w:bottom w:val="none" w:sz="0" w:space="0" w:color="auto"/>
        <w:right w:val="none" w:sz="0" w:space="0" w:color="auto"/>
      </w:divBdr>
    </w:div>
    <w:div w:id="1897470517">
      <w:bodyDiv w:val="1"/>
      <w:marLeft w:val="0"/>
      <w:marRight w:val="0"/>
      <w:marTop w:val="0"/>
      <w:marBottom w:val="0"/>
      <w:divBdr>
        <w:top w:val="none" w:sz="0" w:space="0" w:color="auto"/>
        <w:left w:val="none" w:sz="0" w:space="0" w:color="auto"/>
        <w:bottom w:val="none" w:sz="0" w:space="0" w:color="auto"/>
        <w:right w:val="none" w:sz="0" w:space="0" w:color="auto"/>
      </w:divBdr>
    </w:div>
    <w:div w:id="1898933898">
      <w:bodyDiv w:val="1"/>
      <w:marLeft w:val="0"/>
      <w:marRight w:val="0"/>
      <w:marTop w:val="0"/>
      <w:marBottom w:val="0"/>
      <w:divBdr>
        <w:top w:val="none" w:sz="0" w:space="0" w:color="auto"/>
        <w:left w:val="none" w:sz="0" w:space="0" w:color="auto"/>
        <w:bottom w:val="none" w:sz="0" w:space="0" w:color="auto"/>
        <w:right w:val="none" w:sz="0" w:space="0" w:color="auto"/>
      </w:divBdr>
    </w:div>
    <w:div w:id="1921332677">
      <w:bodyDiv w:val="1"/>
      <w:marLeft w:val="0"/>
      <w:marRight w:val="0"/>
      <w:marTop w:val="0"/>
      <w:marBottom w:val="0"/>
      <w:divBdr>
        <w:top w:val="none" w:sz="0" w:space="0" w:color="auto"/>
        <w:left w:val="none" w:sz="0" w:space="0" w:color="auto"/>
        <w:bottom w:val="none" w:sz="0" w:space="0" w:color="auto"/>
        <w:right w:val="none" w:sz="0" w:space="0" w:color="auto"/>
      </w:divBdr>
    </w:div>
    <w:div w:id="1949006146">
      <w:bodyDiv w:val="1"/>
      <w:marLeft w:val="0"/>
      <w:marRight w:val="0"/>
      <w:marTop w:val="0"/>
      <w:marBottom w:val="0"/>
      <w:divBdr>
        <w:top w:val="none" w:sz="0" w:space="0" w:color="auto"/>
        <w:left w:val="none" w:sz="0" w:space="0" w:color="auto"/>
        <w:bottom w:val="none" w:sz="0" w:space="0" w:color="auto"/>
        <w:right w:val="none" w:sz="0" w:space="0" w:color="auto"/>
      </w:divBdr>
    </w:div>
    <w:div w:id="2092896158">
      <w:bodyDiv w:val="1"/>
      <w:marLeft w:val="0"/>
      <w:marRight w:val="0"/>
      <w:marTop w:val="0"/>
      <w:marBottom w:val="0"/>
      <w:divBdr>
        <w:top w:val="none" w:sz="0" w:space="0" w:color="auto"/>
        <w:left w:val="none" w:sz="0" w:space="0" w:color="auto"/>
        <w:bottom w:val="none" w:sz="0" w:space="0" w:color="auto"/>
        <w:right w:val="none" w:sz="0" w:space="0" w:color="auto"/>
      </w:divBdr>
    </w:div>
    <w:div w:id="2124808678">
      <w:bodyDiv w:val="1"/>
      <w:marLeft w:val="0"/>
      <w:marRight w:val="0"/>
      <w:marTop w:val="0"/>
      <w:marBottom w:val="0"/>
      <w:divBdr>
        <w:top w:val="none" w:sz="0" w:space="0" w:color="auto"/>
        <w:left w:val="none" w:sz="0" w:space="0" w:color="auto"/>
        <w:bottom w:val="none" w:sz="0" w:space="0" w:color="auto"/>
        <w:right w:val="none" w:sz="0" w:space="0" w:color="auto"/>
      </w:divBdr>
    </w:div>
    <w:div w:id="21353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acyt.gob.mx/index.php/el-conacyt/desarrollo-tecnologico-e-innovacion" TargetMode="External"/><Relationship Id="rId18" Type="http://schemas.openxmlformats.org/officeDocument/2006/relationships/hyperlink" Target="https://dialnet.unirioja.es/servlet/articulo?codigo=65715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acyt.gob.mx/index.php/el-conacyt/convocatorias-y-resultados%20conacyt/convocatorias-fondos-sectoriales-constituidos/convocatoria-se-conacyt%20innovacion-tecnologica/convocatorias-cerradas-se-conacyt-innovacion%20tecnologica/convocatoria-se-conacyt" TargetMode="External"/><Relationship Id="rId17" Type="http://schemas.openxmlformats.org/officeDocument/2006/relationships/hyperlink" Target="https://doi.org/http://www.aeaweb.org/aer/" TargetMode="External"/><Relationship Id="rId2" Type="http://schemas.openxmlformats.org/officeDocument/2006/relationships/numbering" Target="numbering.xml"/><Relationship Id="rId16" Type="http://schemas.openxmlformats.org/officeDocument/2006/relationships/hyperlink" Target="https://www.inadem.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cyt.gob.mx/index.php/el-conacyt/conferencia-nacional-de-ciencia-tecnologia-e-innovacion" TargetMode="External"/><Relationship Id="rId5" Type="http://schemas.openxmlformats.org/officeDocument/2006/relationships/webSettings" Target="webSettings.xml"/><Relationship Id="rId15" Type="http://schemas.openxmlformats.org/officeDocument/2006/relationships/hyperlink" Target="http://imco.org.mx/indices/califica-a-tu-alcalde/" TargetMode="External"/><Relationship Id="rId23" Type="http://schemas.openxmlformats.org/officeDocument/2006/relationships/theme" Target="theme/theme1.xml"/><Relationship Id="rId10" Type="http://schemas.openxmlformats.org/officeDocument/2006/relationships/hyperlink" Target="https://www.compete.org/storage/images/uploads/File/PDF%20Files/AEMC_Primer_FINAL.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pal.org/sites/default/files/events/files/nicolo_giglo.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Ins19</b:Tag>
    <b:SourceType>InternetSite</b:SourceType>
    <b:Guid>{5D00060B-F282-40ED-B7A7-5F2B4EEB9BE2}</b:Guid>
    <b:Author>
      <b:Author>
        <b:NameList>
          <b:Person>
            <b:Last>INADEM</b:Last>
            <b:First>Instituto</b:First>
            <b:Middle>Nacional del Emprendedor</b:Middle>
          </b:Person>
        </b:NameList>
      </b:Author>
    </b:Author>
    <b:Year>2019</b:Year>
    <b:URL>https://www.inadem.gob.mx/</b:URL>
    <b:RefOrder>1</b:RefOrder>
  </b:Source>
  <b:Source>
    <b:Tag>CNC19</b:Tag>
    <b:SourceType>InternetSite</b:SourceType>
    <b:Guid>{9B487070-DC53-4E7A-B2A0-C06554DB5022}</b:Guid>
    <b:Author>
      <b:Author>
        <b:NameList>
          <b:Person>
            <b:Last>CNCTI</b:Last>
            <b:First>Conferencia</b:First>
            <b:Middle>Nacional de Ciencia, Tecnología e Innovación</b:Middle>
          </b:Person>
        </b:NameList>
      </b:Author>
    </b:Author>
    <b:Year>2019</b:Year>
    <b:URL>https://www.conacyt.gob.mx/index.php/el-conacyt/conferencia-nacional-de-ciencia-tecnologia-e-innovacion</b:URL>
    <b:RefOrder>2</b:RefOrder>
  </b:Source>
  <b:Source>
    <b:Tag>CON19</b:Tag>
    <b:SourceType>InternetSite</b:SourceType>
    <b:Guid>{B752B6B1-997C-43F1-B914-B2114D5FB76D}</b:Guid>
    <b:Author>
      <b:Author>
        <b:NameList>
          <b:Person>
            <b:Last>CONACyT</b:Last>
            <b:First>Consejo</b:First>
            <b:Middle>Nacional de Ciencia y Tecnología</b:Middle>
          </b:Person>
        </b:NameList>
      </b:Author>
    </b:Author>
    <b:Title>Apoyos a Proyectos de Innovación Empresarial</b:Title>
    <b:Year>2019b</b:Year>
    <b:URL>https://www.conacyt.gob.mx/index.php/el-conacyt/desarrollo-tecnologico-e-innovacion</b:URL>
    <b:RefOrder>3</b:RefOrder>
  </b:Source>
  <b:Source>
    <b:Tag>CON</b:Tag>
    <b:SourceType>InternetSite</b:SourceType>
    <b:Guid>{70C8088F-9899-4073-B8D8-662A200776A2}</b:Guid>
    <b:Author>
      <b:Author>
        <b:NameList>
          <b:Person>
            <b:Last>CONACyT</b:Last>
            <b:First>Consejo</b:First>
            <b:Middle>Nacional de Ciencia y Tecnología</b:Middle>
          </b:Person>
        </b:NameList>
      </b:Author>
    </b:Author>
    <b:Title>Fondo a la Innovación Tecnológica</b:Title>
    <b:URL>https://www.conacyt.gob.mx/index.php/el-conacyt/convocatorias-y-resultados-conacyt/convocatorias-fondos-sectoriales-constituidos/convocatoria-se-conacyt-innovacion-tecnologica/convocatorias-cerradas-se-conacyt-innovacion-tecnologica/convocatoria-se-conacy</b:URL>
    <b:Year>2019a</b:Year>
    <b:RefOrder>4</b:RefOrder>
  </b:Source>
  <b:Source>
    <b:Tag>AEM13</b:Tag>
    <b:SourceType>InternetSite</b:SourceType>
    <b:Guid>{EADD820D-D049-4566-839A-B629B243FCD4}</b:Guid>
    <b:Author>
      <b:Author>
        <b:NameList>
          <b:Person>
            <b:Last>AEMC</b:Last>
            <b:First>American</b:First>
            <b:Middle>Energy &amp; Manufacturing Competitiveness Partnership</b:Middle>
          </b:Person>
        </b:NameList>
      </b:Author>
    </b:Author>
    <b:Title>Rebuilding the Industrial Commons</b:Title>
    <b:Year>2013</b:Year>
    <b:URL>https://www.compete.org/storage/images/uploads/File/PDF%20Files/AEMC_Primer_FINAL.PDF</b:URL>
    <b:RefOrder>5</b:RefOrder>
  </b:Source>
  <b:Source>
    <b:Tag>Cab13</b:Tag>
    <b:SourceType>JournalArticle</b:SourceType>
    <b:Guid>{3DA6DD2D-AE26-4EF3-9217-2BE9E77D6A80}</b:Guid>
    <b:Title>Políticas públicas de innovación tecnológica y desarrollo: teoría y propuesta de educación superior.</b:Title>
    <b:Year>2013</b:Year>
    <b:JournalName>Convergencia</b:JournalName>
    <b:Pages>135-172</b:Pages>
    <b:Author>
      <b:Author>
        <b:NameList>
          <b:Person>
            <b:Last>Cabello</b:Last>
            <b:First>A</b:First>
          </b:Person>
          <b:Person>
            <b:Last>Ortiz</b:Last>
            <b:First>E</b:First>
          </b:Person>
        </b:NameList>
      </b:Author>
    </b:Author>
    <b:Volume>20</b:Volume>
    <b:Issue>61</b:Issue>
    <b:RefOrder>6</b:RefOrder>
  </b:Source>
  <b:Source>
    <b:Tag>Fon16</b:Tag>
    <b:SourceType>JournalArticle</b:SourceType>
    <b:Guid>{005D6CCA-D8AE-412E-9309-73E92BEFDCE6}</b:Guid>
    <b:Title>Evolución de los modelos en los procesos de innovación, una revisión de la literatura</b:Title>
    <b:JournalName>Tecnología en Marcha</b:JournalName>
    <b:Year>2016</b:Year>
    <b:Pages>108-117</b:Pages>
    <b:Author>
      <b:Author>
        <b:NameList>
          <b:Person>
            <b:Last>Fonseca-Retana</b:Last>
            <b:First>L</b:First>
          </b:Person>
          <b:Person>
            <b:Last>Lafuente-Chryssopoulos</b:Last>
            <b:First>R</b:First>
          </b:Person>
          <b:Person>
            <b:Last>Mora-Esquivel</b:Last>
            <b:First>R</b:First>
          </b:Person>
        </b:NameList>
      </b:Author>
    </b:Author>
    <b:Volume>29</b:Volume>
    <b:Issue>1</b:Issue>
    <b:RefOrder>7</b:RefOrder>
  </b:Source>
  <b:Source>
    <b:Tag>Cab11</b:Tag>
    <b:SourceType>JournalArticle</b:SourceType>
    <b:Guid>{85E49C84-8531-4638-804E-996BE1DFBE87}</b:Guid>
    <b:Title>La vinculación entre la universidad y la industria en México. Una revisión a los hallazgos de la Encuesta Nacional de Vinculación</b:Title>
    <b:JournalName>Perfiles educativos</b:JournalName>
    <b:Year>2011</b:Year>
    <b:Pages>187-199</b:Pages>
    <b:Author>
      <b:Author>
        <b:NameList>
          <b:Person>
            <b:Last>Cabrero</b:Last>
            <b:First>E</b:First>
          </b:Person>
          <b:Person>
            <b:Last>Cárdenas</b:Last>
            <b:First>S</b:First>
          </b:Person>
          <b:Person>
            <b:Last>Arellano</b:Last>
            <b:First>D</b:First>
          </b:Person>
          <b:Person>
            <b:Last>Ramírez</b:Last>
            <b:First>E</b:First>
          </b:Person>
        </b:NameList>
      </b:Author>
    </b:Author>
    <b:Volume>33</b:Volume>
    <b:RefOrder>8</b:RefOrder>
  </b:Source>
  <b:Source>
    <b:Tag>Lic18</b:Tag>
    <b:SourceType>JournalArticle</b:SourceType>
    <b:Guid>{30541984-68AF-4ADD-B705-D082A42D8F93}</b:Guid>
    <b:Title>El capital humano especializado en la estrategia de ciencia y tecnología en México</b:Title>
    <b:JournalName>Praxis investigativa ReDIE: revista electrónica de la Red Durango de Investigadores Educativos</b:JournalName>
    <b:Year>2018</b:Year>
    <b:Pages>8-24</b:Pages>
    <b:Author>
      <b:Author>
        <b:NameList>
          <b:Person>
            <b:Last>Licona-Michel</b:Last>
            <b:First>A</b:First>
          </b:Person>
          <b:Person>
            <b:Last>Pérez-Cruz</b:Last>
            <b:First>O</b:First>
          </b:Person>
        </b:NameList>
      </b:Author>
    </b:Author>
    <b:Volume>10</b:Volume>
    <b:Issue>19</b:Issue>
    <b:URL>https://dialnet.unirioja.es/servlet/articulo?codigo=6571555</b:URL>
    <b:RefOrder>9</b:RefOrder>
  </b:Source>
  <b:Source>
    <b:Tag>Rau17</b:Tag>
    <b:SourceType>JournalArticle</b:SourceType>
    <b:Guid>{A52455F1-1350-4B16-BF41-54A687256C63}</b:Guid>
    <b:Title>Use of Benchmarking For the Improvement of the Operation of the Drinking Water Supply Systems</b:Title>
    <b:JournalName>Procedia Engineering</b:JournalName>
    <b:Year>2017</b:Year>
    <b:Pages>180–187</b:Pages>
    <b:Volume>209</b:Volume>
    <b:DOI>10.1016/j.proeng.2017.11.145</b:DOI>
    <b:Author>
      <b:Author>
        <b:NameList>
          <b:Person>
            <b:Last>Rautua</b:Last>
            <b:First>R</b:First>
          </b:Person>
          <b:Person>
            <b:Last>Racoviteanub</b:Last>
            <b:First>G</b:First>
          </b:Person>
          <b:Person>
            <b:Last>Dinetb</b:Last>
            <b:First>E</b:First>
          </b:Person>
        </b:NameList>
      </b:Author>
    </b:Author>
    <b:RefOrder>10</b:RefOrder>
  </b:Source>
  <b:Source>
    <b:Tag>Wel16</b:Tag>
    <b:SourceType>JournalArticle</b:SourceType>
    <b:Guid>{4FD191EA-B8C8-4A23-AD3C-178183F43FD8}</b:Guid>
    <b:Title>Entrepreneurship education: Process, method, or both?</b:Title>
    <b:JournalName>Journal of Innovation &amp; Knowledge</b:JournalName>
    <b:Year>2016</b:Year>
    <b:Pages>125-180</b:Pages>
    <b:Author>
      <b:Author>
        <b:NameList>
          <b:Person>
            <b:Last>Welsha</b:Last>
            <b:First>D</b:First>
          </b:Person>
          <b:Person>
            <b:Last>Tullarb</b:Last>
            <b:First>W</b:First>
          </b:Person>
          <b:Person>
            <b:Last>Nematic</b:Last>
            <b:First>H</b:First>
          </b:Person>
        </b:NameList>
      </b:Author>
    </b:Author>
    <b:Volume>1</b:Volume>
    <b:Issue>3</b:Issue>
    <b:DOI>10.1016/j.jik.2016.01.005</b:DOI>
    <b:RefOrder>11</b:RefOrder>
  </b:Source>
  <b:Source>
    <b:Tag>deA13</b:Tag>
    <b:SourceType>JournalArticle</b:SourceType>
    <b:Guid>{FBCA4A16-FFCC-4A08-8C2A-843DEB785A4F}</b:Guid>
    <b:Title>Redes y clusters para la innovación y la transferencia del conocimiento. Impacto en el crecimiento regional en Argentina</b:Title>
    <b:JournalName>Estudios Gerenciales</b:JournalName>
    <b:Year>2013</b:Year>
    <b:Pages>125-272</b:Pages>
    <b:Author>
      <b:Author>
        <b:NameList>
          <b:Person>
            <b:Last>de Arteche</b:Last>
            <b:First>M</b:First>
          </b:Person>
          <b:Person>
            <b:Last>Santuccib</b:Last>
            <b:First>M</b:First>
          </b:Person>
          <b:Person>
            <b:Last>Welshc</b:Last>
            <b:First>V</b:First>
          </b:Person>
        </b:NameList>
      </b:Author>
    </b:Author>
    <b:Volume>29</b:Volume>
    <b:Issue>127</b:Issue>
    <b:DOI>10.1016/j.estger.2013.05.001</b:DOI>
    <b:RefOrder>12</b:RefOrder>
  </b:Source>
  <b:Source>
    <b:Tag>Hos13</b:Tag>
    <b:SourceType>JournalArticle</b:SourceType>
    <b:Guid>{6CB9BD6E-F87F-4FBD-912D-7A2D6F4BD682}</b:Guid>
    <b:Title>Higher education system and the ‘open’ knowledge transfer: a view from perception of senior managers at university knowledge transfer offices</b:Title>
    <b:JournalName>Studies in Higher Education</b:JournalName>
    <b:Year>2013</b:Year>
    <b:Pages>1860-1884</b:Pages>
    <b:Author>
      <b:Author>
        <b:NameList>
          <b:Person>
            <b:Last>Hossein</b:Last>
            <b:First>S</b:First>
          </b:Person>
          <b:Person>
            <b:Last>Weisheng</b:Last>
            <b:First>L</b:First>
          </b:Person>
          <b:Person>
            <b:Last>Hossam</b:Last>
            <b:First>I</b:First>
          </b:Person>
        </b:NameList>
      </b:Author>
    </b:Author>
    <b:Volume>39</b:Volume>
    <b:Issue>10</b:Issue>
    <b:DOI>10.1080/03075079.2013.818645</b:DOI>
    <b:RefOrder>13</b:RefOrder>
  </b:Source>
  <b:Source>
    <b:Tag>Cox13</b:Tag>
    <b:SourceType>JournalArticle</b:SourceType>
    <b:Guid>{2C23330B-946E-481D-AC65-20312DB4D6BC}</b:Guid>
    <b:Author>
      <b:Author>
        <b:NameList>
          <b:Person>
            <b:Last>Cox</b:Last>
            <b:First>L</b:First>
          </b:Person>
          <b:Person>
            <b:Last>Popken</b:Last>
            <b:First>D</b:First>
          </b:Person>
          <b:Person>
            <b:Last>Berman</b:Last>
            <b:First>D</b:First>
          </b:Person>
        </b:NameList>
      </b:Author>
    </b:Author>
    <b:Title>Causal versus spurious spatial exposure-response associations in health risk analysis</b:Title>
    <b:JournalName>Critical Reviews in Toxicology</b:JournalName>
    <b:Year>2013</b:Year>
    <b:Pages>26–38</b:Pages>
    <b:Volume>43</b:Volume>
    <b:DOI>doi.org/10.3109/10408444.2013.777689</b:DOI>
    <b:RefOrder>14</b:RefOrder>
  </b:Source>
  <b:Source>
    <b:Tag>Bal18</b:Tag>
    <b:SourceType>JournalArticle</b:SourceType>
    <b:Guid>{474F45BA-455A-484F-89DD-E5EFC1220758}</b:Guid>
    <b:Title>An Overview of Dependence in Cross-Section, Time-Series, and Panel Data</b:Title>
    <b:JournalName>Econometric Reviews</b:JournalName>
    <b:Year>2018</b:Year>
    <b:Pages>543–546</b:Pages>
    <b:Author>
      <b:Author>
        <b:NameList>
          <b:Person>
            <b:Last>Baltagi</b:Last>
            <b:First>B</b:First>
          </b:Person>
          <b:Person>
            <b:Last>Maasoumi</b:Last>
            <b:First>E</b:First>
          </b:Person>
        </b:NameList>
      </b:Author>
    </b:Author>
    <b:Volume>32</b:Volume>
    <b:Issue>5/6</b:Issue>
    <b:DOI>10.1080/07474938.2012.740957</b:DOI>
    <b:RefOrder>15</b:RefOrder>
  </b:Source>
  <b:Source>
    <b:Tag>Yao18</b:Tag>
    <b:SourceType>JournalArticle</b:SourceType>
    <b:Guid>{9322E139-8995-49ED-9824-016A293FDD97}</b:Guid>
    <b:Title>A time series of urban extent in China using DSMP/OLS nighttime light data.</b:Title>
    <b:Year>2018</b:Year>
    <b:JournalName>PLoS ONE</b:JournalName>
    <b:Pages>1-24</b:Pages>
    <b:Author>
      <b:Author>
        <b:NameList>
          <b:Person>
            <b:Last>Yao</b:Last>
            <b:First>Y</b:First>
          </b:Person>
          <b:Person>
            <b:Last>Chen</b:Last>
            <b:First>D</b:First>
          </b:Person>
          <b:Person>
            <b:Last>Che</b:Last>
            <b:First>L</b:First>
          </b:Person>
          <b:Person>
            <b:Last>Wang</b:Last>
            <b:First>H</b:First>
          </b:Person>
          <b:Person>
            <b:Last>Guan</b:Last>
            <b:First>Q</b:First>
          </b:Person>
        </b:NameList>
      </b:Author>
    </b:Author>
    <b:Volume>13</b:Volume>
    <b:Issue>5</b:Issue>
    <b:DOI>10.1371/journal.pone.0198189</b:DOI>
    <b:RefOrder>16</b:RefOrder>
  </b:Source>
  <b:Source>
    <b:Tag>Hab15</b:Tag>
    <b:SourceType>JournalArticle</b:SourceType>
    <b:Guid>{142E9987-4D84-4498-A8B3-47F5E7719171}</b:Guid>
    <b:Title>Determinants of SME growth: The influence of financing pattern. An empirical study based on Swedish data</b:Title>
    <b:JournalName>MANAGEMENT RESEARCH REVIEW</b:JournalName>
    <b:Year>2016</b:Year>
    <b:Pages>966-986</b:Pages>
    <b:Author>
      <b:Author>
        <b:NameList>
          <b:Person>
            <b:Last>Habib</b:Last>
            <b:First>K</b:First>
          </b:Person>
          <b:Person>
            <b:Last>Darush</b:Last>
            <b:First>Y</b:First>
          </b:Person>
        </b:NameList>
      </b:Author>
    </b:Author>
    <b:Volume>39</b:Volume>
    <b:Issue>9</b:Issue>
    <b:DOI>10.1108/MRR-04-2015-0093</b:DOI>
    <b:RefOrder>17</b:RefOrder>
  </b:Source>
  <b:Source>
    <b:Tag>Ola13</b:Tag>
    <b:SourceType>JournalArticle</b:SourceType>
    <b:Guid>{2BC76105-104B-4941-AF63-699F85ED9628}</b:Guid>
    <b:Title>Formación profesional, pymes e innovación en Navarra</b:Title>
    <b:JournalName>Cuadernos de Gestión</b:JournalName>
    <b:Year>2013</b:Year>
    <b:Pages>15-40</b:Pages>
    <b:Author>
      <b:Author>
        <b:NameList>
          <b:Person>
            <b:Last>Olazaran</b:Last>
            <b:First>M</b:First>
          </b:Person>
          <b:Person>
            <b:Last>Albizu</b:Last>
            <b:First>E</b:First>
          </b:Person>
          <b:Person>
            <b:Last>Lavia</b:Last>
            <b:First>C</b:First>
          </b:Person>
          <b:Person>
            <b:Last>Otero</b:Last>
            <b:First>B</b:First>
          </b:Person>
        </b:NameList>
      </b:Author>
    </b:Author>
    <b:Volume>13</b:Volume>
    <b:Issue>1</b:Issue>
    <b:DOI>10.5295/cdg.ll0290mo</b:DOI>
    <b:RefOrder>18</b:RefOrder>
  </b:Source>
  <b:Source>
    <b:Tag>Gli16</b:Tag>
    <b:SourceType>DocumentFromInternetSite</b:SourceType>
    <b:Guid>{83DA5298-91B5-49F6-960C-F90C0DD3EF5C}</b:Guid>
    <b:Title>Innovación en las pymes de América Latina</b:Title>
    <b:Year>2016</b:Year>
    <b:Author>
      <b:Author>
        <b:NameList>
          <b:Person>
            <b:Last>Glio</b:Last>
            <b:First>N</b:First>
          </b:Person>
        </b:NameList>
      </b:Author>
    </b:Author>
    <b:InternetSiteTitle>CEPAL. ONU</b:InternetSiteTitle>
    <b:URL>https://www.cepal.org/sites/default/files/events/files/nicolo_giglo.pdf</b:URL>
    <b:RefOrder>19</b:RefOrder>
  </b:Source>
  <b:Source>
    <b:Tag>Lem16</b:Tag>
    <b:SourceType>JournalArticle</b:SourceType>
    <b:Guid>{D3BA6F84-388B-4F93-9DA9-81B1559C09AB}</b:Guid>
    <b:Title>Patent Licensing, Technology Transfer, and Innovation</b:Title>
    <b:JournalName>American Economic Review</b:JournalName>
    <b:Year>2016</b:Year>
    <b:Pages>188–192</b:Pages>
    <b:Author>
      <b:Author>
        <b:NameList>
          <b:Person>
            <b:Last>Lemley</b:Last>
            <b:First>M</b:First>
          </b:Person>
          <b:Person>
            <b:Last>Feldman</b:Last>
            <b:First>R</b:First>
          </b:Person>
        </b:NameList>
      </b:Author>
    </b:Author>
    <b:Volume>106</b:Volume>
    <b:Issue>5</b:Issue>
    <b:URL>https://doi.org/http://www.aeaweb.org/aer/</b:URL>
    <b:RefOrder>20</b:RefOrder>
  </b:Source>
  <b:Source>
    <b:Tag>Fan16</b:Tag>
    <b:SourceType>JournalArticle</b:SourceType>
    <b:Guid>{9075E64F-6841-4C3F-9E6B-A80D5E4DF77C}</b:Guid>
    <b:Title>Innovation and technology transfer through global value chains: Evidence from China's PV industry</b:Title>
    <b:JournalName>Energy Policy</b:JournalName>
    <b:Year>2016</b:Year>
    <b:Pages>191-203</b:Pages>
    <b:Author>
      <b:Author>
        <b:NameList>
          <b:Person>
            <b:Last>Fang</b:Last>
            <b:First>Z</b:First>
          </b:Person>
          <b:Person>
            <b:Last>Kelly</b:Last>
            <b:First>S</b:First>
          </b:Person>
        </b:NameList>
      </b:Author>
    </b:Author>
    <b:Volume>94</b:Volume>
    <b:Issue>1</b:Issue>
    <b:DOI>10.1016/j.enpol.2016.04.014</b:DOI>
    <b:RefOrder>21</b:RefOrder>
  </b:Source>
  <b:Source>
    <b:Tag>Dáv07</b:Tag>
    <b:SourceType>Book</b:SourceType>
    <b:Guid>{F3FDC009-81B7-4C79-92AE-6BCA4D3CB988}</b:Guid>
    <b:Title>Ciencia, transferencia e innovación tecnológica en Estados Unidos, La Unión Europea y Japón en la era de la globalización</b:Title>
    <b:Year>2007</b:Year>
    <b:Author>
      <b:Author>
        <b:NameList>
          <b:Person>
            <b:Last>Dávila</b:Last>
            <b:First>F</b:First>
          </b:Person>
        </b:NameList>
      </b:Author>
    </b:Author>
    <b:City>México</b:City>
    <b:Publisher>Fontamara</b:Publisher>
    <b:RefOrder>22</b:RefOrder>
  </b:Source>
  <b:Source>
    <b:Tag>IMC18</b:Tag>
    <b:SourceType>DocumentFromInternetSite</b:SourceType>
    <b:Guid>{3179BB9A-13FC-4AE8-96BC-28BB60F5191C}</b:Guid>
    <b:Title>Índice de competitividad urbana. Califica a tu alcalde: Manual urbano para ciudadanos exigentes</b:Title>
    <b:Year>2018</b:Year>
    <b:Author>
      <b:Author>
        <b:Corporate>IMCO</b:Corporate>
      </b:Author>
    </b:Author>
    <b:InternetSiteTitle>Instituto Mexicano para la Competitividad </b:InternetSiteTitle>
    <b:URL>http://imco.org.mx/indices/califica-a-tu-alcalde/</b:URL>
    <b:RefOrder>23</b:RefOrder>
  </b:Source>
</b:Sources>
</file>

<file path=customXml/itemProps1.xml><?xml version="1.0" encoding="utf-8"?>
<ds:datastoreItem xmlns:ds="http://schemas.openxmlformats.org/officeDocument/2006/customXml" ds:itemID="{9E76447C-EF60-40AB-B3B9-3C88AB56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4971</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Parker</dc:creator>
  <cp:keywords/>
  <dc:description/>
  <cp:lastModifiedBy>elsom</cp:lastModifiedBy>
  <cp:revision>29</cp:revision>
  <cp:lastPrinted>2019-08-08T05:27:00Z</cp:lastPrinted>
  <dcterms:created xsi:type="dcterms:W3CDTF">2019-08-05T21:57:00Z</dcterms:created>
  <dcterms:modified xsi:type="dcterms:W3CDTF">2020-03-13T14:04:00Z</dcterms:modified>
</cp:coreProperties>
</file>