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CD38E" w14:textId="50F23DE5" w:rsidR="00747095" w:rsidRPr="002C77FD" w:rsidRDefault="002C77FD" w:rsidP="00747095">
      <w:pPr>
        <w:spacing w:before="240" w:after="240" w:line="360" w:lineRule="auto"/>
        <w:jc w:val="right"/>
        <w:rPr>
          <w:b/>
          <w:bCs/>
          <w:i/>
          <w:iCs/>
        </w:rPr>
      </w:pPr>
      <w:r w:rsidRPr="002C77FD">
        <w:rPr>
          <w:b/>
          <w:bCs/>
          <w:i/>
          <w:iCs/>
        </w:rPr>
        <w:t>https://doi.org/10.23913/ride.v11i22.829</w:t>
      </w:r>
    </w:p>
    <w:p w14:paraId="7EEB52D5" w14:textId="32EF261F" w:rsidR="00747095" w:rsidRDefault="00747095" w:rsidP="00747095">
      <w:pPr>
        <w:spacing w:before="240" w:after="240" w:line="360" w:lineRule="auto"/>
        <w:jc w:val="right"/>
        <w:rPr>
          <w:b/>
          <w:lang w:val="es-ES"/>
        </w:rPr>
      </w:pPr>
      <w:r w:rsidRPr="00D8194E">
        <w:rPr>
          <w:b/>
          <w:bCs/>
          <w:i/>
          <w:iCs/>
        </w:rPr>
        <w:t>Artículos científicos</w:t>
      </w:r>
    </w:p>
    <w:p w14:paraId="58376874" w14:textId="05DCB3D3" w:rsidR="00B70892" w:rsidRPr="00C05234" w:rsidRDefault="00B70892" w:rsidP="00747095">
      <w:pPr>
        <w:spacing w:line="276" w:lineRule="auto"/>
        <w:jc w:val="right"/>
        <w:rPr>
          <w:rFonts w:ascii="Calibri" w:hAnsi="Calibri" w:cs="Calibri"/>
          <w:b/>
          <w:color w:val="000000"/>
          <w:sz w:val="36"/>
          <w:szCs w:val="36"/>
          <w:lang w:val="en-US"/>
        </w:rPr>
      </w:pPr>
      <w:r w:rsidRPr="00747095">
        <w:rPr>
          <w:rFonts w:ascii="Calibri" w:hAnsi="Calibri" w:cs="Calibri"/>
          <w:b/>
          <w:color w:val="000000"/>
          <w:sz w:val="36"/>
          <w:szCs w:val="36"/>
        </w:rPr>
        <w:t xml:space="preserve">Seguimiento de egresados, telebachillerato comunitario Campeche. </w:t>
      </w:r>
      <w:proofErr w:type="spellStart"/>
      <w:r w:rsidRPr="00C05234">
        <w:rPr>
          <w:rFonts w:ascii="Calibri" w:hAnsi="Calibri" w:cs="Calibri"/>
          <w:b/>
          <w:color w:val="000000"/>
          <w:sz w:val="36"/>
          <w:szCs w:val="36"/>
          <w:lang w:val="en-US"/>
        </w:rPr>
        <w:t>Estudio</w:t>
      </w:r>
      <w:proofErr w:type="spellEnd"/>
      <w:r w:rsidRPr="00C05234">
        <w:rPr>
          <w:rFonts w:ascii="Calibri" w:hAnsi="Calibri" w:cs="Calibri"/>
          <w:b/>
          <w:color w:val="000000"/>
          <w:sz w:val="36"/>
          <w:szCs w:val="36"/>
          <w:lang w:val="en-US"/>
        </w:rPr>
        <w:t xml:space="preserve"> de </w:t>
      </w:r>
      <w:proofErr w:type="spellStart"/>
      <w:r w:rsidRPr="00C05234">
        <w:rPr>
          <w:rFonts w:ascii="Calibri" w:hAnsi="Calibri" w:cs="Calibri"/>
          <w:b/>
          <w:color w:val="000000"/>
          <w:sz w:val="36"/>
          <w:szCs w:val="36"/>
          <w:lang w:val="en-US"/>
        </w:rPr>
        <w:t>caso</w:t>
      </w:r>
      <w:proofErr w:type="spellEnd"/>
    </w:p>
    <w:p w14:paraId="60AF06AD" w14:textId="77777777" w:rsidR="00B70892" w:rsidRPr="00C05234" w:rsidRDefault="00B70892"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color w:val="000000"/>
          <w:sz w:val="36"/>
          <w:szCs w:val="36"/>
          <w:lang w:val="en-US"/>
        </w:rPr>
      </w:pPr>
    </w:p>
    <w:p w14:paraId="35A00133" w14:textId="77777777" w:rsidR="00B70892" w:rsidRPr="00C05234" w:rsidRDefault="00B70892"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rPr>
      </w:pPr>
      <w:r w:rsidRPr="00C05234">
        <w:rPr>
          <w:rFonts w:ascii="Calibri" w:hAnsi="Calibri" w:cs="Calibri"/>
          <w:b/>
          <w:i/>
          <w:iCs/>
          <w:color w:val="000000"/>
          <w:sz w:val="28"/>
          <w:szCs w:val="28"/>
          <w:lang w:val="en-US"/>
        </w:rPr>
        <w:t xml:space="preserve">Follow-up of Graduates, Campeche Community </w:t>
      </w:r>
      <w:proofErr w:type="spellStart"/>
      <w:r w:rsidRPr="00C05234">
        <w:rPr>
          <w:rFonts w:ascii="Calibri" w:hAnsi="Calibri" w:cs="Calibri"/>
          <w:b/>
          <w:i/>
          <w:iCs/>
          <w:color w:val="000000"/>
          <w:sz w:val="28"/>
          <w:szCs w:val="28"/>
          <w:lang w:val="en-US"/>
        </w:rPr>
        <w:t>Telebachillerato</w:t>
      </w:r>
      <w:proofErr w:type="spellEnd"/>
    </w:p>
    <w:p w14:paraId="565AE003" w14:textId="220BE588" w:rsidR="00B70892" w:rsidRPr="00C05234" w:rsidRDefault="00B70892"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rPr>
      </w:pPr>
      <w:r w:rsidRPr="00C05234">
        <w:rPr>
          <w:rFonts w:ascii="Calibri" w:hAnsi="Calibri" w:cs="Calibri"/>
          <w:b/>
          <w:i/>
          <w:iCs/>
          <w:color w:val="000000"/>
          <w:sz w:val="28"/>
          <w:szCs w:val="28"/>
          <w:lang w:val="en-US"/>
        </w:rPr>
        <w:t>Case study</w:t>
      </w:r>
    </w:p>
    <w:p w14:paraId="3D7149A1" w14:textId="3E227A4F" w:rsidR="00747095" w:rsidRPr="00C05234" w:rsidRDefault="00747095"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rPr>
      </w:pPr>
    </w:p>
    <w:p w14:paraId="4BBAF3DA" w14:textId="4752E5E1" w:rsidR="00747095" w:rsidRDefault="00747095"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rPr>
      </w:pPr>
      <w:proofErr w:type="spellStart"/>
      <w:r w:rsidRPr="00747095">
        <w:rPr>
          <w:rFonts w:ascii="Calibri" w:hAnsi="Calibri" w:cs="Calibri"/>
          <w:b/>
          <w:i/>
          <w:iCs/>
          <w:color w:val="000000"/>
          <w:sz w:val="28"/>
          <w:szCs w:val="28"/>
        </w:rPr>
        <w:t>Acompanhamento</w:t>
      </w:r>
      <w:proofErr w:type="spellEnd"/>
      <w:r w:rsidRPr="00747095">
        <w:rPr>
          <w:rFonts w:ascii="Calibri" w:hAnsi="Calibri" w:cs="Calibri"/>
          <w:b/>
          <w:i/>
          <w:iCs/>
          <w:color w:val="000000"/>
          <w:sz w:val="28"/>
          <w:szCs w:val="28"/>
        </w:rPr>
        <w:t xml:space="preserve"> de </w:t>
      </w:r>
      <w:proofErr w:type="spellStart"/>
      <w:r w:rsidRPr="00747095">
        <w:rPr>
          <w:rFonts w:ascii="Calibri" w:hAnsi="Calibri" w:cs="Calibri"/>
          <w:b/>
          <w:i/>
          <w:iCs/>
          <w:color w:val="000000"/>
          <w:sz w:val="28"/>
          <w:szCs w:val="28"/>
        </w:rPr>
        <w:t>egressos</w:t>
      </w:r>
      <w:proofErr w:type="spellEnd"/>
      <w:r w:rsidRPr="00747095">
        <w:rPr>
          <w:rFonts w:ascii="Calibri" w:hAnsi="Calibri" w:cs="Calibri"/>
          <w:b/>
          <w:i/>
          <w:iCs/>
          <w:color w:val="000000"/>
          <w:sz w:val="28"/>
          <w:szCs w:val="28"/>
        </w:rPr>
        <w:t xml:space="preserve"> da </w:t>
      </w:r>
      <w:proofErr w:type="spellStart"/>
      <w:r w:rsidRPr="00747095">
        <w:rPr>
          <w:rFonts w:ascii="Calibri" w:hAnsi="Calibri" w:cs="Calibri"/>
          <w:b/>
          <w:i/>
          <w:iCs/>
          <w:color w:val="000000"/>
          <w:sz w:val="28"/>
          <w:szCs w:val="28"/>
        </w:rPr>
        <w:t>faculdade</w:t>
      </w:r>
      <w:proofErr w:type="spellEnd"/>
      <w:r w:rsidRPr="00747095">
        <w:rPr>
          <w:rFonts w:ascii="Calibri" w:hAnsi="Calibri" w:cs="Calibri"/>
          <w:b/>
          <w:i/>
          <w:iCs/>
          <w:color w:val="000000"/>
          <w:sz w:val="28"/>
          <w:szCs w:val="28"/>
        </w:rPr>
        <w:t xml:space="preserve"> </w:t>
      </w:r>
      <w:proofErr w:type="spellStart"/>
      <w:r w:rsidRPr="00747095">
        <w:rPr>
          <w:rFonts w:ascii="Calibri" w:hAnsi="Calibri" w:cs="Calibri"/>
          <w:b/>
          <w:i/>
          <w:iCs/>
          <w:color w:val="000000"/>
          <w:sz w:val="28"/>
          <w:szCs w:val="28"/>
        </w:rPr>
        <w:t>comunitária</w:t>
      </w:r>
      <w:proofErr w:type="spellEnd"/>
      <w:r w:rsidRPr="00747095">
        <w:rPr>
          <w:rFonts w:ascii="Calibri" w:hAnsi="Calibri" w:cs="Calibri"/>
          <w:b/>
          <w:i/>
          <w:iCs/>
          <w:color w:val="000000"/>
          <w:sz w:val="28"/>
          <w:szCs w:val="28"/>
        </w:rPr>
        <w:t xml:space="preserve"> do Campeche. </w:t>
      </w:r>
      <w:proofErr w:type="spellStart"/>
      <w:r w:rsidRPr="00747095">
        <w:rPr>
          <w:rFonts w:ascii="Calibri" w:hAnsi="Calibri" w:cs="Calibri"/>
          <w:b/>
          <w:i/>
          <w:iCs/>
          <w:color w:val="000000"/>
          <w:sz w:val="28"/>
          <w:szCs w:val="28"/>
        </w:rPr>
        <w:t>Estudo</w:t>
      </w:r>
      <w:proofErr w:type="spellEnd"/>
      <w:r w:rsidRPr="00747095">
        <w:rPr>
          <w:rFonts w:ascii="Calibri" w:hAnsi="Calibri" w:cs="Calibri"/>
          <w:b/>
          <w:i/>
          <w:iCs/>
          <w:color w:val="000000"/>
          <w:sz w:val="28"/>
          <w:szCs w:val="28"/>
        </w:rPr>
        <w:t xml:space="preserve"> de caso</w:t>
      </w:r>
    </w:p>
    <w:p w14:paraId="5249CA72" w14:textId="73E84BDB" w:rsidR="00C05234" w:rsidRDefault="00C05234"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rPr>
      </w:pPr>
    </w:p>
    <w:p w14:paraId="31B30599" w14:textId="7CB80CBE" w:rsidR="00C05234" w:rsidRPr="005D0B41" w:rsidRDefault="00C05234"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inorHAnsi" w:hAnsiTheme="minorHAnsi" w:cstheme="minorHAnsi"/>
          <w:b/>
          <w:bCs/>
          <w:lang w:val="es-ES"/>
        </w:rPr>
      </w:pPr>
      <w:r w:rsidRPr="005D0B41">
        <w:rPr>
          <w:rFonts w:asciiTheme="minorHAnsi" w:hAnsiTheme="minorHAnsi" w:cstheme="minorHAnsi"/>
          <w:b/>
          <w:bCs/>
          <w:lang w:val="es-ES"/>
        </w:rPr>
        <w:t>Thelma Núñez Amaro</w:t>
      </w:r>
    </w:p>
    <w:p w14:paraId="3BCDD2FA" w14:textId="68F82DB0" w:rsidR="00C05234" w:rsidRPr="00C05234" w:rsidRDefault="00C05234"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lang w:val="es-ES"/>
        </w:rPr>
      </w:pPr>
      <w:r w:rsidRPr="00C05234">
        <w:rPr>
          <w:lang w:val="es-ES"/>
        </w:rPr>
        <w:t>Telebachillerato Comunitario, Campeche</w:t>
      </w:r>
    </w:p>
    <w:p w14:paraId="13FDA164" w14:textId="23E5B5DE" w:rsidR="00C05234" w:rsidRPr="00577D14" w:rsidRDefault="00C05234" w:rsidP="0074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Cs/>
          <w:color w:val="FF0000"/>
          <w:sz w:val="28"/>
          <w:szCs w:val="28"/>
        </w:rPr>
      </w:pPr>
      <w:r w:rsidRPr="00577D14">
        <w:rPr>
          <w:rFonts w:ascii="Calibri" w:hAnsi="Calibri" w:cs="Calibri"/>
          <w:bCs/>
          <w:color w:val="FF0000"/>
        </w:rPr>
        <w:t>thelma28na@gmail.com</w:t>
      </w:r>
    </w:p>
    <w:p w14:paraId="36B5B544" w14:textId="77777777" w:rsidR="00C05234" w:rsidRPr="00C05234" w:rsidRDefault="00C05234" w:rsidP="00C05234">
      <w:pPr>
        <w:jc w:val="right"/>
        <w:rPr>
          <w:lang w:val="es-ES"/>
        </w:rPr>
      </w:pPr>
      <w:r w:rsidRPr="00C05234">
        <w:rPr>
          <w:lang w:val="es-ES"/>
        </w:rPr>
        <w:t>https://orcid.org/0000-0002-9944-8686</w:t>
      </w:r>
    </w:p>
    <w:p w14:paraId="6D4ED4E6" w14:textId="77777777" w:rsidR="00B70892" w:rsidRPr="00747095" w:rsidRDefault="00B70892" w:rsidP="00B70892">
      <w:pPr>
        <w:spacing w:line="360" w:lineRule="auto"/>
        <w:jc w:val="right"/>
      </w:pPr>
    </w:p>
    <w:p w14:paraId="044A6116" w14:textId="5CC67124" w:rsidR="00B70892" w:rsidRPr="00747095" w:rsidRDefault="00B70892" w:rsidP="00747095">
      <w:pPr>
        <w:spacing w:line="360" w:lineRule="auto"/>
        <w:rPr>
          <w:rFonts w:asciiTheme="minorHAnsi" w:hAnsiTheme="minorHAnsi" w:cstheme="minorHAnsi"/>
          <w:b/>
          <w:bCs/>
          <w:sz w:val="28"/>
          <w:szCs w:val="28"/>
          <w:lang w:val="es-ES"/>
        </w:rPr>
      </w:pPr>
      <w:r w:rsidRPr="00747095">
        <w:rPr>
          <w:rFonts w:asciiTheme="minorHAnsi" w:hAnsiTheme="minorHAnsi" w:cstheme="minorHAnsi"/>
          <w:b/>
          <w:bCs/>
          <w:sz w:val="28"/>
          <w:szCs w:val="28"/>
          <w:lang w:val="es-ES"/>
        </w:rPr>
        <w:t>Resumen</w:t>
      </w:r>
    </w:p>
    <w:p w14:paraId="778390FC" w14:textId="77777777" w:rsidR="00B70892" w:rsidRPr="00066799" w:rsidRDefault="00B70892" w:rsidP="00B70892">
      <w:pPr>
        <w:spacing w:line="360" w:lineRule="auto"/>
        <w:jc w:val="both"/>
        <w:rPr>
          <w:lang w:val="es-ES"/>
        </w:rPr>
      </w:pPr>
      <w:r w:rsidRPr="00066799">
        <w:rPr>
          <w:lang w:val="es-ES"/>
        </w:rPr>
        <w:t xml:space="preserve">El presente documento contiene los resultados obtenidos de un </w:t>
      </w:r>
      <w:r w:rsidR="00C44C64" w:rsidRPr="00066799">
        <w:rPr>
          <w:lang w:val="es-ES"/>
        </w:rPr>
        <w:t xml:space="preserve">estudio de seguimiento de egresados del servicio educativo telebachillerato comunitario del estado </w:t>
      </w:r>
      <w:r w:rsidRPr="00066799">
        <w:rPr>
          <w:lang w:val="es-ES"/>
        </w:rPr>
        <w:t>de Campeche, el cual se llevó a cabo con el propósito de</w:t>
      </w:r>
      <w:r>
        <w:rPr>
          <w:lang w:val="es-ES"/>
        </w:rPr>
        <w:t xml:space="preserve"> </w:t>
      </w:r>
      <w:r w:rsidRPr="00066799">
        <w:rPr>
          <w:lang w:val="es-ES"/>
        </w:rPr>
        <w:t>valorar la pertinencia del servicio</w:t>
      </w:r>
      <w:r w:rsidR="00C44C64">
        <w:rPr>
          <w:lang w:val="es-ES"/>
        </w:rPr>
        <w:t xml:space="preserve"> </w:t>
      </w:r>
      <w:r w:rsidRPr="00066799">
        <w:rPr>
          <w:lang w:val="es-ES"/>
        </w:rPr>
        <w:t xml:space="preserve">mediante </w:t>
      </w:r>
      <w:r>
        <w:rPr>
          <w:lang w:val="es-ES"/>
        </w:rPr>
        <w:t>e</w:t>
      </w:r>
      <w:r w:rsidRPr="00066799">
        <w:rPr>
          <w:lang w:val="es-ES"/>
        </w:rPr>
        <w:t>l análisis de</w:t>
      </w:r>
      <w:r>
        <w:rPr>
          <w:lang w:val="es-ES"/>
        </w:rPr>
        <w:t xml:space="preserve"> </w:t>
      </w:r>
      <w:r w:rsidRPr="00066799">
        <w:rPr>
          <w:lang w:val="es-ES"/>
        </w:rPr>
        <w:t xml:space="preserve">la trayectoria de sus egresados y el tránsito que han tenido al </w:t>
      </w:r>
      <w:r w:rsidRPr="00AF0087">
        <w:rPr>
          <w:lang w:val="es-ES"/>
        </w:rPr>
        <w:t xml:space="preserve">nivel </w:t>
      </w:r>
      <w:proofErr w:type="gramStart"/>
      <w:r w:rsidRPr="00AF0087">
        <w:rPr>
          <w:lang w:val="es-ES"/>
        </w:rPr>
        <w:t>superior</w:t>
      </w:r>
      <w:r w:rsidRPr="00391626">
        <w:rPr>
          <w:color w:val="FF0000"/>
          <w:lang w:val="es-ES"/>
        </w:rPr>
        <w:t xml:space="preserve"> </w:t>
      </w:r>
      <w:r w:rsidRPr="00066799">
        <w:rPr>
          <w:lang w:val="es-ES"/>
        </w:rPr>
        <w:t>.</w:t>
      </w:r>
      <w:proofErr w:type="gramEnd"/>
      <w:r w:rsidRPr="00066799">
        <w:rPr>
          <w:lang w:val="es-ES"/>
        </w:rPr>
        <w:t xml:space="preserve"> La metodología que se ha seleccionado </w:t>
      </w:r>
      <w:r w:rsidR="00C44C64">
        <w:rPr>
          <w:lang w:val="es-ES"/>
        </w:rPr>
        <w:t>fue</w:t>
      </w:r>
      <w:r w:rsidRPr="00066799">
        <w:rPr>
          <w:lang w:val="es-ES"/>
        </w:rPr>
        <w:t xml:space="preserve"> el </w:t>
      </w:r>
      <w:r w:rsidRPr="00AF0087">
        <w:rPr>
          <w:lang w:val="es-ES"/>
        </w:rPr>
        <w:t>estudio</w:t>
      </w:r>
      <w:r w:rsidRPr="00066799">
        <w:rPr>
          <w:lang w:val="es-ES"/>
        </w:rPr>
        <w:t xml:space="preserve"> de casos múltiples, con un enfoque cualitativo y un alcance descriptivo.</w:t>
      </w:r>
      <w:r>
        <w:rPr>
          <w:lang w:val="es-ES"/>
        </w:rPr>
        <w:t xml:space="preserve"> </w:t>
      </w:r>
      <w:r w:rsidRPr="00066799">
        <w:rPr>
          <w:lang w:val="es-ES"/>
        </w:rPr>
        <w:t>Para ello se consideraron 516 egresados de las generaciones 2013-2016, 2014-2017, 2015-2018</w:t>
      </w:r>
      <w:r w:rsidR="00C44C64">
        <w:rPr>
          <w:lang w:val="es-ES"/>
        </w:rPr>
        <w:t xml:space="preserve"> y</w:t>
      </w:r>
      <w:r w:rsidRPr="00066799">
        <w:rPr>
          <w:lang w:val="es-ES"/>
        </w:rPr>
        <w:t xml:space="preserve"> 2016-2019 de los 19 planteles que conforman el servicio educativo.</w:t>
      </w:r>
      <w:r>
        <w:rPr>
          <w:lang w:val="es-ES"/>
        </w:rPr>
        <w:t xml:space="preserve"> </w:t>
      </w:r>
      <w:r w:rsidRPr="00066799">
        <w:rPr>
          <w:lang w:val="es-ES"/>
        </w:rPr>
        <w:t>Los resultados muestra</w:t>
      </w:r>
      <w:r w:rsidR="00C44C64">
        <w:rPr>
          <w:lang w:val="es-ES"/>
        </w:rPr>
        <w:t>n que han egresado durante las cuatro</w:t>
      </w:r>
      <w:r w:rsidRPr="00066799">
        <w:rPr>
          <w:lang w:val="es-ES"/>
        </w:rPr>
        <w:t xml:space="preserve"> generaciones 516 jóvenes</w:t>
      </w:r>
      <w:r w:rsidR="00C44C64">
        <w:rPr>
          <w:lang w:val="es-ES"/>
        </w:rPr>
        <w:t>,</w:t>
      </w:r>
      <w:r w:rsidRPr="00066799">
        <w:rPr>
          <w:lang w:val="es-ES"/>
        </w:rPr>
        <w:t xml:space="preserve"> de los cuales 279 son hombre</w:t>
      </w:r>
      <w:r>
        <w:rPr>
          <w:lang w:val="es-ES"/>
        </w:rPr>
        <w:t>s</w:t>
      </w:r>
      <w:r w:rsidR="00C44C64">
        <w:rPr>
          <w:lang w:val="es-ES"/>
        </w:rPr>
        <w:t xml:space="preserve"> y 237 mujeres;</w:t>
      </w:r>
      <w:r w:rsidRPr="00066799">
        <w:rPr>
          <w:lang w:val="es-ES"/>
        </w:rPr>
        <w:t xml:space="preserve"> as</w:t>
      </w:r>
      <w:r w:rsidR="00C44C64">
        <w:rPr>
          <w:lang w:val="es-ES"/>
        </w:rPr>
        <w:t>i</w:t>
      </w:r>
      <w:r w:rsidRPr="00066799">
        <w:rPr>
          <w:lang w:val="es-ES"/>
        </w:rPr>
        <w:t>mismo</w:t>
      </w:r>
      <w:r w:rsidR="00C44C64">
        <w:rPr>
          <w:lang w:val="es-ES"/>
        </w:rPr>
        <w:t>,</w:t>
      </w:r>
      <w:r w:rsidRPr="00066799">
        <w:rPr>
          <w:lang w:val="es-ES"/>
        </w:rPr>
        <w:t xml:space="preserve"> 139 egresados se encuentran estudiando</w:t>
      </w:r>
      <w:r w:rsidR="00C44C64">
        <w:rPr>
          <w:lang w:val="es-ES"/>
        </w:rPr>
        <w:t>,</w:t>
      </w:r>
      <w:r w:rsidRPr="00066799">
        <w:rPr>
          <w:lang w:val="es-ES"/>
        </w:rPr>
        <w:t xml:space="preserve"> lo que corresponde a 26.93</w:t>
      </w:r>
      <w:r w:rsidR="00C44C64">
        <w:rPr>
          <w:lang w:val="es-ES"/>
        </w:rPr>
        <w:t> </w:t>
      </w:r>
      <w:r w:rsidRPr="00066799">
        <w:rPr>
          <w:lang w:val="es-ES"/>
        </w:rPr>
        <w:t xml:space="preserve">% del total. </w:t>
      </w:r>
      <w:r w:rsidR="0096126A">
        <w:rPr>
          <w:lang w:val="es-ES"/>
        </w:rPr>
        <w:t>Este d</w:t>
      </w:r>
      <w:r w:rsidRPr="00066799">
        <w:rPr>
          <w:lang w:val="es-ES"/>
        </w:rPr>
        <w:t xml:space="preserve">ato </w:t>
      </w:r>
      <w:r w:rsidR="0096126A">
        <w:rPr>
          <w:lang w:val="es-ES"/>
        </w:rPr>
        <w:t xml:space="preserve">es </w:t>
      </w:r>
      <w:r w:rsidRPr="00066799">
        <w:rPr>
          <w:lang w:val="es-ES"/>
        </w:rPr>
        <w:t>particularmente importante por la necesidad de facilitar el tránsito a nivel superior. Igualmente</w:t>
      </w:r>
      <w:r w:rsidR="0096126A">
        <w:rPr>
          <w:lang w:val="es-ES"/>
        </w:rPr>
        <w:t>,</w:t>
      </w:r>
      <w:r w:rsidRPr="00066799">
        <w:rPr>
          <w:lang w:val="es-ES"/>
        </w:rPr>
        <w:t xml:space="preserve"> se registró que 316 egresados se encuentran laborando en actividades diferentes a su formación profesional </w:t>
      </w:r>
      <w:r w:rsidR="0096126A">
        <w:rPr>
          <w:lang w:val="es-ES"/>
        </w:rPr>
        <w:t xml:space="preserve">(es decir, </w:t>
      </w:r>
      <w:r>
        <w:rPr>
          <w:lang w:val="es-ES"/>
        </w:rPr>
        <w:t>d</w:t>
      </w:r>
      <w:r w:rsidRPr="00066799">
        <w:rPr>
          <w:lang w:val="es-ES"/>
        </w:rPr>
        <w:t xml:space="preserve">esarrollo </w:t>
      </w:r>
      <w:r>
        <w:rPr>
          <w:lang w:val="es-ES"/>
        </w:rPr>
        <w:t>c</w:t>
      </w:r>
      <w:r w:rsidRPr="00066799">
        <w:rPr>
          <w:lang w:val="es-ES"/>
        </w:rPr>
        <w:t>omunitario</w:t>
      </w:r>
      <w:r w:rsidR="0096126A">
        <w:rPr>
          <w:lang w:val="es-ES"/>
        </w:rPr>
        <w:t>), pues</w:t>
      </w:r>
      <w:r w:rsidRPr="00066799">
        <w:rPr>
          <w:lang w:val="es-ES"/>
        </w:rPr>
        <w:t xml:space="preserve"> principalmente realizan labores del campo, del hogar </w:t>
      </w:r>
      <w:r w:rsidR="0096126A">
        <w:rPr>
          <w:lang w:val="es-ES"/>
        </w:rPr>
        <w:t>o</w:t>
      </w:r>
      <w:r w:rsidRPr="00066799">
        <w:rPr>
          <w:lang w:val="es-ES"/>
        </w:rPr>
        <w:t xml:space="preserve"> trabajan de forma independiente. </w:t>
      </w:r>
    </w:p>
    <w:p w14:paraId="0D5E1819" w14:textId="77777777" w:rsidR="0096126A" w:rsidRDefault="00B70892" w:rsidP="00B70892">
      <w:pPr>
        <w:spacing w:line="360" w:lineRule="auto"/>
        <w:jc w:val="both"/>
        <w:rPr>
          <w:lang w:val="es-ES"/>
        </w:rPr>
      </w:pPr>
      <w:r w:rsidRPr="00066799">
        <w:rPr>
          <w:lang w:val="es-ES"/>
        </w:rPr>
        <w:lastRenderedPageBreak/>
        <w:t xml:space="preserve">Los resultados obtenidos plasman la necesidad de establecer mecanismos para fortalecer la formación integral que reciben </w:t>
      </w:r>
      <w:r w:rsidR="0096126A">
        <w:rPr>
          <w:lang w:val="es-ES"/>
        </w:rPr>
        <w:t xml:space="preserve">para </w:t>
      </w:r>
      <w:r w:rsidRPr="00066799">
        <w:rPr>
          <w:lang w:val="es-ES"/>
        </w:rPr>
        <w:t xml:space="preserve">incidir positivamente en su comunidad y </w:t>
      </w:r>
      <w:r w:rsidR="0096126A">
        <w:rPr>
          <w:lang w:val="es-ES"/>
        </w:rPr>
        <w:t>para</w:t>
      </w:r>
      <w:r w:rsidRPr="00066799">
        <w:rPr>
          <w:lang w:val="es-ES"/>
        </w:rPr>
        <w:t xml:space="preserve"> transitar al </w:t>
      </w:r>
      <w:r>
        <w:rPr>
          <w:lang w:val="es-ES"/>
        </w:rPr>
        <w:t>n</w:t>
      </w:r>
      <w:r w:rsidRPr="00066799">
        <w:rPr>
          <w:lang w:val="es-ES"/>
        </w:rPr>
        <w:t xml:space="preserve">ivel </w:t>
      </w:r>
      <w:r>
        <w:rPr>
          <w:lang w:val="es-ES"/>
        </w:rPr>
        <w:t>s</w:t>
      </w:r>
      <w:r w:rsidRPr="00066799">
        <w:rPr>
          <w:lang w:val="es-ES"/>
        </w:rPr>
        <w:t>uperior de forma satisfactoria.</w:t>
      </w:r>
      <w:r>
        <w:rPr>
          <w:lang w:val="es-ES"/>
        </w:rPr>
        <w:t xml:space="preserve"> </w:t>
      </w:r>
    </w:p>
    <w:p w14:paraId="6DCF36FE" w14:textId="77777777" w:rsidR="00B70892" w:rsidRPr="00373C6F" w:rsidRDefault="00B70892" w:rsidP="00B70892">
      <w:pPr>
        <w:spacing w:line="360" w:lineRule="auto"/>
        <w:jc w:val="both"/>
        <w:rPr>
          <w:lang w:val="es-ES"/>
        </w:rPr>
      </w:pPr>
      <w:r w:rsidRPr="00747095">
        <w:rPr>
          <w:rFonts w:asciiTheme="minorHAnsi" w:hAnsiTheme="minorHAnsi" w:cstheme="minorHAnsi"/>
          <w:b/>
          <w:bCs/>
          <w:sz w:val="28"/>
          <w:szCs w:val="28"/>
          <w:lang w:val="es-ES"/>
        </w:rPr>
        <w:t>Palabras clave:</w:t>
      </w:r>
      <w:r>
        <w:rPr>
          <w:lang w:val="es-ES"/>
        </w:rPr>
        <w:t xml:space="preserve"> evaluación de la educación, educación media superior, pertinencia.</w:t>
      </w:r>
    </w:p>
    <w:p w14:paraId="417DAC27" w14:textId="77777777" w:rsidR="00B70892" w:rsidRDefault="00B70892" w:rsidP="00B70892">
      <w:pPr>
        <w:spacing w:line="360" w:lineRule="auto"/>
        <w:jc w:val="both"/>
        <w:rPr>
          <w:lang w:val="es-ES"/>
        </w:rPr>
      </w:pPr>
    </w:p>
    <w:p w14:paraId="0D423401" w14:textId="77777777" w:rsidR="00B70892" w:rsidRPr="00C05234" w:rsidRDefault="00B70892" w:rsidP="00747095">
      <w:pPr>
        <w:spacing w:line="360" w:lineRule="auto"/>
        <w:rPr>
          <w:rFonts w:asciiTheme="minorHAnsi" w:hAnsiTheme="minorHAnsi" w:cstheme="minorHAnsi"/>
          <w:b/>
          <w:bCs/>
          <w:sz w:val="28"/>
          <w:szCs w:val="28"/>
          <w:lang w:val="en-US"/>
        </w:rPr>
      </w:pPr>
      <w:r w:rsidRPr="00C05234">
        <w:rPr>
          <w:rFonts w:asciiTheme="minorHAnsi" w:hAnsiTheme="minorHAnsi" w:cstheme="minorHAnsi"/>
          <w:b/>
          <w:bCs/>
          <w:sz w:val="28"/>
          <w:szCs w:val="28"/>
          <w:lang w:val="en-US"/>
        </w:rPr>
        <w:t>Abstract</w:t>
      </w:r>
    </w:p>
    <w:p w14:paraId="3FD1CA0D" w14:textId="77777777" w:rsidR="00C44C64" w:rsidRDefault="00B70892" w:rsidP="00B70892">
      <w:pPr>
        <w:spacing w:line="360" w:lineRule="auto"/>
        <w:jc w:val="both"/>
        <w:rPr>
          <w:lang w:val="en-US"/>
        </w:rPr>
      </w:pPr>
      <w:r w:rsidRPr="005B7BAB">
        <w:rPr>
          <w:lang w:val="en-US"/>
        </w:rPr>
        <w:t xml:space="preserve">This document contains the results obtained from a Follow-up Study of Graduates of the Community </w:t>
      </w:r>
      <w:proofErr w:type="spellStart"/>
      <w:r w:rsidRPr="005B7BAB">
        <w:rPr>
          <w:lang w:val="en-US"/>
        </w:rPr>
        <w:t>Telebachillerato</w:t>
      </w:r>
      <w:proofErr w:type="spellEnd"/>
      <w:r w:rsidRPr="005B7BAB">
        <w:rPr>
          <w:lang w:val="en-US"/>
        </w:rPr>
        <w:t xml:space="preserve"> Educational Service of the State of Campeche, which was carried out with the purpose of evaluating the relevance of the educational service, this by analyzing the trajectory of their graduates and the transit they have had at the Higher Level. The methodology that has been selected is the Multiple Case Study, with a qualitative approach and a descriptive scope. For this, 516 graduates of the 2013-2016, 2014-2017, 2015-2018, 2016-2019 generations were considered; of the 19 schools that make up the educational service. </w:t>
      </w:r>
    </w:p>
    <w:p w14:paraId="6E413DB2" w14:textId="3241C2C9" w:rsidR="00B70892" w:rsidRDefault="00B70892" w:rsidP="00B70892">
      <w:pPr>
        <w:spacing w:line="360" w:lineRule="auto"/>
        <w:jc w:val="both"/>
        <w:rPr>
          <w:lang w:val="es-VE"/>
        </w:rPr>
      </w:pPr>
      <w:r w:rsidRPr="005B7BAB">
        <w:rPr>
          <w:lang w:val="en-US"/>
        </w:rPr>
        <w:t xml:space="preserve">The results show that 516 young people have graduated during the 4 generations, of whom 279 are men and 237 women, and 139 graduates are studying, which corresponds to 26.93% of the total graduates. This is particularly important due to the need to facilitate transit at a higher level. It was also recorded that 316 graduates are working in activities other than their professional training Community Development; They mainly carry out work in the fields, household chores and work independently. The results obtained reflect the need to establish mechanisms to strengthen the comprehensive training they receive that allows them, on the one hand, to have a positive impact on their community and, on the other hand, to successfully move to the Higher Level. </w:t>
      </w:r>
      <w:r w:rsidRPr="008116A1">
        <w:rPr>
          <w:b/>
          <w:lang w:val="en-US"/>
        </w:rPr>
        <w:br/>
      </w:r>
      <w:proofErr w:type="spellStart"/>
      <w:r w:rsidRPr="00747095">
        <w:rPr>
          <w:rFonts w:asciiTheme="minorHAnsi" w:hAnsiTheme="minorHAnsi" w:cstheme="minorHAnsi"/>
          <w:b/>
          <w:bCs/>
          <w:sz w:val="28"/>
          <w:szCs w:val="28"/>
          <w:lang w:val="es-ES"/>
        </w:rPr>
        <w:t>Key</w:t>
      </w:r>
      <w:r w:rsidR="00747095">
        <w:rPr>
          <w:rFonts w:asciiTheme="minorHAnsi" w:hAnsiTheme="minorHAnsi" w:cstheme="minorHAnsi"/>
          <w:b/>
          <w:bCs/>
          <w:sz w:val="28"/>
          <w:szCs w:val="28"/>
          <w:lang w:val="es-ES"/>
        </w:rPr>
        <w:t>w</w:t>
      </w:r>
      <w:r w:rsidRPr="00747095">
        <w:rPr>
          <w:rFonts w:asciiTheme="minorHAnsi" w:hAnsiTheme="minorHAnsi" w:cstheme="minorHAnsi"/>
          <w:b/>
          <w:bCs/>
          <w:sz w:val="28"/>
          <w:szCs w:val="28"/>
          <w:lang w:val="es-ES"/>
        </w:rPr>
        <w:t>ords</w:t>
      </w:r>
      <w:proofErr w:type="spellEnd"/>
      <w:r w:rsidRPr="00747095">
        <w:rPr>
          <w:rFonts w:asciiTheme="minorHAnsi" w:hAnsiTheme="minorHAnsi" w:cstheme="minorHAnsi"/>
          <w:b/>
          <w:bCs/>
          <w:sz w:val="28"/>
          <w:szCs w:val="28"/>
          <w:lang w:val="es-ES"/>
        </w:rPr>
        <w:t>:</w:t>
      </w:r>
      <w:r w:rsidRPr="00654594">
        <w:rPr>
          <w:b/>
          <w:lang w:val="es-VE"/>
        </w:rPr>
        <w:t xml:space="preserve"> </w:t>
      </w:r>
      <w:proofErr w:type="spellStart"/>
      <w:r w:rsidRPr="00654594">
        <w:rPr>
          <w:lang w:val="es-VE"/>
        </w:rPr>
        <w:t>educational</w:t>
      </w:r>
      <w:proofErr w:type="spellEnd"/>
      <w:r w:rsidRPr="00654594">
        <w:rPr>
          <w:lang w:val="es-VE"/>
        </w:rPr>
        <w:t xml:space="preserve"> </w:t>
      </w:r>
      <w:proofErr w:type="spellStart"/>
      <w:r w:rsidRPr="00654594">
        <w:rPr>
          <w:lang w:val="es-VE"/>
        </w:rPr>
        <w:t>evaluation</w:t>
      </w:r>
      <w:proofErr w:type="spellEnd"/>
      <w:r w:rsidRPr="00654594">
        <w:rPr>
          <w:lang w:val="es-VE"/>
        </w:rPr>
        <w:t xml:space="preserve">, </w:t>
      </w:r>
      <w:proofErr w:type="spellStart"/>
      <w:r w:rsidRPr="00654594">
        <w:rPr>
          <w:lang w:val="es-VE"/>
        </w:rPr>
        <w:t>upper</w:t>
      </w:r>
      <w:proofErr w:type="spellEnd"/>
      <w:r w:rsidRPr="00654594">
        <w:rPr>
          <w:lang w:val="es-VE"/>
        </w:rPr>
        <w:t xml:space="preserve"> </w:t>
      </w:r>
      <w:proofErr w:type="spellStart"/>
      <w:r w:rsidRPr="00654594">
        <w:rPr>
          <w:lang w:val="es-VE"/>
        </w:rPr>
        <w:t>middle</w:t>
      </w:r>
      <w:proofErr w:type="spellEnd"/>
      <w:r w:rsidRPr="00654594">
        <w:rPr>
          <w:lang w:val="es-VE"/>
        </w:rPr>
        <w:t xml:space="preserve"> </w:t>
      </w:r>
      <w:proofErr w:type="spellStart"/>
      <w:r w:rsidRPr="00654594">
        <w:rPr>
          <w:lang w:val="es-VE"/>
        </w:rPr>
        <w:t>education</w:t>
      </w:r>
      <w:proofErr w:type="spellEnd"/>
      <w:r w:rsidRPr="00654594">
        <w:rPr>
          <w:lang w:val="es-VE"/>
        </w:rPr>
        <w:t xml:space="preserve">, </w:t>
      </w:r>
      <w:proofErr w:type="spellStart"/>
      <w:r w:rsidRPr="00654594">
        <w:rPr>
          <w:lang w:val="es-VE"/>
        </w:rPr>
        <w:t>relevance</w:t>
      </w:r>
      <w:proofErr w:type="spellEnd"/>
      <w:r w:rsidRPr="00654594">
        <w:rPr>
          <w:lang w:val="es-VE"/>
        </w:rPr>
        <w:t>.</w:t>
      </w:r>
    </w:p>
    <w:p w14:paraId="1FDA612E" w14:textId="49C2A573" w:rsidR="00747095" w:rsidRDefault="00747095" w:rsidP="00B70892">
      <w:pPr>
        <w:spacing w:line="360" w:lineRule="auto"/>
        <w:jc w:val="both"/>
        <w:rPr>
          <w:lang w:val="es-VE"/>
        </w:rPr>
      </w:pPr>
    </w:p>
    <w:p w14:paraId="4B52027F" w14:textId="2436942F" w:rsidR="005D0B41" w:rsidRDefault="005D0B41" w:rsidP="00B70892">
      <w:pPr>
        <w:spacing w:line="360" w:lineRule="auto"/>
        <w:jc w:val="both"/>
        <w:rPr>
          <w:lang w:val="es-VE"/>
        </w:rPr>
      </w:pPr>
    </w:p>
    <w:p w14:paraId="5CDFA4F1" w14:textId="0AC7918A" w:rsidR="005D0B41" w:rsidRDefault="005D0B41" w:rsidP="00B70892">
      <w:pPr>
        <w:spacing w:line="360" w:lineRule="auto"/>
        <w:jc w:val="both"/>
        <w:rPr>
          <w:lang w:val="es-VE"/>
        </w:rPr>
      </w:pPr>
    </w:p>
    <w:p w14:paraId="25270266" w14:textId="6493BD6C" w:rsidR="005D0B41" w:rsidRDefault="005D0B41" w:rsidP="00B70892">
      <w:pPr>
        <w:spacing w:line="360" w:lineRule="auto"/>
        <w:jc w:val="both"/>
        <w:rPr>
          <w:lang w:val="es-VE"/>
        </w:rPr>
      </w:pPr>
    </w:p>
    <w:p w14:paraId="12D6C52F" w14:textId="54575398" w:rsidR="005D0B41" w:rsidRDefault="005D0B41" w:rsidP="00B70892">
      <w:pPr>
        <w:spacing w:line="360" w:lineRule="auto"/>
        <w:jc w:val="both"/>
        <w:rPr>
          <w:lang w:val="es-VE"/>
        </w:rPr>
      </w:pPr>
    </w:p>
    <w:p w14:paraId="352EDEE9" w14:textId="622A71AD" w:rsidR="005D0B41" w:rsidRDefault="005D0B41" w:rsidP="00B70892">
      <w:pPr>
        <w:spacing w:line="360" w:lineRule="auto"/>
        <w:jc w:val="both"/>
        <w:rPr>
          <w:lang w:val="es-VE"/>
        </w:rPr>
      </w:pPr>
    </w:p>
    <w:p w14:paraId="1157DC4E" w14:textId="72AB69BC" w:rsidR="005D0B41" w:rsidRDefault="005D0B41" w:rsidP="00B70892">
      <w:pPr>
        <w:spacing w:line="360" w:lineRule="auto"/>
        <w:jc w:val="both"/>
        <w:rPr>
          <w:lang w:val="es-VE"/>
        </w:rPr>
      </w:pPr>
    </w:p>
    <w:p w14:paraId="3504437D" w14:textId="77777777" w:rsidR="005D0B41" w:rsidRDefault="005D0B41" w:rsidP="00B70892">
      <w:pPr>
        <w:spacing w:line="360" w:lineRule="auto"/>
        <w:jc w:val="both"/>
        <w:rPr>
          <w:lang w:val="es-VE"/>
        </w:rPr>
      </w:pPr>
    </w:p>
    <w:p w14:paraId="745F8969" w14:textId="2B7AB378" w:rsidR="00747095" w:rsidRPr="00747095" w:rsidRDefault="00747095" w:rsidP="00B70892">
      <w:pPr>
        <w:spacing w:line="360" w:lineRule="auto"/>
        <w:jc w:val="both"/>
        <w:rPr>
          <w:rFonts w:asciiTheme="minorHAnsi" w:hAnsiTheme="minorHAnsi" w:cstheme="minorHAnsi"/>
          <w:b/>
          <w:bCs/>
          <w:sz w:val="28"/>
          <w:szCs w:val="28"/>
          <w:lang w:val="es-ES"/>
        </w:rPr>
      </w:pPr>
      <w:r w:rsidRPr="00747095">
        <w:rPr>
          <w:rFonts w:asciiTheme="minorHAnsi" w:hAnsiTheme="minorHAnsi" w:cstheme="minorHAnsi"/>
          <w:b/>
          <w:bCs/>
          <w:sz w:val="28"/>
          <w:szCs w:val="28"/>
          <w:lang w:val="es-ES"/>
        </w:rPr>
        <w:lastRenderedPageBreak/>
        <w:t>Resumo</w:t>
      </w:r>
    </w:p>
    <w:p w14:paraId="54F7EB3F" w14:textId="77777777" w:rsidR="00747095" w:rsidRPr="00747095" w:rsidRDefault="00747095" w:rsidP="00747095">
      <w:pPr>
        <w:spacing w:line="360" w:lineRule="auto"/>
        <w:jc w:val="both"/>
        <w:rPr>
          <w:lang w:val="es-VE"/>
        </w:rPr>
      </w:pPr>
      <w:r w:rsidRPr="00747095">
        <w:rPr>
          <w:lang w:val="es-VE"/>
        </w:rPr>
        <w:t xml:space="preserve">Este documento </w:t>
      </w:r>
      <w:proofErr w:type="spellStart"/>
      <w:r w:rsidRPr="00747095">
        <w:rPr>
          <w:lang w:val="es-VE"/>
        </w:rPr>
        <w:t>contém</w:t>
      </w:r>
      <w:proofErr w:type="spellEnd"/>
      <w:r w:rsidRPr="00747095">
        <w:rPr>
          <w:lang w:val="es-VE"/>
        </w:rPr>
        <w:t xml:space="preserve"> os resultados </w:t>
      </w:r>
      <w:proofErr w:type="spellStart"/>
      <w:r w:rsidRPr="00747095">
        <w:rPr>
          <w:lang w:val="es-VE"/>
        </w:rPr>
        <w:t>obtidos</w:t>
      </w:r>
      <w:proofErr w:type="spellEnd"/>
      <w:r w:rsidRPr="00747095">
        <w:rPr>
          <w:lang w:val="es-VE"/>
        </w:rPr>
        <w:t xml:space="preserve"> em </w:t>
      </w:r>
      <w:proofErr w:type="spellStart"/>
      <w:r w:rsidRPr="00747095">
        <w:rPr>
          <w:lang w:val="es-VE"/>
        </w:rPr>
        <w:t>estudo</w:t>
      </w:r>
      <w:proofErr w:type="spellEnd"/>
      <w:r w:rsidRPr="00747095">
        <w:rPr>
          <w:lang w:val="es-VE"/>
        </w:rPr>
        <w:t xml:space="preserve"> de </w:t>
      </w:r>
      <w:proofErr w:type="spellStart"/>
      <w:r w:rsidRPr="00747095">
        <w:rPr>
          <w:lang w:val="es-VE"/>
        </w:rPr>
        <w:t>acompanhamento</w:t>
      </w:r>
      <w:proofErr w:type="spellEnd"/>
      <w:r w:rsidRPr="00747095">
        <w:rPr>
          <w:lang w:val="es-VE"/>
        </w:rPr>
        <w:t xml:space="preserve"> </w:t>
      </w:r>
      <w:proofErr w:type="spellStart"/>
      <w:r w:rsidRPr="00747095">
        <w:rPr>
          <w:lang w:val="es-VE"/>
        </w:rPr>
        <w:t>com</w:t>
      </w:r>
      <w:proofErr w:type="spellEnd"/>
      <w:r w:rsidRPr="00747095">
        <w:rPr>
          <w:lang w:val="es-VE"/>
        </w:rPr>
        <w:t xml:space="preserve"> </w:t>
      </w:r>
      <w:proofErr w:type="spellStart"/>
      <w:r w:rsidRPr="00747095">
        <w:rPr>
          <w:lang w:val="es-VE"/>
        </w:rPr>
        <w:t>egressos</w:t>
      </w:r>
      <w:proofErr w:type="spellEnd"/>
      <w:r w:rsidRPr="00747095">
        <w:rPr>
          <w:lang w:val="es-VE"/>
        </w:rPr>
        <w:t xml:space="preserve"> do </w:t>
      </w:r>
      <w:proofErr w:type="spellStart"/>
      <w:r w:rsidRPr="00747095">
        <w:rPr>
          <w:lang w:val="es-VE"/>
        </w:rPr>
        <w:t>serviço</w:t>
      </w:r>
      <w:proofErr w:type="spellEnd"/>
      <w:r w:rsidRPr="00747095">
        <w:rPr>
          <w:lang w:val="es-VE"/>
        </w:rPr>
        <w:t xml:space="preserve"> de telebachillerato </w:t>
      </w:r>
      <w:proofErr w:type="spellStart"/>
      <w:r w:rsidRPr="00747095">
        <w:rPr>
          <w:lang w:val="es-VE"/>
        </w:rPr>
        <w:t>comunitário</w:t>
      </w:r>
      <w:proofErr w:type="spellEnd"/>
      <w:r w:rsidRPr="00747095">
        <w:rPr>
          <w:lang w:val="es-VE"/>
        </w:rPr>
        <w:t xml:space="preserve"> educacional do estado de Campeche, realizado </w:t>
      </w:r>
      <w:proofErr w:type="spellStart"/>
      <w:r w:rsidRPr="00747095">
        <w:rPr>
          <w:lang w:val="es-VE"/>
        </w:rPr>
        <w:t>com</w:t>
      </w:r>
      <w:proofErr w:type="spellEnd"/>
      <w:r w:rsidRPr="00747095">
        <w:rPr>
          <w:lang w:val="es-VE"/>
        </w:rPr>
        <w:t xml:space="preserve"> </w:t>
      </w:r>
      <w:proofErr w:type="spellStart"/>
      <w:r w:rsidRPr="00747095">
        <w:rPr>
          <w:lang w:val="es-VE"/>
        </w:rPr>
        <w:t>o</w:t>
      </w:r>
      <w:proofErr w:type="spellEnd"/>
      <w:r w:rsidRPr="00747095">
        <w:rPr>
          <w:lang w:val="es-VE"/>
        </w:rPr>
        <w:t xml:space="preserve"> objetivo de avaliar a </w:t>
      </w:r>
      <w:proofErr w:type="spellStart"/>
      <w:r w:rsidRPr="00747095">
        <w:rPr>
          <w:lang w:val="es-VE"/>
        </w:rPr>
        <w:t>relevância</w:t>
      </w:r>
      <w:proofErr w:type="spellEnd"/>
      <w:r w:rsidRPr="00747095">
        <w:rPr>
          <w:lang w:val="es-VE"/>
        </w:rPr>
        <w:t xml:space="preserve"> do </w:t>
      </w:r>
      <w:proofErr w:type="spellStart"/>
      <w:r w:rsidRPr="00747095">
        <w:rPr>
          <w:lang w:val="es-VE"/>
        </w:rPr>
        <w:t>serviço</w:t>
      </w:r>
      <w:proofErr w:type="spellEnd"/>
      <w:r w:rsidRPr="00747095">
        <w:rPr>
          <w:lang w:val="es-VE"/>
        </w:rPr>
        <w:t xml:space="preserve"> por </w:t>
      </w:r>
      <w:proofErr w:type="spellStart"/>
      <w:r w:rsidRPr="00747095">
        <w:rPr>
          <w:lang w:val="es-VE"/>
        </w:rPr>
        <w:t>meio</w:t>
      </w:r>
      <w:proofErr w:type="spellEnd"/>
      <w:r w:rsidRPr="00747095">
        <w:rPr>
          <w:lang w:val="es-VE"/>
        </w:rPr>
        <w:t xml:space="preserve"> da </w:t>
      </w:r>
      <w:proofErr w:type="spellStart"/>
      <w:r w:rsidRPr="00747095">
        <w:rPr>
          <w:lang w:val="es-VE"/>
        </w:rPr>
        <w:t>análise</w:t>
      </w:r>
      <w:proofErr w:type="spellEnd"/>
      <w:r w:rsidRPr="00747095">
        <w:rPr>
          <w:lang w:val="es-VE"/>
        </w:rPr>
        <w:t xml:space="preserve"> da </w:t>
      </w:r>
      <w:proofErr w:type="spellStart"/>
      <w:r w:rsidRPr="00747095">
        <w:rPr>
          <w:lang w:val="es-VE"/>
        </w:rPr>
        <w:t>trajetória</w:t>
      </w:r>
      <w:proofErr w:type="spellEnd"/>
      <w:r w:rsidRPr="00747095">
        <w:rPr>
          <w:lang w:val="es-VE"/>
        </w:rPr>
        <w:t xml:space="preserve"> de </w:t>
      </w:r>
      <w:proofErr w:type="spellStart"/>
      <w:r w:rsidRPr="00747095">
        <w:rPr>
          <w:lang w:val="es-VE"/>
        </w:rPr>
        <w:t>seus</w:t>
      </w:r>
      <w:proofErr w:type="spellEnd"/>
      <w:r w:rsidRPr="00747095">
        <w:rPr>
          <w:lang w:val="es-VE"/>
        </w:rPr>
        <w:t xml:space="preserve"> </w:t>
      </w:r>
      <w:proofErr w:type="spellStart"/>
      <w:r w:rsidRPr="00747095">
        <w:rPr>
          <w:lang w:val="es-VE"/>
        </w:rPr>
        <w:t>egressos</w:t>
      </w:r>
      <w:proofErr w:type="spellEnd"/>
      <w:r w:rsidRPr="00747095">
        <w:rPr>
          <w:lang w:val="es-VE"/>
        </w:rPr>
        <w:t xml:space="preserve"> e do </w:t>
      </w:r>
      <w:proofErr w:type="spellStart"/>
      <w:r w:rsidRPr="00747095">
        <w:rPr>
          <w:lang w:val="es-VE"/>
        </w:rPr>
        <w:t>tráfego</w:t>
      </w:r>
      <w:proofErr w:type="spellEnd"/>
      <w:r w:rsidRPr="00747095">
        <w:rPr>
          <w:lang w:val="es-VE"/>
        </w:rPr>
        <w:t xml:space="preserve"> que eles </w:t>
      </w:r>
      <w:proofErr w:type="spellStart"/>
      <w:r w:rsidRPr="00747095">
        <w:rPr>
          <w:lang w:val="es-VE"/>
        </w:rPr>
        <w:t>tiveram</w:t>
      </w:r>
      <w:proofErr w:type="spellEnd"/>
      <w:r w:rsidRPr="00747095">
        <w:rPr>
          <w:lang w:val="es-VE"/>
        </w:rPr>
        <w:t xml:space="preserve"> para o </w:t>
      </w:r>
      <w:proofErr w:type="spellStart"/>
      <w:r w:rsidRPr="00747095">
        <w:rPr>
          <w:lang w:val="es-VE"/>
        </w:rPr>
        <w:t>nível</w:t>
      </w:r>
      <w:proofErr w:type="spellEnd"/>
      <w:r w:rsidRPr="00747095">
        <w:rPr>
          <w:lang w:val="es-VE"/>
        </w:rPr>
        <w:t xml:space="preserve"> superior. A </w:t>
      </w:r>
      <w:proofErr w:type="spellStart"/>
      <w:r w:rsidRPr="00747095">
        <w:rPr>
          <w:lang w:val="es-VE"/>
        </w:rPr>
        <w:t>metodologia</w:t>
      </w:r>
      <w:proofErr w:type="spellEnd"/>
      <w:r w:rsidRPr="00747095">
        <w:rPr>
          <w:lang w:val="es-VE"/>
        </w:rPr>
        <w:t xml:space="preserve"> </w:t>
      </w:r>
      <w:proofErr w:type="spellStart"/>
      <w:r w:rsidRPr="00747095">
        <w:rPr>
          <w:lang w:val="es-VE"/>
        </w:rPr>
        <w:t>escolhida</w:t>
      </w:r>
      <w:proofErr w:type="spellEnd"/>
      <w:r w:rsidRPr="00747095">
        <w:rPr>
          <w:lang w:val="es-VE"/>
        </w:rPr>
        <w:t xml:space="preserve"> </w:t>
      </w:r>
      <w:proofErr w:type="spellStart"/>
      <w:r w:rsidRPr="00747095">
        <w:rPr>
          <w:lang w:val="es-VE"/>
        </w:rPr>
        <w:t>foi</w:t>
      </w:r>
      <w:proofErr w:type="spellEnd"/>
      <w:r w:rsidRPr="00747095">
        <w:rPr>
          <w:lang w:val="es-VE"/>
        </w:rPr>
        <w:t xml:space="preserve"> o </w:t>
      </w:r>
      <w:proofErr w:type="spellStart"/>
      <w:r w:rsidRPr="00747095">
        <w:rPr>
          <w:lang w:val="es-VE"/>
        </w:rPr>
        <w:t>estudo</w:t>
      </w:r>
      <w:proofErr w:type="spellEnd"/>
      <w:r w:rsidRPr="00747095">
        <w:rPr>
          <w:lang w:val="es-VE"/>
        </w:rPr>
        <w:t xml:space="preserve"> de casos múltiplos, </w:t>
      </w:r>
      <w:proofErr w:type="spellStart"/>
      <w:r w:rsidRPr="00747095">
        <w:rPr>
          <w:lang w:val="es-VE"/>
        </w:rPr>
        <w:t>com</w:t>
      </w:r>
      <w:proofErr w:type="spellEnd"/>
      <w:r w:rsidRPr="00747095">
        <w:rPr>
          <w:lang w:val="es-VE"/>
        </w:rPr>
        <w:t xml:space="preserve"> </w:t>
      </w:r>
      <w:proofErr w:type="spellStart"/>
      <w:r w:rsidRPr="00747095">
        <w:rPr>
          <w:lang w:val="es-VE"/>
        </w:rPr>
        <w:t>abordagem</w:t>
      </w:r>
      <w:proofErr w:type="spellEnd"/>
      <w:r w:rsidRPr="00747095">
        <w:rPr>
          <w:lang w:val="es-VE"/>
        </w:rPr>
        <w:t xml:space="preserve"> </w:t>
      </w:r>
      <w:proofErr w:type="spellStart"/>
      <w:r w:rsidRPr="00747095">
        <w:rPr>
          <w:lang w:val="es-VE"/>
        </w:rPr>
        <w:t>qualitativa</w:t>
      </w:r>
      <w:proofErr w:type="spellEnd"/>
      <w:r w:rsidRPr="00747095">
        <w:rPr>
          <w:lang w:val="es-VE"/>
        </w:rPr>
        <w:t xml:space="preserve"> e </w:t>
      </w:r>
      <w:proofErr w:type="spellStart"/>
      <w:r w:rsidRPr="00747095">
        <w:rPr>
          <w:lang w:val="es-VE"/>
        </w:rPr>
        <w:t>âmbito</w:t>
      </w:r>
      <w:proofErr w:type="spellEnd"/>
      <w:r w:rsidRPr="00747095">
        <w:rPr>
          <w:lang w:val="es-VE"/>
        </w:rPr>
        <w:t xml:space="preserve"> </w:t>
      </w:r>
      <w:proofErr w:type="spellStart"/>
      <w:r w:rsidRPr="00747095">
        <w:rPr>
          <w:lang w:val="es-VE"/>
        </w:rPr>
        <w:t>descritivo</w:t>
      </w:r>
      <w:proofErr w:type="spellEnd"/>
      <w:r w:rsidRPr="00747095">
        <w:rPr>
          <w:lang w:val="es-VE"/>
        </w:rPr>
        <w:t xml:space="preserve">. Para </w:t>
      </w:r>
      <w:proofErr w:type="spellStart"/>
      <w:r w:rsidRPr="00747095">
        <w:rPr>
          <w:lang w:val="es-VE"/>
        </w:rPr>
        <w:t>isso</w:t>
      </w:r>
      <w:proofErr w:type="spellEnd"/>
      <w:r w:rsidRPr="00747095">
        <w:rPr>
          <w:lang w:val="es-VE"/>
        </w:rPr>
        <w:t xml:space="preserve">, </w:t>
      </w:r>
      <w:proofErr w:type="spellStart"/>
      <w:r w:rsidRPr="00747095">
        <w:rPr>
          <w:lang w:val="es-VE"/>
        </w:rPr>
        <w:t>foram</w:t>
      </w:r>
      <w:proofErr w:type="spellEnd"/>
      <w:r w:rsidRPr="00747095">
        <w:rPr>
          <w:lang w:val="es-VE"/>
        </w:rPr>
        <w:t xml:space="preserve"> considerados 516 </w:t>
      </w:r>
      <w:proofErr w:type="spellStart"/>
      <w:r w:rsidRPr="00747095">
        <w:rPr>
          <w:lang w:val="es-VE"/>
        </w:rPr>
        <w:t>egressos</w:t>
      </w:r>
      <w:proofErr w:type="spellEnd"/>
      <w:r w:rsidRPr="00747095">
        <w:rPr>
          <w:lang w:val="es-VE"/>
        </w:rPr>
        <w:t xml:space="preserve"> das </w:t>
      </w:r>
      <w:proofErr w:type="spellStart"/>
      <w:r w:rsidRPr="00747095">
        <w:rPr>
          <w:lang w:val="es-VE"/>
        </w:rPr>
        <w:t>gerações</w:t>
      </w:r>
      <w:proofErr w:type="spellEnd"/>
      <w:r w:rsidRPr="00747095">
        <w:rPr>
          <w:lang w:val="es-VE"/>
        </w:rPr>
        <w:t xml:space="preserve"> 2013-2016, 2014-2017, 2015-2018 e 2016-2019 das 19 </w:t>
      </w:r>
      <w:proofErr w:type="spellStart"/>
      <w:r w:rsidRPr="00747095">
        <w:rPr>
          <w:lang w:val="es-VE"/>
        </w:rPr>
        <w:t>escolas</w:t>
      </w:r>
      <w:proofErr w:type="spellEnd"/>
      <w:r w:rsidRPr="00747095">
        <w:rPr>
          <w:lang w:val="es-VE"/>
        </w:rPr>
        <w:t xml:space="preserve"> que </w:t>
      </w:r>
      <w:proofErr w:type="spellStart"/>
      <w:r w:rsidRPr="00747095">
        <w:rPr>
          <w:lang w:val="es-VE"/>
        </w:rPr>
        <w:t>compõem</w:t>
      </w:r>
      <w:proofErr w:type="spellEnd"/>
      <w:r w:rsidRPr="00747095">
        <w:rPr>
          <w:lang w:val="es-VE"/>
        </w:rPr>
        <w:t xml:space="preserve"> o </w:t>
      </w:r>
      <w:proofErr w:type="spellStart"/>
      <w:r w:rsidRPr="00747095">
        <w:rPr>
          <w:lang w:val="es-VE"/>
        </w:rPr>
        <w:t>serviço</w:t>
      </w:r>
      <w:proofErr w:type="spellEnd"/>
      <w:r w:rsidRPr="00747095">
        <w:rPr>
          <w:lang w:val="es-VE"/>
        </w:rPr>
        <w:t xml:space="preserve"> educacional. Os resultados </w:t>
      </w:r>
      <w:proofErr w:type="spellStart"/>
      <w:r w:rsidRPr="00747095">
        <w:rPr>
          <w:lang w:val="es-VE"/>
        </w:rPr>
        <w:t>mostram</w:t>
      </w:r>
      <w:proofErr w:type="spellEnd"/>
      <w:r w:rsidRPr="00747095">
        <w:rPr>
          <w:lang w:val="es-VE"/>
        </w:rPr>
        <w:t xml:space="preserve"> que 516 </w:t>
      </w:r>
      <w:proofErr w:type="spellStart"/>
      <w:r w:rsidRPr="00747095">
        <w:rPr>
          <w:lang w:val="es-VE"/>
        </w:rPr>
        <w:t>jovens</w:t>
      </w:r>
      <w:proofErr w:type="spellEnd"/>
      <w:r w:rsidRPr="00747095">
        <w:rPr>
          <w:lang w:val="es-VE"/>
        </w:rPr>
        <w:t xml:space="preserve"> se </w:t>
      </w:r>
      <w:proofErr w:type="spellStart"/>
      <w:r w:rsidRPr="00747095">
        <w:rPr>
          <w:lang w:val="es-VE"/>
        </w:rPr>
        <w:t>formaram</w:t>
      </w:r>
      <w:proofErr w:type="spellEnd"/>
      <w:r w:rsidRPr="00747095">
        <w:rPr>
          <w:lang w:val="es-VE"/>
        </w:rPr>
        <w:t xml:space="preserve"> </w:t>
      </w:r>
      <w:proofErr w:type="spellStart"/>
      <w:r w:rsidRPr="00747095">
        <w:rPr>
          <w:lang w:val="es-VE"/>
        </w:rPr>
        <w:t>nas</w:t>
      </w:r>
      <w:proofErr w:type="spellEnd"/>
      <w:r w:rsidRPr="00747095">
        <w:rPr>
          <w:lang w:val="es-VE"/>
        </w:rPr>
        <w:t xml:space="preserve"> </w:t>
      </w:r>
      <w:proofErr w:type="spellStart"/>
      <w:r w:rsidRPr="00747095">
        <w:rPr>
          <w:lang w:val="es-VE"/>
        </w:rPr>
        <w:t>quatro</w:t>
      </w:r>
      <w:proofErr w:type="spellEnd"/>
      <w:r w:rsidRPr="00747095">
        <w:rPr>
          <w:lang w:val="es-VE"/>
        </w:rPr>
        <w:t xml:space="preserve"> </w:t>
      </w:r>
      <w:proofErr w:type="spellStart"/>
      <w:r w:rsidRPr="00747095">
        <w:rPr>
          <w:lang w:val="es-VE"/>
        </w:rPr>
        <w:t>gerações</w:t>
      </w:r>
      <w:proofErr w:type="spellEnd"/>
      <w:r w:rsidRPr="00747095">
        <w:rPr>
          <w:lang w:val="es-VE"/>
        </w:rPr>
        <w:t xml:space="preserve">, </w:t>
      </w:r>
      <w:proofErr w:type="spellStart"/>
      <w:r w:rsidRPr="00747095">
        <w:rPr>
          <w:lang w:val="es-VE"/>
        </w:rPr>
        <w:t>sendo</w:t>
      </w:r>
      <w:proofErr w:type="spellEnd"/>
      <w:r w:rsidRPr="00747095">
        <w:rPr>
          <w:lang w:val="es-VE"/>
        </w:rPr>
        <w:t xml:space="preserve"> 279 </w:t>
      </w:r>
      <w:proofErr w:type="spellStart"/>
      <w:r w:rsidRPr="00747095">
        <w:rPr>
          <w:lang w:val="es-VE"/>
        </w:rPr>
        <w:t>homens</w:t>
      </w:r>
      <w:proofErr w:type="spellEnd"/>
      <w:r w:rsidRPr="00747095">
        <w:rPr>
          <w:lang w:val="es-VE"/>
        </w:rPr>
        <w:t xml:space="preserve"> e 237 </w:t>
      </w:r>
      <w:proofErr w:type="spellStart"/>
      <w:r w:rsidRPr="00747095">
        <w:rPr>
          <w:lang w:val="es-VE"/>
        </w:rPr>
        <w:t>mulheres</w:t>
      </w:r>
      <w:proofErr w:type="spellEnd"/>
      <w:r w:rsidRPr="00747095">
        <w:rPr>
          <w:lang w:val="es-VE"/>
        </w:rPr>
        <w:t xml:space="preserve">; da mesma forma, </w:t>
      </w:r>
      <w:proofErr w:type="spellStart"/>
      <w:r w:rsidRPr="00747095">
        <w:rPr>
          <w:lang w:val="es-VE"/>
        </w:rPr>
        <w:t>estão</w:t>
      </w:r>
      <w:proofErr w:type="spellEnd"/>
      <w:r w:rsidRPr="00747095">
        <w:rPr>
          <w:lang w:val="es-VE"/>
        </w:rPr>
        <w:t xml:space="preserve"> </w:t>
      </w:r>
      <w:proofErr w:type="spellStart"/>
      <w:r w:rsidRPr="00747095">
        <w:rPr>
          <w:lang w:val="es-VE"/>
        </w:rPr>
        <w:t>estudando</w:t>
      </w:r>
      <w:proofErr w:type="spellEnd"/>
      <w:r w:rsidRPr="00747095">
        <w:rPr>
          <w:lang w:val="es-VE"/>
        </w:rPr>
        <w:t xml:space="preserve"> 139 </w:t>
      </w:r>
      <w:proofErr w:type="spellStart"/>
      <w:r w:rsidRPr="00747095">
        <w:rPr>
          <w:lang w:val="es-VE"/>
        </w:rPr>
        <w:t>egressos</w:t>
      </w:r>
      <w:proofErr w:type="spellEnd"/>
      <w:r w:rsidRPr="00747095">
        <w:rPr>
          <w:lang w:val="es-VE"/>
        </w:rPr>
        <w:t xml:space="preserve">, o que corresponde a 26,93% do total. </w:t>
      </w:r>
      <w:proofErr w:type="spellStart"/>
      <w:r w:rsidRPr="00747095">
        <w:rPr>
          <w:lang w:val="es-VE"/>
        </w:rPr>
        <w:t>Esses</w:t>
      </w:r>
      <w:proofErr w:type="spellEnd"/>
      <w:r w:rsidRPr="00747095">
        <w:rPr>
          <w:lang w:val="es-VE"/>
        </w:rPr>
        <w:t xml:space="preserve"> dados </w:t>
      </w:r>
      <w:proofErr w:type="spellStart"/>
      <w:r w:rsidRPr="00747095">
        <w:rPr>
          <w:lang w:val="es-VE"/>
        </w:rPr>
        <w:t>são</w:t>
      </w:r>
      <w:proofErr w:type="spellEnd"/>
      <w:r w:rsidRPr="00747095">
        <w:rPr>
          <w:lang w:val="es-VE"/>
        </w:rPr>
        <w:t xml:space="preserve"> particularmente importantes </w:t>
      </w:r>
      <w:proofErr w:type="spellStart"/>
      <w:r w:rsidRPr="00747095">
        <w:rPr>
          <w:lang w:val="es-VE"/>
        </w:rPr>
        <w:t>devido</w:t>
      </w:r>
      <w:proofErr w:type="spellEnd"/>
      <w:r w:rsidRPr="00747095">
        <w:rPr>
          <w:lang w:val="es-VE"/>
        </w:rPr>
        <w:t xml:space="preserve"> à </w:t>
      </w:r>
      <w:proofErr w:type="spellStart"/>
      <w:r w:rsidRPr="00747095">
        <w:rPr>
          <w:lang w:val="es-VE"/>
        </w:rPr>
        <w:t>necessidade</w:t>
      </w:r>
      <w:proofErr w:type="spellEnd"/>
      <w:r w:rsidRPr="00747095">
        <w:rPr>
          <w:lang w:val="es-VE"/>
        </w:rPr>
        <w:t xml:space="preserve"> de facilitar o </w:t>
      </w:r>
      <w:proofErr w:type="spellStart"/>
      <w:r w:rsidRPr="00747095">
        <w:rPr>
          <w:lang w:val="es-VE"/>
        </w:rPr>
        <w:t>trânsito</w:t>
      </w:r>
      <w:proofErr w:type="spellEnd"/>
      <w:r w:rsidRPr="00747095">
        <w:rPr>
          <w:lang w:val="es-VE"/>
        </w:rPr>
        <w:t xml:space="preserve"> para </w:t>
      </w:r>
      <w:proofErr w:type="spellStart"/>
      <w:r w:rsidRPr="00747095">
        <w:rPr>
          <w:lang w:val="es-VE"/>
        </w:rPr>
        <w:t>um</w:t>
      </w:r>
      <w:proofErr w:type="spellEnd"/>
      <w:r w:rsidRPr="00747095">
        <w:rPr>
          <w:lang w:val="es-VE"/>
        </w:rPr>
        <w:t xml:space="preserve"> </w:t>
      </w:r>
      <w:proofErr w:type="spellStart"/>
      <w:r w:rsidRPr="00747095">
        <w:rPr>
          <w:lang w:val="es-VE"/>
        </w:rPr>
        <w:t>nível</w:t>
      </w:r>
      <w:proofErr w:type="spellEnd"/>
      <w:r w:rsidRPr="00747095">
        <w:rPr>
          <w:lang w:val="es-VE"/>
        </w:rPr>
        <w:t xml:space="preserve"> superior. Da mesma forma, </w:t>
      </w:r>
      <w:proofErr w:type="spellStart"/>
      <w:r w:rsidRPr="00747095">
        <w:rPr>
          <w:lang w:val="es-VE"/>
        </w:rPr>
        <w:t>constatou</w:t>
      </w:r>
      <w:proofErr w:type="spellEnd"/>
      <w:r w:rsidRPr="00747095">
        <w:rPr>
          <w:lang w:val="es-VE"/>
        </w:rPr>
        <w:t>-</w:t>
      </w:r>
      <w:proofErr w:type="spellStart"/>
      <w:r w:rsidRPr="00747095">
        <w:rPr>
          <w:lang w:val="es-VE"/>
        </w:rPr>
        <w:t>se</w:t>
      </w:r>
      <w:proofErr w:type="spellEnd"/>
      <w:r w:rsidRPr="00747095">
        <w:rPr>
          <w:lang w:val="es-VE"/>
        </w:rPr>
        <w:t xml:space="preserve"> que 316 </w:t>
      </w:r>
      <w:proofErr w:type="spellStart"/>
      <w:r w:rsidRPr="00747095">
        <w:rPr>
          <w:lang w:val="es-VE"/>
        </w:rPr>
        <w:t>egressos</w:t>
      </w:r>
      <w:proofErr w:type="spellEnd"/>
      <w:r w:rsidRPr="00747095">
        <w:rPr>
          <w:lang w:val="es-VE"/>
        </w:rPr>
        <w:t xml:space="preserve"> </w:t>
      </w:r>
      <w:proofErr w:type="spellStart"/>
      <w:r w:rsidRPr="00747095">
        <w:rPr>
          <w:lang w:val="es-VE"/>
        </w:rPr>
        <w:t>exercem</w:t>
      </w:r>
      <w:proofErr w:type="spellEnd"/>
      <w:r w:rsidRPr="00747095">
        <w:rPr>
          <w:lang w:val="es-VE"/>
        </w:rPr>
        <w:t xml:space="preserve"> </w:t>
      </w:r>
      <w:proofErr w:type="spellStart"/>
      <w:r w:rsidRPr="00747095">
        <w:rPr>
          <w:lang w:val="es-VE"/>
        </w:rPr>
        <w:t>atividades</w:t>
      </w:r>
      <w:proofErr w:type="spellEnd"/>
      <w:r w:rsidRPr="00747095">
        <w:rPr>
          <w:lang w:val="es-VE"/>
        </w:rPr>
        <w:t xml:space="preserve"> distintas da </w:t>
      </w:r>
      <w:proofErr w:type="spellStart"/>
      <w:r w:rsidRPr="00747095">
        <w:rPr>
          <w:lang w:val="es-VE"/>
        </w:rPr>
        <w:t>formação</w:t>
      </w:r>
      <w:proofErr w:type="spellEnd"/>
      <w:r w:rsidRPr="00747095">
        <w:rPr>
          <w:lang w:val="es-VE"/>
        </w:rPr>
        <w:t xml:space="preserve"> </w:t>
      </w:r>
      <w:proofErr w:type="spellStart"/>
      <w:r w:rsidRPr="00747095">
        <w:rPr>
          <w:lang w:val="es-VE"/>
        </w:rPr>
        <w:t>profissional</w:t>
      </w:r>
      <w:proofErr w:type="spellEnd"/>
      <w:r w:rsidRPr="00747095">
        <w:rPr>
          <w:lang w:val="es-VE"/>
        </w:rPr>
        <w:t xml:space="preserve"> (</w:t>
      </w:r>
      <w:proofErr w:type="spellStart"/>
      <w:r w:rsidRPr="00747095">
        <w:rPr>
          <w:lang w:val="es-VE"/>
        </w:rPr>
        <w:t>ou</w:t>
      </w:r>
      <w:proofErr w:type="spellEnd"/>
      <w:r w:rsidRPr="00747095">
        <w:rPr>
          <w:lang w:val="es-VE"/>
        </w:rPr>
        <w:t xml:space="preserve"> </w:t>
      </w:r>
      <w:proofErr w:type="spellStart"/>
      <w:r w:rsidRPr="00747095">
        <w:rPr>
          <w:lang w:val="es-VE"/>
        </w:rPr>
        <w:t>seja</w:t>
      </w:r>
      <w:proofErr w:type="spellEnd"/>
      <w:r w:rsidRPr="00747095">
        <w:rPr>
          <w:lang w:val="es-VE"/>
        </w:rPr>
        <w:t xml:space="preserve">, </w:t>
      </w:r>
      <w:proofErr w:type="spellStart"/>
      <w:r w:rsidRPr="00747095">
        <w:rPr>
          <w:lang w:val="es-VE"/>
        </w:rPr>
        <w:t>desenvolvimento</w:t>
      </w:r>
      <w:proofErr w:type="spellEnd"/>
      <w:r w:rsidRPr="00747095">
        <w:rPr>
          <w:lang w:val="es-VE"/>
        </w:rPr>
        <w:t xml:space="preserve"> </w:t>
      </w:r>
      <w:proofErr w:type="spellStart"/>
      <w:r w:rsidRPr="00747095">
        <w:rPr>
          <w:lang w:val="es-VE"/>
        </w:rPr>
        <w:t>comunitário</w:t>
      </w:r>
      <w:proofErr w:type="spellEnd"/>
      <w:r w:rsidRPr="00747095">
        <w:rPr>
          <w:lang w:val="es-VE"/>
        </w:rPr>
        <w:t xml:space="preserve">), </w:t>
      </w:r>
      <w:proofErr w:type="spellStart"/>
      <w:r w:rsidRPr="00747095">
        <w:rPr>
          <w:lang w:val="es-VE"/>
        </w:rPr>
        <w:t>uma</w:t>
      </w:r>
      <w:proofErr w:type="spellEnd"/>
      <w:r w:rsidRPr="00747095">
        <w:rPr>
          <w:lang w:val="es-VE"/>
        </w:rPr>
        <w:t xml:space="preserve"> vez que </w:t>
      </w:r>
      <w:proofErr w:type="spellStart"/>
      <w:r w:rsidRPr="00747095">
        <w:rPr>
          <w:lang w:val="es-VE"/>
        </w:rPr>
        <w:t>atuam</w:t>
      </w:r>
      <w:proofErr w:type="spellEnd"/>
      <w:r w:rsidRPr="00747095">
        <w:rPr>
          <w:lang w:val="es-VE"/>
        </w:rPr>
        <w:t xml:space="preserve"> principalmente no campo, em casa </w:t>
      </w:r>
      <w:proofErr w:type="spellStart"/>
      <w:r w:rsidRPr="00747095">
        <w:rPr>
          <w:lang w:val="es-VE"/>
        </w:rPr>
        <w:t>ou</w:t>
      </w:r>
      <w:proofErr w:type="spellEnd"/>
      <w:r w:rsidRPr="00747095">
        <w:rPr>
          <w:lang w:val="es-VE"/>
        </w:rPr>
        <w:t xml:space="preserve"> por conta </w:t>
      </w:r>
      <w:proofErr w:type="spellStart"/>
      <w:r w:rsidRPr="00747095">
        <w:rPr>
          <w:lang w:val="es-VE"/>
        </w:rPr>
        <w:t>própria</w:t>
      </w:r>
      <w:proofErr w:type="spellEnd"/>
      <w:r w:rsidRPr="00747095">
        <w:rPr>
          <w:lang w:val="es-VE"/>
        </w:rPr>
        <w:t>.</w:t>
      </w:r>
    </w:p>
    <w:p w14:paraId="4608A0CF" w14:textId="77777777" w:rsidR="00747095" w:rsidRPr="00747095" w:rsidRDefault="00747095" w:rsidP="00747095">
      <w:pPr>
        <w:spacing w:line="360" w:lineRule="auto"/>
        <w:jc w:val="both"/>
        <w:rPr>
          <w:lang w:val="es-VE"/>
        </w:rPr>
      </w:pPr>
      <w:r w:rsidRPr="00747095">
        <w:rPr>
          <w:lang w:val="es-VE"/>
        </w:rPr>
        <w:t xml:space="preserve">Os resultados </w:t>
      </w:r>
      <w:proofErr w:type="spellStart"/>
      <w:r w:rsidRPr="00747095">
        <w:rPr>
          <w:lang w:val="es-VE"/>
        </w:rPr>
        <w:t>obtidos</w:t>
      </w:r>
      <w:proofErr w:type="spellEnd"/>
      <w:r w:rsidRPr="00747095">
        <w:rPr>
          <w:lang w:val="es-VE"/>
        </w:rPr>
        <w:t xml:space="preserve"> </w:t>
      </w:r>
      <w:proofErr w:type="spellStart"/>
      <w:r w:rsidRPr="00747095">
        <w:rPr>
          <w:lang w:val="es-VE"/>
        </w:rPr>
        <w:t>refletem</w:t>
      </w:r>
      <w:proofErr w:type="spellEnd"/>
      <w:r w:rsidRPr="00747095">
        <w:rPr>
          <w:lang w:val="es-VE"/>
        </w:rPr>
        <w:t xml:space="preserve"> a </w:t>
      </w:r>
      <w:proofErr w:type="spellStart"/>
      <w:r w:rsidRPr="00747095">
        <w:rPr>
          <w:lang w:val="es-VE"/>
        </w:rPr>
        <w:t>necessidade</w:t>
      </w:r>
      <w:proofErr w:type="spellEnd"/>
      <w:r w:rsidRPr="00747095">
        <w:rPr>
          <w:lang w:val="es-VE"/>
        </w:rPr>
        <w:t xml:space="preserve"> de se </w:t>
      </w:r>
      <w:proofErr w:type="spellStart"/>
      <w:r w:rsidRPr="00747095">
        <w:rPr>
          <w:lang w:val="es-VE"/>
        </w:rPr>
        <w:t>estabelecer</w:t>
      </w:r>
      <w:proofErr w:type="spellEnd"/>
      <w:r w:rsidRPr="00747095">
        <w:rPr>
          <w:lang w:val="es-VE"/>
        </w:rPr>
        <w:t xml:space="preserve"> mecanismos que </w:t>
      </w:r>
      <w:proofErr w:type="spellStart"/>
      <w:r w:rsidRPr="00747095">
        <w:rPr>
          <w:lang w:val="es-VE"/>
        </w:rPr>
        <w:t>fortaleçam</w:t>
      </w:r>
      <w:proofErr w:type="spellEnd"/>
      <w:r w:rsidRPr="00747095">
        <w:rPr>
          <w:lang w:val="es-VE"/>
        </w:rPr>
        <w:t xml:space="preserve"> a </w:t>
      </w:r>
      <w:proofErr w:type="spellStart"/>
      <w:r w:rsidRPr="00747095">
        <w:rPr>
          <w:lang w:val="es-VE"/>
        </w:rPr>
        <w:t>formação</w:t>
      </w:r>
      <w:proofErr w:type="spellEnd"/>
      <w:r w:rsidRPr="00747095">
        <w:rPr>
          <w:lang w:val="es-VE"/>
        </w:rPr>
        <w:t xml:space="preserve"> integral que </w:t>
      </w:r>
      <w:proofErr w:type="spellStart"/>
      <w:r w:rsidRPr="00747095">
        <w:rPr>
          <w:lang w:val="es-VE"/>
        </w:rPr>
        <w:t>recebem</w:t>
      </w:r>
      <w:proofErr w:type="spellEnd"/>
      <w:r w:rsidRPr="00747095">
        <w:rPr>
          <w:lang w:val="es-VE"/>
        </w:rPr>
        <w:t xml:space="preserve"> para impactar positivamente </w:t>
      </w:r>
      <w:proofErr w:type="spellStart"/>
      <w:r w:rsidRPr="00747095">
        <w:rPr>
          <w:lang w:val="es-VE"/>
        </w:rPr>
        <w:t>sua</w:t>
      </w:r>
      <w:proofErr w:type="spellEnd"/>
      <w:r w:rsidRPr="00747095">
        <w:rPr>
          <w:lang w:val="es-VE"/>
        </w:rPr>
        <w:t xml:space="preserve"> </w:t>
      </w:r>
      <w:proofErr w:type="spellStart"/>
      <w:r w:rsidRPr="00747095">
        <w:rPr>
          <w:lang w:val="es-VE"/>
        </w:rPr>
        <w:t>comunidade</w:t>
      </w:r>
      <w:proofErr w:type="spellEnd"/>
      <w:r w:rsidRPr="00747095">
        <w:rPr>
          <w:lang w:val="es-VE"/>
        </w:rPr>
        <w:t xml:space="preserve"> e </w:t>
      </w:r>
      <w:proofErr w:type="spellStart"/>
      <w:r w:rsidRPr="00747095">
        <w:rPr>
          <w:lang w:val="es-VE"/>
        </w:rPr>
        <w:t>passar</w:t>
      </w:r>
      <w:proofErr w:type="spellEnd"/>
      <w:r w:rsidRPr="00747095">
        <w:rPr>
          <w:lang w:val="es-VE"/>
        </w:rPr>
        <w:t xml:space="preserve"> de forma </w:t>
      </w:r>
      <w:proofErr w:type="spellStart"/>
      <w:r w:rsidRPr="00747095">
        <w:rPr>
          <w:lang w:val="es-VE"/>
        </w:rPr>
        <w:t>satisfatória</w:t>
      </w:r>
      <w:proofErr w:type="spellEnd"/>
      <w:r w:rsidRPr="00747095">
        <w:rPr>
          <w:lang w:val="es-VE"/>
        </w:rPr>
        <w:t xml:space="preserve"> para o </w:t>
      </w:r>
      <w:proofErr w:type="spellStart"/>
      <w:r w:rsidRPr="00747095">
        <w:rPr>
          <w:lang w:val="es-VE"/>
        </w:rPr>
        <w:t>nível</w:t>
      </w:r>
      <w:proofErr w:type="spellEnd"/>
      <w:r w:rsidRPr="00747095">
        <w:rPr>
          <w:lang w:val="es-VE"/>
        </w:rPr>
        <w:t xml:space="preserve"> superior.</w:t>
      </w:r>
    </w:p>
    <w:p w14:paraId="1D43C74E" w14:textId="3AB2B523" w:rsidR="00747095" w:rsidRDefault="00747095" w:rsidP="00747095">
      <w:pPr>
        <w:spacing w:line="360" w:lineRule="auto"/>
        <w:jc w:val="both"/>
        <w:rPr>
          <w:lang w:val="es-VE"/>
        </w:rPr>
      </w:pPr>
      <w:proofErr w:type="spellStart"/>
      <w:r w:rsidRPr="00747095">
        <w:rPr>
          <w:rFonts w:asciiTheme="minorHAnsi" w:hAnsiTheme="minorHAnsi" w:cstheme="minorHAnsi"/>
          <w:b/>
          <w:bCs/>
          <w:sz w:val="28"/>
          <w:szCs w:val="28"/>
          <w:lang w:val="es-ES"/>
        </w:rPr>
        <w:t>Palavras</w:t>
      </w:r>
      <w:proofErr w:type="spellEnd"/>
      <w:r w:rsidRPr="00747095">
        <w:rPr>
          <w:rFonts w:asciiTheme="minorHAnsi" w:hAnsiTheme="minorHAnsi" w:cstheme="minorHAnsi"/>
          <w:b/>
          <w:bCs/>
          <w:sz w:val="28"/>
          <w:szCs w:val="28"/>
          <w:lang w:val="es-ES"/>
        </w:rPr>
        <w:t>-chave:</w:t>
      </w:r>
      <w:r w:rsidRPr="00747095">
        <w:rPr>
          <w:lang w:val="es-VE"/>
        </w:rPr>
        <w:t xml:space="preserve"> </w:t>
      </w:r>
      <w:proofErr w:type="spellStart"/>
      <w:r w:rsidRPr="00747095">
        <w:rPr>
          <w:lang w:val="es-VE"/>
        </w:rPr>
        <w:t>avaliação</w:t>
      </w:r>
      <w:proofErr w:type="spellEnd"/>
      <w:r w:rsidRPr="00747095">
        <w:rPr>
          <w:lang w:val="es-VE"/>
        </w:rPr>
        <w:t xml:space="preserve"> educacional, </w:t>
      </w:r>
      <w:proofErr w:type="spellStart"/>
      <w:r w:rsidRPr="00747095">
        <w:rPr>
          <w:lang w:val="es-VE"/>
        </w:rPr>
        <w:t>ensino</w:t>
      </w:r>
      <w:proofErr w:type="spellEnd"/>
      <w:r w:rsidRPr="00747095">
        <w:rPr>
          <w:lang w:val="es-VE"/>
        </w:rPr>
        <w:t xml:space="preserve"> </w:t>
      </w:r>
      <w:proofErr w:type="spellStart"/>
      <w:r w:rsidRPr="00747095">
        <w:rPr>
          <w:lang w:val="es-VE"/>
        </w:rPr>
        <w:t>médio</w:t>
      </w:r>
      <w:proofErr w:type="spellEnd"/>
      <w:r w:rsidRPr="00747095">
        <w:rPr>
          <w:lang w:val="es-VE"/>
        </w:rPr>
        <w:t xml:space="preserve">, </w:t>
      </w:r>
      <w:proofErr w:type="spellStart"/>
      <w:r w:rsidRPr="00747095">
        <w:rPr>
          <w:lang w:val="es-VE"/>
        </w:rPr>
        <w:t>relevância</w:t>
      </w:r>
      <w:proofErr w:type="spellEnd"/>
      <w:r w:rsidRPr="00747095">
        <w:rPr>
          <w:lang w:val="es-VE"/>
        </w:rPr>
        <w:t>.</w:t>
      </w:r>
    </w:p>
    <w:p w14:paraId="7097D1DA" w14:textId="28F479EC" w:rsidR="00747095" w:rsidRPr="004334EF" w:rsidRDefault="00747095" w:rsidP="0074709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w:t>
      </w:r>
    </w:p>
    <w:p w14:paraId="74DBDD5F" w14:textId="0B5A9C39" w:rsidR="00747095" w:rsidRPr="00654594" w:rsidRDefault="00F848BF" w:rsidP="00747095">
      <w:pPr>
        <w:spacing w:line="360" w:lineRule="auto"/>
        <w:jc w:val="both"/>
        <w:rPr>
          <w:lang w:val="es-VE"/>
        </w:rPr>
      </w:pPr>
      <w:r>
        <w:rPr>
          <w:noProof/>
        </w:rPr>
        <w:pict w14:anchorId="6334A21A">
          <v:rect id="_x0000_i1025" alt="" style="width:441.9pt;height:.05pt;mso-width-percent:0;mso-height-percent:0;mso-width-percent:0;mso-height-percent:0" o:hralign="center" o:hrstd="t" o:hr="t" fillcolor="#a0a0a0" stroked="f"/>
        </w:pict>
      </w:r>
    </w:p>
    <w:p w14:paraId="24BAED60" w14:textId="77777777" w:rsidR="00B70892" w:rsidRPr="008116A1" w:rsidRDefault="00B70892" w:rsidP="00B70892">
      <w:pPr>
        <w:spacing w:line="360" w:lineRule="auto"/>
        <w:jc w:val="center"/>
        <w:rPr>
          <w:b/>
          <w:sz w:val="32"/>
          <w:szCs w:val="32"/>
          <w:lang w:val="es-ES"/>
        </w:rPr>
      </w:pPr>
      <w:r w:rsidRPr="008116A1">
        <w:rPr>
          <w:b/>
          <w:sz w:val="32"/>
          <w:szCs w:val="32"/>
          <w:lang w:val="es-ES"/>
        </w:rPr>
        <w:t>Introducción</w:t>
      </w:r>
    </w:p>
    <w:p w14:paraId="323132CC" w14:textId="77777777" w:rsidR="00B70892" w:rsidRDefault="00B70892" w:rsidP="00B70892">
      <w:pPr>
        <w:spacing w:line="360" w:lineRule="auto"/>
        <w:ind w:firstLine="708"/>
        <w:jc w:val="both"/>
      </w:pPr>
      <w:r>
        <w:t xml:space="preserve">La educación media superior ha permitido que muchos jóvenes puedan acceder a una formación que los dote de competencias para desenvolverse en la vida y para continuar en el nivel superior. Sin embargo, dada la desigualdad existente en el país, es preciso reconocer los principales retos y dificultades que se deben enfrentar: </w:t>
      </w:r>
    </w:p>
    <w:p w14:paraId="24769B6C" w14:textId="19DBC0ED" w:rsidR="00B70892" w:rsidRPr="00B70892" w:rsidRDefault="00B70892" w:rsidP="00B70892">
      <w:pPr>
        <w:autoSpaceDE w:val="0"/>
        <w:autoSpaceDN w:val="0"/>
        <w:adjustRightInd w:val="0"/>
        <w:spacing w:line="360" w:lineRule="auto"/>
        <w:ind w:left="1416"/>
        <w:jc w:val="both"/>
        <w:rPr>
          <w:iCs/>
        </w:rPr>
      </w:pPr>
      <w:r w:rsidRPr="00B70892">
        <w:rPr>
          <w:iCs/>
        </w:rPr>
        <w:t xml:space="preserve">Si bien los diagnósticos en ese nivel muestran alguna (leve) mejoría, nos revelan altos índices de deserción de sus alumnos; bajo rendimiento escolar; poco interés por las materias y la forma en que se imparten; baja formación magisterial y desprotección laboral (una porción elevada de profesores lo son de asignatura); así como desatención de autoridades, personal docente y padres de familia respecto del entorno en que estos jóvenes realizan sus estudios, que los puede convertir consumo de drogas, relaciones sexuales </w:t>
      </w:r>
      <w:r w:rsidRPr="00B70892">
        <w:rPr>
          <w:iCs/>
        </w:rPr>
        <w:lastRenderedPageBreak/>
        <w:t xml:space="preserve">desprotegidas y violencia en general </w:t>
      </w:r>
      <w:r>
        <w:rPr>
          <w:iCs/>
        </w:rPr>
        <w:t>(</w:t>
      </w:r>
      <w:r>
        <w:t>Instituto Nacional para la Evaluación de la Educación</w:t>
      </w:r>
      <w:r w:rsidRPr="00B70892">
        <w:rPr>
          <w:noProof/>
        </w:rPr>
        <w:t xml:space="preserve"> </w:t>
      </w:r>
      <w:r>
        <w:rPr>
          <w:noProof/>
        </w:rPr>
        <w:t>[</w:t>
      </w:r>
      <w:r w:rsidRPr="00B70892">
        <w:rPr>
          <w:noProof/>
        </w:rPr>
        <w:t>INEE</w:t>
      </w:r>
      <w:r>
        <w:rPr>
          <w:noProof/>
        </w:rPr>
        <w:t>]</w:t>
      </w:r>
      <w:r w:rsidRPr="00B70892">
        <w:rPr>
          <w:noProof/>
        </w:rPr>
        <w:t>, 2018</w:t>
      </w:r>
      <w:r w:rsidR="001417D2">
        <w:rPr>
          <w:noProof/>
        </w:rPr>
        <w:t>a</w:t>
      </w:r>
      <w:r>
        <w:rPr>
          <w:noProof/>
        </w:rPr>
        <w:t>, p.</w:t>
      </w:r>
      <w:r w:rsidR="0029490A">
        <w:rPr>
          <w:noProof/>
        </w:rPr>
        <w:t xml:space="preserve"> 5</w:t>
      </w:r>
      <w:r>
        <w:rPr>
          <w:iCs/>
        </w:rPr>
        <w:t xml:space="preserve">). </w:t>
      </w:r>
    </w:p>
    <w:p w14:paraId="1505E1B0" w14:textId="4E48F4B7" w:rsidR="00B70892" w:rsidRDefault="00B70892" w:rsidP="00B70892">
      <w:pPr>
        <w:spacing w:line="360" w:lineRule="auto"/>
        <w:ind w:firstLine="708"/>
        <w:jc w:val="both"/>
        <w:rPr>
          <w:noProof/>
          <w:lang w:val="es-ES"/>
        </w:rPr>
      </w:pPr>
      <w:r>
        <w:t xml:space="preserve">Por ese motivo, en el presente documento —como parte del Congreso Nacional de Investigación Educativa (COMIE)— se presentan los resultados de un estudio de caso de alta eficacia </w:t>
      </w:r>
      <w:r w:rsidRPr="00F070DA">
        <w:rPr>
          <w:color w:val="000000" w:themeColor="text1"/>
        </w:rPr>
        <w:t>escolar realizado</w:t>
      </w:r>
      <w:r>
        <w:rPr>
          <w:color w:val="000000" w:themeColor="text1"/>
        </w:rPr>
        <w:t xml:space="preserve"> </w:t>
      </w:r>
      <w:r w:rsidRPr="00F070DA">
        <w:rPr>
          <w:color w:val="000000" w:themeColor="text1"/>
        </w:rPr>
        <w:t xml:space="preserve">en un </w:t>
      </w:r>
      <w:r>
        <w:t xml:space="preserve">plantel de </w:t>
      </w:r>
      <w:r w:rsidR="00D82E10">
        <w:t xml:space="preserve">telebachillerato comunitario </w:t>
      </w:r>
      <w:r>
        <w:t xml:space="preserve">de Aguascalientes. En primera instancia se plasman las problemáticas principales de la </w:t>
      </w:r>
      <w:r w:rsidRPr="00AC1EB6">
        <w:t>educación media superior</w:t>
      </w:r>
      <w:r>
        <w:t>, es decir, “</w:t>
      </w:r>
      <w:r w:rsidRPr="00B70892">
        <w:rPr>
          <w:iCs/>
        </w:rPr>
        <w:t>falta de equidad en la oferta educativa, carencias en la formación tanto de profesores como de directivos de los distintos subsistemas, bajos resultados educativos, insuficiencia de infraestructura y equipamiento de las escuelas, falta de articulación con la demanda laboral</w:t>
      </w:r>
      <w:r>
        <w:rPr>
          <w:i/>
          <w:iCs/>
        </w:rPr>
        <w:t xml:space="preserve"> </w:t>
      </w:r>
      <w:r w:rsidRPr="00B70892">
        <w:rPr>
          <w:iCs/>
          <w:color w:val="000000" w:themeColor="text1"/>
        </w:rPr>
        <w:t>(</w:t>
      </w:r>
      <w:r w:rsidR="0096126A">
        <w:rPr>
          <w:noProof/>
          <w:lang w:val="es-ES"/>
        </w:rPr>
        <w:t>Ramírez y Padilla Gonzá</w:t>
      </w:r>
      <w:r>
        <w:rPr>
          <w:noProof/>
          <w:lang w:val="es-ES"/>
        </w:rPr>
        <w:t xml:space="preserve">lez, 2017, p. </w:t>
      </w:r>
      <w:r w:rsidR="000843BD">
        <w:rPr>
          <w:noProof/>
          <w:lang w:val="es-ES"/>
        </w:rPr>
        <w:t>2</w:t>
      </w:r>
      <w:r>
        <w:rPr>
          <w:noProof/>
          <w:lang w:val="es-ES"/>
        </w:rPr>
        <w:t>).</w:t>
      </w:r>
    </w:p>
    <w:p w14:paraId="1DAFE04D" w14:textId="77777777" w:rsidR="00B70892" w:rsidRDefault="00B70892" w:rsidP="00B70892">
      <w:pPr>
        <w:spacing w:line="360" w:lineRule="auto"/>
        <w:ind w:firstLine="708"/>
        <w:jc w:val="both"/>
      </w:pPr>
      <w:r>
        <w:t>En este contexto, el Servicio Educativo Telebachillerato Comunitario (TBC) s</w:t>
      </w:r>
      <w:r w:rsidRPr="00AC1EB6">
        <w:t>e concreta tomando en cuenta la reforma institucional que obliga a prestar el servicio de</w:t>
      </w:r>
      <w:r>
        <w:t xml:space="preserve"> </w:t>
      </w:r>
      <w:r w:rsidRPr="00AC1EB6">
        <w:t xml:space="preserve">educación media superior, </w:t>
      </w:r>
      <w:r>
        <w:t xml:space="preserve">el cual </w:t>
      </w:r>
      <w:r w:rsidRPr="00AC1EB6">
        <w:t xml:space="preserve">establece </w:t>
      </w:r>
      <w:r>
        <w:t xml:space="preserve">su </w:t>
      </w:r>
      <w:r w:rsidRPr="00AC1EB6">
        <w:t xml:space="preserve">obligatoriedad para </w:t>
      </w:r>
      <w:r>
        <w:t xml:space="preserve">la </w:t>
      </w:r>
      <w:r w:rsidRPr="00AC1EB6">
        <w:t xml:space="preserve">población </w:t>
      </w:r>
      <w:r>
        <w:t xml:space="preserve">de entre </w:t>
      </w:r>
      <w:r w:rsidRPr="00AC1EB6">
        <w:t xml:space="preserve">16 </w:t>
      </w:r>
      <w:r>
        <w:t>y</w:t>
      </w:r>
      <w:r w:rsidRPr="00AC1EB6">
        <w:t xml:space="preserve"> 17 años</w:t>
      </w:r>
      <w:r>
        <w:t xml:space="preserve"> de edad</w:t>
      </w:r>
      <w:r w:rsidRPr="00AC1EB6">
        <w:t>; ante esta situación</w:t>
      </w:r>
      <w:r>
        <w:t>,</w:t>
      </w:r>
      <w:r w:rsidRPr="00AC1EB6">
        <w:t xml:space="preserve"> el Gobierno </w:t>
      </w:r>
      <w:r>
        <w:t>f</w:t>
      </w:r>
      <w:r w:rsidRPr="00AC1EB6">
        <w:t>ederal</w:t>
      </w:r>
      <w:r>
        <w:t xml:space="preserve">, </w:t>
      </w:r>
      <w:r w:rsidRPr="00AC1EB6">
        <w:t>en el sexenio</w:t>
      </w:r>
      <w:r>
        <w:t xml:space="preserve"> </w:t>
      </w:r>
      <w:r w:rsidRPr="00AC1EB6">
        <w:t>2013-2018</w:t>
      </w:r>
      <w:r>
        <w:t>,</w:t>
      </w:r>
      <w:r w:rsidRPr="00AC1EB6">
        <w:t xml:space="preserve"> se propuso ampliar la cobertura hasta 80</w:t>
      </w:r>
      <w:r>
        <w:t xml:space="preserve"> </w:t>
      </w:r>
      <w:r w:rsidRPr="00AC1EB6">
        <w:t>%.</w:t>
      </w:r>
    </w:p>
    <w:p w14:paraId="7F3CA8C2" w14:textId="57DC8C76" w:rsidR="00B70892" w:rsidRDefault="00B70892" w:rsidP="00B70892">
      <w:pPr>
        <w:spacing w:line="360" w:lineRule="auto"/>
        <w:ind w:firstLine="708"/>
        <w:jc w:val="both"/>
        <w:rPr>
          <w:noProof/>
          <w:lang w:val="es-ES"/>
        </w:rPr>
      </w:pPr>
      <w:r>
        <w:t xml:space="preserve">El TBC imparte educación media superior con el fin de formar personas que puedan desarrollar habilidades mediante </w:t>
      </w:r>
      <w:r w:rsidRPr="008B162D">
        <w:t>la realización de diversos tipos de proyectos</w:t>
      </w:r>
      <w:r>
        <w:t xml:space="preserve"> </w:t>
      </w:r>
      <w:r w:rsidRPr="008B162D">
        <w:t>recreativos</w:t>
      </w:r>
      <w:r>
        <w:t>,</w:t>
      </w:r>
      <w:r w:rsidRPr="008B162D">
        <w:t xml:space="preserve"> sociales</w:t>
      </w:r>
      <w:r>
        <w:t xml:space="preserve">, </w:t>
      </w:r>
      <w:r w:rsidRPr="008B162D">
        <w:t>culturales, ambientales, económicos, artísticos, científicos, etc.</w:t>
      </w:r>
      <w:r>
        <w:t>,</w:t>
      </w:r>
      <w:r w:rsidRPr="008B162D">
        <w:t xml:space="preserve"> </w:t>
      </w:r>
      <w:r>
        <w:t>l</w:t>
      </w:r>
      <w:r w:rsidRPr="008B162D">
        <w:t>os cuales se vinculan a las competencias establecidas en el perfil de egreso</w:t>
      </w:r>
      <w:r>
        <w:t xml:space="preserve">. Asimismo, </w:t>
      </w:r>
      <w:r w:rsidRPr="008B162D">
        <w:t>tienen incidencia directa en la comunidad</w:t>
      </w:r>
      <w:r>
        <w:t>,</w:t>
      </w:r>
      <w:r w:rsidRPr="008B162D">
        <w:t xml:space="preserve"> dado su propósito formativo estipulado en el documento base: </w:t>
      </w:r>
      <w:r>
        <w:t>“</w:t>
      </w:r>
      <w:r w:rsidRPr="00B70892">
        <w:rPr>
          <w:iCs/>
        </w:rPr>
        <w:t>Dotar a las y los jóvenes de una formación integral conformada por habilidades, conocimientos y actitudes que les permita comprender la cultura de su tiempo y actuar como sujetos activos capaces de influir positivamente en contextos locales y globales</w:t>
      </w:r>
      <w:r>
        <w:rPr>
          <w:iCs/>
        </w:rPr>
        <w:t>”</w:t>
      </w:r>
      <w:r w:rsidRPr="00B70892">
        <w:rPr>
          <w:iCs/>
        </w:rPr>
        <w:t xml:space="preserve"> </w:t>
      </w:r>
      <w:r>
        <w:rPr>
          <w:iCs/>
        </w:rPr>
        <w:t>(</w:t>
      </w:r>
      <w:r w:rsidRPr="00B70892">
        <w:rPr>
          <w:iCs/>
        </w:rPr>
        <w:t>Subsecretaría de Educación Media Superior</w:t>
      </w:r>
      <w:r>
        <w:rPr>
          <w:iCs/>
        </w:rPr>
        <w:t xml:space="preserve"> [</w:t>
      </w:r>
      <w:r>
        <w:rPr>
          <w:noProof/>
          <w:lang w:val="es-ES"/>
        </w:rPr>
        <w:t>SEMS</w:t>
      </w:r>
      <w:r>
        <w:rPr>
          <w:iCs/>
        </w:rPr>
        <w:t>]</w:t>
      </w:r>
      <w:r>
        <w:rPr>
          <w:noProof/>
          <w:lang w:val="es-ES"/>
        </w:rPr>
        <w:t xml:space="preserve">, 2018, p. </w:t>
      </w:r>
      <w:r w:rsidR="0093296F">
        <w:rPr>
          <w:noProof/>
          <w:lang w:val="es-ES"/>
        </w:rPr>
        <w:t>5</w:t>
      </w:r>
      <w:r>
        <w:rPr>
          <w:noProof/>
          <w:lang w:val="es-ES"/>
        </w:rPr>
        <w:t>).</w:t>
      </w:r>
    </w:p>
    <w:p w14:paraId="552322EC" w14:textId="77777777" w:rsidR="00B70892" w:rsidRDefault="00B70892" w:rsidP="00A721E1">
      <w:pPr>
        <w:spacing w:line="360" w:lineRule="auto"/>
        <w:ind w:firstLine="708"/>
        <w:jc w:val="both"/>
      </w:pPr>
      <w:r>
        <w:t>Durante el ciclo escolar 2017-2018, según cifras obtenidas del archivo histórico del INEE (2018</w:t>
      </w:r>
      <w:r w:rsidR="0096126A">
        <w:t>b</w:t>
      </w:r>
      <w:r>
        <w:t>),</w:t>
      </w:r>
      <w:r>
        <w:rPr>
          <w:color w:val="FF0000"/>
        </w:rPr>
        <w:t xml:space="preserve"> </w:t>
      </w:r>
      <w:r>
        <w:t xml:space="preserve">en el estado de Campeche funcionan 125 planteles de educación media superior que incluyen bachillerato general, bachillerato tecnológico, profesional técnico. Con 19 planteles educativos (lo que constituye a 15.2 % del total de planteles), el </w:t>
      </w:r>
      <w:r w:rsidR="00D82E10">
        <w:t xml:space="preserve">telebachillerato comunitario </w:t>
      </w:r>
      <w:r>
        <w:t>es el segundo servicio educativo más grande en el estado.</w:t>
      </w:r>
      <w:r w:rsidR="00A721E1">
        <w:t xml:space="preserve"> En la tabla 1 se enseñan las c</w:t>
      </w:r>
      <w:r>
        <w:t xml:space="preserve">ifras de </w:t>
      </w:r>
      <w:r w:rsidR="00A721E1">
        <w:t xml:space="preserve">educación media superior en el estado </w:t>
      </w:r>
      <w:r>
        <w:t>de Campeche</w:t>
      </w:r>
      <w:r w:rsidR="00A721E1">
        <w:t xml:space="preserve"> para el i</w:t>
      </w:r>
      <w:r>
        <w:t xml:space="preserve">nicio </w:t>
      </w:r>
      <w:r w:rsidR="00A721E1">
        <w:t xml:space="preserve">del ciclo escolar </w:t>
      </w:r>
      <w:r>
        <w:t>2017-2018</w:t>
      </w:r>
      <w:r w:rsidR="00A721E1">
        <w:t>:</w:t>
      </w:r>
    </w:p>
    <w:p w14:paraId="3FFF88BB" w14:textId="69EA2CF9" w:rsidR="00A721E1" w:rsidRDefault="00A721E1" w:rsidP="00A721E1">
      <w:pPr>
        <w:spacing w:line="360" w:lineRule="auto"/>
        <w:jc w:val="center"/>
        <w:rPr>
          <w:b/>
        </w:rPr>
      </w:pPr>
    </w:p>
    <w:p w14:paraId="57CC36B4" w14:textId="505B86F5" w:rsidR="00177103" w:rsidRDefault="00177103" w:rsidP="00A721E1">
      <w:pPr>
        <w:spacing w:line="360" w:lineRule="auto"/>
        <w:jc w:val="center"/>
        <w:rPr>
          <w:b/>
        </w:rPr>
      </w:pPr>
    </w:p>
    <w:p w14:paraId="492D5556" w14:textId="77777777" w:rsidR="00A721E1" w:rsidRPr="00177103" w:rsidRDefault="00A721E1" w:rsidP="00A721E1">
      <w:pPr>
        <w:spacing w:line="360" w:lineRule="auto"/>
        <w:jc w:val="center"/>
      </w:pPr>
      <w:r w:rsidRPr="00177103">
        <w:rPr>
          <w:b/>
        </w:rPr>
        <w:lastRenderedPageBreak/>
        <w:t>Tabla 1.</w:t>
      </w:r>
      <w:r w:rsidRPr="00177103">
        <w:t xml:space="preserve"> Cifras de educación media superior en el estado de Campeche (inicio del ciclo escolar 2017-2018)</w:t>
      </w:r>
    </w:p>
    <w:tbl>
      <w:tblPr>
        <w:tblStyle w:val="Tablaconcuadrcula"/>
        <w:tblW w:w="0" w:type="auto"/>
        <w:tblLook w:val="04A0" w:firstRow="1" w:lastRow="0" w:firstColumn="1" w:lastColumn="0" w:noHBand="0" w:noVBand="1"/>
      </w:tblPr>
      <w:tblGrid>
        <w:gridCol w:w="1210"/>
        <w:gridCol w:w="1335"/>
        <w:gridCol w:w="1364"/>
        <w:gridCol w:w="1345"/>
        <w:gridCol w:w="650"/>
        <w:gridCol w:w="607"/>
        <w:gridCol w:w="563"/>
        <w:gridCol w:w="607"/>
        <w:gridCol w:w="540"/>
        <w:gridCol w:w="607"/>
      </w:tblGrid>
      <w:tr w:rsidR="00B70892" w:rsidRPr="00177103" w14:paraId="6064F72A" w14:textId="77777777" w:rsidTr="00A721E1">
        <w:tc>
          <w:tcPr>
            <w:tcW w:w="1265" w:type="dxa"/>
            <w:vMerge w:val="restart"/>
            <w:vAlign w:val="center"/>
          </w:tcPr>
          <w:p w14:paraId="6B2F9131" w14:textId="77777777" w:rsidR="00B70892" w:rsidRPr="00177103" w:rsidRDefault="00B70892" w:rsidP="00B70892">
            <w:r w:rsidRPr="00177103">
              <w:t>Sostenimiento</w:t>
            </w:r>
          </w:p>
        </w:tc>
        <w:tc>
          <w:tcPr>
            <w:tcW w:w="1376" w:type="dxa"/>
            <w:vMerge w:val="restart"/>
            <w:vAlign w:val="center"/>
          </w:tcPr>
          <w:p w14:paraId="1AE1F38C" w14:textId="77777777" w:rsidR="00B70892" w:rsidRPr="00177103" w:rsidRDefault="00B70892" w:rsidP="00B70892">
            <w:r w:rsidRPr="00177103">
              <w:t>Control administrativo</w:t>
            </w:r>
          </w:p>
        </w:tc>
        <w:tc>
          <w:tcPr>
            <w:tcW w:w="1396" w:type="dxa"/>
            <w:vMerge w:val="restart"/>
            <w:vAlign w:val="center"/>
          </w:tcPr>
          <w:p w14:paraId="69490751" w14:textId="77777777" w:rsidR="00B70892" w:rsidRPr="00177103" w:rsidRDefault="00B70892" w:rsidP="00B70892">
            <w:r w:rsidRPr="00177103">
              <w:t>Institución</w:t>
            </w:r>
          </w:p>
        </w:tc>
        <w:tc>
          <w:tcPr>
            <w:tcW w:w="1770" w:type="dxa"/>
            <w:vMerge w:val="restart"/>
            <w:vAlign w:val="center"/>
          </w:tcPr>
          <w:p w14:paraId="31AA96E1" w14:textId="77777777" w:rsidR="00B70892" w:rsidRPr="00177103" w:rsidRDefault="00B70892" w:rsidP="00B70892">
            <w:r w:rsidRPr="00177103">
              <w:t>Tipo de plantel</w:t>
            </w:r>
          </w:p>
        </w:tc>
        <w:tc>
          <w:tcPr>
            <w:tcW w:w="1228" w:type="dxa"/>
            <w:gridSpan w:val="2"/>
            <w:vAlign w:val="center"/>
          </w:tcPr>
          <w:p w14:paraId="786AF127" w14:textId="77777777" w:rsidR="00B70892" w:rsidRPr="00177103" w:rsidRDefault="00B70892" w:rsidP="00B70892">
            <w:r w:rsidRPr="00177103">
              <w:t>Alumnos</w:t>
            </w:r>
          </w:p>
        </w:tc>
        <w:tc>
          <w:tcPr>
            <w:tcW w:w="1205" w:type="dxa"/>
            <w:gridSpan w:val="2"/>
            <w:vAlign w:val="center"/>
          </w:tcPr>
          <w:p w14:paraId="39B266F2" w14:textId="77777777" w:rsidR="00B70892" w:rsidRPr="00177103" w:rsidRDefault="00B70892" w:rsidP="00B70892">
            <w:r w:rsidRPr="00177103">
              <w:t>Docentes</w:t>
            </w:r>
          </w:p>
        </w:tc>
        <w:tc>
          <w:tcPr>
            <w:tcW w:w="1173" w:type="dxa"/>
            <w:gridSpan w:val="2"/>
            <w:vAlign w:val="center"/>
          </w:tcPr>
          <w:p w14:paraId="0C241C79" w14:textId="77777777" w:rsidR="00B70892" w:rsidRPr="00177103" w:rsidRDefault="00B70892" w:rsidP="00B70892">
            <w:r w:rsidRPr="00177103">
              <w:t>Planteles</w:t>
            </w:r>
          </w:p>
        </w:tc>
      </w:tr>
      <w:tr w:rsidR="00B70892" w:rsidRPr="00177103" w14:paraId="26FFE122" w14:textId="77777777" w:rsidTr="00A721E1">
        <w:tc>
          <w:tcPr>
            <w:tcW w:w="1265" w:type="dxa"/>
            <w:vMerge/>
          </w:tcPr>
          <w:p w14:paraId="1C6B02B7" w14:textId="77777777" w:rsidR="00B70892" w:rsidRPr="00177103" w:rsidRDefault="00B70892" w:rsidP="00B70892"/>
        </w:tc>
        <w:tc>
          <w:tcPr>
            <w:tcW w:w="1376" w:type="dxa"/>
            <w:vMerge/>
          </w:tcPr>
          <w:p w14:paraId="5053F501" w14:textId="77777777" w:rsidR="00B70892" w:rsidRPr="00177103" w:rsidRDefault="00B70892" w:rsidP="00B70892"/>
        </w:tc>
        <w:tc>
          <w:tcPr>
            <w:tcW w:w="1396" w:type="dxa"/>
            <w:vMerge/>
          </w:tcPr>
          <w:p w14:paraId="3FEB0EFD" w14:textId="77777777" w:rsidR="00B70892" w:rsidRPr="00177103" w:rsidRDefault="00B70892" w:rsidP="00B70892"/>
        </w:tc>
        <w:tc>
          <w:tcPr>
            <w:tcW w:w="1770" w:type="dxa"/>
            <w:vMerge/>
          </w:tcPr>
          <w:p w14:paraId="37AAE1C4" w14:textId="77777777" w:rsidR="00B70892" w:rsidRPr="00177103" w:rsidRDefault="00B70892" w:rsidP="00B70892"/>
        </w:tc>
        <w:tc>
          <w:tcPr>
            <w:tcW w:w="642" w:type="dxa"/>
          </w:tcPr>
          <w:p w14:paraId="31A3FE96" w14:textId="77777777" w:rsidR="00B70892" w:rsidRPr="00177103" w:rsidRDefault="00B70892" w:rsidP="00B70892">
            <w:r w:rsidRPr="00177103">
              <w:t>Abs.</w:t>
            </w:r>
          </w:p>
        </w:tc>
        <w:tc>
          <w:tcPr>
            <w:tcW w:w="586" w:type="dxa"/>
          </w:tcPr>
          <w:p w14:paraId="7B6A86EC" w14:textId="77777777" w:rsidR="00B70892" w:rsidRPr="00177103" w:rsidRDefault="00B70892" w:rsidP="00B70892">
            <w:r w:rsidRPr="00177103">
              <w:t>%</w:t>
            </w:r>
          </w:p>
        </w:tc>
        <w:tc>
          <w:tcPr>
            <w:tcW w:w="619" w:type="dxa"/>
          </w:tcPr>
          <w:p w14:paraId="40C7020C" w14:textId="77777777" w:rsidR="00B70892" w:rsidRPr="00177103" w:rsidRDefault="00B70892" w:rsidP="00B70892">
            <w:r w:rsidRPr="00177103">
              <w:t>Abs.</w:t>
            </w:r>
          </w:p>
        </w:tc>
        <w:tc>
          <w:tcPr>
            <w:tcW w:w="586" w:type="dxa"/>
          </w:tcPr>
          <w:p w14:paraId="2DA65902" w14:textId="77777777" w:rsidR="00B70892" w:rsidRPr="00177103" w:rsidRDefault="00B70892" w:rsidP="00B70892">
            <w:r w:rsidRPr="00177103">
              <w:t>%</w:t>
            </w:r>
          </w:p>
        </w:tc>
        <w:tc>
          <w:tcPr>
            <w:tcW w:w="619" w:type="dxa"/>
          </w:tcPr>
          <w:p w14:paraId="61B1629D" w14:textId="77777777" w:rsidR="00B70892" w:rsidRPr="00177103" w:rsidRDefault="00B70892" w:rsidP="00B70892">
            <w:r w:rsidRPr="00177103">
              <w:t>Abs.</w:t>
            </w:r>
          </w:p>
        </w:tc>
        <w:tc>
          <w:tcPr>
            <w:tcW w:w="554" w:type="dxa"/>
          </w:tcPr>
          <w:p w14:paraId="6D210669" w14:textId="77777777" w:rsidR="00B70892" w:rsidRPr="00177103" w:rsidRDefault="00B70892" w:rsidP="00B70892">
            <w:r w:rsidRPr="00177103">
              <w:t>%</w:t>
            </w:r>
          </w:p>
        </w:tc>
      </w:tr>
      <w:tr w:rsidR="00B70892" w:rsidRPr="00177103" w14:paraId="2F526702" w14:textId="77777777" w:rsidTr="00A721E1">
        <w:tc>
          <w:tcPr>
            <w:tcW w:w="1265" w:type="dxa"/>
            <w:vMerge w:val="restart"/>
          </w:tcPr>
          <w:p w14:paraId="416C99E9" w14:textId="77777777" w:rsidR="00B70892" w:rsidRPr="00177103" w:rsidRDefault="00B70892" w:rsidP="00B70892">
            <w:r w:rsidRPr="00177103">
              <w:t>Federal</w:t>
            </w:r>
          </w:p>
        </w:tc>
        <w:tc>
          <w:tcPr>
            <w:tcW w:w="1376" w:type="dxa"/>
            <w:vMerge w:val="restart"/>
          </w:tcPr>
          <w:p w14:paraId="7E596133" w14:textId="77777777" w:rsidR="00B70892" w:rsidRPr="00177103" w:rsidRDefault="00B70892" w:rsidP="00B70892">
            <w:r w:rsidRPr="00177103">
              <w:t>Centralizado</w:t>
            </w:r>
          </w:p>
        </w:tc>
        <w:tc>
          <w:tcPr>
            <w:tcW w:w="1396" w:type="dxa"/>
            <w:vMerge w:val="restart"/>
          </w:tcPr>
          <w:p w14:paraId="45F2CE66" w14:textId="77777777" w:rsidR="00B70892" w:rsidRPr="00177103" w:rsidRDefault="00B70892" w:rsidP="00B70892">
            <w:r w:rsidRPr="00177103">
              <w:t>Coordinadas por SEMS</w:t>
            </w:r>
          </w:p>
        </w:tc>
        <w:tc>
          <w:tcPr>
            <w:tcW w:w="1770" w:type="dxa"/>
          </w:tcPr>
          <w:p w14:paraId="0EE4F60D" w14:textId="77777777" w:rsidR="00B70892" w:rsidRPr="00177103" w:rsidRDefault="00B70892" w:rsidP="00B70892">
            <w:r w:rsidRPr="00177103">
              <w:t>DGB</w:t>
            </w:r>
          </w:p>
        </w:tc>
        <w:tc>
          <w:tcPr>
            <w:tcW w:w="642" w:type="dxa"/>
          </w:tcPr>
          <w:p w14:paraId="00BFFFC8" w14:textId="77777777" w:rsidR="00B70892" w:rsidRPr="00177103" w:rsidRDefault="00B70892" w:rsidP="00B70892">
            <w:r w:rsidRPr="00177103">
              <w:t>360</w:t>
            </w:r>
          </w:p>
        </w:tc>
        <w:tc>
          <w:tcPr>
            <w:tcW w:w="586" w:type="dxa"/>
          </w:tcPr>
          <w:p w14:paraId="60C451D4" w14:textId="77777777" w:rsidR="00B70892" w:rsidRPr="00177103" w:rsidRDefault="00B70892" w:rsidP="00B70892">
            <w:r w:rsidRPr="00177103">
              <w:t>1.0</w:t>
            </w:r>
          </w:p>
        </w:tc>
        <w:tc>
          <w:tcPr>
            <w:tcW w:w="619" w:type="dxa"/>
          </w:tcPr>
          <w:p w14:paraId="6684185E" w14:textId="77777777" w:rsidR="00B70892" w:rsidRPr="00177103" w:rsidRDefault="00B70892" w:rsidP="00B70892">
            <w:r w:rsidRPr="00177103">
              <w:t>16</w:t>
            </w:r>
          </w:p>
        </w:tc>
        <w:tc>
          <w:tcPr>
            <w:tcW w:w="586" w:type="dxa"/>
          </w:tcPr>
          <w:p w14:paraId="74A7B818" w14:textId="77777777" w:rsidR="00B70892" w:rsidRPr="00177103" w:rsidRDefault="00B70892" w:rsidP="00B70892">
            <w:r w:rsidRPr="00177103">
              <w:t>0.8</w:t>
            </w:r>
          </w:p>
        </w:tc>
        <w:tc>
          <w:tcPr>
            <w:tcW w:w="619" w:type="dxa"/>
          </w:tcPr>
          <w:p w14:paraId="614E6AC6" w14:textId="77777777" w:rsidR="00B70892" w:rsidRPr="00177103" w:rsidRDefault="00B70892" w:rsidP="00B70892">
            <w:r w:rsidRPr="00177103">
              <w:t>1</w:t>
            </w:r>
          </w:p>
        </w:tc>
        <w:tc>
          <w:tcPr>
            <w:tcW w:w="554" w:type="dxa"/>
          </w:tcPr>
          <w:p w14:paraId="18632A17" w14:textId="77777777" w:rsidR="00B70892" w:rsidRPr="00177103" w:rsidRDefault="00B70892" w:rsidP="00B70892">
            <w:r w:rsidRPr="00177103">
              <w:t>0.8</w:t>
            </w:r>
          </w:p>
        </w:tc>
      </w:tr>
      <w:tr w:rsidR="00B70892" w:rsidRPr="00177103" w14:paraId="16DFA264" w14:textId="77777777" w:rsidTr="00A721E1">
        <w:tc>
          <w:tcPr>
            <w:tcW w:w="1265" w:type="dxa"/>
            <w:vMerge/>
          </w:tcPr>
          <w:p w14:paraId="0746897A" w14:textId="77777777" w:rsidR="00B70892" w:rsidRPr="00177103" w:rsidRDefault="00B70892" w:rsidP="00B70892"/>
        </w:tc>
        <w:tc>
          <w:tcPr>
            <w:tcW w:w="1376" w:type="dxa"/>
            <w:vMerge/>
          </w:tcPr>
          <w:p w14:paraId="3814C751" w14:textId="77777777" w:rsidR="00B70892" w:rsidRPr="00177103" w:rsidRDefault="00B70892" w:rsidP="00B70892"/>
        </w:tc>
        <w:tc>
          <w:tcPr>
            <w:tcW w:w="1396" w:type="dxa"/>
            <w:vMerge/>
          </w:tcPr>
          <w:p w14:paraId="102F3888" w14:textId="77777777" w:rsidR="00B70892" w:rsidRPr="00177103" w:rsidRDefault="00B70892" w:rsidP="00B70892"/>
        </w:tc>
        <w:tc>
          <w:tcPr>
            <w:tcW w:w="1770" w:type="dxa"/>
          </w:tcPr>
          <w:p w14:paraId="7E988588" w14:textId="77777777" w:rsidR="00B70892" w:rsidRPr="00177103" w:rsidRDefault="00B70892" w:rsidP="00B70892">
            <w:r w:rsidRPr="00177103">
              <w:t>UEMSTAyCM</w:t>
            </w:r>
          </w:p>
        </w:tc>
        <w:tc>
          <w:tcPr>
            <w:tcW w:w="642" w:type="dxa"/>
          </w:tcPr>
          <w:p w14:paraId="3C47A13A" w14:textId="77777777" w:rsidR="00B70892" w:rsidRPr="00177103" w:rsidRDefault="00B70892" w:rsidP="00B70892">
            <w:r w:rsidRPr="00177103">
              <w:t>4356</w:t>
            </w:r>
          </w:p>
        </w:tc>
        <w:tc>
          <w:tcPr>
            <w:tcW w:w="586" w:type="dxa"/>
          </w:tcPr>
          <w:p w14:paraId="2300FA6D" w14:textId="77777777" w:rsidR="00B70892" w:rsidRPr="00177103" w:rsidRDefault="00B70892" w:rsidP="00B70892">
            <w:r w:rsidRPr="00177103">
              <w:t>11.9</w:t>
            </w:r>
          </w:p>
        </w:tc>
        <w:tc>
          <w:tcPr>
            <w:tcW w:w="619" w:type="dxa"/>
          </w:tcPr>
          <w:p w14:paraId="7793DE98" w14:textId="77777777" w:rsidR="00B70892" w:rsidRPr="00177103" w:rsidRDefault="00B70892" w:rsidP="00B70892">
            <w:r w:rsidRPr="00177103">
              <w:t>236</w:t>
            </w:r>
          </w:p>
        </w:tc>
        <w:tc>
          <w:tcPr>
            <w:tcW w:w="586" w:type="dxa"/>
          </w:tcPr>
          <w:p w14:paraId="7ECF537E" w14:textId="77777777" w:rsidR="00B70892" w:rsidRPr="00177103" w:rsidRDefault="00B70892" w:rsidP="00B70892">
            <w:r w:rsidRPr="00177103">
              <w:t>11.3</w:t>
            </w:r>
          </w:p>
        </w:tc>
        <w:tc>
          <w:tcPr>
            <w:tcW w:w="619" w:type="dxa"/>
          </w:tcPr>
          <w:p w14:paraId="72C306BA" w14:textId="77777777" w:rsidR="00B70892" w:rsidRPr="00177103" w:rsidRDefault="00B70892" w:rsidP="00B70892">
            <w:r w:rsidRPr="00177103">
              <w:t>6</w:t>
            </w:r>
          </w:p>
        </w:tc>
        <w:tc>
          <w:tcPr>
            <w:tcW w:w="554" w:type="dxa"/>
          </w:tcPr>
          <w:p w14:paraId="3EE5F472" w14:textId="77777777" w:rsidR="00B70892" w:rsidRPr="00177103" w:rsidRDefault="00B70892" w:rsidP="00B70892">
            <w:r w:rsidRPr="00177103">
              <w:t>4.8</w:t>
            </w:r>
          </w:p>
        </w:tc>
      </w:tr>
      <w:tr w:rsidR="00B70892" w:rsidRPr="00177103" w14:paraId="12A9DFB8" w14:textId="77777777" w:rsidTr="00A721E1">
        <w:tc>
          <w:tcPr>
            <w:tcW w:w="1265" w:type="dxa"/>
            <w:vMerge/>
          </w:tcPr>
          <w:p w14:paraId="1C659C2A" w14:textId="77777777" w:rsidR="00B70892" w:rsidRPr="00177103" w:rsidRDefault="00B70892" w:rsidP="00B70892"/>
        </w:tc>
        <w:tc>
          <w:tcPr>
            <w:tcW w:w="1376" w:type="dxa"/>
            <w:vMerge/>
          </w:tcPr>
          <w:p w14:paraId="0124B5D4" w14:textId="77777777" w:rsidR="00B70892" w:rsidRPr="00177103" w:rsidRDefault="00B70892" w:rsidP="00B70892"/>
        </w:tc>
        <w:tc>
          <w:tcPr>
            <w:tcW w:w="1396" w:type="dxa"/>
            <w:vMerge/>
          </w:tcPr>
          <w:p w14:paraId="78602CD3" w14:textId="77777777" w:rsidR="00B70892" w:rsidRPr="00177103" w:rsidRDefault="00B70892" w:rsidP="00B70892"/>
        </w:tc>
        <w:tc>
          <w:tcPr>
            <w:tcW w:w="1770" w:type="dxa"/>
          </w:tcPr>
          <w:p w14:paraId="1CA49E4E" w14:textId="77777777" w:rsidR="00B70892" w:rsidRPr="00177103" w:rsidRDefault="00B70892" w:rsidP="00B70892">
            <w:r w:rsidRPr="00177103">
              <w:t>UEMSTIS</w:t>
            </w:r>
          </w:p>
        </w:tc>
        <w:tc>
          <w:tcPr>
            <w:tcW w:w="642" w:type="dxa"/>
          </w:tcPr>
          <w:p w14:paraId="7259DAE5" w14:textId="77777777" w:rsidR="00B70892" w:rsidRPr="00177103" w:rsidRDefault="00B70892" w:rsidP="00B70892">
            <w:r w:rsidRPr="00177103">
              <w:t>4361</w:t>
            </w:r>
          </w:p>
        </w:tc>
        <w:tc>
          <w:tcPr>
            <w:tcW w:w="586" w:type="dxa"/>
          </w:tcPr>
          <w:p w14:paraId="7C2F64BF" w14:textId="77777777" w:rsidR="00B70892" w:rsidRPr="00177103" w:rsidRDefault="00B70892" w:rsidP="00B70892">
            <w:r w:rsidRPr="00177103">
              <w:t>11.9</w:t>
            </w:r>
          </w:p>
        </w:tc>
        <w:tc>
          <w:tcPr>
            <w:tcW w:w="619" w:type="dxa"/>
          </w:tcPr>
          <w:p w14:paraId="4138E068" w14:textId="77777777" w:rsidR="00B70892" w:rsidRPr="00177103" w:rsidRDefault="00B70892" w:rsidP="00B70892">
            <w:r w:rsidRPr="00177103">
              <w:t>184</w:t>
            </w:r>
          </w:p>
        </w:tc>
        <w:tc>
          <w:tcPr>
            <w:tcW w:w="586" w:type="dxa"/>
          </w:tcPr>
          <w:p w14:paraId="3E05DAB6" w14:textId="77777777" w:rsidR="00B70892" w:rsidRPr="00177103" w:rsidRDefault="00B70892" w:rsidP="00B70892">
            <w:r w:rsidRPr="00177103">
              <w:t>8.8</w:t>
            </w:r>
          </w:p>
        </w:tc>
        <w:tc>
          <w:tcPr>
            <w:tcW w:w="619" w:type="dxa"/>
          </w:tcPr>
          <w:p w14:paraId="01A4454C" w14:textId="77777777" w:rsidR="00B70892" w:rsidRPr="00177103" w:rsidRDefault="00B70892" w:rsidP="00B70892">
            <w:r w:rsidRPr="00177103">
              <w:t>4</w:t>
            </w:r>
          </w:p>
        </w:tc>
        <w:tc>
          <w:tcPr>
            <w:tcW w:w="554" w:type="dxa"/>
          </w:tcPr>
          <w:p w14:paraId="16032B89" w14:textId="77777777" w:rsidR="00B70892" w:rsidRPr="00177103" w:rsidRDefault="00B70892" w:rsidP="00B70892">
            <w:r w:rsidRPr="00177103">
              <w:t>3.2</w:t>
            </w:r>
          </w:p>
        </w:tc>
      </w:tr>
      <w:tr w:rsidR="00B70892" w:rsidRPr="00177103" w14:paraId="352C8790" w14:textId="77777777" w:rsidTr="00A721E1">
        <w:tc>
          <w:tcPr>
            <w:tcW w:w="1265" w:type="dxa"/>
            <w:vMerge/>
          </w:tcPr>
          <w:p w14:paraId="19F8569F" w14:textId="77777777" w:rsidR="00B70892" w:rsidRPr="00177103" w:rsidRDefault="00B70892" w:rsidP="00B70892"/>
        </w:tc>
        <w:tc>
          <w:tcPr>
            <w:tcW w:w="4542" w:type="dxa"/>
            <w:gridSpan w:val="3"/>
          </w:tcPr>
          <w:p w14:paraId="671FD981" w14:textId="77777777" w:rsidR="00B70892" w:rsidRPr="00177103" w:rsidRDefault="00B70892" w:rsidP="00B70892">
            <w:pPr>
              <w:rPr>
                <w:b/>
                <w:bCs/>
              </w:rPr>
            </w:pPr>
            <w:r w:rsidRPr="00177103">
              <w:rPr>
                <w:b/>
                <w:bCs/>
              </w:rPr>
              <w:t>Total</w:t>
            </w:r>
          </w:p>
        </w:tc>
        <w:tc>
          <w:tcPr>
            <w:tcW w:w="642" w:type="dxa"/>
          </w:tcPr>
          <w:p w14:paraId="4BE813D9" w14:textId="77777777" w:rsidR="00B70892" w:rsidRPr="00177103" w:rsidRDefault="00B70892" w:rsidP="00B70892">
            <w:pPr>
              <w:rPr>
                <w:b/>
                <w:bCs/>
              </w:rPr>
            </w:pPr>
            <w:r w:rsidRPr="00177103">
              <w:rPr>
                <w:b/>
                <w:bCs/>
              </w:rPr>
              <w:t>9077</w:t>
            </w:r>
          </w:p>
        </w:tc>
        <w:tc>
          <w:tcPr>
            <w:tcW w:w="586" w:type="dxa"/>
          </w:tcPr>
          <w:p w14:paraId="214E563B" w14:textId="77777777" w:rsidR="00B70892" w:rsidRPr="00177103" w:rsidRDefault="00B70892" w:rsidP="00B70892">
            <w:pPr>
              <w:rPr>
                <w:b/>
                <w:bCs/>
              </w:rPr>
            </w:pPr>
            <w:r w:rsidRPr="00177103">
              <w:rPr>
                <w:b/>
                <w:bCs/>
              </w:rPr>
              <w:t>24.8</w:t>
            </w:r>
          </w:p>
        </w:tc>
        <w:tc>
          <w:tcPr>
            <w:tcW w:w="619" w:type="dxa"/>
          </w:tcPr>
          <w:p w14:paraId="554EEC93" w14:textId="77777777" w:rsidR="00B70892" w:rsidRPr="00177103" w:rsidRDefault="00B70892" w:rsidP="00B70892">
            <w:pPr>
              <w:rPr>
                <w:b/>
                <w:bCs/>
              </w:rPr>
            </w:pPr>
            <w:r w:rsidRPr="00177103">
              <w:rPr>
                <w:b/>
                <w:bCs/>
              </w:rPr>
              <w:t>436</w:t>
            </w:r>
          </w:p>
        </w:tc>
        <w:tc>
          <w:tcPr>
            <w:tcW w:w="586" w:type="dxa"/>
          </w:tcPr>
          <w:p w14:paraId="4FD6A6C2" w14:textId="77777777" w:rsidR="00B70892" w:rsidRPr="00177103" w:rsidRDefault="00B70892" w:rsidP="00B70892">
            <w:pPr>
              <w:rPr>
                <w:b/>
                <w:bCs/>
              </w:rPr>
            </w:pPr>
            <w:r w:rsidRPr="00177103">
              <w:rPr>
                <w:b/>
                <w:bCs/>
              </w:rPr>
              <w:t>20.9</w:t>
            </w:r>
          </w:p>
        </w:tc>
        <w:tc>
          <w:tcPr>
            <w:tcW w:w="619" w:type="dxa"/>
          </w:tcPr>
          <w:p w14:paraId="78C834C5" w14:textId="77777777" w:rsidR="00B70892" w:rsidRPr="00177103" w:rsidRDefault="00B70892" w:rsidP="00B70892">
            <w:pPr>
              <w:rPr>
                <w:b/>
                <w:bCs/>
              </w:rPr>
            </w:pPr>
            <w:r w:rsidRPr="00177103">
              <w:rPr>
                <w:b/>
                <w:bCs/>
              </w:rPr>
              <w:t>11</w:t>
            </w:r>
          </w:p>
        </w:tc>
        <w:tc>
          <w:tcPr>
            <w:tcW w:w="554" w:type="dxa"/>
          </w:tcPr>
          <w:p w14:paraId="339D50AB" w14:textId="77777777" w:rsidR="00B70892" w:rsidRPr="00177103" w:rsidRDefault="00B70892" w:rsidP="00B70892">
            <w:pPr>
              <w:rPr>
                <w:b/>
                <w:bCs/>
              </w:rPr>
            </w:pPr>
            <w:r w:rsidRPr="00177103">
              <w:rPr>
                <w:b/>
                <w:bCs/>
              </w:rPr>
              <w:t>8.8</w:t>
            </w:r>
          </w:p>
        </w:tc>
      </w:tr>
      <w:tr w:rsidR="00B70892" w:rsidRPr="00177103" w14:paraId="1A0649C8" w14:textId="77777777" w:rsidTr="00A721E1">
        <w:tc>
          <w:tcPr>
            <w:tcW w:w="1265" w:type="dxa"/>
            <w:vMerge w:val="restart"/>
          </w:tcPr>
          <w:p w14:paraId="0859782E" w14:textId="77777777" w:rsidR="00B70892" w:rsidRPr="00177103" w:rsidRDefault="00B70892" w:rsidP="00B70892">
            <w:r w:rsidRPr="00177103">
              <w:t>Estatal</w:t>
            </w:r>
          </w:p>
        </w:tc>
        <w:tc>
          <w:tcPr>
            <w:tcW w:w="1376" w:type="dxa"/>
          </w:tcPr>
          <w:p w14:paraId="6B644085" w14:textId="77777777" w:rsidR="00B70892" w:rsidRPr="00177103" w:rsidRDefault="00B70892" w:rsidP="00B70892">
            <w:r w:rsidRPr="00177103">
              <w:t>Centralizado</w:t>
            </w:r>
          </w:p>
        </w:tc>
        <w:tc>
          <w:tcPr>
            <w:tcW w:w="1396" w:type="dxa"/>
          </w:tcPr>
          <w:p w14:paraId="000C16EC" w14:textId="77777777" w:rsidR="00B70892" w:rsidRPr="00177103" w:rsidRDefault="00B70892" w:rsidP="00B70892">
            <w:r w:rsidRPr="00177103">
              <w:t>Organismo centralizados de los estados</w:t>
            </w:r>
          </w:p>
        </w:tc>
        <w:tc>
          <w:tcPr>
            <w:tcW w:w="1770" w:type="dxa"/>
          </w:tcPr>
          <w:p w14:paraId="6AD7FEB9" w14:textId="77777777" w:rsidR="00B70892" w:rsidRPr="00177103" w:rsidRDefault="00B70892" w:rsidP="00B70892">
            <w:r w:rsidRPr="00177103">
              <w:t>Bachilleratos estatales</w:t>
            </w:r>
          </w:p>
        </w:tc>
        <w:tc>
          <w:tcPr>
            <w:tcW w:w="642" w:type="dxa"/>
          </w:tcPr>
          <w:p w14:paraId="7B53F8BD" w14:textId="77777777" w:rsidR="00B70892" w:rsidRPr="00177103" w:rsidRDefault="00B70892" w:rsidP="00B70892">
            <w:r w:rsidRPr="00177103">
              <w:t>1704</w:t>
            </w:r>
          </w:p>
        </w:tc>
        <w:tc>
          <w:tcPr>
            <w:tcW w:w="586" w:type="dxa"/>
          </w:tcPr>
          <w:p w14:paraId="5F7A6A1D" w14:textId="77777777" w:rsidR="00B70892" w:rsidRPr="00177103" w:rsidRDefault="00B70892" w:rsidP="00B70892">
            <w:r w:rsidRPr="00177103">
              <w:t>4.7</w:t>
            </w:r>
          </w:p>
        </w:tc>
        <w:tc>
          <w:tcPr>
            <w:tcW w:w="619" w:type="dxa"/>
          </w:tcPr>
          <w:p w14:paraId="7645B352" w14:textId="77777777" w:rsidR="00B70892" w:rsidRPr="00177103" w:rsidRDefault="00B70892" w:rsidP="00B70892">
            <w:r w:rsidRPr="00177103">
              <w:t>115</w:t>
            </w:r>
          </w:p>
        </w:tc>
        <w:tc>
          <w:tcPr>
            <w:tcW w:w="586" w:type="dxa"/>
          </w:tcPr>
          <w:p w14:paraId="6AFD5A5B" w14:textId="77777777" w:rsidR="00B70892" w:rsidRPr="00177103" w:rsidRDefault="00B70892" w:rsidP="00B70892">
            <w:r w:rsidRPr="00177103">
              <w:t>5.5</w:t>
            </w:r>
          </w:p>
        </w:tc>
        <w:tc>
          <w:tcPr>
            <w:tcW w:w="619" w:type="dxa"/>
          </w:tcPr>
          <w:p w14:paraId="148041C8" w14:textId="77777777" w:rsidR="00B70892" w:rsidRPr="00177103" w:rsidRDefault="00B70892" w:rsidP="00B70892">
            <w:r w:rsidRPr="00177103">
              <w:t>3</w:t>
            </w:r>
          </w:p>
        </w:tc>
        <w:tc>
          <w:tcPr>
            <w:tcW w:w="554" w:type="dxa"/>
          </w:tcPr>
          <w:p w14:paraId="17685EB7" w14:textId="77777777" w:rsidR="00B70892" w:rsidRPr="00177103" w:rsidRDefault="00B70892" w:rsidP="00B70892">
            <w:r w:rsidRPr="00177103">
              <w:t>2.4</w:t>
            </w:r>
          </w:p>
        </w:tc>
      </w:tr>
      <w:tr w:rsidR="00B70892" w:rsidRPr="00177103" w14:paraId="17B5A1D1" w14:textId="77777777" w:rsidTr="00A721E1">
        <w:tc>
          <w:tcPr>
            <w:tcW w:w="1265" w:type="dxa"/>
            <w:vMerge/>
          </w:tcPr>
          <w:p w14:paraId="7E493314" w14:textId="77777777" w:rsidR="00B70892" w:rsidRPr="00177103" w:rsidRDefault="00B70892" w:rsidP="00B70892"/>
        </w:tc>
        <w:tc>
          <w:tcPr>
            <w:tcW w:w="1376" w:type="dxa"/>
            <w:vMerge w:val="restart"/>
          </w:tcPr>
          <w:p w14:paraId="593973A9" w14:textId="77777777" w:rsidR="00B70892" w:rsidRPr="00177103" w:rsidRDefault="00B70892" w:rsidP="00B70892">
            <w:r w:rsidRPr="00177103">
              <w:t>Descentralizado</w:t>
            </w:r>
          </w:p>
        </w:tc>
        <w:tc>
          <w:tcPr>
            <w:tcW w:w="1396" w:type="dxa"/>
            <w:vMerge w:val="restart"/>
          </w:tcPr>
          <w:p w14:paraId="0C16FBBB" w14:textId="77777777" w:rsidR="00B70892" w:rsidRPr="00177103" w:rsidRDefault="00B70892" w:rsidP="00B70892">
            <w:r w:rsidRPr="00177103">
              <w:t>Organismos descentralizados de los estados</w:t>
            </w:r>
          </w:p>
        </w:tc>
        <w:tc>
          <w:tcPr>
            <w:tcW w:w="1770" w:type="dxa"/>
          </w:tcPr>
          <w:p w14:paraId="68C3E689" w14:textId="77777777" w:rsidR="00B70892" w:rsidRPr="00177103" w:rsidRDefault="00B70892" w:rsidP="00B70892">
            <w:r w:rsidRPr="00177103">
              <w:t>CECyTE</w:t>
            </w:r>
          </w:p>
        </w:tc>
        <w:tc>
          <w:tcPr>
            <w:tcW w:w="642" w:type="dxa"/>
          </w:tcPr>
          <w:p w14:paraId="3E6FF90D" w14:textId="77777777" w:rsidR="00B70892" w:rsidRPr="00177103" w:rsidRDefault="00B70892" w:rsidP="00B70892">
            <w:r w:rsidRPr="00177103">
              <w:t>5023</w:t>
            </w:r>
          </w:p>
        </w:tc>
        <w:tc>
          <w:tcPr>
            <w:tcW w:w="586" w:type="dxa"/>
          </w:tcPr>
          <w:p w14:paraId="68B2350C" w14:textId="77777777" w:rsidR="00B70892" w:rsidRPr="00177103" w:rsidRDefault="00B70892" w:rsidP="00B70892">
            <w:r w:rsidRPr="00177103">
              <w:t>13.7</w:t>
            </w:r>
          </w:p>
        </w:tc>
        <w:tc>
          <w:tcPr>
            <w:tcW w:w="619" w:type="dxa"/>
          </w:tcPr>
          <w:p w14:paraId="17A9F896" w14:textId="77777777" w:rsidR="00B70892" w:rsidRPr="00177103" w:rsidRDefault="00B70892" w:rsidP="00B70892">
            <w:r w:rsidRPr="00177103">
              <w:t>181</w:t>
            </w:r>
          </w:p>
        </w:tc>
        <w:tc>
          <w:tcPr>
            <w:tcW w:w="586" w:type="dxa"/>
          </w:tcPr>
          <w:p w14:paraId="6EB24331" w14:textId="77777777" w:rsidR="00B70892" w:rsidRPr="00177103" w:rsidRDefault="00B70892" w:rsidP="00B70892">
            <w:r w:rsidRPr="00177103">
              <w:t>8.7</w:t>
            </w:r>
          </w:p>
        </w:tc>
        <w:tc>
          <w:tcPr>
            <w:tcW w:w="619" w:type="dxa"/>
          </w:tcPr>
          <w:p w14:paraId="47C8B18D" w14:textId="77777777" w:rsidR="00B70892" w:rsidRPr="00177103" w:rsidRDefault="00B70892" w:rsidP="00B70892">
            <w:r w:rsidRPr="00177103">
              <w:t>7</w:t>
            </w:r>
          </w:p>
        </w:tc>
        <w:tc>
          <w:tcPr>
            <w:tcW w:w="554" w:type="dxa"/>
          </w:tcPr>
          <w:p w14:paraId="795046B6" w14:textId="77777777" w:rsidR="00B70892" w:rsidRPr="00177103" w:rsidRDefault="00B70892" w:rsidP="00B70892">
            <w:r w:rsidRPr="00177103">
              <w:t>5.6</w:t>
            </w:r>
          </w:p>
        </w:tc>
      </w:tr>
      <w:tr w:rsidR="00B70892" w:rsidRPr="00177103" w14:paraId="0117A3D7" w14:textId="77777777" w:rsidTr="00A721E1">
        <w:tc>
          <w:tcPr>
            <w:tcW w:w="1265" w:type="dxa"/>
            <w:vMerge/>
          </w:tcPr>
          <w:p w14:paraId="2E0D7F68" w14:textId="77777777" w:rsidR="00B70892" w:rsidRPr="00177103" w:rsidRDefault="00B70892" w:rsidP="00B70892"/>
        </w:tc>
        <w:tc>
          <w:tcPr>
            <w:tcW w:w="1376" w:type="dxa"/>
            <w:vMerge/>
          </w:tcPr>
          <w:p w14:paraId="56DD8043" w14:textId="77777777" w:rsidR="00B70892" w:rsidRPr="00177103" w:rsidRDefault="00B70892" w:rsidP="00B70892"/>
        </w:tc>
        <w:tc>
          <w:tcPr>
            <w:tcW w:w="1396" w:type="dxa"/>
            <w:vMerge/>
          </w:tcPr>
          <w:p w14:paraId="0A8E6F1F" w14:textId="77777777" w:rsidR="00B70892" w:rsidRPr="00177103" w:rsidRDefault="00B70892" w:rsidP="00B70892"/>
        </w:tc>
        <w:tc>
          <w:tcPr>
            <w:tcW w:w="1770" w:type="dxa"/>
          </w:tcPr>
          <w:p w14:paraId="1549B781" w14:textId="77777777" w:rsidR="00B70892" w:rsidRPr="00177103" w:rsidRDefault="00B70892" w:rsidP="00B70892">
            <w:r w:rsidRPr="00177103">
              <w:t>CONALEP</w:t>
            </w:r>
          </w:p>
        </w:tc>
        <w:tc>
          <w:tcPr>
            <w:tcW w:w="642" w:type="dxa"/>
          </w:tcPr>
          <w:p w14:paraId="48118F07" w14:textId="77777777" w:rsidR="00B70892" w:rsidRPr="00177103" w:rsidRDefault="00B70892" w:rsidP="00B70892">
            <w:r w:rsidRPr="00177103">
              <w:t>1809</w:t>
            </w:r>
          </w:p>
        </w:tc>
        <w:tc>
          <w:tcPr>
            <w:tcW w:w="586" w:type="dxa"/>
          </w:tcPr>
          <w:p w14:paraId="64A8DE1A" w14:textId="77777777" w:rsidR="00B70892" w:rsidRPr="00177103" w:rsidRDefault="00B70892" w:rsidP="00B70892">
            <w:r w:rsidRPr="00177103">
              <w:t>4.9</w:t>
            </w:r>
          </w:p>
        </w:tc>
        <w:tc>
          <w:tcPr>
            <w:tcW w:w="619" w:type="dxa"/>
          </w:tcPr>
          <w:p w14:paraId="3D5D6E20" w14:textId="77777777" w:rsidR="00B70892" w:rsidRPr="00177103" w:rsidRDefault="00B70892" w:rsidP="00B70892">
            <w:r w:rsidRPr="00177103">
              <w:t>105</w:t>
            </w:r>
          </w:p>
        </w:tc>
        <w:tc>
          <w:tcPr>
            <w:tcW w:w="586" w:type="dxa"/>
          </w:tcPr>
          <w:p w14:paraId="4456A3EE" w14:textId="77777777" w:rsidR="00B70892" w:rsidRPr="00177103" w:rsidRDefault="00B70892" w:rsidP="00B70892">
            <w:r w:rsidRPr="00177103">
              <w:t>5.0</w:t>
            </w:r>
          </w:p>
        </w:tc>
        <w:tc>
          <w:tcPr>
            <w:tcW w:w="619" w:type="dxa"/>
          </w:tcPr>
          <w:p w14:paraId="4ADBC74A" w14:textId="77777777" w:rsidR="00B70892" w:rsidRPr="00177103" w:rsidRDefault="00B70892" w:rsidP="00B70892">
            <w:r w:rsidRPr="00177103">
              <w:t>3</w:t>
            </w:r>
          </w:p>
        </w:tc>
        <w:tc>
          <w:tcPr>
            <w:tcW w:w="554" w:type="dxa"/>
          </w:tcPr>
          <w:p w14:paraId="6C7935F3" w14:textId="77777777" w:rsidR="00B70892" w:rsidRPr="00177103" w:rsidRDefault="00B70892" w:rsidP="00B70892">
            <w:r w:rsidRPr="00177103">
              <w:t>2.4</w:t>
            </w:r>
          </w:p>
        </w:tc>
      </w:tr>
      <w:tr w:rsidR="00B70892" w:rsidRPr="00177103" w14:paraId="6E925607" w14:textId="77777777" w:rsidTr="00A721E1">
        <w:tc>
          <w:tcPr>
            <w:tcW w:w="1265" w:type="dxa"/>
            <w:vMerge/>
          </w:tcPr>
          <w:p w14:paraId="02F52CA0" w14:textId="77777777" w:rsidR="00B70892" w:rsidRPr="00177103" w:rsidRDefault="00B70892" w:rsidP="00B70892"/>
        </w:tc>
        <w:tc>
          <w:tcPr>
            <w:tcW w:w="1376" w:type="dxa"/>
            <w:vMerge/>
          </w:tcPr>
          <w:p w14:paraId="12BDAE7A" w14:textId="77777777" w:rsidR="00B70892" w:rsidRPr="00177103" w:rsidRDefault="00B70892" w:rsidP="00B70892"/>
        </w:tc>
        <w:tc>
          <w:tcPr>
            <w:tcW w:w="1396" w:type="dxa"/>
            <w:vMerge/>
          </w:tcPr>
          <w:p w14:paraId="11DB2DB7" w14:textId="77777777" w:rsidR="00B70892" w:rsidRPr="00177103" w:rsidRDefault="00B70892" w:rsidP="00B70892"/>
        </w:tc>
        <w:tc>
          <w:tcPr>
            <w:tcW w:w="1770" w:type="dxa"/>
          </w:tcPr>
          <w:p w14:paraId="207570D4" w14:textId="77777777" w:rsidR="00B70892" w:rsidRPr="00177103" w:rsidRDefault="00B70892" w:rsidP="00B70892">
            <w:r w:rsidRPr="00177103">
              <w:t>Colegio de Bachilleres</w:t>
            </w:r>
          </w:p>
        </w:tc>
        <w:tc>
          <w:tcPr>
            <w:tcW w:w="642" w:type="dxa"/>
          </w:tcPr>
          <w:p w14:paraId="54763EB5" w14:textId="77777777" w:rsidR="00B70892" w:rsidRPr="00177103" w:rsidRDefault="00B70892" w:rsidP="00B70892">
            <w:r w:rsidRPr="00177103">
              <w:t>7684</w:t>
            </w:r>
          </w:p>
        </w:tc>
        <w:tc>
          <w:tcPr>
            <w:tcW w:w="586" w:type="dxa"/>
          </w:tcPr>
          <w:p w14:paraId="57508519" w14:textId="77777777" w:rsidR="00B70892" w:rsidRPr="00177103" w:rsidRDefault="00B70892" w:rsidP="00B70892">
            <w:r w:rsidRPr="00177103">
              <w:t>21.0</w:t>
            </w:r>
          </w:p>
        </w:tc>
        <w:tc>
          <w:tcPr>
            <w:tcW w:w="619" w:type="dxa"/>
          </w:tcPr>
          <w:p w14:paraId="470F026C" w14:textId="77777777" w:rsidR="00B70892" w:rsidRPr="00177103" w:rsidRDefault="00B70892" w:rsidP="00B70892">
            <w:r w:rsidRPr="00177103">
              <w:t>324</w:t>
            </w:r>
          </w:p>
        </w:tc>
        <w:tc>
          <w:tcPr>
            <w:tcW w:w="586" w:type="dxa"/>
          </w:tcPr>
          <w:p w14:paraId="25DCCA1E" w14:textId="77777777" w:rsidR="00B70892" w:rsidRPr="00177103" w:rsidRDefault="00B70892" w:rsidP="00B70892">
            <w:r w:rsidRPr="00177103">
              <w:t>15.5</w:t>
            </w:r>
          </w:p>
        </w:tc>
        <w:tc>
          <w:tcPr>
            <w:tcW w:w="619" w:type="dxa"/>
          </w:tcPr>
          <w:p w14:paraId="2242B56B" w14:textId="77777777" w:rsidR="00B70892" w:rsidRPr="00177103" w:rsidRDefault="00B70892" w:rsidP="00B70892">
            <w:r w:rsidRPr="00177103">
              <w:t>20</w:t>
            </w:r>
          </w:p>
        </w:tc>
        <w:tc>
          <w:tcPr>
            <w:tcW w:w="554" w:type="dxa"/>
          </w:tcPr>
          <w:p w14:paraId="74369F83" w14:textId="77777777" w:rsidR="00B70892" w:rsidRPr="00177103" w:rsidRDefault="00B70892" w:rsidP="00B70892">
            <w:r w:rsidRPr="00177103">
              <w:t>16.0</w:t>
            </w:r>
          </w:p>
        </w:tc>
      </w:tr>
      <w:tr w:rsidR="00B70892" w:rsidRPr="00177103" w14:paraId="4062A6AD" w14:textId="77777777" w:rsidTr="00A721E1">
        <w:tc>
          <w:tcPr>
            <w:tcW w:w="1265" w:type="dxa"/>
            <w:vMerge/>
          </w:tcPr>
          <w:p w14:paraId="7EFB4B0B" w14:textId="77777777" w:rsidR="00B70892" w:rsidRPr="00177103" w:rsidRDefault="00B70892" w:rsidP="00B70892"/>
        </w:tc>
        <w:tc>
          <w:tcPr>
            <w:tcW w:w="1376" w:type="dxa"/>
            <w:vMerge/>
          </w:tcPr>
          <w:p w14:paraId="097AD29F" w14:textId="77777777" w:rsidR="00B70892" w:rsidRPr="00177103" w:rsidRDefault="00B70892" w:rsidP="00B70892"/>
        </w:tc>
        <w:tc>
          <w:tcPr>
            <w:tcW w:w="1396" w:type="dxa"/>
            <w:vMerge/>
          </w:tcPr>
          <w:p w14:paraId="47EEC759" w14:textId="77777777" w:rsidR="00B70892" w:rsidRPr="00177103" w:rsidRDefault="00B70892" w:rsidP="00B70892"/>
        </w:tc>
        <w:tc>
          <w:tcPr>
            <w:tcW w:w="1770" w:type="dxa"/>
          </w:tcPr>
          <w:p w14:paraId="2E6273E8" w14:textId="77777777" w:rsidR="00B70892" w:rsidRPr="00177103" w:rsidRDefault="00B70892" w:rsidP="00B70892">
            <w:r w:rsidRPr="00177103">
              <w:t>Educación Media Superior a Distancia</w:t>
            </w:r>
          </w:p>
        </w:tc>
        <w:tc>
          <w:tcPr>
            <w:tcW w:w="642" w:type="dxa"/>
          </w:tcPr>
          <w:p w14:paraId="12054534" w14:textId="77777777" w:rsidR="00B70892" w:rsidRPr="00177103" w:rsidRDefault="00B70892" w:rsidP="00B70892">
            <w:r w:rsidRPr="00177103">
              <w:t>2534</w:t>
            </w:r>
          </w:p>
        </w:tc>
        <w:tc>
          <w:tcPr>
            <w:tcW w:w="586" w:type="dxa"/>
          </w:tcPr>
          <w:p w14:paraId="6F3C9F06" w14:textId="77777777" w:rsidR="00B70892" w:rsidRPr="00177103" w:rsidRDefault="00B70892" w:rsidP="00B70892">
            <w:r w:rsidRPr="00177103">
              <w:t>6.9</w:t>
            </w:r>
          </w:p>
        </w:tc>
        <w:tc>
          <w:tcPr>
            <w:tcW w:w="619" w:type="dxa"/>
          </w:tcPr>
          <w:p w14:paraId="03AD9FCC" w14:textId="77777777" w:rsidR="00B70892" w:rsidRPr="00177103" w:rsidRDefault="00B70892" w:rsidP="00B70892">
            <w:r w:rsidRPr="00177103">
              <w:t>113</w:t>
            </w:r>
          </w:p>
        </w:tc>
        <w:tc>
          <w:tcPr>
            <w:tcW w:w="586" w:type="dxa"/>
          </w:tcPr>
          <w:p w14:paraId="36D7F6E7" w14:textId="77777777" w:rsidR="00B70892" w:rsidRPr="00177103" w:rsidRDefault="00B70892" w:rsidP="00B70892">
            <w:r w:rsidRPr="00177103">
              <w:t>5.4</w:t>
            </w:r>
          </w:p>
        </w:tc>
        <w:tc>
          <w:tcPr>
            <w:tcW w:w="619" w:type="dxa"/>
          </w:tcPr>
          <w:p w14:paraId="1627D2B0" w14:textId="77777777" w:rsidR="00B70892" w:rsidRPr="00177103" w:rsidRDefault="00B70892" w:rsidP="00B70892">
            <w:r w:rsidRPr="00177103">
              <w:t>17</w:t>
            </w:r>
          </w:p>
        </w:tc>
        <w:tc>
          <w:tcPr>
            <w:tcW w:w="554" w:type="dxa"/>
          </w:tcPr>
          <w:p w14:paraId="10CA6A74" w14:textId="77777777" w:rsidR="00B70892" w:rsidRPr="00177103" w:rsidRDefault="00B70892" w:rsidP="00B70892">
            <w:r w:rsidRPr="00177103">
              <w:t>13.6</w:t>
            </w:r>
          </w:p>
        </w:tc>
      </w:tr>
      <w:tr w:rsidR="00B70892" w:rsidRPr="00177103" w14:paraId="0A645CE3" w14:textId="77777777" w:rsidTr="00A721E1">
        <w:tc>
          <w:tcPr>
            <w:tcW w:w="1265" w:type="dxa"/>
            <w:vMerge/>
          </w:tcPr>
          <w:p w14:paraId="23A12014" w14:textId="77777777" w:rsidR="00B70892" w:rsidRPr="00177103" w:rsidRDefault="00B70892" w:rsidP="00B70892"/>
        </w:tc>
        <w:tc>
          <w:tcPr>
            <w:tcW w:w="1376" w:type="dxa"/>
            <w:vMerge/>
          </w:tcPr>
          <w:p w14:paraId="775861F3" w14:textId="77777777" w:rsidR="00B70892" w:rsidRPr="00177103" w:rsidRDefault="00B70892" w:rsidP="00B70892"/>
        </w:tc>
        <w:tc>
          <w:tcPr>
            <w:tcW w:w="1396" w:type="dxa"/>
            <w:vMerge/>
          </w:tcPr>
          <w:p w14:paraId="14B29A72" w14:textId="77777777" w:rsidR="00B70892" w:rsidRPr="00177103" w:rsidRDefault="00B70892" w:rsidP="00B70892"/>
        </w:tc>
        <w:tc>
          <w:tcPr>
            <w:tcW w:w="1770" w:type="dxa"/>
          </w:tcPr>
          <w:p w14:paraId="22DBC1EF" w14:textId="77777777" w:rsidR="00B70892" w:rsidRPr="00177103" w:rsidRDefault="00B70892" w:rsidP="00B70892">
            <w:r w:rsidRPr="00177103">
              <w:t>Telebachillerato Comunitario</w:t>
            </w:r>
          </w:p>
        </w:tc>
        <w:tc>
          <w:tcPr>
            <w:tcW w:w="642" w:type="dxa"/>
          </w:tcPr>
          <w:p w14:paraId="63ABC257" w14:textId="77777777" w:rsidR="00B70892" w:rsidRPr="00177103" w:rsidRDefault="00B70892" w:rsidP="00B70892">
            <w:r w:rsidRPr="00177103">
              <w:t>835</w:t>
            </w:r>
          </w:p>
        </w:tc>
        <w:tc>
          <w:tcPr>
            <w:tcW w:w="586" w:type="dxa"/>
          </w:tcPr>
          <w:p w14:paraId="4F4B7F9C" w14:textId="77777777" w:rsidR="00B70892" w:rsidRPr="00177103" w:rsidRDefault="00B70892" w:rsidP="00B70892">
            <w:r w:rsidRPr="00177103">
              <w:t>2.3</w:t>
            </w:r>
          </w:p>
        </w:tc>
        <w:tc>
          <w:tcPr>
            <w:tcW w:w="619" w:type="dxa"/>
          </w:tcPr>
          <w:p w14:paraId="1E6B751E" w14:textId="77777777" w:rsidR="00B70892" w:rsidRPr="00177103" w:rsidRDefault="00B70892" w:rsidP="00B70892">
            <w:r w:rsidRPr="00177103">
              <w:t>57</w:t>
            </w:r>
          </w:p>
        </w:tc>
        <w:tc>
          <w:tcPr>
            <w:tcW w:w="586" w:type="dxa"/>
          </w:tcPr>
          <w:p w14:paraId="1B78B387" w14:textId="77777777" w:rsidR="00B70892" w:rsidRPr="00177103" w:rsidRDefault="00B70892" w:rsidP="00B70892">
            <w:r w:rsidRPr="00177103">
              <w:t>2.7</w:t>
            </w:r>
          </w:p>
        </w:tc>
        <w:tc>
          <w:tcPr>
            <w:tcW w:w="619" w:type="dxa"/>
          </w:tcPr>
          <w:p w14:paraId="008BFB4B" w14:textId="77777777" w:rsidR="00B70892" w:rsidRPr="00177103" w:rsidRDefault="00B70892" w:rsidP="00B70892">
            <w:r w:rsidRPr="00177103">
              <w:t>19</w:t>
            </w:r>
          </w:p>
        </w:tc>
        <w:tc>
          <w:tcPr>
            <w:tcW w:w="554" w:type="dxa"/>
          </w:tcPr>
          <w:p w14:paraId="15341708" w14:textId="77777777" w:rsidR="00B70892" w:rsidRPr="00177103" w:rsidRDefault="00B70892" w:rsidP="00B70892">
            <w:r w:rsidRPr="00177103">
              <w:t>15.2</w:t>
            </w:r>
          </w:p>
        </w:tc>
      </w:tr>
      <w:tr w:rsidR="00B70892" w:rsidRPr="00177103" w14:paraId="272467C9" w14:textId="77777777" w:rsidTr="00A721E1">
        <w:tc>
          <w:tcPr>
            <w:tcW w:w="1265" w:type="dxa"/>
            <w:vMerge/>
          </w:tcPr>
          <w:p w14:paraId="474C1A50" w14:textId="77777777" w:rsidR="00B70892" w:rsidRPr="00177103" w:rsidRDefault="00B70892" w:rsidP="00B70892"/>
        </w:tc>
        <w:tc>
          <w:tcPr>
            <w:tcW w:w="4542" w:type="dxa"/>
            <w:gridSpan w:val="3"/>
          </w:tcPr>
          <w:p w14:paraId="4D9A46D7" w14:textId="77777777" w:rsidR="00B70892" w:rsidRPr="00177103" w:rsidRDefault="00B70892" w:rsidP="00B70892">
            <w:pPr>
              <w:rPr>
                <w:b/>
                <w:bCs/>
              </w:rPr>
            </w:pPr>
            <w:r w:rsidRPr="00177103">
              <w:rPr>
                <w:b/>
                <w:bCs/>
              </w:rPr>
              <w:t>Total</w:t>
            </w:r>
          </w:p>
        </w:tc>
        <w:tc>
          <w:tcPr>
            <w:tcW w:w="642" w:type="dxa"/>
          </w:tcPr>
          <w:p w14:paraId="329C8B1C" w14:textId="77777777" w:rsidR="00B70892" w:rsidRPr="00177103" w:rsidRDefault="00B70892" w:rsidP="00B70892">
            <w:pPr>
              <w:rPr>
                <w:b/>
                <w:bCs/>
              </w:rPr>
            </w:pPr>
            <w:r w:rsidRPr="00177103">
              <w:rPr>
                <w:b/>
                <w:bCs/>
              </w:rPr>
              <w:t>19589</w:t>
            </w:r>
          </w:p>
        </w:tc>
        <w:tc>
          <w:tcPr>
            <w:tcW w:w="586" w:type="dxa"/>
          </w:tcPr>
          <w:p w14:paraId="3A918551" w14:textId="77777777" w:rsidR="00B70892" w:rsidRPr="00177103" w:rsidRDefault="00B70892" w:rsidP="00B70892">
            <w:pPr>
              <w:rPr>
                <w:b/>
                <w:bCs/>
              </w:rPr>
            </w:pPr>
            <w:r w:rsidRPr="00177103">
              <w:rPr>
                <w:b/>
                <w:bCs/>
              </w:rPr>
              <w:t>53.5</w:t>
            </w:r>
          </w:p>
        </w:tc>
        <w:tc>
          <w:tcPr>
            <w:tcW w:w="619" w:type="dxa"/>
          </w:tcPr>
          <w:p w14:paraId="7BB44D96" w14:textId="77777777" w:rsidR="00B70892" w:rsidRPr="00177103" w:rsidRDefault="00B70892" w:rsidP="00B70892">
            <w:pPr>
              <w:rPr>
                <w:b/>
                <w:bCs/>
              </w:rPr>
            </w:pPr>
            <w:r w:rsidRPr="00177103">
              <w:rPr>
                <w:b/>
                <w:bCs/>
              </w:rPr>
              <w:t>895</w:t>
            </w:r>
          </w:p>
        </w:tc>
        <w:tc>
          <w:tcPr>
            <w:tcW w:w="586" w:type="dxa"/>
          </w:tcPr>
          <w:p w14:paraId="4F11798A" w14:textId="77777777" w:rsidR="00B70892" w:rsidRPr="00177103" w:rsidRDefault="00B70892" w:rsidP="00B70892">
            <w:pPr>
              <w:rPr>
                <w:b/>
                <w:bCs/>
              </w:rPr>
            </w:pPr>
            <w:r w:rsidRPr="00177103">
              <w:rPr>
                <w:b/>
                <w:bCs/>
              </w:rPr>
              <w:t>42.9</w:t>
            </w:r>
          </w:p>
        </w:tc>
        <w:tc>
          <w:tcPr>
            <w:tcW w:w="619" w:type="dxa"/>
          </w:tcPr>
          <w:p w14:paraId="6C707B52" w14:textId="77777777" w:rsidR="00B70892" w:rsidRPr="00177103" w:rsidRDefault="00B70892" w:rsidP="00B70892">
            <w:pPr>
              <w:rPr>
                <w:b/>
                <w:bCs/>
              </w:rPr>
            </w:pPr>
            <w:r w:rsidRPr="00177103">
              <w:rPr>
                <w:b/>
                <w:bCs/>
              </w:rPr>
              <w:t>69</w:t>
            </w:r>
          </w:p>
        </w:tc>
        <w:tc>
          <w:tcPr>
            <w:tcW w:w="554" w:type="dxa"/>
          </w:tcPr>
          <w:p w14:paraId="3237F0FA" w14:textId="77777777" w:rsidR="00B70892" w:rsidRPr="00177103" w:rsidRDefault="00B70892" w:rsidP="00B70892">
            <w:pPr>
              <w:rPr>
                <w:b/>
                <w:bCs/>
              </w:rPr>
            </w:pPr>
            <w:r w:rsidRPr="00177103">
              <w:rPr>
                <w:b/>
                <w:bCs/>
              </w:rPr>
              <w:t>55.2</w:t>
            </w:r>
          </w:p>
        </w:tc>
      </w:tr>
      <w:tr w:rsidR="00B70892" w:rsidRPr="00177103" w14:paraId="02397743" w14:textId="77777777" w:rsidTr="00A721E1">
        <w:tc>
          <w:tcPr>
            <w:tcW w:w="1265" w:type="dxa"/>
          </w:tcPr>
          <w:p w14:paraId="3AAE5001" w14:textId="77777777" w:rsidR="00B70892" w:rsidRPr="00177103" w:rsidRDefault="00B70892" w:rsidP="00B70892">
            <w:r w:rsidRPr="00177103">
              <w:t>Autónomo</w:t>
            </w:r>
          </w:p>
        </w:tc>
        <w:tc>
          <w:tcPr>
            <w:tcW w:w="1376" w:type="dxa"/>
          </w:tcPr>
          <w:p w14:paraId="4C4002DD" w14:textId="77777777" w:rsidR="00B70892" w:rsidRPr="00177103" w:rsidRDefault="00B70892" w:rsidP="00B70892">
            <w:r w:rsidRPr="00177103">
              <w:t>Autónomo</w:t>
            </w:r>
          </w:p>
        </w:tc>
        <w:tc>
          <w:tcPr>
            <w:tcW w:w="1396" w:type="dxa"/>
          </w:tcPr>
          <w:p w14:paraId="4EBAC395" w14:textId="77777777" w:rsidR="00B70892" w:rsidRPr="00177103" w:rsidRDefault="00B70892" w:rsidP="00B70892">
            <w:r w:rsidRPr="00177103">
              <w:t>Universidades Autónomas Estatales</w:t>
            </w:r>
          </w:p>
        </w:tc>
        <w:tc>
          <w:tcPr>
            <w:tcW w:w="1770" w:type="dxa"/>
          </w:tcPr>
          <w:p w14:paraId="6DEE0929" w14:textId="77777777" w:rsidR="00B70892" w:rsidRPr="00177103" w:rsidRDefault="00B70892" w:rsidP="00B70892">
            <w:r w:rsidRPr="00177103">
              <w:t>Bachillleratos Autónomos</w:t>
            </w:r>
          </w:p>
        </w:tc>
        <w:tc>
          <w:tcPr>
            <w:tcW w:w="642" w:type="dxa"/>
          </w:tcPr>
          <w:p w14:paraId="5FE26886" w14:textId="77777777" w:rsidR="00B70892" w:rsidRPr="00177103" w:rsidRDefault="00B70892" w:rsidP="00B70892">
            <w:r w:rsidRPr="00177103">
              <w:t>5073</w:t>
            </w:r>
          </w:p>
        </w:tc>
        <w:tc>
          <w:tcPr>
            <w:tcW w:w="586" w:type="dxa"/>
          </w:tcPr>
          <w:p w14:paraId="0BD0B5A0" w14:textId="77777777" w:rsidR="00B70892" w:rsidRPr="00177103" w:rsidRDefault="00B70892" w:rsidP="00B70892">
            <w:r w:rsidRPr="00177103">
              <w:t>13.9</w:t>
            </w:r>
          </w:p>
        </w:tc>
        <w:tc>
          <w:tcPr>
            <w:tcW w:w="619" w:type="dxa"/>
          </w:tcPr>
          <w:p w14:paraId="60D45F8A" w14:textId="77777777" w:rsidR="00B70892" w:rsidRPr="00177103" w:rsidRDefault="00B70892" w:rsidP="00B70892">
            <w:r w:rsidRPr="00177103">
              <w:t>224</w:t>
            </w:r>
          </w:p>
        </w:tc>
        <w:tc>
          <w:tcPr>
            <w:tcW w:w="586" w:type="dxa"/>
          </w:tcPr>
          <w:p w14:paraId="4E62159C" w14:textId="77777777" w:rsidR="00B70892" w:rsidRPr="00177103" w:rsidRDefault="00B70892" w:rsidP="00B70892">
            <w:r w:rsidRPr="00177103">
              <w:t>10.7</w:t>
            </w:r>
          </w:p>
        </w:tc>
        <w:tc>
          <w:tcPr>
            <w:tcW w:w="619" w:type="dxa"/>
          </w:tcPr>
          <w:p w14:paraId="23E3F1C4" w14:textId="77777777" w:rsidR="00B70892" w:rsidRPr="00177103" w:rsidRDefault="00B70892" w:rsidP="00B70892">
            <w:r w:rsidRPr="00177103">
              <w:t>4</w:t>
            </w:r>
          </w:p>
        </w:tc>
        <w:tc>
          <w:tcPr>
            <w:tcW w:w="554" w:type="dxa"/>
          </w:tcPr>
          <w:p w14:paraId="7ABEBBD9" w14:textId="77777777" w:rsidR="00B70892" w:rsidRPr="00177103" w:rsidRDefault="00B70892" w:rsidP="00B70892">
            <w:r w:rsidRPr="00177103">
              <w:t>3.2</w:t>
            </w:r>
          </w:p>
        </w:tc>
      </w:tr>
      <w:tr w:rsidR="00B70892" w:rsidRPr="00177103" w14:paraId="30D0A8AF" w14:textId="77777777" w:rsidTr="00A721E1">
        <w:tc>
          <w:tcPr>
            <w:tcW w:w="1265" w:type="dxa"/>
          </w:tcPr>
          <w:p w14:paraId="71A0E987" w14:textId="77777777" w:rsidR="00B70892" w:rsidRPr="00177103" w:rsidRDefault="00B70892" w:rsidP="00B70892"/>
        </w:tc>
        <w:tc>
          <w:tcPr>
            <w:tcW w:w="4542" w:type="dxa"/>
            <w:gridSpan w:val="3"/>
          </w:tcPr>
          <w:p w14:paraId="452BD5FC" w14:textId="77777777" w:rsidR="00B70892" w:rsidRPr="00177103" w:rsidRDefault="00B70892" w:rsidP="00B70892">
            <w:pPr>
              <w:rPr>
                <w:b/>
                <w:bCs/>
              </w:rPr>
            </w:pPr>
            <w:r w:rsidRPr="00177103">
              <w:rPr>
                <w:b/>
                <w:bCs/>
              </w:rPr>
              <w:t>Total</w:t>
            </w:r>
          </w:p>
        </w:tc>
        <w:tc>
          <w:tcPr>
            <w:tcW w:w="642" w:type="dxa"/>
          </w:tcPr>
          <w:p w14:paraId="3DBCEB5B" w14:textId="77777777" w:rsidR="00B70892" w:rsidRPr="00177103" w:rsidRDefault="00B70892" w:rsidP="00B70892">
            <w:pPr>
              <w:rPr>
                <w:b/>
                <w:bCs/>
              </w:rPr>
            </w:pPr>
            <w:r w:rsidRPr="00177103">
              <w:rPr>
                <w:b/>
                <w:bCs/>
              </w:rPr>
              <w:t>5073</w:t>
            </w:r>
          </w:p>
        </w:tc>
        <w:tc>
          <w:tcPr>
            <w:tcW w:w="586" w:type="dxa"/>
          </w:tcPr>
          <w:p w14:paraId="139DCE7D" w14:textId="77777777" w:rsidR="00B70892" w:rsidRPr="00177103" w:rsidRDefault="00B70892" w:rsidP="00B70892">
            <w:pPr>
              <w:rPr>
                <w:b/>
                <w:bCs/>
              </w:rPr>
            </w:pPr>
            <w:r w:rsidRPr="00177103">
              <w:rPr>
                <w:b/>
                <w:bCs/>
              </w:rPr>
              <w:t>13.9</w:t>
            </w:r>
          </w:p>
        </w:tc>
        <w:tc>
          <w:tcPr>
            <w:tcW w:w="619" w:type="dxa"/>
          </w:tcPr>
          <w:p w14:paraId="28074F61" w14:textId="77777777" w:rsidR="00B70892" w:rsidRPr="00177103" w:rsidRDefault="00B70892" w:rsidP="00B70892">
            <w:pPr>
              <w:rPr>
                <w:b/>
                <w:bCs/>
              </w:rPr>
            </w:pPr>
            <w:r w:rsidRPr="00177103">
              <w:rPr>
                <w:b/>
                <w:bCs/>
              </w:rPr>
              <w:t>224</w:t>
            </w:r>
          </w:p>
        </w:tc>
        <w:tc>
          <w:tcPr>
            <w:tcW w:w="586" w:type="dxa"/>
          </w:tcPr>
          <w:p w14:paraId="3B7CF808" w14:textId="77777777" w:rsidR="00B70892" w:rsidRPr="00177103" w:rsidRDefault="00B70892" w:rsidP="00B70892">
            <w:pPr>
              <w:rPr>
                <w:b/>
                <w:bCs/>
              </w:rPr>
            </w:pPr>
            <w:r w:rsidRPr="00177103">
              <w:rPr>
                <w:b/>
                <w:bCs/>
              </w:rPr>
              <w:t>10.7</w:t>
            </w:r>
          </w:p>
        </w:tc>
        <w:tc>
          <w:tcPr>
            <w:tcW w:w="619" w:type="dxa"/>
          </w:tcPr>
          <w:p w14:paraId="444422CC" w14:textId="77777777" w:rsidR="00B70892" w:rsidRPr="00177103" w:rsidRDefault="00B70892" w:rsidP="00B70892">
            <w:pPr>
              <w:rPr>
                <w:b/>
                <w:bCs/>
              </w:rPr>
            </w:pPr>
            <w:r w:rsidRPr="00177103">
              <w:rPr>
                <w:b/>
                <w:bCs/>
              </w:rPr>
              <w:t>4</w:t>
            </w:r>
          </w:p>
        </w:tc>
        <w:tc>
          <w:tcPr>
            <w:tcW w:w="554" w:type="dxa"/>
          </w:tcPr>
          <w:p w14:paraId="04F7C86D" w14:textId="77777777" w:rsidR="00B70892" w:rsidRPr="00177103" w:rsidRDefault="00B70892" w:rsidP="00B70892">
            <w:pPr>
              <w:rPr>
                <w:b/>
                <w:bCs/>
              </w:rPr>
            </w:pPr>
            <w:r w:rsidRPr="00177103">
              <w:rPr>
                <w:b/>
                <w:bCs/>
              </w:rPr>
              <w:t>3.2</w:t>
            </w:r>
          </w:p>
        </w:tc>
      </w:tr>
      <w:tr w:rsidR="00B70892" w:rsidRPr="00177103" w14:paraId="0F110045" w14:textId="77777777" w:rsidTr="00A721E1">
        <w:tc>
          <w:tcPr>
            <w:tcW w:w="1265" w:type="dxa"/>
          </w:tcPr>
          <w:p w14:paraId="4FE4060F" w14:textId="77777777" w:rsidR="00B70892" w:rsidRPr="00177103" w:rsidRDefault="00B70892" w:rsidP="00B70892"/>
        </w:tc>
        <w:tc>
          <w:tcPr>
            <w:tcW w:w="1376" w:type="dxa"/>
          </w:tcPr>
          <w:p w14:paraId="79C94809" w14:textId="77777777" w:rsidR="00B70892" w:rsidRPr="00177103" w:rsidRDefault="00B70892" w:rsidP="00B70892">
            <w:r w:rsidRPr="00177103">
              <w:t>Particular</w:t>
            </w:r>
          </w:p>
        </w:tc>
        <w:tc>
          <w:tcPr>
            <w:tcW w:w="1396" w:type="dxa"/>
          </w:tcPr>
          <w:p w14:paraId="39DD7243" w14:textId="77777777" w:rsidR="00B70892" w:rsidRPr="00177103" w:rsidRDefault="00B70892" w:rsidP="00B70892">
            <w:r w:rsidRPr="00177103">
              <w:t>Instituciones particulares</w:t>
            </w:r>
          </w:p>
        </w:tc>
        <w:tc>
          <w:tcPr>
            <w:tcW w:w="1770" w:type="dxa"/>
          </w:tcPr>
          <w:p w14:paraId="7F754AE1" w14:textId="77777777" w:rsidR="00B70892" w:rsidRPr="00177103" w:rsidRDefault="00B70892" w:rsidP="00B70892">
            <w:r w:rsidRPr="00177103">
              <w:t xml:space="preserve">Bachilleratos particulares </w:t>
            </w:r>
          </w:p>
        </w:tc>
        <w:tc>
          <w:tcPr>
            <w:tcW w:w="642" w:type="dxa"/>
          </w:tcPr>
          <w:p w14:paraId="51C69213" w14:textId="77777777" w:rsidR="00B70892" w:rsidRPr="00177103" w:rsidRDefault="00B70892" w:rsidP="00B70892">
            <w:r w:rsidRPr="00177103">
              <w:t>2865</w:t>
            </w:r>
          </w:p>
        </w:tc>
        <w:tc>
          <w:tcPr>
            <w:tcW w:w="586" w:type="dxa"/>
          </w:tcPr>
          <w:p w14:paraId="49DEB1F4" w14:textId="77777777" w:rsidR="00B70892" w:rsidRPr="00177103" w:rsidRDefault="00B70892" w:rsidP="00B70892">
            <w:r w:rsidRPr="00177103">
              <w:t>7.8</w:t>
            </w:r>
          </w:p>
        </w:tc>
        <w:tc>
          <w:tcPr>
            <w:tcW w:w="619" w:type="dxa"/>
          </w:tcPr>
          <w:p w14:paraId="7F5DA951" w14:textId="77777777" w:rsidR="00B70892" w:rsidRPr="00177103" w:rsidRDefault="00B70892" w:rsidP="00B70892">
            <w:r w:rsidRPr="00177103">
              <w:t>525</w:t>
            </w:r>
          </w:p>
        </w:tc>
        <w:tc>
          <w:tcPr>
            <w:tcW w:w="586" w:type="dxa"/>
          </w:tcPr>
          <w:p w14:paraId="473573CC" w14:textId="77777777" w:rsidR="00B70892" w:rsidRPr="00177103" w:rsidRDefault="00B70892" w:rsidP="00B70892">
            <w:r w:rsidRPr="00177103">
              <w:t>25.1</w:t>
            </w:r>
          </w:p>
        </w:tc>
        <w:tc>
          <w:tcPr>
            <w:tcW w:w="619" w:type="dxa"/>
          </w:tcPr>
          <w:p w14:paraId="68A83E2F" w14:textId="77777777" w:rsidR="00B70892" w:rsidRPr="00177103" w:rsidRDefault="00B70892" w:rsidP="00B70892">
            <w:r w:rsidRPr="00177103">
              <w:t>40</w:t>
            </w:r>
          </w:p>
        </w:tc>
        <w:tc>
          <w:tcPr>
            <w:tcW w:w="554" w:type="dxa"/>
          </w:tcPr>
          <w:p w14:paraId="1966928E" w14:textId="77777777" w:rsidR="00B70892" w:rsidRPr="00177103" w:rsidRDefault="00B70892" w:rsidP="00B70892">
            <w:r w:rsidRPr="00177103">
              <w:t>32.0</w:t>
            </w:r>
          </w:p>
        </w:tc>
      </w:tr>
      <w:tr w:rsidR="00B70892" w:rsidRPr="00177103" w14:paraId="0DBB6A5D" w14:textId="77777777" w:rsidTr="00A721E1">
        <w:tc>
          <w:tcPr>
            <w:tcW w:w="1265" w:type="dxa"/>
          </w:tcPr>
          <w:p w14:paraId="1A4410C4" w14:textId="77777777" w:rsidR="00B70892" w:rsidRPr="00177103" w:rsidRDefault="00B70892" w:rsidP="00B70892"/>
        </w:tc>
        <w:tc>
          <w:tcPr>
            <w:tcW w:w="1376" w:type="dxa"/>
          </w:tcPr>
          <w:p w14:paraId="4043DD6F" w14:textId="77777777" w:rsidR="00B70892" w:rsidRPr="00177103" w:rsidRDefault="00B70892" w:rsidP="00B70892">
            <w:r w:rsidRPr="00177103">
              <w:t>Subsidiado</w:t>
            </w:r>
          </w:p>
        </w:tc>
        <w:tc>
          <w:tcPr>
            <w:tcW w:w="1396" w:type="dxa"/>
          </w:tcPr>
          <w:p w14:paraId="0692C7F0" w14:textId="77777777" w:rsidR="00B70892" w:rsidRPr="00177103" w:rsidRDefault="00B70892" w:rsidP="00B70892">
            <w:r w:rsidRPr="00177103">
              <w:t>Subsidiados por los estados o AC</w:t>
            </w:r>
          </w:p>
        </w:tc>
        <w:tc>
          <w:tcPr>
            <w:tcW w:w="1770" w:type="dxa"/>
          </w:tcPr>
          <w:p w14:paraId="480D0925" w14:textId="77777777" w:rsidR="00B70892" w:rsidRPr="00177103" w:rsidRDefault="00B70892" w:rsidP="00B70892">
            <w:r w:rsidRPr="00177103">
              <w:t>Preparatoria Estatal o Federal por Cooperación</w:t>
            </w:r>
          </w:p>
        </w:tc>
        <w:tc>
          <w:tcPr>
            <w:tcW w:w="642" w:type="dxa"/>
          </w:tcPr>
          <w:p w14:paraId="3724AACE" w14:textId="77777777" w:rsidR="00B70892" w:rsidRPr="00177103" w:rsidRDefault="00B70892" w:rsidP="00B70892">
            <w:r w:rsidRPr="00177103">
              <w:t>9</w:t>
            </w:r>
          </w:p>
        </w:tc>
        <w:tc>
          <w:tcPr>
            <w:tcW w:w="586" w:type="dxa"/>
          </w:tcPr>
          <w:p w14:paraId="14B97CED" w14:textId="77777777" w:rsidR="00B70892" w:rsidRPr="00177103" w:rsidRDefault="00B70892" w:rsidP="00B70892">
            <w:r w:rsidRPr="00177103">
              <w:t>0.0</w:t>
            </w:r>
          </w:p>
        </w:tc>
        <w:tc>
          <w:tcPr>
            <w:tcW w:w="619" w:type="dxa"/>
          </w:tcPr>
          <w:p w14:paraId="2AFA4CA4" w14:textId="77777777" w:rsidR="00B70892" w:rsidRPr="00177103" w:rsidRDefault="00B70892" w:rsidP="00B70892">
            <w:r w:rsidRPr="00177103">
              <w:t>8</w:t>
            </w:r>
          </w:p>
        </w:tc>
        <w:tc>
          <w:tcPr>
            <w:tcW w:w="586" w:type="dxa"/>
          </w:tcPr>
          <w:p w14:paraId="5F5B006D" w14:textId="77777777" w:rsidR="00B70892" w:rsidRPr="00177103" w:rsidRDefault="00B70892" w:rsidP="00B70892">
            <w:r w:rsidRPr="00177103">
              <w:t>0.4</w:t>
            </w:r>
          </w:p>
        </w:tc>
        <w:tc>
          <w:tcPr>
            <w:tcW w:w="619" w:type="dxa"/>
          </w:tcPr>
          <w:p w14:paraId="412C2F10" w14:textId="77777777" w:rsidR="00B70892" w:rsidRPr="00177103" w:rsidRDefault="00B70892" w:rsidP="00B70892">
            <w:r w:rsidRPr="00177103">
              <w:t>1</w:t>
            </w:r>
          </w:p>
        </w:tc>
        <w:tc>
          <w:tcPr>
            <w:tcW w:w="554" w:type="dxa"/>
          </w:tcPr>
          <w:p w14:paraId="57164E01" w14:textId="77777777" w:rsidR="00B70892" w:rsidRPr="00177103" w:rsidRDefault="00B70892" w:rsidP="00B70892">
            <w:r w:rsidRPr="00177103">
              <w:t>0.8</w:t>
            </w:r>
          </w:p>
        </w:tc>
      </w:tr>
      <w:tr w:rsidR="00B70892" w:rsidRPr="00177103" w14:paraId="3E447828" w14:textId="77777777" w:rsidTr="00A721E1">
        <w:tc>
          <w:tcPr>
            <w:tcW w:w="1265" w:type="dxa"/>
          </w:tcPr>
          <w:p w14:paraId="69EC17C6" w14:textId="77777777" w:rsidR="00B70892" w:rsidRPr="00177103" w:rsidRDefault="00B70892" w:rsidP="00B70892"/>
        </w:tc>
        <w:tc>
          <w:tcPr>
            <w:tcW w:w="4542" w:type="dxa"/>
            <w:gridSpan w:val="3"/>
          </w:tcPr>
          <w:p w14:paraId="2158E44B" w14:textId="77777777" w:rsidR="00B70892" w:rsidRPr="00177103" w:rsidRDefault="00B70892" w:rsidP="00B70892">
            <w:pPr>
              <w:rPr>
                <w:b/>
                <w:bCs/>
              </w:rPr>
            </w:pPr>
            <w:r w:rsidRPr="00177103">
              <w:rPr>
                <w:b/>
                <w:bCs/>
              </w:rPr>
              <w:t>Total</w:t>
            </w:r>
          </w:p>
        </w:tc>
        <w:tc>
          <w:tcPr>
            <w:tcW w:w="642" w:type="dxa"/>
          </w:tcPr>
          <w:p w14:paraId="6A3AD128" w14:textId="77777777" w:rsidR="00B70892" w:rsidRPr="00177103" w:rsidRDefault="00B70892" w:rsidP="00B70892">
            <w:pPr>
              <w:rPr>
                <w:b/>
                <w:bCs/>
              </w:rPr>
            </w:pPr>
            <w:r w:rsidRPr="00177103">
              <w:rPr>
                <w:b/>
                <w:bCs/>
              </w:rPr>
              <w:t>2874</w:t>
            </w:r>
          </w:p>
        </w:tc>
        <w:tc>
          <w:tcPr>
            <w:tcW w:w="586" w:type="dxa"/>
          </w:tcPr>
          <w:p w14:paraId="6D76E969" w14:textId="77777777" w:rsidR="00B70892" w:rsidRPr="00177103" w:rsidRDefault="00B70892" w:rsidP="00B70892">
            <w:pPr>
              <w:rPr>
                <w:b/>
                <w:bCs/>
              </w:rPr>
            </w:pPr>
            <w:r w:rsidRPr="00177103">
              <w:rPr>
                <w:b/>
                <w:bCs/>
              </w:rPr>
              <w:t>7.8</w:t>
            </w:r>
          </w:p>
        </w:tc>
        <w:tc>
          <w:tcPr>
            <w:tcW w:w="619" w:type="dxa"/>
          </w:tcPr>
          <w:p w14:paraId="05E540FB" w14:textId="77777777" w:rsidR="00B70892" w:rsidRPr="00177103" w:rsidRDefault="00B70892" w:rsidP="00B70892">
            <w:pPr>
              <w:rPr>
                <w:b/>
                <w:bCs/>
              </w:rPr>
            </w:pPr>
            <w:r w:rsidRPr="00177103">
              <w:rPr>
                <w:b/>
                <w:bCs/>
              </w:rPr>
              <w:t>533</w:t>
            </w:r>
          </w:p>
        </w:tc>
        <w:tc>
          <w:tcPr>
            <w:tcW w:w="586" w:type="dxa"/>
          </w:tcPr>
          <w:p w14:paraId="46FA9CF3" w14:textId="77777777" w:rsidR="00B70892" w:rsidRPr="00177103" w:rsidRDefault="00B70892" w:rsidP="00B70892">
            <w:pPr>
              <w:rPr>
                <w:b/>
                <w:bCs/>
              </w:rPr>
            </w:pPr>
            <w:r w:rsidRPr="00177103">
              <w:rPr>
                <w:b/>
                <w:bCs/>
              </w:rPr>
              <w:t>25.5</w:t>
            </w:r>
          </w:p>
        </w:tc>
        <w:tc>
          <w:tcPr>
            <w:tcW w:w="619" w:type="dxa"/>
          </w:tcPr>
          <w:p w14:paraId="1763DFDC" w14:textId="77777777" w:rsidR="00B70892" w:rsidRPr="00177103" w:rsidRDefault="00B70892" w:rsidP="00B70892">
            <w:pPr>
              <w:rPr>
                <w:b/>
                <w:bCs/>
              </w:rPr>
            </w:pPr>
            <w:r w:rsidRPr="00177103">
              <w:rPr>
                <w:b/>
                <w:bCs/>
              </w:rPr>
              <w:t>41</w:t>
            </w:r>
          </w:p>
        </w:tc>
        <w:tc>
          <w:tcPr>
            <w:tcW w:w="554" w:type="dxa"/>
          </w:tcPr>
          <w:p w14:paraId="6D8FBCA2" w14:textId="77777777" w:rsidR="00B70892" w:rsidRPr="00177103" w:rsidRDefault="00B70892" w:rsidP="00B70892">
            <w:pPr>
              <w:rPr>
                <w:b/>
                <w:bCs/>
              </w:rPr>
            </w:pPr>
            <w:r w:rsidRPr="00177103">
              <w:rPr>
                <w:b/>
                <w:bCs/>
              </w:rPr>
              <w:t>32.8</w:t>
            </w:r>
          </w:p>
        </w:tc>
      </w:tr>
      <w:tr w:rsidR="00B70892" w:rsidRPr="00177103" w14:paraId="091D38DA" w14:textId="77777777" w:rsidTr="00A721E1">
        <w:tc>
          <w:tcPr>
            <w:tcW w:w="5807" w:type="dxa"/>
            <w:gridSpan w:val="4"/>
          </w:tcPr>
          <w:p w14:paraId="63C2602F" w14:textId="77777777" w:rsidR="00B70892" w:rsidRPr="00177103" w:rsidRDefault="00B70892" w:rsidP="00B70892">
            <w:pPr>
              <w:rPr>
                <w:b/>
                <w:bCs/>
              </w:rPr>
            </w:pPr>
            <w:r w:rsidRPr="00177103">
              <w:rPr>
                <w:b/>
                <w:bCs/>
              </w:rPr>
              <w:lastRenderedPageBreak/>
              <w:t>Total</w:t>
            </w:r>
          </w:p>
        </w:tc>
        <w:tc>
          <w:tcPr>
            <w:tcW w:w="642" w:type="dxa"/>
          </w:tcPr>
          <w:p w14:paraId="32F0DA1E" w14:textId="77777777" w:rsidR="00B70892" w:rsidRPr="00177103" w:rsidRDefault="00B70892" w:rsidP="00B70892">
            <w:pPr>
              <w:rPr>
                <w:b/>
                <w:bCs/>
              </w:rPr>
            </w:pPr>
            <w:r w:rsidRPr="00177103">
              <w:rPr>
                <w:b/>
                <w:bCs/>
              </w:rPr>
              <w:t>36613</w:t>
            </w:r>
          </w:p>
        </w:tc>
        <w:tc>
          <w:tcPr>
            <w:tcW w:w="586" w:type="dxa"/>
          </w:tcPr>
          <w:p w14:paraId="5CEC9214" w14:textId="77777777" w:rsidR="00B70892" w:rsidRPr="00177103" w:rsidRDefault="00B70892" w:rsidP="00B70892">
            <w:pPr>
              <w:rPr>
                <w:b/>
                <w:bCs/>
              </w:rPr>
            </w:pPr>
            <w:r w:rsidRPr="00177103">
              <w:rPr>
                <w:b/>
                <w:bCs/>
              </w:rPr>
              <w:t>100.0</w:t>
            </w:r>
          </w:p>
        </w:tc>
        <w:tc>
          <w:tcPr>
            <w:tcW w:w="619" w:type="dxa"/>
          </w:tcPr>
          <w:p w14:paraId="7AACF9A8" w14:textId="77777777" w:rsidR="00B70892" w:rsidRPr="00177103" w:rsidRDefault="00B70892" w:rsidP="00B70892">
            <w:pPr>
              <w:rPr>
                <w:b/>
                <w:bCs/>
              </w:rPr>
            </w:pPr>
            <w:r w:rsidRPr="00177103">
              <w:rPr>
                <w:b/>
                <w:bCs/>
              </w:rPr>
              <w:t>2088</w:t>
            </w:r>
          </w:p>
        </w:tc>
        <w:tc>
          <w:tcPr>
            <w:tcW w:w="586" w:type="dxa"/>
          </w:tcPr>
          <w:p w14:paraId="58F28D8D" w14:textId="77777777" w:rsidR="00B70892" w:rsidRPr="00177103" w:rsidRDefault="00B70892" w:rsidP="00B70892">
            <w:pPr>
              <w:rPr>
                <w:b/>
                <w:bCs/>
              </w:rPr>
            </w:pPr>
            <w:r w:rsidRPr="00177103">
              <w:rPr>
                <w:b/>
                <w:bCs/>
              </w:rPr>
              <w:t>100.0</w:t>
            </w:r>
          </w:p>
        </w:tc>
        <w:tc>
          <w:tcPr>
            <w:tcW w:w="619" w:type="dxa"/>
          </w:tcPr>
          <w:p w14:paraId="6C2D4D3C" w14:textId="77777777" w:rsidR="00B70892" w:rsidRPr="00177103" w:rsidRDefault="00B70892" w:rsidP="00B70892">
            <w:pPr>
              <w:rPr>
                <w:b/>
                <w:bCs/>
              </w:rPr>
            </w:pPr>
            <w:r w:rsidRPr="00177103">
              <w:rPr>
                <w:b/>
                <w:bCs/>
              </w:rPr>
              <w:t>125</w:t>
            </w:r>
          </w:p>
        </w:tc>
        <w:tc>
          <w:tcPr>
            <w:tcW w:w="554" w:type="dxa"/>
          </w:tcPr>
          <w:p w14:paraId="20F8F008" w14:textId="77777777" w:rsidR="00B70892" w:rsidRPr="00177103" w:rsidRDefault="00B70892" w:rsidP="00B70892">
            <w:pPr>
              <w:rPr>
                <w:b/>
                <w:bCs/>
              </w:rPr>
            </w:pPr>
            <w:r w:rsidRPr="00177103">
              <w:rPr>
                <w:b/>
                <w:bCs/>
              </w:rPr>
              <w:t>100.0</w:t>
            </w:r>
          </w:p>
        </w:tc>
      </w:tr>
    </w:tbl>
    <w:p w14:paraId="411AC3C9" w14:textId="77777777" w:rsidR="00B70892" w:rsidRPr="00A721E1" w:rsidRDefault="00A721E1" w:rsidP="00A721E1">
      <w:pPr>
        <w:pStyle w:val="Bibliografa"/>
        <w:ind w:left="720" w:hanging="720"/>
        <w:jc w:val="center"/>
        <w:rPr>
          <w:rFonts w:ascii="Times New Roman" w:eastAsia="Times New Roman" w:hAnsi="Times New Roman" w:cs="Times New Roman"/>
          <w:sz w:val="20"/>
          <w:szCs w:val="21"/>
          <w:lang w:eastAsia="es-MX"/>
        </w:rPr>
      </w:pPr>
      <w:r w:rsidRPr="00177103">
        <w:rPr>
          <w:rFonts w:ascii="Times New Roman" w:eastAsia="Times New Roman" w:hAnsi="Times New Roman" w:cs="Times New Roman"/>
          <w:lang w:eastAsia="es-MX"/>
        </w:rPr>
        <w:t xml:space="preserve">Fuente: </w:t>
      </w:r>
      <w:r w:rsidR="00B70892" w:rsidRPr="00177103">
        <w:rPr>
          <w:rFonts w:ascii="Times New Roman" w:eastAsia="Times New Roman" w:hAnsi="Times New Roman" w:cs="Times New Roman"/>
          <w:lang w:eastAsia="es-MX"/>
        </w:rPr>
        <w:t>INEE (2018</w:t>
      </w:r>
      <w:r w:rsidR="001417D2" w:rsidRPr="00177103">
        <w:rPr>
          <w:rFonts w:ascii="Times New Roman" w:eastAsia="Times New Roman" w:hAnsi="Times New Roman" w:cs="Times New Roman"/>
          <w:lang w:eastAsia="es-MX"/>
        </w:rPr>
        <w:t>b</w:t>
      </w:r>
      <w:r w:rsidR="00B70892" w:rsidRPr="00177103">
        <w:rPr>
          <w:rFonts w:ascii="Times New Roman" w:eastAsia="Times New Roman" w:hAnsi="Times New Roman" w:cs="Times New Roman"/>
          <w:lang w:eastAsia="es-MX"/>
        </w:rPr>
        <w:t>)</w:t>
      </w:r>
    </w:p>
    <w:p w14:paraId="352158CA" w14:textId="77777777" w:rsidR="00A721E1" w:rsidRDefault="00A721E1" w:rsidP="00A721E1">
      <w:pPr>
        <w:spacing w:line="360" w:lineRule="auto"/>
        <w:ind w:firstLine="708"/>
        <w:jc w:val="both"/>
      </w:pPr>
      <w:r>
        <w:t>Para el año 2019, luego de seis</w:t>
      </w:r>
      <w:r w:rsidR="00B70892">
        <w:t xml:space="preserve"> años de iniciar operaciones y c</w:t>
      </w:r>
      <w:r>
        <w:t>on cuatro</w:t>
      </w:r>
      <w:r w:rsidR="00B70892">
        <w:t xml:space="preserve"> generaciones de egresados, se hace necesario r</w:t>
      </w:r>
      <w:r w:rsidR="00B70892" w:rsidRPr="008B162D">
        <w:t>econocer la ruta</w:t>
      </w:r>
      <w:r w:rsidR="00B70892">
        <w:t xml:space="preserve"> </w:t>
      </w:r>
      <w:r w:rsidR="00B70892" w:rsidRPr="008B162D">
        <w:t xml:space="preserve">que han seguido </w:t>
      </w:r>
      <w:r w:rsidR="00B70892">
        <w:t xml:space="preserve">los graduados del TBC y </w:t>
      </w:r>
      <w:r w:rsidR="00B70892" w:rsidRPr="008B162D">
        <w:t>en qué medida se ha cumplido el propósito formativo</w:t>
      </w:r>
      <w:r w:rsidR="00B70892">
        <w:t xml:space="preserve">, cómo ha sido la experiencia del estudiante y </w:t>
      </w:r>
      <w:r>
        <w:t>cuál ha sido</w:t>
      </w:r>
      <w:r w:rsidR="00B70892" w:rsidRPr="008B162D">
        <w:t xml:space="preserve"> el aporte social y la incidencia en la comunidad.</w:t>
      </w:r>
      <w:r>
        <w:t xml:space="preserve"> Este trabajo, por tanto, procura </w:t>
      </w:r>
      <w:r w:rsidR="00B70892">
        <w:t>v</w:t>
      </w:r>
      <w:r w:rsidR="00B70892" w:rsidRPr="008B162D">
        <w:t>alorar la pertinencia del servicio educativo reconoc</w:t>
      </w:r>
      <w:r w:rsidR="00B70892">
        <w:t xml:space="preserve">iendo </w:t>
      </w:r>
      <w:r w:rsidR="00B70892" w:rsidRPr="008B162D">
        <w:t xml:space="preserve">la ruta profesional y laboral que han seguido </w:t>
      </w:r>
      <w:r w:rsidR="00B70892">
        <w:t>sus</w:t>
      </w:r>
      <w:r w:rsidR="00B70892" w:rsidRPr="008B162D">
        <w:t xml:space="preserve"> egresados</w:t>
      </w:r>
      <w:r w:rsidR="00B70892">
        <w:t>.</w:t>
      </w:r>
    </w:p>
    <w:p w14:paraId="5B580071" w14:textId="2DD0503E" w:rsidR="00A721E1" w:rsidRDefault="00B70892" w:rsidP="00A721E1">
      <w:pPr>
        <w:spacing w:line="360" w:lineRule="auto"/>
        <w:ind w:firstLine="708"/>
        <w:jc w:val="both"/>
        <w:rPr>
          <w:iCs/>
        </w:rPr>
      </w:pPr>
      <w:r>
        <w:t xml:space="preserve">Uno de los aspectos más importantes en la evaluación del </w:t>
      </w:r>
      <w:r w:rsidR="00A721E1">
        <w:t xml:space="preserve">servicio educativo </w:t>
      </w:r>
      <w:r>
        <w:t xml:space="preserve">es </w:t>
      </w:r>
      <w:r w:rsidR="00A721E1">
        <w:t>el</w:t>
      </w:r>
      <w:r>
        <w:t xml:space="preserve"> referid</w:t>
      </w:r>
      <w:r w:rsidR="00A721E1">
        <w:t>o</w:t>
      </w:r>
      <w:r>
        <w:t xml:space="preserve"> a los programas de estudio</w:t>
      </w:r>
      <w:r w:rsidR="00A721E1">
        <w:t>, los cuales</w:t>
      </w:r>
      <w:r>
        <w:t xml:space="preserve"> deben respo</w:t>
      </w:r>
      <w:r w:rsidR="00A721E1">
        <w:t xml:space="preserve">nder a las necesidades actuales. En palabras de </w:t>
      </w:r>
      <w:r w:rsidR="001417D2">
        <w:rPr>
          <w:noProof/>
          <w:lang w:val="es-ES"/>
        </w:rPr>
        <w:t>Barriga, González, Pacheco Pinzó</w:t>
      </w:r>
      <w:r w:rsidR="00A721E1">
        <w:rPr>
          <w:noProof/>
          <w:lang w:val="es-ES"/>
        </w:rPr>
        <w:t>n, Saad Dayan y Rojas Drummond (1990), eso implica “</w:t>
      </w:r>
      <w:r w:rsidRPr="00A721E1">
        <w:rPr>
          <w:iCs/>
        </w:rPr>
        <w:t xml:space="preserve">la necesidad de adecuar de manera permanente el plan curricular, determinar sus logros, para ello es necesario evaluar continuamente los aspectos interno y externos del </w:t>
      </w:r>
      <w:r w:rsidR="00A721E1" w:rsidRPr="00A721E1">
        <w:rPr>
          <w:iCs/>
        </w:rPr>
        <w:t>currículo”</w:t>
      </w:r>
      <w:r w:rsidR="00A721E1">
        <w:rPr>
          <w:iCs/>
        </w:rPr>
        <w:t xml:space="preserve"> (p. </w:t>
      </w:r>
      <w:r w:rsidR="00A34CAC">
        <w:rPr>
          <w:iCs/>
        </w:rPr>
        <w:t>133</w:t>
      </w:r>
      <w:r w:rsidR="00A721E1">
        <w:rPr>
          <w:iCs/>
        </w:rPr>
        <w:t>).</w:t>
      </w:r>
    </w:p>
    <w:p w14:paraId="5A15DEB1" w14:textId="77777777" w:rsidR="00B70892" w:rsidRDefault="00A9407E" w:rsidP="00A721E1">
      <w:pPr>
        <w:spacing w:line="360" w:lineRule="auto"/>
        <w:ind w:firstLine="708"/>
        <w:jc w:val="both"/>
      </w:pPr>
      <w:r>
        <w:t>Ahora bien, p</w:t>
      </w:r>
      <w:r w:rsidR="00B70892">
        <w:t xml:space="preserve">ara </w:t>
      </w:r>
      <w:r w:rsidR="00B70892">
        <w:rPr>
          <w:noProof/>
          <w:lang w:val="es-ES"/>
        </w:rPr>
        <w:t xml:space="preserve">Barriga </w:t>
      </w:r>
      <w:r w:rsidR="00B70892" w:rsidRPr="00A9407E">
        <w:rPr>
          <w:i/>
          <w:noProof/>
          <w:lang w:val="es-ES"/>
        </w:rPr>
        <w:t>et al</w:t>
      </w:r>
      <w:r w:rsidR="00B70892">
        <w:rPr>
          <w:noProof/>
          <w:lang w:val="es-ES"/>
        </w:rPr>
        <w:t>. (</w:t>
      </w:r>
      <w:r w:rsidR="001417D2">
        <w:rPr>
          <w:noProof/>
          <w:lang w:val="es-ES"/>
        </w:rPr>
        <w:t>1990</w:t>
      </w:r>
      <w:r w:rsidR="00B70892">
        <w:rPr>
          <w:noProof/>
          <w:lang w:val="es-ES"/>
        </w:rPr>
        <w:t>)</w:t>
      </w:r>
      <w:r w:rsidR="00B70892">
        <w:t xml:space="preserve"> evaluar la efectividad del </w:t>
      </w:r>
      <w:r>
        <w:t>currículo</w:t>
      </w:r>
      <w:r w:rsidR="00B70892">
        <w:t xml:space="preserve"> contempla los siguientes aspectos:</w:t>
      </w:r>
    </w:p>
    <w:p w14:paraId="140D1EDF" w14:textId="77777777" w:rsidR="00B70892" w:rsidRPr="00A9407E" w:rsidRDefault="00B70892" w:rsidP="00B70892">
      <w:pPr>
        <w:pStyle w:val="Prrafodelista"/>
        <w:numPr>
          <w:ilvl w:val="0"/>
          <w:numId w:val="11"/>
        </w:numPr>
        <w:spacing w:line="360" w:lineRule="auto"/>
        <w:ind w:hanging="294"/>
        <w:jc w:val="both"/>
        <w:rPr>
          <w:rFonts w:ascii="Times New Roman" w:hAnsi="Times New Roman" w:cs="Times New Roman"/>
          <w:iCs/>
          <w:sz w:val="24"/>
          <w:szCs w:val="24"/>
        </w:rPr>
      </w:pPr>
      <w:r w:rsidRPr="00A9407E">
        <w:rPr>
          <w:rFonts w:ascii="Times New Roman" w:hAnsi="Times New Roman" w:cs="Times New Roman"/>
          <w:iCs/>
          <w:sz w:val="24"/>
          <w:szCs w:val="24"/>
        </w:rPr>
        <w:t>Análisis de los egresados y sus funciones profesionales. Con este análisis se busca determinar qué tipo de funciones profesionales desempeñan realmente los egresados, si se capacitaron para estas funciones o no en la carrera, qué utilidad reportan los egresados, empleadores y beneficiarios de dichas funciones, qué funciones se consideran convenientes para integrarse al plan de estudios.</w:t>
      </w:r>
    </w:p>
    <w:p w14:paraId="5665FA12" w14:textId="77777777" w:rsidR="00B70892" w:rsidRPr="00A9407E" w:rsidRDefault="00B70892" w:rsidP="00B70892">
      <w:pPr>
        <w:pStyle w:val="Prrafodelista"/>
        <w:numPr>
          <w:ilvl w:val="0"/>
          <w:numId w:val="11"/>
        </w:numPr>
        <w:spacing w:line="360" w:lineRule="auto"/>
        <w:ind w:hanging="294"/>
        <w:jc w:val="both"/>
        <w:rPr>
          <w:rFonts w:ascii="Times New Roman" w:hAnsi="Times New Roman" w:cs="Times New Roman"/>
          <w:iCs/>
          <w:sz w:val="24"/>
          <w:szCs w:val="24"/>
        </w:rPr>
      </w:pPr>
      <w:r w:rsidRPr="00A9407E">
        <w:rPr>
          <w:rFonts w:ascii="Times New Roman" w:hAnsi="Times New Roman" w:cs="Times New Roman"/>
          <w:iCs/>
          <w:sz w:val="24"/>
          <w:szCs w:val="24"/>
        </w:rPr>
        <w:t>Análisis de los egresados y de los mercados de trabajo. Es indispensable determinar los tipos de áreas y sectores en que los egresados están trabajando, analizar si corresponden a mercado</w:t>
      </w:r>
      <w:r w:rsidR="00A9407E">
        <w:rPr>
          <w:rFonts w:ascii="Times New Roman" w:hAnsi="Times New Roman" w:cs="Times New Roman"/>
          <w:iCs/>
          <w:sz w:val="24"/>
          <w:szCs w:val="24"/>
        </w:rPr>
        <w:t>s</w:t>
      </w:r>
      <w:r w:rsidRPr="00A9407E">
        <w:rPr>
          <w:rFonts w:ascii="Times New Roman" w:hAnsi="Times New Roman" w:cs="Times New Roman"/>
          <w:iCs/>
          <w:sz w:val="24"/>
          <w:szCs w:val="24"/>
        </w:rPr>
        <w:t xml:space="preserve"> de trabajo tradicionales, novedosos o potenciales, investigar los índices de desempleo y subempleo de los egresados, obtener una relación de empleo en comparación con egresados de otras instituciones.</w:t>
      </w:r>
    </w:p>
    <w:p w14:paraId="2137730F" w14:textId="12642F41" w:rsidR="00B70892" w:rsidRPr="00A9407E" w:rsidRDefault="00B70892" w:rsidP="00B70892">
      <w:pPr>
        <w:pStyle w:val="Prrafodelista"/>
        <w:numPr>
          <w:ilvl w:val="0"/>
          <w:numId w:val="11"/>
        </w:numPr>
        <w:spacing w:line="360" w:lineRule="auto"/>
        <w:ind w:hanging="294"/>
        <w:jc w:val="both"/>
        <w:rPr>
          <w:rFonts w:ascii="Times New Roman" w:hAnsi="Times New Roman" w:cs="Times New Roman"/>
          <w:iCs/>
          <w:sz w:val="24"/>
          <w:szCs w:val="24"/>
        </w:rPr>
      </w:pPr>
      <w:r w:rsidRPr="00A9407E">
        <w:rPr>
          <w:rFonts w:ascii="Times New Roman" w:hAnsi="Times New Roman" w:cs="Times New Roman"/>
          <w:iCs/>
          <w:sz w:val="24"/>
          <w:szCs w:val="24"/>
        </w:rPr>
        <w:t xml:space="preserve">Análisis de la labor del egresado a partir de su intervención en la solución real de necesidades sociales y los problemas de la comunidad para los que fue diseñada la carrera. En este punto se confrontará con </w:t>
      </w:r>
      <w:r w:rsidR="00A9407E">
        <w:rPr>
          <w:rFonts w:ascii="Times New Roman" w:hAnsi="Times New Roman" w:cs="Times New Roman"/>
          <w:iCs/>
          <w:sz w:val="24"/>
          <w:szCs w:val="24"/>
        </w:rPr>
        <w:t xml:space="preserve">la </w:t>
      </w:r>
      <w:r w:rsidRPr="00A9407E">
        <w:rPr>
          <w:rFonts w:ascii="Times New Roman" w:hAnsi="Times New Roman" w:cs="Times New Roman"/>
          <w:iCs/>
          <w:sz w:val="24"/>
          <w:szCs w:val="24"/>
        </w:rPr>
        <w:t xml:space="preserve">realidad para descubrir si realmente hay o no un vínculo estrecho entre las instituciones </w:t>
      </w:r>
      <w:r w:rsidRPr="00A9407E">
        <w:rPr>
          <w:rFonts w:ascii="Times New Roman" w:hAnsi="Times New Roman" w:cs="Times New Roman"/>
          <w:iCs/>
          <w:sz w:val="24"/>
          <w:szCs w:val="24"/>
        </w:rPr>
        <w:lastRenderedPageBreak/>
        <w:t>educativas y el sistema social, y se podrán reestructurar o cambiar los fundamentos, que son la parte medular del currículo</w:t>
      </w:r>
      <w:r w:rsidR="00A9407E">
        <w:rPr>
          <w:rFonts w:ascii="Times New Roman" w:hAnsi="Times New Roman" w:cs="Times New Roman"/>
          <w:iCs/>
          <w:sz w:val="24"/>
          <w:szCs w:val="24"/>
        </w:rPr>
        <w:t xml:space="preserve"> (p. </w:t>
      </w:r>
      <w:r w:rsidR="007C7B30">
        <w:rPr>
          <w:rFonts w:ascii="Times New Roman" w:hAnsi="Times New Roman" w:cs="Times New Roman"/>
          <w:iCs/>
          <w:sz w:val="24"/>
          <w:szCs w:val="24"/>
        </w:rPr>
        <w:t>147</w:t>
      </w:r>
      <w:r w:rsidR="00A9407E">
        <w:rPr>
          <w:rFonts w:ascii="Times New Roman" w:hAnsi="Times New Roman" w:cs="Times New Roman"/>
          <w:iCs/>
          <w:sz w:val="24"/>
          <w:szCs w:val="24"/>
        </w:rPr>
        <w:t>)</w:t>
      </w:r>
      <w:r w:rsidRPr="00A9407E">
        <w:rPr>
          <w:rFonts w:ascii="Times New Roman" w:hAnsi="Times New Roman" w:cs="Times New Roman"/>
          <w:iCs/>
          <w:sz w:val="24"/>
          <w:szCs w:val="24"/>
        </w:rPr>
        <w:t>.</w:t>
      </w:r>
      <w:r w:rsidR="00A9407E">
        <w:rPr>
          <w:rFonts w:ascii="Times New Roman" w:hAnsi="Times New Roman" w:cs="Times New Roman"/>
          <w:iCs/>
          <w:sz w:val="24"/>
          <w:szCs w:val="24"/>
        </w:rPr>
        <w:t xml:space="preserve"> </w:t>
      </w:r>
    </w:p>
    <w:p w14:paraId="7E446DDB" w14:textId="77777777" w:rsidR="00B70892" w:rsidRDefault="00B70892" w:rsidP="00A9407E">
      <w:pPr>
        <w:spacing w:line="360" w:lineRule="auto"/>
        <w:ind w:firstLine="708"/>
        <w:jc w:val="both"/>
      </w:pPr>
      <w:r>
        <w:t xml:space="preserve">Desconocer la </w:t>
      </w:r>
      <w:r w:rsidR="00A9407E">
        <w:t>ocupación</w:t>
      </w:r>
      <w:r>
        <w:t xml:space="preserve"> de los egresados del TBC limita las posibilidades para evaluar los programas de estudio</w:t>
      </w:r>
      <w:r w:rsidR="00A9407E">
        <w:t>,</w:t>
      </w:r>
      <w:r>
        <w:t xml:space="preserve"> deja al </w:t>
      </w:r>
      <w:r w:rsidR="00A9407E">
        <w:t xml:space="preserve">servicio educativo </w:t>
      </w:r>
      <w:r>
        <w:t>sin insumos para mejorar la calidad de la educación impartida y</w:t>
      </w:r>
      <w:r w:rsidR="00A9407E">
        <w:t xml:space="preserve">, por tanto, no se puede </w:t>
      </w:r>
      <w:r>
        <w:t xml:space="preserve">incidir favorablemente en las comunidades rurales </w:t>
      </w:r>
      <w:r w:rsidR="00A9407E">
        <w:t>aledañas</w:t>
      </w:r>
      <w:r>
        <w:t>.</w:t>
      </w:r>
      <w:r w:rsidR="00A9407E">
        <w:t xml:space="preserve"> Por ello, en este trabajo se ha planteado </w:t>
      </w:r>
      <w:r>
        <w:t xml:space="preserve">la </w:t>
      </w:r>
      <w:r w:rsidR="00A9407E">
        <w:t xml:space="preserve">siguiente </w:t>
      </w:r>
      <w:r>
        <w:t>pregunta de investigación</w:t>
      </w:r>
      <w:r w:rsidR="00A9407E">
        <w:t>:</w:t>
      </w:r>
      <w:r>
        <w:t xml:space="preserve"> ¿</w:t>
      </w:r>
      <w:r w:rsidR="00A9407E">
        <w:t>c</w:t>
      </w:r>
      <w:r>
        <w:t xml:space="preserve">uál es la trayectoria que han seguido los egresados del </w:t>
      </w:r>
      <w:r w:rsidR="00D82E10">
        <w:t xml:space="preserve">telebachillerato comunitario </w:t>
      </w:r>
      <w:r>
        <w:t xml:space="preserve">en el </w:t>
      </w:r>
      <w:r w:rsidR="00A9407E">
        <w:t>e</w:t>
      </w:r>
      <w:r>
        <w:t>stado de Campeche?</w:t>
      </w:r>
    </w:p>
    <w:p w14:paraId="22375376" w14:textId="77777777" w:rsidR="00A9407E" w:rsidRDefault="00A9407E" w:rsidP="00A9407E">
      <w:pPr>
        <w:spacing w:line="360" w:lineRule="auto"/>
        <w:ind w:firstLine="708"/>
        <w:jc w:val="both"/>
      </w:pPr>
    </w:p>
    <w:p w14:paraId="3F8994BB" w14:textId="77777777" w:rsidR="00B70892" w:rsidRPr="00A9407E" w:rsidRDefault="00B70892" w:rsidP="00B70892">
      <w:pPr>
        <w:spacing w:line="360" w:lineRule="auto"/>
        <w:jc w:val="center"/>
        <w:rPr>
          <w:b/>
          <w:sz w:val="32"/>
          <w:szCs w:val="32"/>
          <w:lang w:val="es-ES"/>
        </w:rPr>
      </w:pPr>
      <w:r w:rsidRPr="00A9407E">
        <w:rPr>
          <w:b/>
          <w:sz w:val="32"/>
          <w:szCs w:val="32"/>
          <w:lang w:val="es-ES"/>
        </w:rPr>
        <w:t>Desarrollo</w:t>
      </w:r>
      <w:r w:rsidR="00A9407E">
        <w:rPr>
          <w:b/>
          <w:sz w:val="32"/>
          <w:szCs w:val="32"/>
          <w:lang w:val="es-ES"/>
        </w:rPr>
        <w:t xml:space="preserve"> </w:t>
      </w:r>
    </w:p>
    <w:p w14:paraId="1C1BB2FC" w14:textId="77777777" w:rsidR="00A9407E" w:rsidRDefault="00B70892" w:rsidP="00A9407E">
      <w:pPr>
        <w:spacing w:line="360" w:lineRule="auto"/>
        <w:ind w:firstLine="708"/>
        <w:jc w:val="both"/>
      </w:pPr>
      <w:r w:rsidRPr="000C4A0C">
        <w:t xml:space="preserve">La apertura de planteles de </w:t>
      </w:r>
      <w:r>
        <w:t>TBC</w:t>
      </w:r>
      <w:r w:rsidRPr="000C4A0C">
        <w:t xml:space="preserve"> en el</w:t>
      </w:r>
      <w:r>
        <w:t xml:space="preserve"> </w:t>
      </w:r>
      <w:r w:rsidR="00A9407E">
        <w:t>e</w:t>
      </w:r>
      <w:r w:rsidRPr="000C4A0C">
        <w:t>stado de Campeche</w:t>
      </w:r>
      <w:r>
        <w:t xml:space="preserve"> </w:t>
      </w:r>
      <w:r w:rsidRPr="000C4A0C">
        <w:t>inició en 2013</w:t>
      </w:r>
      <w:r>
        <w:t xml:space="preserve"> con </w:t>
      </w:r>
      <w:r w:rsidR="00A9407E">
        <w:t>cuatro</w:t>
      </w:r>
      <w:r w:rsidRPr="000C4A0C">
        <w:t xml:space="preserve"> centros educativos en las comunidades de Cumpich, Mancolona, Oxcabal y Pablo</w:t>
      </w:r>
      <w:r>
        <w:t xml:space="preserve"> </w:t>
      </w:r>
      <w:r w:rsidRPr="000C4A0C">
        <w:t>García.</w:t>
      </w:r>
      <w:r w:rsidR="00A9407E">
        <w:t xml:space="preserve"> Con un crecimiento </w:t>
      </w:r>
      <w:r w:rsidRPr="000C4A0C">
        <w:t>paulatin</w:t>
      </w:r>
      <w:r w:rsidR="00A9407E">
        <w:t>o</w:t>
      </w:r>
      <w:r w:rsidRPr="000C4A0C">
        <w:t xml:space="preserve"> </w:t>
      </w:r>
      <w:r w:rsidR="00A9407E">
        <w:t>cada año,</w:t>
      </w:r>
      <w:r w:rsidRPr="000C4A0C">
        <w:t xml:space="preserve"> en 2014 se abrieron </w:t>
      </w:r>
      <w:r w:rsidR="00A9407E">
        <w:t>cinco</w:t>
      </w:r>
      <w:r w:rsidRPr="000C4A0C">
        <w:t xml:space="preserve"> centros educativos más en las comunidades de Chunchintok, Chunkanán, Laguna Grande, Tikinmul y Suctuc. En 2015 se sumaron los centros de</w:t>
      </w:r>
      <w:r>
        <w:t xml:space="preserve"> </w:t>
      </w:r>
      <w:r w:rsidRPr="000C4A0C">
        <w:t xml:space="preserve">Isla Arena, </w:t>
      </w:r>
      <w:r w:rsidR="00A9407E">
        <w:t>L</w:t>
      </w:r>
      <w:r w:rsidRPr="000C4A0C">
        <w:t>a Victoria y Miguel Colorado.</w:t>
      </w:r>
    </w:p>
    <w:p w14:paraId="6DAE3A59" w14:textId="77777777" w:rsidR="00A9407E" w:rsidRDefault="00A9407E" w:rsidP="00A9407E">
      <w:pPr>
        <w:spacing w:line="360" w:lineRule="auto"/>
        <w:ind w:firstLine="708"/>
        <w:jc w:val="both"/>
      </w:pPr>
      <w:r>
        <w:t>Luego, e</w:t>
      </w:r>
      <w:r w:rsidR="00B70892" w:rsidRPr="000C4A0C">
        <w:t xml:space="preserve">n el año 2016 se </w:t>
      </w:r>
      <w:r>
        <w:t>abrieron</w:t>
      </w:r>
      <w:r w:rsidR="00B70892" w:rsidRPr="000C4A0C">
        <w:t xml:space="preserve"> </w:t>
      </w:r>
      <w:r>
        <w:t>seis</w:t>
      </w:r>
      <w:r w:rsidR="00B70892" w:rsidRPr="000C4A0C">
        <w:t xml:space="preserve"> planteles</w:t>
      </w:r>
      <w:r>
        <w:t xml:space="preserve"> </w:t>
      </w:r>
      <w:r w:rsidR="00B70892" w:rsidRPr="000C4A0C">
        <w:t xml:space="preserve">en las </w:t>
      </w:r>
      <w:r>
        <w:t>c</w:t>
      </w:r>
      <w:r w:rsidR="00B70892" w:rsidRPr="000C4A0C">
        <w:t>omunidades de Adolfo Ruiz Cortínez, Carlos Salinas de Gortari, Gustavo D</w:t>
      </w:r>
      <w:r>
        <w:t>í</w:t>
      </w:r>
      <w:r w:rsidR="00B70892" w:rsidRPr="000C4A0C">
        <w:t>az Ordaz, Nayarit de Castellot, San José de las Montañas y Yohaltun. Finalmente</w:t>
      </w:r>
      <w:r>
        <w:t>,</w:t>
      </w:r>
      <w:r w:rsidR="00B70892" w:rsidRPr="000C4A0C">
        <w:t xml:space="preserve"> en 2017 se </w:t>
      </w:r>
      <w:r>
        <w:t>abrió</w:t>
      </w:r>
      <w:r w:rsidR="00B70892" w:rsidRPr="000C4A0C">
        <w:t xml:space="preserve"> el centro educativo en Iturbide.</w:t>
      </w:r>
      <w:r w:rsidR="00B70892">
        <w:t xml:space="preserve"> </w:t>
      </w:r>
      <w:r>
        <w:t xml:space="preserve">Actualmente, </w:t>
      </w:r>
      <w:r w:rsidR="00B70892" w:rsidRPr="000C4A0C">
        <w:t xml:space="preserve">se cuenta con 19 planteles </w:t>
      </w:r>
      <w:r>
        <w:t>en el</w:t>
      </w:r>
      <w:r w:rsidR="00B70892" w:rsidRPr="000C4A0C">
        <w:t xml:space="preserve"> interior del </w:t>
      </w:r>
      <w:r>
        <w:t>e</w:t>
      </w:r>
      <w:r w:rsidR="00B70892" w:rsidRPr="000C4A0C">
        <w:t>stado</w:t>
      </w:r>
      <w:r w:rsidR="00B70892">
        <w:t>.</w:t>
      </w:r>
    </w:p>
    <w:p w14:paraId="50014924" w14:textId="77777777" w:rsidR="00B70892" w:rsidRPr="001302E9" w:rsidRDefault="00B70892" w:rsidP="00A9407E">
      <w:pPr>
        <w:spacing w:line="360" w:lineRule="auto"/>
        <w:ind w:firstLine="708"/>
        <w:jc w:val="both"/>
      </w:pPr>
      <w:r w:rsidRPr="001302E9">
        <w:t xml:space="preserve">Este servicio </w:t>
      </w:r>
      <w:r w:rsidR="00A9407E">
        <w:t xml:space="preserve">tiene </w:t>
      </w:r>
      <w:r w:rsidRPr="001302E9">
        <w:t xml:space="preserve">una serie de particularidades que lo </w:t>
      </w:r>
      <w:r w:rsidR="00340EDF">
        <w:t>distinguen de</w:t>
      </w:r>
      <w:r w:rsidRPr="001302E9">
        <w:t xml:space="preserve"> los demás subsistemas</w:t>
      </w:r>
      <w:r>
        <w:t>, las cuales están descritas en el documento base que regula al TBC:</w:t>
      </w:r>
    </w:p>
    <w:p w14:paraId="5C5FB7A1" w14:textId="77777777" w:rsidR="00B70892" w:rsidRPr="00A9407E" w:rsidRDefault="00B70892" w:rsidP="00A9407E">
      <w:pPr>
        <w:pStyle w:val="Prrafodelista"/>
        <w:numPr>
          <w:ilvl w:val="0"/>
          <w:numId w:val="13"/>
        </w:numPr>
        <w:spacing w:line="360" w:lineRule="auto"/>
        <w:jc w:val="both"/>
        <w:rPr>
          <w:rFonts w:ascii="Times New Roman" w:hAnsi="Times New Roman" w:cs="Times New Roman"/>
          <w:sz w:val="24"/>
          <w:szCs w:val="24"/>
        </w:rPr>
      </w:pPr>
      <w:r w:rsidRPr="00A9407E">
        <w:rPr>
          <w:rFonts w:ascii="Times New Roman" w:hAnsi="Times New Roman" w:cs="Times New Roman"/>
          <w:sz w:val="24"/>
          <w:szCs w:val="24"/>
        </w:rPr>
        <w:t xml:space="preserve">Se establece preferentemente en instalaciones de las </w:t>
      </w:r>
      <w:r w:rsidR="00A9407E">
        <w:rPr>
          <w:rFonts w:ascii="Times New Roman" w:hAnsi="Times New Roman" w:cs="Times New Roman"/>
          <w:sz w:val="24"/>
          <w:szCs w:val="24"/>
        </w:rPr>
        <w:t>t</w:t>
      </w:r>
      <w:r w:rsidRPr="00A9407E">
        <w:rPr>
          <w:rFonts w:ascii="Times New Roman" w:hAnsi="Times New Roman" w:cs="Times New Roman"/>
          <w:sz w:val="24"/>
          <w:szCs w:val="24"/>
        </w:rPr>
        <w:t>elesecundarias o en espacios que la propia comunidad ponga a disposición del servicio.</w:t>
      </w:r>
    </w:p>
    <w:p w14:paraId="5F147540" w14:textId="77777777" w:rsidR="00B70892" w:rsidRPr="00A9407E" w:rsidRDefault="00B70892" w:rsidP="00A9407E">
      <w:pPr>
        <w:pStyle w:val="Prrafodelista"/>
        <w:numPr>
          <w:ilvl w:val="0"/>
          <w:numId w:val="13"/>
        </w:numPr>
        <w:spacing w:line="360" w:lineRule="auto"/>
        <w:jc w:val="both"/>
        <w:rPr>
          <w:rFonts w:ascii="Times New Roman" w:hAnsi="Times New Roman" w:cs="Times New Roman"/>
          <w:sz w:val="24"/>
          <w:szCs w:val="24"/>
        </w:rPr>
      </w:pPr>
      <w:r w:rsidRPr="00A9407E">
        <w:rPr>
          <w:rFonts w:ascii="Times New Roman" w:hAnsi="Times New Roman" w:cs="Times New Roman"/>
          <w:sz w:val="24"/>
          <w:szCs w:val="24"/>
        </w:rPr>
        <w:t>Se imparte en una modalidad escolarizada presencial.</w:t>
      </w:r>
    </w:p>
    <w:p w14:paraId="2EE30951" w14:textId="77777777" w:rsidR="00B70892" w:rsidRPr="00A9407E" w:rsidRDefault="00B70892" w:rsidP="00A9407E">
      <w:pPr>
        <w:pStyle w:val="Prrafodelista"/>
        <w:numPr>
          <w:ilvl w:val="0"/>
          <w:numId w:val="13"/>
        </w:numPr>
        <w:spacing w:line="360" w:lineRule="auto"/>
        <w:jc w:val="both"/>
        <w:rPr>
          <w:rFonts w:ascii="Times New Roman" w:hAnsi="Times New Roman" w:cs="Times New Roman"/>
          <w:sz w:val="24"/>
          <w:szCs w:val="24"/>
        </w:rPr>
      </w:pPr>
      <w:r w:rsidRPr="00A9407E">
        <w:rPr>
          <w:rFonts w:ascii="Times New Roman" w:hAnsi="Times New Roman" w:cs="Times New Roman"/>
          <w:sz w:val="24"/>
          <w:szCs w:val="24"/>
        </w:rPr>
        <w:t xml:space="preserve">Se sustenta en el plan de estudios del </w:t>
      </w:r>
      <w:r w:rsidR="00A9407E" w:rsidRPr="00A9407E">
        <w:rPr>
          <w:rFonts w:ascii="Times New Roman" w:hAnsi="Times New Roman" w:cs="Times New Roman"/>
          <w:sz w:val="24"/>
          <w:szCs w:val="24"/>
        </w:rPr>
        <w:t>bachillerato general</w:t>
      </w:r>
      <w:r w:rsidRPr="00A9407E">
        <w:rPr>
          <w:rFonts w:ascii="Times New Roman" w:hAnsi="Times New Roman" w:cs="Times New Roman"/>
          <w:sz w:val="24"/>
          <w:szCs w:val="24"/>
        </w:rPr>
        <w:t>.</w:t>
      </w:r>
    </w:p>
    <w:p w14:paraId="56E945EF" w14:textId="77777777" w:rsidR="00B70892" w:rsidRPr="00A9407E" w:rsidRDefault="00B70892" w:rsidP="00A9407E">
      <w:pPr>
        <w:pStyle w:val="Prrafodelista"/>
        <w:numPr>
          <w:ilvl w:val="0"/>
          <w:numId w:val="13"/>
        </w:numPr>
        <w:spacing w:line="360" w:lineRule="auto"/>
        <w:jc w:val="both"/>
        <w:rPr>
          <w:rFonts w:ascii="Times New Roman" w:hAnsi="Times New Roman" w:cs="Times New Roman"/>
          <w:sz w:val="24"/>
          <w:szCs w:val="24"/>
        </w:rPr>
      </w:pPr>
      <w:r w:rsidRPr="00A9407E">
        <w:rPr>
          <w:rFonts w:ascii="Times New Roman" w:hAnsi="Times New Roman" w:cs="Times New Roman"/>
          <w:sz w:val="24"/>
          <w:szCs w:val="24"/>
        </w:rPr>
        <w:t>Cuenta con una plantilla de tres docentes</w:t>
      </w:r>
      <w:r w:rsidR="00A9407E">
        <w:rPr>
          <w:rFonts w:ascii="Times New Roman" w:hAnsi="Times New Roman" w:cs="Times New Roman"/>
          <w:sz w:val="24"/>
          <w:szCs w:val="24"/>
        </w:rPr>
        <w:t>.</w:t>
      </w:r>
    </w:p>
    <w:p w14:paraId="4E2CD60A" w14:textId="77777777" w:rsidR="00B70892" w:rsidRPr="00A9407E" w:rsidRDefault="00B70892" w:rsidP="00A9407E">
      <w:pPr>
        <w:pStyle w:val="Prrafodelista"/>
        <w:numPr>
          <w:ilvl w:val="0"/>
          <w:numId w:val="13"/>
        </w:numPr>
        <w:spacing w:line="360" w:lineRule="auto"/>
        <w:jc w:val="both"/>
        <w:rPr>
          <w:rFonts w:ascii="Times New Roman" w:hAnsi="Times New Roman" w:cs="Times New Roman"/>
          <w:sz w:val="24"/>
          <w:szCs w:val="24"/>
        </w:rPr>
      </w:pPr>
      <w:r w:rsidRPr="00A9407E">
        <w:rPr>
          <w:rFonts w:ascii="Times New Roman" w:hAnsi="Times New Roman" w:cs="Times New Roman"/>
          <w:sz w:val="24"/>
          <w:szCs w:val="24"/>
        </w:rPr>
        <w:t>Se apoya en materiales impresos y audiovisuales elaborados expresamente para este servicio.</w:t>
      </w:r>
    </w:p>
    <w:p w14:paraId="291C0CE9" w14:textId="77777777" w:rsidR="00B70892" w:rsidRPr="00A9407E" w:rsidRDefault="00A9407E" w:rsidP="00A9407E">
      <w:pPr>
        <w:pStyle w:val="Prrafodelista"/>
        <w:numPr>
          <w:ilvl w:val="0"/>
          <w:numId w:val="13"/>
        </w:numPr>
        <w:spacing w:line="360" w:lineRule="auto"/>
        <w:jc w:val="both"/>
        <w:rPr>
          <w:i/>
        </w:rPr>
      </w:pPr>
      <w:r>
        <w:rPr>
          <w:rFonts w:ascii="Times New Roman" w:hAnsi="Times New Roman" w:cs="Times New Roman"/>
          <w:sz w:val="24"/>
          <w:szCs w:val="24"/>
        </w:rPr>
        <w:t>La d</w:t>
      </w:r>
      <w:r w:rsidR="00B70892" w:rsidRPr="00A9407E">
        <w:rPr>
          <w:rFonts w:ascii="Times New Roman" w:hAnsi="Times New Roman" w:cs="Times New Roman"/>
          <w:sz w:val="24"/>
          <w:szCs w:val="24"/>
        </w:rPr>
        <w:t>uración de los estudios es mínim</w:t>
      </w:r>
      <w:r>
        <w:rPr>
          <w:rFonts w:ascii="Times New Roman" w:hAnsi="Times New Roman" w:cs="Times New Roman"/>
          <w:sz w:val="24"/>
          <w:szCs w:val="24"/>
        </w:rPr>
        <w:t>o</w:t>
      </w:r>
      <w:r w:rsidR="00B70892" w:rsidRPr="00A9407E">
        <w:rPr>
          <w:rFonts w:ascii="Times New Roman" w:hAnsi="Times New Roman" w:cs="Times New Roman"/>
          <w:sz w:val="24"/>
          <w:szCs w:val="24"/>
        </w:rPr>
        <w:t xml:space="preserve"> tres </w:t>
      </w:r>
      <w:r>
        <w:rPr>
          <w:rFonts w:ascii="Times New Roman" w:hAnsi="Times New Roman" w:cs="Times New Roman"/>
          <w:sz w:val="24"/>
          <w:szCs w:val="24"/>
        </w:rPr>
        <w:t xml:space="preserve">años </w:t>
      </w:r>
      <w:r w:rsidR="00B70892" w:rsidRPr="00A9407E">
        <w:rPr>
          <w:rFonts w:ascii="Times New Roman" w:hAnsi="Times New Roman" w:cs="Times New Roman"/>
          <w:sz w:val="24"/>
          <w:szCs w:val="24"/>
        </w:rPr>
        <w:t>y máxim</w:t>
      </w:r>
      <w:r>
        <w:rPr>
          <w:rFonts w:ascii="Times New Roman" w:hAnsi="Times New Roman" w:cs="Times New Roman"/>
          <w:sz w:val="24"/>
          <w:szCs w:val="24"/>
        </w:rPr>
        <w:t>o</w:t>
      </w:r>
      <w:r w:rsidR="00B70892" w:rsidRPr="00A9407E">
        <w:rPr>
          <w:rFonts w:ascii="Times New Roman" w:hAnsi="Times New Roman" w:cs="Times New Roman"/>
          <w:sz w:val="24"/>
          <w:szCs w:val="24"/>
        </w:rPr>
        <w:t xml:space="preserve"> cinco años </w:t>
      </w:r>
      <w:sdt>
        <w:sdtPr>
          <w:rPr>
            <w:rFonts w:ascii="Times New Roman" w:hAnsi="Times New Roman" w:cs="Times New Roman"/>
            <w:sz w:val="24"/>
            <w:szCs w:val="24"/>
          </w:rPr>
          <w:id w:val="-329986458"/>
          <w:citation/>
        </w:sdtPr>
        <w:sdtEndPr/>
        <w:sdtContent>
          <w:r w:rsidR="00B70892" w:rsidRPr="00A9407E">
            <w:rPr>
              <w:rFonts w:ascii="Times New Roman" w:hAnsi="Times New Roman" w:cs="Times New Roman"/>
              <w:sz w:val="24"/>
              <w:szCs w:val="24"/>
            </w:rPr>
            <w:fldChar w:fldCharType="begin"/>
          </w:r>
          <w:r w:rsidR="00B70892" w:rsidRPr="00A9407E">
            <w:rPr>
              <w:rFonts w:ascii="Times New Roman" w:hAnsi="Times New Roman" w:cs="Times New Roman"/>
              <w:sz w:val="24"/>
              <w:szCs w:val="24"/>
              <w:lang w:val="es-ES"/>
            </w:rPr>
            <w:instrText xml:space="preserve">CITATION SEM16 \t  \l 3082 </w:instrText>
          </w:r>
          <w:r w:rsidR="00B70892" w:rsidRPr="00A9407E">
            <w:rPr>
              <w:rFonts w:ascii="Times New Roman" w:hAnsi="Times New Roman" w:cs="Times New Roman"/>
              <w:sz w:val="24"/>
              <w:szCs w:val="24"/>
            </w:rPr>
            <w:fldChar w:fldCharType="separate"/>
          </w:r>
          <w:r w:rsidR="00B70892" w:rsidRPr="00A9407E">
            <w:rPr>
              <w:rFonts w:ascii="Times New Roman" w:hAnsi="Times New Roman" w:cs="Times New Roman"/>
              <w:noProof/>
              <w:sz w:val="24"/>
              <w:szCs w:val="24"/>
              <w:lang w:val="es-ES"/>
            </w:rPr>
            <w:t>(SEMS, 2016)</w:t>
          </w:r>
          <w:r w:rsidR="00B70892" w:rsidRPr="00A9407E">
            <w:rPr>
              <w:rFonts w:ascii="Times New Roman" w:hAnsi="Times New Roman" w:cs="Times New Roman"/>
              <w:sz w:val="24"/>
              <w:szCs w:val="24"/>
            </w:rPr>
            <w:fldChar w:fldCharType="end"/>
          </w:r>
        </w:sdtContent>
      </w:sdt>
      <w:r w:rsidR="00340EDF">
        <w:rPr>
          <w:rFonts w:ascii="Times New Roman" w:hAnsi="Times New Roman" w:cs="Times New Roman"/>
          <w:sz w:val="24"/>
          <w:szCs w:val="24"/>
        </w:rPr>
        <w:t>.</w:t>
      </w:r>
    </w:p>
    <w:p w14:paraId="342800DD" w14:textId="77777777" w:rsidR="00B70892" w:rsidRPr="00340EDF" w:rsidRDefault="00B70892" w:rsidP="00B70892">
      <w:pPr>
        <w:spacing w:line="360" w:lineRule="auto"/>
        <w:jc w:val="both"/>
        <w:rPr>
          <w:lang w:val="es"/>
        </w:rPr>
      </w:pPr>
    </w:p>
    <w:p w14:paraId="7DB5FD4A" w14:textId="77777777" w:rsidR="00B70892" w:rsidRPr="001302E9" w:rsidRDefault="00B70892" w:rsidP="00340EDF">
      <w:pPr>
        <w:spacing w:line="360" w:lineRule="auto"/>
        <w:ind w:firstLine="708"/>
        <w:jc w:val="both"/>
      </w:pPr>
      <w:r w:rsidRPr="001302E9">
        <w:lastRenderedPageBreak/>
        <w:t>As</w:t>
      </w:r>
      <w:r w:rsidR="00340EDF">
        <w:t>i</w:t>
      </w:r>
      <w:r w:rsidRPr="001302E9">
        <w:t>mismo, centra su atención en comunidades rurales con menos de 2500 habitantes que no cuent</w:t>
      </w:r>
      <w:r w:rsidR="00340EDF">
        <w:t>a</w:t>
      </w:r>
      <w:r w:rsidRPr="001302E9">
        <w:t>n con otro</w:t>
      </w:r>
      <w:r>
        <w:t xml:space="preserve"> </w:t>
      </w:r>
      <w:r w:rsidRPr="001302E9">
        <w:t xml:space="preserve">bachillerato en un radio de </w:t>
      </w:r>
      <w:r w:rsidR="00340EDF">
        <w:t>cinco</w:t>
      </w:r>
      <w:r w:rsidRPr="001302E9">
        <w:t xml:space="preserve"> kilómetros. </w:t>
      </w:r>
      <w:r w:rsidR="00340EDF">
        <w:t>El</w:t>
      </w:r>
      <w:r w:rsidRPr="001302E9">
        <w:t xml:space="preserve"> equipamiento básico </w:t>
      </w:r>
      <w:r w:rsidR="00340EDF">
        <w:t>incluye lo siguiente</w:t>
      </w:r>
      <w:r w:rsidRPr="001302E9">
        <w:t>:</w:t>
      </w:r>
    </w:p>
    <w:p w14:paraId="49C30C60" w14:textId="77777777" w:rsidR="00B70892" w:rsidRPr="001302E9" w:rsidRDefault="00B70892" w:rsidP="00340EDF">
      <w:pPr>
        <w:pStyle w:val="Prrafodelista"/>
        <w:numPr>
          <w:ilvl w:val="0"/>
          <w:numId w:val="14"/>
        </w:numPr>
        <w:spacing w:line="360" w:lineRule="auto"/>
        <w:jc w:val="both"/>
        <w:rPr>
          <w:rFonts w:ascii="Times New Roman" w:hAnsi="Times New Roman" w:cs="Times New Roman"/>
          <w:sz w:val="24"/>
          <w:szCs w:val="24"/>
        </w:rPr>
      </w:pPr>
      <w:r w:rsidRPr="001302E9">
        <w:rPr>
          <w:rFonts w:ascii="Times New Roman" w:hAnsi="Times New Roman" w:cs="Times New Roman"/>
          <w:sz w:val="24"/>
          <w:szCs w:val="24"/>
        </w:rPr>
        <w:t>Un</w:t>
      </w:r>
      <w:r w:rsidR="00340EDF">
        <w:rPr>
          <w:rFonts w:ascii="Times New Roman" w:hAnsi="Times New Roman" w:cs="Times New Roman"/>
          <w:sz w:val="24"/>
          <w:szCs w:val="24"/>
        </w:rPr>
        <w:t xml:space="preserve"> televisor.</w:t>
      </w:r>
    </w:p>
    <w:p w14:paraId="5ABE8887" w14:textId="77777777" w:rsidR="00B70892" w:rsidRPr="001302E9" w:rsidRDefault="00B70892" w:rsidP="00340EDF">
      <w:pPr>
        <w:pStyle w:val="Prrafodelista"/>
        <w:numPr>
          <w:ilvl w:val="0"/>
          <w:numId w:val="14"/>
        </w:numPr>
        <w:spacing w:line="360" w:lineRule="auto"/>
        <w:jc w:val="both"/>
        <w:rPr>
          <w:rFonts w:ascii="Times New Roman" w:hAnsi="Times New Roman" w:cs="Times New Roman"/>
          <w:sz w:val="24"/>
          <w:szCs w:val="24"/>
        </w:rPr>
      </w:pPr>
      <w:r w:rsidRPr="001302E9">
        <w:rPr>
          <w:rFonts w:ascii="Times New Roman" w:hAnsi="Times New Roman" w:cs="Times New Roman"/>
          <w:sz w:val="24"/>
          <w:szCs w:val="24"/>
        </w:rPr>
        <w:t>Un proyector de cañón</w:t>
      </w:r>
      <w:r w:rsidR="00340EDF">
        <w:rPr>
          <w:rFonts w:ascii="Times New Roman" w:hAnsi="Times New Roman" w:cs="Times New Roman"/>
          <w:sz w:val="24"/>
          <w:szCs w:val="24"/>
        </w:rPr>
        <w:t>.</w:t>
      </w:r>
    </w:p>
    <w:p w14:paraId="5A889216" w14:textId="77777777" w:rsidR="00B70892" w:rsidRPr="001302E9" w:rsidRDefault="00B70892" w:rsidP="00340EDF">
      <w:pPr>
        <w:pStyle w:val="Prrafodelista"/>
        <w:numPr>
          <w:ilvl w:val="0"/>
          <w:numId w:val="14"/>
        </w:numPr>
        <w:spacing w:line="360" w:lineRule="auto"/>
        <w:jc w:val="both"/>
        <w:rPr>
          <w:rFonts w:ascii="Times New Roman" w:hAnsi="Times New Roman" w:cs="Times New Roman"/>
          <w:sz w:val="24"/>
          <w:szCs w:val="24"/>
        </w:rPr>
      </w:pPr>
      <w:r w:rsidRPr="001302E9">
        <w:rPr>
          <w:rFonts w:ascii="Times New Roman" w:hAnsi="Times New Roman" w:cs="Times New Roman"/>
          <w:sz w:val="24"/>
          <w:szCs w:val="24"/>
        </w:rPr>
        <w:t>Un reproductor de discos compactos en formato DVD</w:t>
      </w:r>
      <w:r w:rsidR="00340EDF">
        <w:rPr>
          <w:rFonts w:ascii="Times New Roman" w:hAnsi="Times New Roman" w:cs="Times New Roman"/>
          <w:sz w:val="24"/>
          <w:szCs w:val="24"/>
        </w:rPr>
        <w:t>.</w:t>
      </w:r>
    </w:p>
    <w:p w14:paraId="4459372D" w14:textId="77777777" w:rsidR="00B70892" w:rsidRPr="001302E9" w:rsidRDefault="00B70892" w:rsidP="00340EDF">
      <w:pPr>
        <w:pStyle w:val="Prrafodelista"/>
        <w:numPr>
          <w:ilvl w:val="0"/>
          <w:numId w:val="14"/>
        </w:numPr>
        <w:spacing w:line="360" w:lineRule="auto"/>
        <w:jc w:val="both"/>
        <w:rPr>
          <w:rFonts w:ascii="Times New Roman" w:hAnsi="Times New Roman" w:cs="Times New Roman"/>
          <w:sz w:val="24"/>
          <w:szCs w:val="24"/>
        </w:rPr>
      </w:pPr>
      <w:r w:rsidRPr="001302E9">
        <w:rPr>
          <w:rFonts w:ascii="Times New Roman" w:hAnsi="Times New Roman" w:cs="Times New Roman"/>
          <w:sz w:val="24"/>
          <w:szCs w:val="24"/>
        </w:rPr>
        <w:t xml:space="preserve">Una </w:t>
      </w:r>
      <w:r w:rsidRPr="00340EDF">
        <w:rPr>
          <w:rFonts w:ascii="Times New Roman" w:hAnsi="Times New Roman" w:cs="Times New Roman"/>
          <w:i/>
          <w:sz w:val="24"/>
          <w:szCs w:val="24"/>
        </w:rPr>
        <w:t>laptop</w:t>
      </w:r>
      <w:r w:rsidRPr="001302E9">
        <w:rPr>
          <w:rFonts w:ascii="Times New Roman" w:hAnsi="Times New Roman" w:cs="Times New Roman"/>
          <w:sz w:val="24"/>
          <w:szCs w:val="24"/>
        </w:rPr>
        <w:t xml:space="preserve"> para uso de actividades de enseñanza</w:t>
      </w:r>
      <w:r w:rsidR="00340EDF">
        <w:rPr>
          <w:rFonts w:ascii="Times New Roman" w:hAnsi="Times New Roman" w:cs="Times New Roman"/>
          <w:sz w:val="24"/>
          <w:szCs w:val="24"/>
        </w:rPr>
        <w:t xml:space="preserve">. </w:t>
      </w:r>
    </w:p>
    <w:p w14:paraId="680AE565" w14:textId="37D9E62E" w:rsidR="00340EDF" w:rsidRDefault="00B70892" w:rsidP="00340EDF">
      <w:pPr>
        <w:spacing w:line="360" w:lineRule="auto"/>
        <w:ind w:firstLine="708"/>
        <w:jc w:val="both"/>
        <w:rPr>
          <w:iCs/>
        </w:rPr>
      </w:pPr>
      <w:r>
        <w:t>En cada plant</w:t>
      </w:r>
      <w:r w:rsidR="00340EDF">
        <w:t>el laboran tres</w:t>
      </w:r>
      <w:r>
        <w:t xml:space="preserve"> </w:t>
      </w:r>
      <w:r w:rsidRPr="001302E9">
        <w:t>docentes</w:t>
      </w:r>
      <w:r w:rsidR="00340EDF">
        <w:t>.</w:t>
      </w:r>
      <w:r>
        <w:t xml:space="preserve"> </w:t>
      </w:r>
      <w:r w:rsidR="00340EDF">
        <w:t>C</w:t>
      </w:r>
      <w:r>
        <w:t xml:space="preserve">ada uno se enfoca </w:t>
      </w:r>
      <w:r w:rsidRPr="001302E9">
        <w:t xml:space="preserve">en </w:t>
      </w:r>
      <w:r>
        <w:t xml:space="preserve">el área disciplinar que le corresponde de acuerdo </w:t>
      </w:r>
      <w:r w:rsidR="00340EDF">
        <w:t>con</w:t>
      </w:r>
      <w:r>
        <w:t xml:space="preserve"> su perfil profesional</w:t>
      </w:r>
      <w:r w:rsidR="00340EDF">
        <w:t>,</w:t>
      </w:r>
      <w:r>
        <w:t xml:space="preserve"> el cual se establece en el profesiograma para el </w:t>
      </w:r>
      <w:r w:rsidR="00D82E10">
        <w:t>telebachillerato comunitario</w:t>
      </w:r>
      <w:r>
        <w:t xml:space="preserve">, documento catalogado como </w:t>
      </w:r>
      <w:r w:rsidR="00340EDF">
        <w:t>“</w:t>
      </w:r>
      <w:r w:rsidRPr="00340EDF">
        <w:rPr>
          <w:iCs/>
        </w:rPr>
        <w:t>una herramienta de índole académico-administrativo, que contiene de manera organizada y sintética las cualidades o competencias</w:t>
      </w:r>
      <w:r w:rsidRPr="00340EDF">
        <w:t xml:space="preserve"> </w:t>
      </w:r>
      <w:r w:rsidRPr="00340EDF">
        <w:rPr>
          <w:iCs/>
        </w:rPr>
        <w:t xml:space="preserve">deseables en un profesionista que aspira a ser docente en el </w:t>
      </w:r>
      <w:r w:rsidR="00D82E10" w:rsidRPr="00340EDF">
        <w:rPr>
          <w:iCs/>
        </w:rPr>
        <w:t>telebachillerato comunitario</w:t>
      </w:r>
      <w:r w:rsidR="00340EDF">
        <w:rPr>
          <w:iCs/>
        </w:rPr>
        <w:t>” (</w:t>
      </w:r>
      <w:r w:rsidR="00340EDF" w:rsidRPr="00D12C67">
        <w:rPr>
          <w:noProof/>
        </w:rPr>
        <w:t>D</w:t>
      </w:r>
      <w:r w:rsidR="00EF01B3">
        <w:rPr>
          <w:noProof/>
        </w:rPr>
        <w:t xml:space="preserve">irección </w:t>
      </w:r>
      <w:r w:rsidR="00340EDF" w:rsidRPr="00D12C67">
        <w:rPr>
          <w:noProof/>
        </w:rPr>
        <w:t>G</w:t>
      </w:r>
      <w:r w:rsidR="00EF01B3">
        <w:rPr>
          <w:noProof/>
        </w:rPr>
        <w:t xml:space="preserve">eneral del </w:t>
      </w:r>
      <w:r w:rsidR="00340EDF" w:rsidRPr="00D12C67">
        <w:rPr>
          <w:noProof/>
        </w:rPr>
        <w:t>B</w:t>
      </w:r>
      <w:r w:rsidR="00EF01B3">
        <w:rPr>
          <w:noProof/>
        </w:rPr>
        <w:t>achillerato</w:t>
      </w:r>
      <w:r w:rsidR="00340EDF" w:rsidRPr="00D12C67">
        <w:rPr>
          <w:noProof/>
        </w:rPr>
        <w:t>, 2019</w:t>
      </w:r>
      <w:r w:rsidR="00340EDF">
        <w:rPr>
          <w:noProof/>
        </w:rPr>
        <w:t xml:space="preserve">, p. </w:t>
      </w:r>
      <w:r w:rsidR="00B208E2">
        <w:rPr>
          <w:noProof/>
        </w:rPr>
        <w:t>3</w:t>
      </w:r>
      <w:r w:rsidR="00340EDF">
        <w:rPr>
          <w:iCs/>
        </w:rPr>
        <w:t>).</w:t>
      </w:r>
    </w:p>
    <w:p w14:paraId="050F46A3" w14:textId="243BF7A2" w:rsidR="00340EDF" w:rsidRDefault="00B70892" w:rsidP="00340EDF">
      <w:pPr>
        <w:spacing w:line="360" w:lineRule="auto"/>
        <w:ind w:firstLine="708"/>
        <w:jc w:val="both"/>
      </w:pPr>
      <w:r>
        <w:t>Los docentes</w:t>
      </w:r>
      <w:r w:rsidR="00340EDF">
        <w:t>,</w:t>
      </w:r>
      <w:r>
        <w:t xml:space="preserve"> según el acuerdo </w:t>
      </w:r>
      <w:r w:rsidR="00340EDF">
        <w:t>s</w:t>
      </w:r>
      <w:r>
        <w:t>ecretarial 447</w:t>
      </w:r>
      <w:r w:rsidR="00340EDF">
        <w:t>,</w:t>
      </w:r>
      <w:r>
        <w:t xml:space="preserve"> se definen como </w:t>
      </w:r>
      <w:r w:rsidR="00340EDF">
        <w:t>“</w:t>
      </w:r>
      <w:r w:rsidRPr="00340EDF">
        <w:rPr>
          <w:iCs/>
        </w:rPr>
        <w:t>el conjunto de educadores que satisfacen los requisitos necesarios y que, como promotores y agentes del proceso educativo, ejercen la docencia a través de la cátedra, la orientación, la tutoría y en general cualquier actividad ligada a estos procesos</w:t>
      </w:r>
      <w:r w:rsidR="00340EDF">
        <w:rPr>
          <w:iCs/>
        </w:rPr>
        <w:t>”</w:t>
      </w:r>
      <w:r>
        <w:t xml:space="preserve"> (SEMS</w:t>
      </w:r>
      <w:r w:rsidR="00340EDF">
        <w:t>,</w:t>
      </w:r>
      <w:r>
        <w:t xml:space="preserve"> 2018</w:t>
      </w:r>
      <w:r w:rsidR="00340EDF">
        <w:t xml:space="preserve">, p. </w:t>
      </w:r>
      <w:r w:rsidR="00F91BE9">
        <w:t>2</w:t>
      </w:r>
      <w:r>
        <w:t>)</w:t>
      </w:r>
      <w:r w:rsidR="00340EDF">
        <w:t>.</w:t>
      </w:r>
    </w:p>
    <w:p w14:paraId="361580C1" w14:textId="77777777" w:rsidR="00D82E10" w:rsidRDefault="00B70892" w:rsidP="00D82E10">
      <w:pPr>
        <w:spacing w:line="360" w:lineRule="auto"/>
        <w:ind w:firstLine="708"/>
        <w:jc w:val="both"/>
      </w:pPr>
      <w:r w:rsidRPr="001302E9">
        <w:t>Al iniciar sus operaciones en 2013</w:t>
      </w:r>
      <w:r w:rsidR="00340EDF">
        <w:t>,</w:t>
      </w:r>
      <w:r w:rsidRPr="001302E9">
        <w:t xml:space="preserve"> el modelo educativo se conformó por el </w:t>
      </w:r>
      <w:r>
        <w:t>p</w:t>
      </w:r>
      <w:r w:rsidRPr="001302E9">
        <w:t xml:space="preserve">lan y </w:t>
      </w:r>
      <w:r>
        <w:t>p</w:t>
      </w:r>
      <w:r w:rsidRPr="001302E9">
        <w:t xml:space="preserve">rogramas de </w:t>
      </w:r>
      <w:r>
        <w:t>e</w:t>
      </w:r>
      <w:r w:rsidRPr="001302E9">
        <w:t xml:space="preserve">studio vigentes del </w:t>
      </w:r>
      <w:r>
        <w:t>b</w:t>
      </w:r>
      <w:r w:rsidRPr="001302E9">
        <w:t xml:space="preserve">achillerato </w:t>
      </w:r>
      <w:r>
        <w:t>g</w:t>
      </w:r>
      <w:r w:rsidRPr="001302E9">
        <w:t>eneral con una estructura organizada por asignaturas en tres componentes de formación: básica, propedéutica y profesional.</w:t>
      </w:r>
      <w:r w:rsidR="00D82E10">
        <w:t xml:space="preserve"> Asimismo, </w:t>
      </w:r>
      <w:r w:rsidRPr="001302E9">
        <w:t xml:space="preserve">un enfoque intercultural que permite la transversalidad en diversidad, tolerancia y </w:t>
      </w:r>
      <w:r w:rsidR="00D82E10">
        <w:t>civilidad, que i</w:t>
      </w:r>
      <w:r w:rsidRPr="001302E9">
        <w:t>ntegra también las actividades de tutoría</w:t>
      </w:r>
      <w:r w:rsidR="00D82E10">
        <w:t>, así como la realización de</w:t>
      </w:r>
      <w:r w:rsidRPr="001302E9">
        <w:t xml:space="preserve"> </w:t>
      </w:r>
      <w:r w:rsidR="00D82E10">
        <w:t>iniciativas</w:t>
      </w:r>
      <w:r w:rsidRPr="001302E9">
        <w:t xml:space="preserve"> deportivas, artísticas, culturales y de recreación </w:t>
      </w:r>
      <w:r w:rsidR="00D82E10">
        <w:t>(e</w:t>
      </w:r>
      <w:r w:rsidRPr="001302E9">
        <w:t>ste plan de estudios es</w:t>
      </w:r>
      <w:r w:rsidR="00D82E10">
        <w:t>tuvo vigente para las primeras cuatro</w:t>
      </w:r>
      <w:r w:rsidRPr="001302E9">
        <w:t xml:space="preserve"> generaciones</w:t>
      </w:r>
      <w:r w:rsidR="00D82E10">
        <w:t>:</w:t>
      </w:r>
      <w:r w:rsidRPr="001302E9">
        <w:t xml:space="preserve"> 2013</w:t>
      </w:r>
      <w:r w:rsidR="00D82E10">
        <w:t>-</w:t>
      </w:r>
      <w:r w:rsidRPr="001302E9">
        <w:t>2016; 2014</w:t>
      </w:r>
      <w:r w:rsidR="00D82E10">
        <w:t>-</w:t>
      </w:r>
      <w:r w:rsidRPr="001302E9">
        <w:t>2017; 2015</w:t>
      </w:r>
      <w:r w:rsidR="00D82E10">
        <w:t>-</w:t>
      </w:r>
      <w:r w:rsidRPr="001302E9">
        <w:t>2018; 2016</w:t>
      </w:r>
      <w:r w:rsidR="00D82E10">
        <w:t>-</w:t>
      </w:r>
      <w:r w:rsidRPr="001302E9">
        <w:t>2019 y 2017</w:t>
      </w:r>
      <w:r w:rsidR="00D82E10">
        <w:t>-</w:t>
      </w:r>
      <w:r w:rsidRPr="001302E9">
        <w:t xml:space="preserve">2020. </w:t>
      </w:r>
    </w:p>
    <w:p w14:paraId="71F94606" w14:textId="77777777" w:rsidR="00D82E10" w:rsidRDefault="00B70892" w:rsidP="00D82E10">
      <w:pPr>
        <w:spacing w:line="360" w:lineRule="auto"/>
        <w:ind w:firstLine="708"/>
        <w:jc w:val="both"/>
      </w:pPr>
      <w:r w:rsidRPr="001302E9">
        <w:t xml:space="preserve">A partir de 2018, entró en vigor el </w:t>
      </w:r>
      <w:r>
        <w:t>d</w:t>
      </w:r>
      <w:r w:rsidRPr="001302E9">
        <w:t xml:space="preserve">ocumento </w:t>
      </w:r>
      <w:r>
        <w:t>b</w:t>
      </w:r>
      <w:r w:rsidRPr="001302E9">
        <w:t>ase que sustituye al anterior emitido en 2016, que expresa la finalidad del</w:t>
      </w:r>
      <w:r>
        <w:t xml:space="preserve"> cambio a plan modular</w:t>
      </w:r>
      <w:r w:rsidRPr="001302E9">
        <w:t xml:space="preserve">: </w:t>
      </w:r>
    </w:p>
    <w:p w14:paraId="03005330" w14:textId="7774BFFE" w:rsidR="00B70892" w:rsidRPr="00D82E10" w:rsidRDefault="00D82E10" w:rsidP="00D82E10">
      <w:pPr>
        <w:spacing w:line="360" w:lineRule="auto"/>
        <w:ind w:left="1416"/>
        <w:jc w:val="both"/>
        <w:rPr>
          <w:iCs/>
        </w:rPr>
      </w:pPr>
      <w:r w:rsidRPr="00D82E10">
        <w:t>S</w:t>
      </w:r>
      <w:r w:rsidR="00B70892" w:rsidRPr="00D82E10">
        <w:t xml:space="preserve">e propone sentar los fundamentos que particularizan al Telebachillerato comunitario como una modalidad escolarizada, presencial que ofrece servicios educativos a poblaciones rurales o en situación de marginalidad preferentemente, o bien en aquellas que teniendo condiciones, no cuenten con cobertura de EMS satisfecha, que tiene como fundamento académico el Plan de Estudios de Bachillerato General de la Dirección General de Bachillerato </w:t>
      </w:r>
      <w:r w:rsidR="00B70892" w:rsidRPr="00D82E10">
        <w:lastRenderedPageBreak/>
        <w:t>y se distingue por su implementación académica por áreas disciplinares y un mapa curricular modular</w:t>
      </w:r>
      <w:r>
        <w:t xml:space="preserve"> (</w:t>
      </w:r>
      <w:r w:rsidRPr="00D82E10">
        <w:rPr>
          <w:noProof/>
          <w:lang w:val="es-ES"/>
        </w:rPr>
        <w:t>SEMS, 2018</w:t>
      </w:r>
      <w:r>
        <w:rPr>
          <w:noProof/>
          <w:lang w:val="es-ES"/>
        </w:rPr>
        <w:t xml:space="preserve">, p. </w:t>
      </w:r>
      <w:r w:rsidR="007E1048">
        <w:rPr>
          <w:noProof/>
          <w:lang w:val="es-ES"/>
        </w:rPr>
        <w:t>4</w:t>
      </w:r>
      <w:r>
        <w:t>).</w:t>
      </w:r>
    </w:p>
    <w:p w14:paraId="6A1D6970" w14:textId="77777777" w:rsidR="00D82E10" w:rsidRDefault="00D82E10" w:rsidP="00D82E10">
      <w:pPr>
        <w:spacing w:line="360" w:lineRule="auto"/>
        <w:ind w:firstLine="708"/>
        <w:jc w:val="both"/>
      </w:pPr>
      <w:r>
        <w:t xml:space="preserve">Lo anterior para que </w:t>
      </w:r>
      <w:r w:rsidR="00B70892" w:rsidRPr="001302E9">
        <w:t xml:space="preserve">el </w:t>
      </w:r>
      <w:r w:rsidRPr="001302E9">
        <w:t>telebachillerato comunitario</w:t>
      </w:r>
      <w:r>
        <w:t xml:space="preserve"> </w:t>
      </w:r>
      <w:r w:rsidR="00B70892" w:rsidRPr="001302E9">
        <w:t>cumpla con los requisitos de ingreso, así como los criterios de evaluación que</w:t>
      </w:r>
      <w:r w:rsidR="00B70892">
        <w:t xml:space="preserve"> </w:t>
      </w:r>
      <w:r w:rsidR="00B70892" w:rsidRPr="001302E9">
        <w:t xml:space="preserve">garantizan su pertenencia al Padrón de Calidad del Sistema Nacional de Educación Media Superior (PC-SINEMS) </w:t>
      </w:r>
      <w:r>
        <w:t xml:space="preserve">y </w:t>
      </w:r>
      <w:r w:rsidR="00B70892" w:rsidRPr="001302E9">
        <w:t>responder a la compatibilidad, operatividad, funcionalidad y factibilidad.</w:t>
      </w:r>
    </w:p>
    <w:p w14:paraId="0562EF2B" w14:textId="77777777" w:rsidR="00D82E10" w:rsidRDefault="00B70892" w:rsidP="00D82E10">
      <w:pPr>
        <w:spacing w:line="360" w:lineRule="auto"/>
        <w:ind w:firstLine="708"/>
        <w:jc w:val="both"/>
      </w:pPr>
      <w:r w:rsidRPr="001302E9">
        <w:t>Este nuevo plan modular articuló las asignaturas de tal manera que se agruparon por campos de conocimiento y se integraron en las tres áreas disciplinares iniciales</w:t>
      </w:r>
      <w:r w:rsidR="00D82E10">
        <w:t xml:space="preserve">. Además, se propuso </w:t>
      </w:r>
      <w:r w:rsidRPr="001302E9">
        <w:t xml:space="preserve">una práctica educativa que requiere </w:t>
      </w:r>
      <w:r w:rsidR="00D82E10">
        <w:t xml:space="preserve">de </w:t>
      </w:r>
      <w:r w:rsidRPr="001302E9">
        <w:t xml:space="preserve">nuevas normas </w:t>
      </w:r>
      <w:r w:rsidR="00D82E10">
        <w:t>para</w:t>
      </w:r>
      <w:r w:rsidRPr="001302E9">
        <w:t xml:space="preserve"> trabajar en el aula, así como adecuaciones administrativas para que se concrete. </w:t>
      </w:r>
    </w:p>
    <w:p w14:paraId="3F7DF34D" w14:textId="77777777" w:rsidR="00B96CB5" w:rsidRDefault="00B70892" w:rsidP="00B96CB5">
      <w:pPr>
        <w:spacing w:line="360" w:lineRule="auto"/>
        <w:ind w:firstLine="708"/>
        <w:jc w:val="both"/>
      </w:pPr>
      <w:r w:rsidRPr="00AC1EB6">
        <w:t xml:space="preserve">El perfil de egreso del </w:t>
      </w:r>
      <w:r>
        <w:t>TBC</w:t>
      </w:r>
      <w:r w:rsidRPr="00AC1EB6">
        <w:t xml:space="preserve"> está descrito en las competencias genéricas que integran el </w:t>
      </w:r>
      <w:r>
        <w:t>m</w:t>
      </w:r>
      <w:r w:rsidRPr="00AC1EB6">
        <w:t xml:space="preserve">arco </w:t>
      </w:r>
      <w:r>
        <w:t>c</w:t>
      </w:r>
      <w:r w:rsidRPr="00AC1EB6">
        <w:t xml:space="preserve">urricular </w:t>
      </w:r>
      <w:r>
        <w:t>c</w:t>
      </w:r>
      <w:r w:rsidRPr="00AC1EB6">
        <w:t>omún</w:t>
      </w:r>
      <w:r w:rsidR="00D82E10">
        <w:t>,</w:t>
      </w:r>
      <w:r w:rsidRPr="00AC1EB6">
        <w:t xml:space="preserve"> así como las competencias disciplinares básicas, disciplinares extendidas y profesionales.</w:t>
      </w:r>
      <w:r w:rsidR="00D82E10">
        <w:t xml:space="preserve"> Igualmente, </w:t>
      </w:r>
      <w:r w:rsidR="00B96CB5">
        <w:t>se constituye</w:t>
      </w:r>
      <w:r w:rsidR="00D82E10">
        <w:t xml:space="preserve"> por</w:t>
      </w:r>
      <w:r w:rsidRPr="00AC1EB6">
        <w:t xml:space="preserve"> </w:t>
      </w:r>
      <w:r w:rsidR="00D82E10">
        <w:t>once</w:t>
      </w:r>
      <w:r w:rsidRPr="00AC1EB6">
        <w:t xml:space="preserve"> ámbitos </w:t>
      </w:r>
      <w:r w:rsidR="00D82E10">
        <w:t xml:space="preserve">para </w:t>
      </w:r>
      <w:r w:rsidRPr="00AC1EB6">
        <w:t>responder a los requerimientos actuales, así como</w:t>
      </w:r>
      <w:r w:rsidRPr="008B162D">
        <w:t xml:space="preserve"> el desarrollo de habilidades socioemocionales.</w:t>
      </w:r>
    </w:p>
    <w:p w14:paraId="5DEBB107" w14:textId="77777777" w:rsidR="00B70892" w:rsidRPr="008B162D" w:rsidRDefault="00B70892" w:rsidP="00B96CB5">
      <w:pPr>
        <w:spacing w:line="360" w:lineRule="auto"/>
        <w:ind w:firstLine="708"/>
        <w:jc w:val="both"/>
      </w:pPr>
      <w:r w:rsidRPr="008B162D">
        <w:t>Esto permite contar con una formación integral que impacte en su contexto y en la sociedad en general</w:t>
      </w:r>
      <w:r w:rsidR="00B96CB5">
        <w:t>. En cuanto a</w:t>
      </w:r>
      <w:r w:rsidRPr="008B162D">
        <w:t xml:space="preserve"> los aportes sociales y educativos más importantes se pueden destacar los siguientes:</w:t>
      </w:r>
    </w:p>
    <w:p w14:paraId="35F35480" w14:textId="77777777" w:rsidR="00B70892" w:rsidRPr="00B96CB5" w:rsidRDefault="00B70892" w:rsidP="00B96CB5">
      <w:pPr>
        <w:pStyle w:val="Prrafodelista"/>
        <w:numPr>
          <w:ilvl w:val="0"/>
          <w:numId w:val="15"/>
        </w:numPr>
        <w:spacing w:line="360" w:lineRule="auto"/>
        <w:jc w:val="both"/>
        <w:rPr>
          <w:rFonts w:ascii="Times New Roman" w:hAnsi="Times New Roman" w:cs="Times New Roman"/>
          <w:sz w:val="24"/>
          <w:szCs w:val="24"/>
        </w:rPr>
      </w:pPr>
      <w:r w:rsidRPr="00B96CB5">
        <w:rPr>
          <w:rFonts w:ascii="Times New Roman" w:hAnsi="Times New Roman" w:cs="Times New Roman"/>
          <w:sz w:val="24"/>
          <w:szCs w:val="24"/>
        </w:rPr>
        <w:t>Los procesos pedagógicos del TBC priorizan la experiencia</w:t>
      </w:r>
      <w:r w:rsidR="00B96CB5">
        <w:rPr>
          <w:rFonts w:ascii="Times New Roman" w:hAnsi="Times New Roman" w:cs="Times New Roman"/>
          <w:sz w:val="24"/>
          <w:szCs w:val="24"/>
        </w:rPr>
        <w:t xml:space="preserve"> y</w:t>
      </w:r>
      <w:r w:rsidRPr="00B96CB5">
        <w:rPr>
          <w:rFonts w:ascii="Times New Roman" w:hAnsi="Times New Roman" w:cs="Times New Roman"/>
          <w:sz w:val="24"/>
          <w:szCs w:val="24"/>
        </w:rPr>
        <w:t xml:space="preserve"> vinculan el aprendizaje en las aulas con su vida cotidiana, lo que permite desarrollar en ellos una formación integral para llevar una vida exitosa </w:t>
      </w:r>
      <w:r w:rsidR="00B96CB5">
        <w:rPr>
          <w:rFonts w:ascii="Times New Roman" w:hAnsi="Times New Roman" w:cs="Times New Roman"/>
          <w:sz w:val="24"/>
          <w:szCs w:val="24"/>
        </w:rPr>
        <w:t xml:space="preserve">en lo </w:t>
      </w:r>
      <w:r w:rsidRPr="00B96CB5">
        <w:rPr>
          <w:rFonts w:ascii="Times New Roman" w:hAnsi="Times New Roman" w:cs="Times New Roman"/>
          <w:sz w:val="24"/>
          <w:szCs w:val="24"/>
        </w:rPr>
        <w:t>familiar, académic</w:t>
      </w:r>
      <w:r w:rsidR="00B96CB5">
        <w:rPr>
          <w:rFonts w:ascii="Times New Roman" w:hAnsi="Times New Roman" w:cs="Times New Roman"/>
          <w:sz w:val="24"/>
          <w:szCs w:val="24"/>
        </w:rPr>
        <w:t>o</w:t>
      </w:r>
      <w:r w:rsidRPr="00B96CB5">
        <w:rPr>
          <w:rFonts w:ascii="Times New Roman" w:hAnsi="Times New Roman" w:cs="Times New Roman"/>
          <w:sz w:val="24"/>
          <w:szCs w:val="24"/>
        </w:rPr>
        <w:t xml:space="preserve"> y laboral.</w:t>
      </w:r>
    </w:p>
    <w:p w14:paraId="52FD8F1C" w14:textId="77777777" w:rsidR="00B70892" w:rsidRDefault="00B70892" w:rsidP="00B96CB5">
      <w:pPr>
        <w:pStyle w:val="Prrafodelista"/>
        <w:numPr>
          <w:ilvl w:val="0"/>
          <w:numId w:val="15"/>
        </w:numPr>
        <w:spacing w:line="360" w:lineRule="auto"/>
        <w:jc w:val="both"/>
        <w:rPr>
          <w:rFonts w:ascii="Times New Roman" w:hAnsi="Times New Roman" w:cs="Times New Roman"/>
          <w:sz w:val="24"/>
          <w:szCs w:val="24"/>
        </w:rPr>
      </w:pPr>
      <w:r w:rsidRPr="00B96CB5">
        <w:rPr>
          <w:rFonts w:ascii="Times New Roman" w:hAnsi="Times New Roman" w:cs="Times New Roman"/>
          <w:sz w:val="24"/>
          <w:szCs w:val="24"/>
        </w:rPr>
        <w:t>La formación profesional Desarrollo Comunitario, única para este servicio educativo</w:t>
      </w:r>
      <w:r w:rsidR="00B96CB5">
        <w:rPr>
          <w:rFonts w:ascii="Times New Roman" w:hAnsi="Times New Roman" w:cs="Times New Roman"/>
          <w:sz w:val="24"/>
          <w:szCs w:val="24"/>
        </w:rPr>
        <w:t>,</w:t>
      </w:r>
      <w:r w:rsidRPr="00B96CB5">
        <w:rPr>
          <w:rFonts w:ascii="Times New Roman" w:hAnsi="Times New Roman" w:cs="Times New Roman"/>
          <w:sz w:val="24"/>
          <w:szCs w:val="24"/>
        </w:rPr>
        <w:t xml:space="preserve"> permite al estudiante contar con las competencias requeridas para concretar proyectos de desarrollo comunitario que impacten en su comunidad. </w:t>
      </w:r>
      <w:r w:rsidR="00B96CB5">
        <w:rPr>
          <w:rFonts w:ascii="Times New Roman" w:hAnsi="Times New Roman" w:cs="Times New Roman"/>
          <w:sz w:val="24"/>
          <w:szCs w:val="24"/>
        </w:rPr>
        <w:t xml:space="preserve">Por eso, </w:t>
      </w:r>
      <w:r w:rsidRPr="00B96CB5">
        <w:rPr>
          <w:rFonts w:ascii="Times New Roman" w:hAnsi="Times New Roman" w:cs="Times New Roman"/>
          <w:sz w:val="24"/>
          <w:szCs w:val="24"/>
        </w:rPr>
        <w:t>desde el tercer semestre inician un proyecto que se va consolidando durante los siguientes semestres</w:t>
      </w:r>
      <w:r w:rsidR="00B96CB5">
        <w:rPr>
          <w:rFonts w:ascii="Times New Roman" w:hAnsi="Times New Roman" w:cs="Times New Roman"/>
          <w:sz w:val="24"/>
          <w:szCs w:val="24"/>
        </w:rPr>
        <w:t xml:space="preserve">. Luego, en sexto </w:t>
      </w:r>
      <w:r w:rsidRPr="00B96CB5">
        <w:rPr>
          <w:rFonts w:ascii="Times New Roman" w:hAnsi="Times New Roman" w:cs="Times New Roman"/>
          <w:sz w:val="24"/>
          <w:szCs w:val="24"/>
        </w:rPr>
        <w:t xml:space="preserve">semestre </w:t>
      </w:r>
      <w:r w:rsidR="00B96CB5">
        <w:rPr>
          <w:rFonts w:ascii="Times New Roman" w:hAnsi="Times New Roman" w:cs="Times New Roman"/>
          <w:sz w:val="24"/>
          <w:szCs w:val="24"/>
        </w:rPr>
        <w:t xml:space="preserve">se genera </w:t>
      </w:r>
      <w:r w:rsidRPr="00B96CB5">
        <w:rPr>
          <w:rFonts w:ascii="Times New Roman" w:hAnsi="Times New Roman" w:cs="Times New Roman"/>
          <w:sz w:val="24"/>
          <w:szCs w:val="24"/>
        </w:rPr>
        <w:t xml:space="preserve">un plan de seguimiento y continuidad </w:t>
      </w:r>
      <w:r w:rsidR="00B96CB5">
        <w:rPr>
          <w:rFonts w:ascii="Times New Roman" w:hAnsi="Times New Roman" w:cs="Times New Roman"/>
          <w:sz w:val="24"/>
          <w:szCs w:val="24"/>
        </w:rPr>
        <w:t xml:space="preserve">para </w:t>
      </w:r>
      <w:r w:rsidRPr="00B96CB5">
        <w:rPr>
          <w:rFonts w:ascii="Times New Roman" w:hAnsi="Times New Roman" w:cs="Times New Roman"/>
          <w:sz w:val="24"/>
          <w:szCs w:val="24"/>
        </w:rPr>
        <w:t xml:space="preserve">que los proyectos sean permanentes </w:t>
      </w:r>
      <w:r w:rsidR="00B96CB5">
        <w:rPr>
          <w:rFonts w:ascii="Times New Roman" w:hAnsi="Times New Roman" w:cs="Times New Roman"/>
          <w:sz w:val="24"/>
          <w:szCs w:val="24"/>
        </w:rPr>
        <w:t xml:space="preserve">y produzcan </w:t>
      </w:r>
      <w:r w:rsidRPr="00B96CB5">
        <w:rPr>
          <w:rFonts w:ascii="Times New Roman" w:hAnsi="Times New Roman" w:cs="Times New Roman"/>
          <w:sz w:val="24"/>
          <w:szCs w:val="24"/>
        </w:rPr>
        <w:t xml:space="preserve">diversos beneficios a la comunidad. </w:t>
      </w:r>
      <w:r w:rsidR="00B96CB5">
        <w:rPr>
          <w:rFonts w:ascii="Times New Roman" w:hAnsi="Times New Roman" w:cs="Times New Roman"/>
          <w:sz w:val="24"/>
          <w:szCs w:val="24"/>
        </w:rPr>
        <w:t xml:space="preserve"> </w:t>
      </w:r>
    </w:p>
    <w:p w14:paraId="079A4624" w14:textId="19E2244B" w:rsidR="00B96CB5" w:rsidRDefault="00B70892" w:rsidP="00B96CB5">
      <w:pPr>
        <w:spacing w:line="360" w:lineRule="auto"/>
        <w:ind w:firstLine="708"/>
        <w:jc w:val="both"/>
        <w:rPr>
          <w:noProof/>
          <w:lang w:val="es-ES"/>
        </w:rPr>
      </w:pPr>
      <w:r>
        <w:rPr>
          <w:lang w:val="es-ES"/>
        </w:rPr>
        <w:t>En la actualidad</w:t>
      </w:r>
      <w:r w:rsidR="00B96CB5">
        <w:rPr>
          <w:lang w:val="es-ES"/>
        </w:rPr>
        <w:t>,</w:t>
      </w:r>
      <w:r>
        <w:rPr>
          <w:lang w:val="es-ES"/>
        </w:rPr>
        <w:t xml:space="preserve"> muchos estudios de egresados se llevan a cabo principalmente en nivel superior</w:t>
      </w:r>
      <w:r w:rsidR="00B96CB5">
        <w:rPr>
          <w:lang w:val="es-ES"/>
        </w:rPr>
        <w:t>;</w:t>
      </w:r>
      <w:r>
        <w:rPr>
          <w:lang w:val="es-ES"/>
        </w:rPr>
        <w:t xml:space="preserve"> sin embargo</w:t>
      </w:r>
      <w:r w:rsidR="00B96CB5">
        <w:rPr>
          <w:lang w:val="es-ES"/>
        </w:rPr>
        <w:t>,</w:t>
      </w:r>
      <w:r>
        <w:rPr>
          <w:lang w:val="es-ES"/>
        </w:rPr>
        <w:t xml:space="preserve"> cada vez es más evidente la necesidad de </w:t>
      </w:r>
      <w:r w:rsidR="00B96CB5">
        <w:rPr>
          <w:lang w:val="es-ES"/>
        </w:rPr>
        <w:t>enfocarse</w:t>
      </w:r>
      <w:r>
        <w:rPr>
          <w:lang w:val="es-ES"/>
        </w:rPr>
        <w:t xml:space="preserve"> </w:t>
      </w:r>
      <w:r w:rsidR="00B96CB5">
        <w:rPr>
          <w:lang w:val="es-ES"/>
        </w:rPr>
        <w:t>en el</w:t>
      </w:r>
      <w:r>
        <w:rPr>
          <w:lang w:val="es-ES"/>
        </w:rPr>
        <w:t xml:space="preserve"> nivel medio superior</w:t>
      </w:r>
      <w:r w:rsidR="00B96CB5">
        <w:rPr>
          <w:lang w:val="es-ES"/>
        </w:rPr>
        <w:t>, pues</w:t>
      </w:r>
      <w:r>
        <w:rPr>
          <w:lang w:val="es-ES"/>
        </w:rPr>
        <w:t xml:space="preserve">  </w:t>
      </w:r>
      <w:r w:rsidR="00B96CB5" w:rsidRPr="00B96CB5">
        <w:rPr>
          <w:lang w:val="es-ES"/>
        </w:rPr>
        <w:t>“</w:t>
      </w:r>
      <w:r w:rsidRPr="00B96CB5">
        <w:rPr>
          <w:iCs/>
          <w:lang w:val="es-ES"/>
        </w:rPr>
        <w:t>cada vez son más los egresados de este tipo educativo quienes ya no tienen condiciones o el interés para continuar estudios superiores debiéndose incorporar al mercado laboral</w:t>
      </w:r>
      <w:r w:rsidR="00B96CB5" w:rsidRPr="00B96CB5">
        <w:rPr>
          <w:iCs/>
          <w:lang w:val="es-ES"/>
        </w:rPr>
        <w:t>” (</w:t>
      </w:r>
      <w:r w:rsidR="00B96CB5" w:rsidRPr="00B96CB5">
        <w:rPr>
          <w:noProof/>
          <w:lang w:val="es-ES"/>
        </w:rPr>
        <w:t>García, Fonseca Bautista</w:t>
      </w:r>
      <w:r w:rsidR="00B96CB5">
        <w:rPr>
          <w:noProof/>
          <w:lang w:val="es-ES"/>
        </w:rPr>
        <w:t xml:space="preserve"> </w:t>
      </w:r>
      <w:r w:rsidR="001417D2">
        <w:rPr>
          <w:noProof/>
          <w:lang w:val="es-ES"/>
        </w:rPr>
        <w:t>e</w:t>
      </w:r>
      <w:r w:rsidR="00B96CB5" w:rsidRPr="00B96CB5">
        <w:rPr>
          <w:noProof/>
          <w:lang w:val="es-ES"/>
        </w:rPr>
        <w:t xml:space="preserve"> Ibarra Uribe, 2017</w:t>
      </w:r>
      <w:r w:rsidR="00B96CB5">
        <w:rPr>
          <w:noProof/>
          <w:lang w:val="es-ES"/>
        </w:rPr>
        <w:t xml:space="preserve">, p. </w:t>
      </w:r>
      <w:r w:rsidR="00174F26">
        <w:rPr>
          <w:noProof/>
          <w:lang w:val="es-ES"/>
        </w:rPr>
        <w:t>1</w:t>
      </w:r>
      <w:r w:rsidR="00B96CB5" w:rsidRPr="00B96CB5">
        <w:rPr>
          <w:noProof/>
          <w:lang w:val="es-ES"/>
        </w:rPr>
        <w:t>).</w:t>
      </w:r>
    </w:p>
    <w:p w14:paraId="448188CD" w14:textId="2FBF78B5" w:rsidR="00B96CB5" w:rsidRDefault="00B96CB5" w:rsidP="00B96CB5">
      <w:pPr>
        <w:spacing w:line="360" w:lineRule="auto"/>
        <w:ind w:firstLine="708"/>
        <w:jc w:val="both"/>
        <w:rPr>
          <w:iCs/>
          <w:lang w:val="es-ES"/>
        </w:rPr>
      </w:pPr>
      <w:r>
        <w:rPr>
          <w:lang w:val="es-ES"/>
        </w:rPr>
        <w:t>Debido a esto, en el e</w:t>
      </w:r>
      <w:r w:rsidR="00B70892">
        <w:rPr>
          <w:lang w:val="es-ES"/>
        </w:rPr>
        <w:t xml:space="preserve">stado de Morelos </w:t>
      </w:r>
      <w:r>
        <w:rPr>
          <w:lang w:val="es-ES"/>
        </w:rPr>
        <w:t xml:space="preserve">se llevó a cabo </w:t>
      </w:r>
      <w:r w:rsidR="00B70892">
        <w:rPr>
          <w:lang w:val="es-ES"/>
        </w:rPr>
        <w:t xml:space="preserve">un estudio colectivo de casos típicos con la finalidad de caracterizar las aspiraciones de los jóvenes que egresan de sus </w:t>
      </w:r>
      <w:r w:rsidR="00B70892">
        <w:rPr>
          <w:lang w:val="es-ES"/>
        </w:rPr>
        <w:lastRenderedPageBreak/>
        <w:t>planteles</w:t>
      </w:r>
      <w:r>
        <w:rPr>
          <w:lang w:val="es-ES"/>
        </w:rPr>
        <w:t xml:space="preserve">. Según </w:t>
      </w:r>
      <w:r w:rsidR="00B70892" w:rsidRPr="00DB3E60">
        <w:rPr>
          <w:lang w:val="es-ES"/>
        </w:rPr>
        <w:t xml:space="preserve">Alanís </w:t>
      </w:r>
      <w:r>
        <w:rPr>
          <w:lang w:val="es-ES"/>
        </w:rPr>
        <w:t>(</w:t>
      </w:r>
      <w:r w:rsidR="00B70892" w:rsidRPr="00DB3E60">
        <w:rPr>
          <w:lang w:val="es-ES"/>
        </w:rPr>
        <w:t>2020</w:t>
      </w:r>
      <w:r w:rsidR="00B70892">
        <w:rPr>
          <w:lang w:val="es-ES"/>
        </w:rPr>
        <w:t xml:space="preserve">) </w:t>
      </w:r>
      <w:r w:rsidRPr="00B96CB5">
        <w:rPr>
          <w:iCs/>
          <w:lang w:val="es-ES"/>
        </w:rPr>
        <w:t>“</w:t>
      </w:r>
      <w:r w:rsidR="00B70892" w:rsidRPr="00B96CB5">
        <w:rPr>
          <w:iCs/>
          <w:lang w:val="es-ES"/>
        </w:rPr>
        <w:t>desde la mirada de sus egresados</w:t>
      </w:r>
      <w:r w:rsidRPr="00B96CB5">
        <w:rPr>
          <w:iCs/>
          <w:lang w:val="es-ES"/>
        </w:rPr>
        <w:t>,</w:t>
      </w:r>
      <w:r w:rsidR="00B70892" w:rsidRPr="00B96CB5">
        <w:rPr>
          <w:iCs/>
          <w:lang w:val="es-ES"/>
        </w:rPr>
        <w:t xml:space="preserve"> se identificaron obstáculos y apoyos que delinearon sus aspiraciones distinguiendo entre quienes continuaron sus estudios y quienes no lo hicieron. Se encontró que son los primeros quienes ejercen más su capacidad de aspiración</w:t>
      </w:r>
      <w:r w:rsidRPr="00B96CB5">
        <w:rPr>
          <w:iCs/>
          <w:lang w:val="es-ES"/>
        </w:rPr>
        <w:t>”</w:t>
      </w:r>
      <w:r>
        <w:rPr>
          <w:iCs/>
          <w:lang w:val="es-ES"/>
        </w:rPr>
        <w:t xml:space="preserve"> (p. </w:t>
      </w:r>
      <w:r w:rsidR="009624C2">
        <w:rPr>
          <w:iCs/>
          <w:lang w:val="es-ES"/>
        </w:rPr>
        <w:t>2</w:t>
      </w:r>
      <w:r>
        <w:rPr>
          <w:iCs/>
          <w:lang w:val="es-ES"/>
        </w:rPr>
        <w:t>)</w:t>
      </w:r>
      <w:r w:rsidR="00B70892" w:rsidRPr="00B96CB5">
        <w:rPr>
          <w:iCs/>
          <w:lang w:val="es-ES"/>
        </w:rPr>
        <w:t>.</w:t>
      </w:r>
    </w:p>
    <w:p w14:paraId="386A0361" w14:textId="77777777" w:rsidR="00B96CB5" w:rsidRDefault="00B96CB5" w:rsidP="00B96CB5">
      <w:pPr>
        <w:spacing w:line="360" w:lineRule="auto"/>
        <w:ind w:firstLine="708"/>
        <w:jc w:val="both"/>
        <w:rPr>
          <w:lang w:val="es-ES"/>
        </w:rPr>
      </w:pPr>
      <w:r>
        <w:rPr>
          <w:lang w:val="es-ES"/>
        </w:rPr>
        <w:t xml:space="preserve">Este </w:t>
      </w:r>
      <w:r w:rsidR="00B70892">
        <w:rPr>
          <w:lang w:val="es-ES"/>
        </w:rPr>
        <w:t>seguimiento de egresados permite evaluar la calidad de la educación impartida, así como la pertinencia de planes y programas de estudio, los cuales deben responder a las necesidades de los estudiantes para que puedan acceder al nivel educativo siguiente o para que puedan de forma exitosa implementar proyectos de mejora en sus contextos.</w:t>
      </w:r>
    </w:p>
    <w:p w14:paraId="56107116" w14:textId="77777777" w:rsidR="00B70892" w:rsidRPr="00F669C9" w:rsidRDefault="00B70892" w:rsidP="00B96CB5">
      <w:pPr>
        <w:spacing w:line="360" w:lineRule="auto"/>
        <w:ind w:firstLine="708"/>
        <w:jc w:val="both"/>
        <w:rPr>
          <w:lang w:val="es-ES"/>
        </w:rPr>
      </w:pPr>
      <w:r w:rsidRPr="00F669C9">
        <w:rPr>
          <w:lang w:val="es-ES"/>
        </w:rPr>
        <w:t xml:space="preserve">Algunos de los objetivos que establece </w:t>
      </w:r>
      <w:r>
        <w:rPr>
          <w:lang w:val="es-ES"/>
        </w:rPr>
        <w:t>el Instituto Tecnológico de Estudios Superiores de Monterrey</w:t>
      </w:r>
      <w:r w:rsidR="00B96CB5">
        <w:rPr>
          <w:lang w:val="es-ES"/>
        </w:rPr>
        <w:t>,</w:t>
      </w:r>
      <w:r>
        <w:rPr>
          <w:lang w:val="es-ES"/>
        </w:rPr>
        <w:t xml:space="preserve"> a través de la Red Gradua2 y </w:t>
      </w:r>
      <w:r w:rsidR="00B96CB5">
        <w:rPr>
          <w:lang w:val="es-ES"/>
        </w:rPr>
        <w:t xml:space="preserve">la </w:t>
      </w:r>
      <w:r>
        <w:rPr>
          <w:lang w:val="es-ES"/>
        </w:rPr>
        <w:t xml:space="preserve">Asociación Columbus </w:t>
      </w:r>
      <w:r w:rsidRPr="00F669C9">
        <w:rPr>
          <w:lang w:val="es-ES"/>
        </w:rPr>
        <w:t>para este tipo de estudios</w:t>
      </w:r>
      <w:r w:rsidR="00B96CB5">
        <w:rPr>
          <w:lang w:val="es-ES"/>
        </w:rPr>
        <w:t>,</w:t>
      </w:r>
      <w:r w:rsidRPr="00F669C9">
        <w:rPr>
          <w:lang w:val="es-ES"/>
        </w:rPr>
        <w:t xml:space="preserve"> son</w:t>
      </w:r>
      <w:r w:rsidR="00B96CB5">
        <w:rPr>
          <w:lang w:val="es-ES"/>
        </w:rPr>
        <w:t xml:space="preserve"> los siguientes</w:t>
      </w:r>
      <w:r w:rsidRPr="00F669C9">
        <w:rPr>
          <w:lang w:val="es-ES"/>
        </w:rPr>
        <w:t>:</w:t>
      </w:r>
    </w:p>
    <w:p w14:paraId="4FCF3275"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Evaluar la pertinencia y la calidad de los planes de estudio</w:t>
      </w:r>
      <w:r w:rsidR="00B96CB5" w:rsidRPr="00122104">
        <w:rPr>
          <w:rFonts w:ascii="Times New Roman" w:hAnsi="Times New Roman" w:cs="Times New Roman"/>
          <w:iCs/>
          <w:sz w:val="24"/>
          <w:szCs w:val="24"/>
          <w:lang w:val="es-ES"/>
        </w:rPr>
        <w:t>.</w:t>
      </w:r>
    </w:p>
    <w:p w14:paraId="5ACF87B2"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Mejorar el diseño de los planes de estudio</w:t>
      </w:r>
      <w:r w:rsidR="00B96CB5" w:rsidRPr="00122104">
        <w:rPr>
          <w:rFonts w:ascii="Times New Roman" w:hAnsi="Times New Roman" w:cs="Times New Roman"/>
          <w:iCs/>
          <w:sz w:val="24"/>
          <w:szCs w:val="24"/>
          <w:lang w:val="es-ES"/>
        </w:rPr>
        <w:t>.</w:t>
      </w:r>
    </w:p>
    <w:p w14:paraId="6695A5A8"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Ayudar a los estudiantes a elegir una carrera</w:t>
      </w:r>
      <w:r w:rsidR="00B96CB5" w:rsidRPr="00122104">
        <w:rPr>
          <w:rFonts w:ascii="Times New Roman" w:hAnsi="Times New Roman" w:cs="Times New Roman"/>
          <w:iCs/>
          <w:sz w:val="24"/>
          <w:szCs w:val="24"/>
          <w:lang w:val="es-ES"/>
        </w:rPr>
        <w:t>.</w:t>
      </w:r>
    </w:p>
    <w:p w14:paraId="160110C0"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Comunicar a exalumnos</w:t>
      </w:r>
      <w:r w:rsidR="00B96CB5" w:rsidRPr="00122104">
        <w:rPr>
          <w:rFonts w:ascii="Times New Roman" w:hAnsi="Times New Roman" w:cs="Times New Roman"/>
          <w:iCs/>
          <w:sz w:val="24"/>
          <w:szCs w:val="24"/>
          <w:lang w:val="es-ES"/>
        </w:rPr>
        <w:t>.</w:t>
      </w:r>
    </w:p>
    <w:p w14:paraId="41EC4CBF"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Obtener indicadores de la calidad de la educación</w:t>
      </w:r>
      <w:r w:rsidR="00B96CB5" w:rsidRPr="00122104">
        <w:rPr>
          <w:rFonts w:ascii="Times New Roman" w:hAnsi="Times New Roman" w:cs="Times New Roman"/>
          <w:iCs/>
          <w:sz w:val="24"/>
          <w:szCs w:val="24"/>
          <w:lang w:val="es-ES"/>
        </w:rPr>
        <w:t>.</w:t>
      </w:r>
    </w:p>
    <w:p w14:paraId="214921AB"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Evaluar el nivel de satisfacción de los egresados con su formación.</w:t>
      </w:r>
    </w:p>
    <w:p w14:paraId="0D9D4E47"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Tomar mejores decisiones de mercadeo</w:t>
      </w:r>
      <w:r w:rsidR="00B96CB5" w:rsidRPr="00122104">
        <w:rPr>
          <w:rFonts w:ascii="Times New Roman" w:hAnsi="Times New Roman" w:cs="Times New Roman"/>
          <w:iCs/>
          <w:sz w:val="24"/>
          <w:szCs w:val="24"/>
          <w:lang w:val="es-ES"/>
        </w:rPr>
        <w:t>.</w:t>
      </w:r>
    </w:p>
    <w:p w14:paraId="66D0B343"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Conocer el nivel de inserción de los egresados en el mercado laboral y en sus carreras profesionales</w:t>
      </w:r>
      <w:r w:rsidR="00B96CB5" w:rsidRPr="00122104">
        <w:rPr>
          <w:rFonts w:ascii="Times New Roman" w:hAnsi="Times New Roman" w:cs="Times New Roman"/>
          <w:iCs/>
          <w:sz w:val="24"/>
          <w:szCs w:val="24"/>
          <w:lang w:val="es-ES"/>
        </w:rPr>
        <w:t>.</w:t>
      </w:r>
    </w:p>
    <w:p w14:paraId="6F79F764"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Satisfacer las necesidades de los empleadores</w:t>
      </w:r>
      <w:r w:rsidR="00B96CB5" w:rsidRPr="00122104">
        <w:rPr>
          <w:rFonts w:ascii="Times New Roman" w:hAnsi="Times New Roman" w:cs="Times New Roman"/>
          <w:iCs/>
          <w:sz w:val="24"/>
          <w:szCs w:val="24"/>
          <w:lang w:val="es-ES"/>
        </w:rPr>
        <w:t>.</w:t>
      </w:r>
    </w:p>
    <w:p w14:paraId="3514A04E"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 xml:space="preserve">Diseñar programas </w:t>
      </w:r>
      <w:r w:rsidR="00654594">
        <w:rPr>
          <w:rFonts w:ascii="Times New Roman" w:hAnsi="Times New Roman" w:cs="Times New Roman"/>
          <w:i/>
          <w:iCs/>
          <w:sz w:val="24"/>
          <w:szCs w:val="24"/>
          <w:lang w:val="es-ES"/>
        </w:rPr>
        <w:t>ad h</w:t>
      </w:r>
      <w:r w:rsidRPr="00122104">
        <w:rPr>
          <w:rFonts w:ascii="Times New Roman" w:hAnsi="Times New Roman" w:cs="Times New Roman"/>
          <w:i/>
          <w:iCs/>
          <w:sz w:val="24"/>
          <w:szCs w:val="24"/>
          <w:lang w:val="es-ES"/>
        </w:rPr>
        <w:t>oc</w:t>
      </w:r>
      <w:r w:rsidRPr="00122104">
        <w:rPr>
          <w:rFonts w:ascii="Times New Roman" w:hAnsi="Times New Roman" w:cs="Times New Roman"/>
          <w:iCs/>
          <w:sz w:val="24"/>
          <w:szCs w:val="24"/>
          <w:lang w:val="es-ES"/>
        </w:rPr>
        <w:t xml:space="preserve"> de capacitación, de posgrado y de educación continua.</w:t>
      </w:r>
    </w:p>
    <w:p w14:paraId="7356963E" w14:textId="77777777" w:rsidR="00B70892" w:rsidRPr="00122104" w:rsidRDefault="00B70892" w:rsidP="00B96CB5">
      <w:pPr>
        <w:pStyle w:val="Prrafodelista"/>
        <w:numPr>
          <w:ilvl w:val="0"/>
          <w:numId w:val="16"/>
        </w:numPr>
        <w:spacing w:line="360" w:lineRule="auto"/>
        <w:jc w:val="both"/>
        <w:rPr>
          <w:rFonts w:ascii="Times New Roman" w:hAnsi="Times New Roman" w:cs="Times New Roman"/>
          <w:iCs/>
          <w:sz w:val="24"/>
          <w:szCs w:val="24"/>
          <w:lang w:val="es-ES"/>
        </w:rPr>
      </w:pPr>
      <w:r w:rsidRPr="00122104">
        <w:rPr>
          <w:rFonts w:ascii="Times New Roman" w:hAnsi="Times New Roman" w:cs="Times New Roman"/>
          <w:iCs/>
          <w:sz w:val="24"/>
          <w:szCs w:val="24"/>
          <w:lang w:val="es-ES"/>
        </w:rPr>
        <w:t>Evaluar la precisión de la educación de los egresados con respecto a su trabajo.</w:t>
      </w:r>
    </w:p>
    <w:p w14:paraId="5BCEB46B" w14:textId="77777777" w:rsidR="00B70892" w:rsidRPr="001417D2" w:rsidRDefault="00B70892" w:rsidP="00B96CB5">
      <w:pPr>
        <w:pStyle w:val="Prrafodelista"/>
        <w:numPr>
          <w:ilvl w:val="0"/>
          <w:numId w:val="16"/>
        </w:numPr>
        <w:spacing w:line="360" w:lineRule="auto"/>
        <w:jc w:val="both"/>
        <w:rPr>
          <w:rFonts w:ascii="Times New Roman" w:hAnsi="Times New Roman" w:cs="Times New Roman"/>
          <w:sz w:val="24"/>
          <w:szCs w:val="24"/>
          <w:lang w:val="es-ES"/>
        </w:rPr>
      </w:pPr>
      <w:r w:rsidRPr="00122104">
        <w:rPr>
          <w:rFonts w:ascii="Times New Roman" w:hAnsi="Times New Roman" w:cs="Times New Roman"/>
          <w:iCs/>
          <w:sz w:val="24"/>
          <w:szCs w:val="24"/>
          <w:lang w:val="es-ES"/>
        </w:rPr>
        <w:t>Verificar si la misión de la universidad se refleja en la realización personal de los e</w:t>
      </w:r>
      <w:r w:rsidRPr="001417D2">
        <w:rPr>
          <w:rFonts w:ascii="Times New Roman" w:hAnsi="Times New Roman" w:cs="Times New Roman"/>
          <w:iCs/>
          <w:sz w:val="24"/>
          <w:szCs w:val="24"/>
          <w:lang w:val="es-ES"/>
        </w:rPr>
        <w:t>gresados y su compromiso</w:t>
      </w:r>
      <w:r w:rsidRPr="001417D2">
        <w:rPr>
          <w:rFonts w:ascii="Times New Roman" w:hAnsi="Times New Roman" w:cs="Times New Roman"/>
          <w:i/>
          <w:iCs/>
          <w:sz w:val="24"/>
          <w:szCs w:val="24"/>
          <w:lang w:val="es-ES"/>
        </w:rPr>
        <w:t xml:space="preserve"> </w:t>
      </w:r>
      <w:r w:rsidRPr="001417D2">
        <w:rPr>
          <w:rFonts w:ascii="Times New Roman" w:hAnsi="Times New Roman" w:cs="Times New Roman"/>
          <w:iCs/>
          <w:sz w:val="24"/>
          <w:szCs w:val="24"/>
          <w:lang w:val="es-ES"/>
        </w:rPr>
        <w:t>(</w:t>
      </w:r>
      <w:r w:rsidR="001417D2" w:rsidRPr="001417D2">
        <w:rPr>
          <w:rFonts w:ascii="Times New Roman" w:hAnsi="Times New Roman" w:cs="Times New Roman"/>
          <w:color w:val="333232"/>
          <w:sz w:val="24"/>
          <w:szCs w:val="24"/>
        </w:rPr>
        <w:t>Instituto Tecnológico de Estudios Superiores de Monterrey</w:t>
      </w:r>
      <w:r w:rsidR="001417D2" w:rsidRPr="001417D2">
        <w:rPr>
          <w:rFonts w:ascii="Times New Roman" w:hAnsi="Times New Roman" w:cs="Times New Roman"/>
          <w:iCs/>
          <w:sz w:val="24"/>
          <w:szCs w:val="24"/>
          <w:lang w:val="es-ES"/>
        </w:rPr>
        <w:t xml:space="preserve"> [</w:t>
      </w:r>
      <w:r w:rsidRPr="001417D2">
        <w:rPr>
          <w:rFonts w:ascii="Times New Roman" w:hAnsi="Times New Roman" w:cs="Times New Roman"/>
          <w:iCs/>
          <w:sz w:val="24"/>
          <w:szCs w:val="24"/>
          <w:lang w:val="es-ES"/>
        </w:rPr>
        <w:t>ITESM</w:t>
      </w:r>
      <w:r w:rsidR="001417D2" w:rsidRPr="001417D2">
        <w:rPr>
          <w:rFonts w:ascii="Times New Roman" w:hAnsi="Times New Roman" w:cs="Times New Roman"/>
          <w:iCs/>
          <w:sz w:val="24"/>
          <w:szCs w:val="24"/>
          <w:lang w:val="es-ES"/>
        </w:rPr>
        <w:t>]</w:t>
      </w:r>
      <w:r w:rsidRPr="001417D2">
        <w:rPr>
          <w:rFonts w:ascii="Times New Roman" w:hAnsi="Times New Roman" w:cs="Times New Roman"/>
          <w:iCs/>
          <w:sz w:val="24"/>
          <w:szCs w:val="24"/>
          <w:lang w:val="es-ES"/>
        </w:rPr>
        <w:t>,</w:t>
      </w:r>
      <w:r w:rsidR="00122104" w:rsidRPr="001417D2">
        <w:rPr>
          <w:rFonts w:ascii="Times New Roman" w:hAnsi="Times New Roman" w:cs="Times New Roman"/>
          <w:iCs/>
          <w:sz w:val="24"/>
          <w:szCs w:val="24"/>
          <w:lang w:val="es-ES"/>
        </w:rPr>
        <w:t xml:space="preserve"> </w:t>
      </w:r>
      <w:r w:rsidRPr="001417D2">
        <w:rPr>
          <w:rFonts w:ascii="Times New Roman" w:hAnsi="Times New Roman" w:cs="Times New Roman"/>
          <w:iCs/>
          <w:sz w:val="24"/>
          <w:szCs w:val="24"/>
          <w:lang w:val="es-ES"/>
        </w:rPr>
        <w:t>2006)</w:t>
      </w:r>
      <w:r w:rsidR="00122104" w:rsidRPr="001417D2">
        <w:rPr>
          <w:rFonts w:ascii="Times New Roman" w:hAnsi="Times New Roman" w:cs="Times New Roman"/>
          <w:iCs/>
          <w:sz w:val="24"/>
          <w:szCs w:val="24"/>
          <w:lang w:val="es-ES"/>
        </w:rPr>
        <w:t xml:space="preserve">. </w:t>
      </w:r>
    </w:p>
    <w:p w14:paraId="3D9D608B" w14:textId="77777777" w:rsidR="00B70892" w:rsidRDefault="00B70892" w:rsidP="00122104">
      <w:pPr>
        <w:spacing w:line="360" w:lineRule="auto"/>
        <w:ind w:firstLine="708"/>
        <w:jc w:val="both"/>
        <w:rPr>
          <w:lang w:val="es-ES"/>
        </w:rPr>
      </w:pPr>
      <w:r>
        <w:rPr>
          <w:lang w:val="es-ES"/>
        </w:rPr>
        <w:t>Para llevarlos a cabo se deben considerar las características del servicio educativo, de modo que los resultados permitan implementar mejoras y elevar la calidad de la educación impartida.</w:t>
      </w:r>
      <w:r w:rsidR="00122104">
        <w:rPr>
          <w:lang w:val="es-ES"/>
        </w:rPr>
        <w:t xml:space="preserve"> </w:t>
      </w:r>
      <w:r>
        <w:rPr>
          <w:lang w:val="es-ES"/>
        </w:rPr>
        <w:t>Dentro de los procesos de seguimiento y evaluación que realiza la DGB se encuentra la cédula de egresados que tiene como finalidad contar con una referencia sobre el impacto que tiene el TBC en la población atendida</w:t>
      </w:r>
      <w:r w:rsidR="00122104">
        <w:rPr>
          <w:lang w:val="es-ES"/>
        </w:rPr>
        <w:t>; esta</w:t>
      </w:r>
      <w:r>
        <w:rPr>
          <w:lang w:val="es-ES"/>
        </w:rPr>
        <w:t xml:space="preserve"> se lleva a cabo en dos etapas </w:t>
      </w:r>
      <w:r w:rsidR="00122104">
        <w:rPr>
          <w:lang w:val="es-ES"/>
        </w:rPr>
        <w:t>—</w:t>
      </w:r>
      <w:r>
        <w:rPr>
          <w:lang w:val="es-ES"/>
        </w:rPr>
        <w:t>previo y posterior al egreso del estudiante</w:t>
      </w:r>
      <w:r w:rsidR="00122104">
        <w:rPr>
          <w:lang w:val="es-ES"/>
        </w:rPr>
        <w:t>—,</w:t>
      </w:r>
      <w:r>
        <w:rPr>
          <w:lang w:val="es-ES"/>
        </w:rPr>
        <w:t xml:space="preserve"> </w:t>
      </w:r>
      <w:r w:rsidR="00122104">
        <w:rPr>
          <w:lang w:val="es-ES"/>
        </w:rPr>
        <w:t xml:space="preserve">para lo cual se apoya </w:t>
      </w:r>
      <w:r>
        <w:rPr>
          <w:lang w:val="es-ES"/>
        </w:rPr>
        <w:t>en formularios en línea.</w:t>
      </w:r>
    </w:p>
    <w:p w14:paraId="26E5078E" w14:textId="77777777" w:rsidR="00B70892" w:rsidRPr="00177103" w:rsidRDefault="00B70892" w:rsidP="00122104">
      <w:pPr>
        <w:spacing w:line="360" w:lineRule="auto"/>
        <w:jc w:val="center"/>
        <w:rPr>
          <w:rFonts w:cstheme="minorHAnsi"/>
          <w:sz w:val="28"/>
          <w:szCs w:val="28"/>
        </w:rPr>
      </w:pPr>
      <w:r w:rsidRPr="00177103">
        <w:rPr>
          <w:b/>
          <w:bCs/>
          <w:sz w:val="32"/>
          <w:szCs w:val="32"/>
          <w:lang w:val="es-ES"/>
        </w:rPr>
        <w:lastRenderedPageBreak/>
        <w:t>Método</w:t>
      </w:r>
    </w:p>
    <w:p w14:paraId="3B5F8D8E" w14:textId="77777777" w:rsidR="00122104" w:rsidRDefault="00B70892" w:rsidP="00122104">
      <w:pPr>
        <w:spacing w:line="360" w:lineRule="auto"/>
        <w:ind w:firstLine="708"/>
        <w:jc w:val="both"/>
        <w:rPr>
          <w:lang w:val="es-ES"/>
        </w:rPr>
      </w:pPr>
      <w:r w:rsidRPr="005C3F55">
        <w:t xml:space="preserve">Existen diversas metodologías para dar seguimiento al </w:t>
      </w:r>
      <w:r>
        <w:t>e</w:t>
      </w:r>
      <w:r w:rsidRPr="005C3F55">
        <w:t>gresado</w:t>
      </w:r>
      <w:r w:rsidR="00122104">
        <w:t>.</w:t>
      </w:r>
      <w:r w:rsidRPr="005C3F55">
        <w:t xml:space="preserve"> </w:t>
      </w:r>
      <w:r w:rsidR="00122104">
        <w:t>L</w:t>
      </w:r>
      <w:r>
        <w:t>a DGB ha implementado estudios de tipo muestral que permiten tener un panorama nacional</w:t>
      </w:r>
      <w:r w:rsidR="00122104">
        <w:t>;</w:t>
      </w:r>
      <w:r>
        <w:t xml:space="preserve"> sin embargo, </w:t>
      </w:r>
      <w:r w:rsidR="00122104">
        <w:t xml:space="preserve">esta tipología </w:t>
      </w:r>
      <w:r>
        <w:t>no ofrece datos estatales completos y necesarios para tomar decisiones que fortalezcan y mejoren el servicio educativo.</w:t>
      </w:r>
      <w:r w:rsidR="00122104">
        <w:t xml:space="preserve"> Por eso, p</w:t>
      </w:r>
      <w:r>
        <w:t xml:space="preserve">ara contar con la información precisa de cada plantel que integra el servicio educativo en el </w:t>
      </w:r>
      <w:r w:rsidR="00122104">
        <w:t>e</w:t>
      </w:r>
      <w:r>
        <w:t>stado</w:t>
      </w:r>
      <w:r w:rsidR="00122104">
        <w:t>,</w:t>
      </w:r>
      <w:r>
        <w:t xml:space="preserve"> se consideró la metodología </w:t>
      </w:r>
      <w:r w:rsidR="00122104">
        <w:t>de</w:t>
      </w:r>
      <w:r w:rsidRPr="00066799">
        <w:rPr>
          <w:lang w:val="es-ES"/>
        </w:rPr>
        <w:t xml:space="preserve"> </w:t>
      </w:r>
      <w:r>
        <w:rPr>
          <w:lang w:val="es-ES"/>
        </w:rPr>
        <w:t>e</w:t>
      </w:r>
      <w:r w:rsidRPr="00066799">
        <w:rPr>
          <w:lang w:val="es-ES"/>
        </w:rPr>
        <w:t>studio de casos múltiples, con un enfoque cualitativo y un alcance descriptivo</w:t>
      </w:r>
      <w:r w:rsidR="00122104">
        <w:rPr>
          <w:lang w:val="es-ES"/>
        </w:rPr>
        <w:t>,</w:t>
      </w:r>
      <w:r>
        <w:rPr>
          <w:lang w:val="es-ES"/>
        </w:rPr>
        <w:t xml:space="preserve"> de tipo censal.</w:t>
      </w:r>
    </w:p>
    <w:p w14:paraId="5BC6588D" w14:textId="77777777" w:rsidR="00122104" w:rsidRDefault="00122104" w:rsidP="00122104">
      <w:pPr>
        <w:spacing w:line="360" w:lineRule="auto"/>
        <w:ind w:firstLine="708"/>
        <w:jc w:val="both"/>
      </w:pPr>
      <w:r>
        <w:rPr>
          <w:lang w:val="es-ES"/>
        </w:rPr>
        <w:t>Asimismo, se</w:t>
      </w:r>
      <w:r w:rsidR="00B70892" w:rsidRPr="00592A52">
        <w:t xml:space="preserve"> adopta una perspectiva integradora</w:t>
      </w:r>
      <w:r w:rsidR="00B70892">
        <w:t xml:space="preserve"> </w:t>
      </w:r>
      <w:r w:rsidR="00B70892" w:rsidRPr="00592A52">
        <w:t xml:space="preserve">al estudiar un determinado fenómeno contemporáneo en donde existen diversas circunstancias que al </w:t>
      </w:r>
      <w:r>
        <w:t>analizarse</w:t>
      </w:r>
      <w:r w:rsidR="00B70892" w:rsidRPr="00592A52">
        <w:t xml:space="preserve"> podrán responder a las preguntas de investigación ligadas prioritariamente al </w:t>
      </w:r>
      <w:r w:rsidR="00B70892">
        <w:t>p</w:t>
      </w:r>
      <w:r w:rsidR="00B70892" w:rsidRPr="00592A52">
        <w:t xml:space="preserve">or qué y </w:t>
      </w:r>
      <w:r>
        <w:t xml:space="preserve">al </w:t>
      </w:r>
      <w:r w:rsidR="00B70892">
        <w:t>c</w:t>
      </w:r>
      <w:r w:rsidR="00B70892" w:rsidRPr="00592A52">
        <w:t xml:space="preserve">ómo. Al </w:t>
      </w:r>
      <w:r>
        <w:t>examinar</w:t>
      </w:r>
      <w:r w:rsidR="00B70892" w:rsidRPr="00592A52">
        <w:t xml:space="preserve"> el fenómeno </w:t>
      </w:r>
      <w:r>
        <w:t>con</w:t>
      </w:r>
      <w:r w:rsidR="00B70892" w:rsidRPr="00592A52">
        <w:t xml:space="preserve"> esta metodología se podrá también generar una teoría o</w:t>
      </w:r>
      <w:r>
        <w:t>,</w:t>
      </w:r>
      <w:r w:rsidR="00B70892" w:rsidRPr="00592A52">
        <w:t xml:space="preserve"> en su caso</w:t>
      </w:r>
      <w:r>
        <w:t>,</w:t>
      </w:r>
      <w:r w:rsidR="00B70892" w:rsidRPr="00592A52">
        <w:t xml:space="preserve"> contar con un panorama lo suficientemente amplio para asumir alguna postura. </w:t>
      </w:r>
    </w:p>
    <w:p w14:paraId="633FFC80" w14:textId="260BBB9C" w:rsidR="00122104" w:rsidRDefault="00B70892" w:rsidP="00122104">
      <w:pPr>
        <w:spacing w:line="360" w:lineRule="auto"/>
        <w:ind w:firstLine="708"/>
        <w:jc w:val="both"/>
        <w:rPr>
          <w:i/>
        </w:rPr>
      </w:pPr>
      <w:r>
        <w:rPr>
          <w:iCs/>
        </w:rPr>
        <w:t xml:space="preserve">Diversos autores sustentan que el valor del estudio de caso se basa en su oportunidad, lo que implica poder analizar unidades que de otra manera no </w:t>
      </w:r>
      <w:r w:rsidR="00122104">
        <w:rPr>
          <w:iCs/>
        </w:rPr>
        <w:t>sería</w:t>
      </w:r>
      <w:r>
        <w:rPr>
          <w:iCs/>
        </w:rPr>
        <w:t xml:space="preserve"> posible.</w:t>
      </w:r>
      <w:r w:rsidR="00122104">
        <w:rPr>
          <w:iCs/>
        </w:rPr>
        <w:t xml:space="preserve"> </w:t>
      </w:r>
      <w:r>
        <w:rPr>
          <w:iCs/>
        </w:rPr>
        <w:t>Starke y Strohschneider (2009)</w:t>
      </w:r>
      <w:r w:rsidR="00122104">
        <w:rPr>
          <w:iCs/>
        </w:rPr>
        <w:t>,</w:t>
      </w:r>
      <w:r>
        <w:rPr>
          <w:iCs/>
        </w:rPr>
        <w:t xml:space="preserve"> citado</w:t>
      </w:r>
      <w:r w:rsidR="00122104">
        <w:rPr>
          <w:iCs/>
        </w:rPr>
        <w:t>s</w:t>
      </w:r>
      <w:r>
        <w:rPr>
          <w:iCs/>
        </w:rPr>
        <w:t xml:space="preserve"> por </w:t>
      </w:r>
      <w:r w:rsidR="001F0AD6">
        <w:rPr>
          <w:iCs/>
        </w:rPr>
        <w:t xml:space="preserve">Hernández </w:t>
      </w:r>
      <w:r w:rsidR="00122104" w:rsidRPr="0003507F">
        <w:rPr>
          <w:noProof/>
          <w:lang w:val="es-ES"/>
        </w:rPr>
        <w:t xml:space="preserve">Sampieri, Fernandez </w:t>
      </w:r>
      <w:r w:rsidR="00122104">
        <w:rPr>
          <w:noProof/>
          <w:lang w:val="es-ES"/>
        </w:rPr>
        <w:t>y</w:t>
      </w:r>
      <w:r w:rsidR="00122104" w:rsidRPr="0003507F">
        <w:rPr>
          <w:noProof/>
          <w:lang w:val="es-ES"/>
        </w:rPr>
        <w:t xml:space="preserve"> Baptista </w:t>
      </w:r>
      <w:r w:rsidR="00122104">
        <w:rPr>
          <w:noProof/>
          <w:lang w:val="es-ES"/>
        </w:rPr>
        <w:t>(</w:t>
      </w:r>
      <w:r w:rsidR="00122104" w:rsidRPr="0003507F">
        <w:rPr>
          <w:noProof/>
          <w:lang w:val="es-ES"/>
        </w:rPr>
        <w:t>2014</w:t>
      </w:r>
      <w:r w:rsidR="00122104">
        <w:rPr>
          <w:noProof/>
          <w:lang w:val="es-ES"/>
        </w:rPr>
        <w:t>),</w:t>
      </w:r>
      <w:r>
        <w:rPr>
          <w:iCs/>
        </w:rPr>
        <w:t xml:space="preserve"> </w:t>
      </w:r>
      <w:r w:rsidRPr="00122104">
        <w:t>señalan que</w:t>
      </w:r>
      <w:r w:rsidRPr="002D02A4">
        <w:rPr>
          <w:i/>
        </w:rPr>
        <w:t xml:space="preserve"> </w:t>
      </w:r>
      <w:r w:rsidR="00122104">
        <w:t>“</w:t>
      </w:r>
      <w:r w:rsidRPr="00122104">
        <w:t>ofrecen varios beneficios, entre los que se destacan que proporcionan una base de datos enriquecedora e información completa sobre el fenómeno o unidad considerada y revelan diferencias entre expresiones de dicho fenómeno o los casos analizados</w:t>
      </w:r>
      <w:r w:rsidR="00122104">
        <w:t xml:space="preserve">” (p. </w:t>
      </w:r>
      <w:r w:rsidR="001C2EC3">
        <w:t>3</w:t>
      </w:r>
      <w:r w:rsidR="00122104">
        <w:t>)</w:t>
      </w:r>
      <w:r w:rsidRPr="002D02A4">
        <w:rPr>
          <w:i/>
        </w:rPr>
        <w:t>.</w:t>
      </w:r>
    </w:p>
    <w:p w14:paraId="28C6AE31" w14:textId="77777777" w:rsidR="00B70892" w:rsidRDefault="00B70892" w:rsidP="00122104">
      <w:pPr>
        <w:spacing w:line="360" w:lineRule="auto"/>
        <w:ind w:firstLine="708"/>
        <w:jc w:val="both"/>
        <w:rPr>
          <w:iCs/>
        </w:rPr>
      </w:pPr>
      <w:r>
        <w:rPr>
          <w:iCs/>
        </w:rPr>
        <w:t xml:space="preserve">En la tabla </w:t>
      </w:r>
      <w:r w:rsidR="00122104">
        <w:rPr>
          <w:iCs/>
        </w:rPr>
        <w:t xml:space="preserve">2 </w:t>
      </w:r>
      <w:r>
        <w:rPr>
          <w:iCs/>
        </w:rPr>
        <w:t>se concentran algunas de las principales características de los estudios de caso</w:t>
      </w:r>
      <w:r w:rsidR="00122104">
        <w:rPr>
          <w:iCs/>
        </w:rPr>
        <w:t xml:space="preserve"> señalados por </w:t>
      </w:r>
      <w:r w:rsidR="001F0AD6">
        <w:rPr>
          <w:iCs/>
        </w:rPr>
        <w:t xml:space="preserve">Hernández </w:t>
      </w:r>
      <w:r w:rsidR="001F0AD6" w:rsidRPr="0003507F">
        <w:rPr>
          <w:noProof/>
          <w:lang w:val="es-ES"/>
        </w:rPr>
        <w:t>Sampieri</w:t>
      </w:r>
      <w:r w:rsidR="00122104">
        <w:rPr>
          <w:noProof/>
          <w:lang w:val="es-ES"/>
        </w:rPr>
        <w:t xml:space="preserve"> </w:t>
      </w:r>
      <w:r w:rsidR="00122104" w:rsidRPr="00122104">
        <w:rPr>
          <w:i/>
          <w:noProof/>
          <w:lang w:val="es-ES"/>
        </w:rPr>
        <w:t>et al</w:t>
      </w:r>
      <w:r w:rsidR="00122104">
        <w:rPr>
          <w:noProof/>
          <w:lang w:val="es-ES"/>
        </w:rPr>
        <w:t>. (</w:t>
      </w:r>
      <w:r w:rsidR="00122104" w:rsidRPr="0003507F">
        <w:rPr>
          <w:noProof/>
          <w:lang w:val="es-ES"/>
        </w:rPr>
        <w:t>2014</w:t>
      </w:r>
      <w:r w:rsidR="00122104">
        <w:rPr>
          <w:noProof/>
          <w:lang w:val="es-ES"/>
        </w:rPr>
        <w:t>)</w:t>
      </w:r>
      <w:r>
        <w:rPr>
          <w:iCs/>
        </w:rPr>
        <w:t>:</w:t>
      </w:r>
    </w:p>
    <w:p w14:paraId="691552A8" w14:textId="2C2371FF" w:rsidR="00B70892" w:rsidRDefault="00B70892" w:rsidP="00B70892">
      <w:pPr>
        <w:rPr>
          <w:iCs/>
        </w:rPr>
      </w:pPr>
    </w:p>
    <w:p w14:paraId="66D9166E" w14:textId="313E6F26" w:rsidR="00177103" w:rsidRDefault="00177103" w:rsidP="00B70892">
      <w:pPr>
        <w:rPr>
          <w:iCs/>
        </w:rPr>
      </w:pPr>
    </w:p>
    <w:p w14:paraId="433AE1F1" w14:textId="44FAABEC" w:rsidR="00177103" w:rsidRDefault="00177103" w:rsidP="00B70892">
      <w:pPr>
        <w:rPr>
          <w:iCs/>
        </w:rPr>
      </w:pPr>
    </w:p>
    <w:p w14:paraId="5FA2609D" w14:textId="736145BE" w:rsidR="00177103" w:rsidRDefault="00177103" w:rsidP="00B70892">
      <w:pPr>
        <w:rPr>
          <w:iCs/>
        </w:rPr>
      </w:pPr>
    </w:p>
    <w:p w14:paraId="75BD7AA3" w14:textId="0116BFB9" w:rsidR="00177103" w:rsidRDefault="00177103" w:rsidP="00B70892">
      <w:pPr>
        <w:rPr>
          <w:iCs/>
        </w:rPr>
      </w:pPr>
    </w:p>
    <w:p w14:paraId="60C5BD19" w14:textId="1CF45E53" w:rsidR="00177103" w:rsidRDefault="00177103" w:rsidP="00B70892">
      <w:pPr>
        <w:rPr>
          <w:iCs/>
        </w:rPr>
      </w:pPr>
    </w:p>
    <w:p w14:paraId="65D346DB" w14:textId="75521BF1" w:rsidR="00177103" w:rsidRDefault="00177103" w:rsidP="00B70892">
      <w:pPr>
        <w:rPr>
          <w:iCs/>
        </w:rPr>
      </w:pPr>
    </w:p>
    <w:p w14:paraId="6A06EB54" w14:textId="267EDC3F" w:rsidR="00177103" w:rsidRDefault="00177103" w:rsidP="00B70892">
      <w:pPr>
        <w:rPr>
          <w:iCs/>
        </w:rPr>
      </w:pPr>
    </w:p>
    <w:p w14:paraId="6BD4117C" w14:textId="41AFAF84" w:rsidR="00177103" w:rsidRDefault="00177103" w:rsidP="00B70892">
      <w:pPr>
        <w:rPr>
          <w:iCs/>
        </w:rPr>
      </w:pPr>
    </w:p>
    <w:p w14:paraId="0BED4355" w14:textId="7F9DE55A" w:rsidR="00177103" w:rsidRDefault="00177103" w:rsidP="00B70892">
      <w:pPr>
        <w:rPr>
          <w:iCs/>
        </w:rPr>
      </w:pPr>
    </w:p>
    <w:p w14:paraId="6774B0D1" w14:textId="02B03D56" w:rsidR="005D0B41" w:rsidRDefault="005D0B41" w:rsidP="00B70892">
      <w:pPr>
        <w:rPr>
          <w:iCs/>
        </w:rPr>
      </w:pPr>
    </w:p>
    <w:p w14:paraId="3E2DC5F0" w14:textId="7D0F5CC8" w:rsidR="005D0B41" w:rsidRDefault="005D0B41" w:rsidP="00B70892">
      <w:pPr>
        <w:rPr>
          <w:iCs/>
        </w:rPr>
      </w:pPr>
    </w:p>
    <w:p w14:paraId="51675845" w14:textId="04B23366" w:rsidR="005D0B41" w:rsidRDefault="005D0B41" w:rsidP="00B70892">
      <w:pPr>
        <w:rPr>
          <w:iCs/>
        </w:rPr>
      </w:pPr>
    </w:p>
    <w:p w14:paraId="436A8BD9" w14:textId="6983DBB9" w:rsidR="005D0B41" w:rsidRDefault="005D0B41" w:rsidP="00B70892">
      <w:pPr>
        <w:rPr>
          <w:iCs/>
        </w:rPr>
      </w:pPr>
    </w:p>
    <w:p w14:paraId="02912486" w14:textId="77777777" w:rsidR="005D0B41" w:rsidRDefault="005D0B41" w:rsidP="00B70892">
      <w:pPr>
        <w:rPr>
          <w:iCs/>
        </w:rPr>
      </w:pPr>
    </w:p>
    <w:p w14:paraId="3EDE1E0D" w14:textId="6A33A2E6" w:rsidR="00177103" w:rsidRDefault="00177103" w:rsidP="00B70892">
      <w:pPr>
        <w:rPr>
          <w:iCs/>
        </w:rPr>
      </w:pPr>
    </w:p>
    <w:p w14:paraId="59FD4B03" w14:textId="77777777" w:rsidR="00177103" w:rsidRDefault="00177103" w:rsidP="00B70892">
      <w:pPr>
        <w:rPr>
          <w:iCs/>
        </w:rPr>
      </w:pPr>
    </w:p>
    <w:p w14:paraId="7210F475" w14:textId="77777777" w:rsidR="00B70892" w:rsidRPr="00177103" w:rsidRDefault="00122104" w:rsidP="00B70892">
      <w:pPr>
        <w:jc w:val="center"/>
        <w:rPr>
          <w:iCs/>
        </w:rPr>
      </w:pPr>
      <w:r w:rsidRPr="00177103">
        <w:rPr>
          <w:b/>
          <w:iCs/>
        </w:rPr>
        <w:lastRenderedPageBreak/>
        <w:t>Tabla 2.</w:t>
      </w:r>
      <w:r w:rsidRPr="00177103">
        <w:rPr>
          <w:iCs/>
        </w:rPr>
        <w:t xml:space="preserve"> </w:t>
      </w:r>
      <w:r w:rsidR="00B70892" w:rsidRPr="00177103">
        <w:rPr>
          <w:iCs/>
        </w:rPr>
        <w:t xml:space="preserve">Características de los </w:t>
      </w:r>
      <w:r w:rsidRPr="00177103">
        <w:rPr>
          <w:iCs/>
        </w:rPr>
        <w:t>estudios de caso</w:t>
      </w:r>
    </w:p>
    <w:p w14:paraId="0F7F2F42" w14:textId="77777777" w:rsidR="00122104" w:rsidRPr="00177103" w:rsidRDefault="00122104" w:rsidP="00B70892">
      <w:pPr>
        <w:jc w:val="center"/>
        <w:rPr>
          <w:i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664"/>
      </w:tblGrid>
      <w:tr w:rsidR="00B70892" w:rsidRPr="005D0B41" w14:paraId="322E93EC" w14:textId="77777777" w:rsidTr="00B70892">
        <w:trPr>
          <w:trHeight w:val="1052"/>
          <w:jc w:val="right"/>
        </w:trPr>
        <w:tc>
          <w:tcPr>
            <w:tcW w:w="5475" w:type="dxa"/>
          </w:tcPr>
          <w:p w14:paraId="1D44A91B" w14:textId="77777777" w:rsidR="00B70892" w:rsidRPr="00177103" w:rsidRDefault="00B70892" w:rsidP="00B70892">
            <w:pPr>
              <w:ind w:left="28"/>
              <w:jc w:val="both"/>
              <w:rPr>
                <w:iCs/>
              </w:rPr>
            </w:pPr>
            <w:r w:rsidRPr="00177103">
              <w:rPr>
                <w:iCs/>
              </w:rPr>
              <w:t>Constituyen métodos o diseños flexibles</w:t>
            </w:r>
            <w:r w:rsidR="00122104" w:rsidRPr="00177103">
              <w:rPr>
                <w:iCs/>
              </w:rPr>
              <w:t>,</w:t>
            </w:r>
            <w:r w:rsidRPr="00177103">
              <w:rPr>
                <w:iCs/>
              </w:rPr>
              <w:t xml:space="preserve"> ya que el investigador puede utilizar múltiples herramientas para capturar y analizar los datos que le permiten comprender las </w:t>
            </w:r>
            <w:r w:rsidR="001F0AD6" w:rsidRPr="00177103">
              <w:rPr>
                <w:iCs/>
              </w:rPr>
              <w:t>peculiaridades</w:t>
            </w:r>
            <w:r w:rsidRPr="00177103">
              <w:rPr>
                <w:iCs/>
              </w:rPr>
              <w:t xml:space="preserve"> del fenómeno o problema bajo indagación y conocer sus causas</w:t>
            </w:r>
            <w:r w:rsidR="001F0AD6" w:rsidRPr="00177103">
              <w:rPr>
                <w:iCs/>
              </w:rPr>
              <w:t>.</w:t>
            </w:r>
          </w:p>
        </w:tc>
        <w:tc>
          <w:tcPr>
            <w:tcW w:w="3884" w:type="dxa"/>
          </w:tcPr>
          <w:p w14:paraId="6E183823" w14:textId="77777777" w:rsidR="00B70892" w:rsidRPr="00177103" w:rsidRDefault="00B70892" w:rsidP="001F0AD6">
            <w:pPr>
              <w:jc w:val="both"/>
              <w:rPr>
                <w:iCs/>
                <w:lang w:val="en-US"/>
              </w:rPr>
            </w:pPr>
            <w:r w:rsidRPr="00177103">
              <w:rPr>
                <w:iCs/>
                <w:lang w:val="en-US"/>
              </w:rPr>
              <w:t xml:space="preserve">Yin </w:t>
            </w:r>
            <w:r w:rsidR="001F0AD6" w:rsidRPr="00177103">
              <w:rPr>
                <w:iCs/>
                <w:lang w:val="en-US"/>
              </w:rPr>
              <w:t>(</w:t>
            </w:r>
            <w:r w:rsidRPr="00177103">
              <w:rPr>
                <w:iCs/>
                <w:lang w:val="en-US"/>
              </w:rPr>
              <w:t>2011</w:t>
            </w:r>
            <w:r w:rsidR="001F0AD6" w:rsidRPr="00177103">
              <w:rPr>
                <w:iCs/>
                <w:lang w:val="en-US"/>
              </w:rPr>
              <w:t>)</w:t>
            </w:r>
            <w:r w:rsidRPr="00177103">
              <w:rPr>
                <w:iCs/>
                <w:lang w:val="en-US"/>
              </w:rPr>
              <w:t xml:space="preserve">, Bell </w:t>
            </w:r>
            <w:r w:rsidR="001F0AD6" w:rsidRPr="00177103">
              <w:rPr>
                <w:iCs/>
                <w:lang w:val="en-US"/>
              </w:rPr>
              <w:t>(</w:t>
            </w:r>
            <w:r w:rsidRPr="00177103">
              <w:rPr>
                <w:iCs/>
                <w:lang w:val="en-US"/>
              </w:rPr>
              <w:t>2010</w:t>
            </w:r>
            <w:r w:rsidR="001F0AD6" w:rsidRPr="00177103">
              <w:rPr>
                <w:iCs/>
                <w:lang w:val="en-US"/>
              </w:rPr>
              <w:t>)</w:t>
            </w:r>
            <w:r w:rsidRPr="00177103">
              <w:rPr>
                <w:iCs/>
                <w:lang w:val="en-US"/>
              </w:rPr>
              <w:t xml:space="preserve">, </w:t>
            </w:r>
            <w:r w:rsidRPr="00177103">
              <w:rPr>
                <w:i/>
                <w:iCs/>
                <w:lang w:val="en-US"/>
              </w:rPr>
              <w:t>The SAGE Glossary of the social and Behavioral Sciences</w:t>
            </w:r>
            <w:r w:rsidRPr="00177103">
              <w:rPr>
                <w:iCs/>
                <w:lang w:val="en-US"/>
              </w:rPr>
              <w:t xml:space="preserve"> </w:t>
            </w:r>
            <w:r w:rsidR="001F0AD6" w:rsidRPr="00177103">
              <w:rPr>
                <w:iCs/>
                <w:lang w:val="en-US"/>
              </w:rPr>
              <w:t>(</w:t>
            </w:r>
            <w:r w:rsidRPr="00177103">
              <w:rPr>
                <w:iCs/>
                <w:lang w:val="en-US"/>
              </w:rPr>
              <w:t>2009</w:t>
            </w:r>
            <w:r w:rsidR="001F0AD6" w:rsidRPr="00177103">
              <w:rPr>
                <w:iCs/>
                <w:lang w:val="en-US"/>
              </w:rPr>
              <w:t>)</w:t>
            </w:r>
            <w:r w:rsidRPr="00177103">
              <w:rPr>
                <w:iCs/>
                <w:lang w:val="en-US"/>
              </w:rPr>
              <w:t xml:space="preserve"> y Timmons y Cairns </w:t>
            </w:r>
            <w:r w:rsidR="001F0AD6" w:rsidRPr="00177103">
              <w:rPr>
                <w:iCs/>
                <w:lang w:val="en-US"/>
              </w:rPr>
              <w:t>(</w:t>
            </w:r>
            <w:r w:rsidRPr="00177103">
              <w:rPr>
                <w:iCs/>
                <w:lang w:val="en-US"/>
              </w:rPr>
              <w:t>2009)</w:t>
            </w:r>
          </w:p>
        </w:tc>
      </w:tr>
      <w:tr w:rsidR="00B70892" w:rsidRPr="00177103" w14:paraId="0908A7F9" w14:textId="77777777" w:rsidTr="00B70892">
        <w:trPr>
          <w:trHeight w:val="533"/>
          <w:jc w:val="right"/>
        </w:trPr>
        <w:tc>
          <w:tcPr>
            <w:tcW w:w="5475" w:type="dxa"/>
          </w:tcPr>
          <w:p w14:paraId="3FED8C4B" w14:textId="77777777" w:rsidR="00B70892" w:rsidRPr="00177103" w:rsidRDefault="00B70892" w:rsidP="00B70892">
            <w:pPr>
              <w:ind w:left="28"/>
              <w:jc w:val="both"/>
              <w:rPr>
                <w:iCs/>
              </w:rPr>
            </w:pPr>
            <w:r w:rsidRPr="00177103">
              <w:rPr>
                <w:iCs/>
              </w:rPr>
              <w:t>El investigador y el objeto de investigación interactúan constantemente entre sí.</w:t>
            </w:r>
          </w:p>
        </w:tc>
        <w:tc>
          <w:tcPr>
            <w:tcW w:w="3884" w:type="dxa"/>
          </w:tcPr>
          <w:p w14:paraId="172BDEA2" w14:textId="77777777" w:rsidR="00B70892" w:rsidRPr="00177103" w:rsidRDefault="00B70892" w:rsidP="001F0AD6">
            <w:pPr>
              <w:jc w:val="both"/>
              <w:rPr>
                <w:iCs/>
              </w:rPr>
            </w:pPr>
            <w:r w:rsidRPr="00177103">
              <w:rPr>
                <w:iCs/>
              </w:rPr>
              <w:t xml:space="preserve">Aaltio y Heilmann </w:t>
            </w:r>
            <w:r w:rsidR="001F0AD6" w:rsidRPr="00177103">
              <w:rPr>
                <w:iCs/>
              </w:rPr>
              <w:t>(</w:t>
            </w:r>
            <w:r w:rsidRPr="00177103">
              <w:rPr>
                <w:iCs/>
              </w:rPr>
              <w:t>2009)</w:t>
            </w:r>
          </w:p>
        </w:tc>
      </w:tr>
      <w:tr w:rsidR="00B70892" w:rsidRPr="00177103" w14:paraId="263DF1ED" w14:textId="77777777" w:rsidTr="00B70892">
        <w:trPr>
          <w:trHeight w:val="519"/>
          <w:jc w:val="right"/>
        </w:trPr>
        <w:tc>
          <w:tcPr>
            <w:tcW w:w="5475" w:type="dxa"/>
          </w:tcPr>
          <w:p w14:paraId="2C20BAFF" w14:textId="77777777" w:rsidR="00B70892" w:rsidRPr="00177103" w:rsidRDefault="00B70892" w:rsidP="00B70892">
            <w:pPr>
              <w:ind w:left="113"/>
              <w:jc w:val="both"/>
              <w:rPr>
                <w:iCs/>
              </w:rPr>
            </w:pPr>
            <w:r w:rsidRPr="00177103">
              <w:rPr>
                <w:iCs/>
              </w:rPr>
              <w:t>El objeto de estudio o caso es examinado de manera sistémica, global y holística.</w:t>
            </w:r>
          </w:p>
        </w:tc>
        <w:tc>
          <w:tcPr>
            <w:tcW w:w="3884" w:type="dxa"/>
          </w:tcPr>
          <w:p w14:paraId="7EB2A3AC" w14:textId="77777777" w:rsidR="00B70892" w:rsidRPr="00177103" w:rsidRDefault="00B70892" w:rsidP="001F0AD6">
            <w:pPr>
              <w:jc w:val="both"/>
              <w:rPr>
                <w:iCs/>
              </w:rPr>
            </w:pPr>
            <w:r w:rsidRPr="00177103">
              <w:rPr>
                <w:iCs/>
              </w:rPr>
              <w:t>Xiao</w:t>
            </w:r>
            <w:r w:rsidR="001F0AD6" w:rsidRPr="00177103">
              <w:rPr>
                <w:iCs/>
              </w:rPr>
              <w:t xml:space="preserve"> (</w:t>
            </w:r>
            <w:r w:rsidRPr="00177103">
              <w:rPr>
                <w:iCs/>
              </w:rPr>
              <w:t>2009)</w:t>
            </w:r>
          </w:p>
        </w:tc>
      </w:tr>
      <w:tr w:rsidR="00B70892" w:rsidRPr="00177103" w14:paraId="326453FC" w14:textId="77777777" w:rsidTr="00B70892">
        <w:trPr>
          <w:trHeight w:val="259"/>
          <w:jc w:val="right"/>
        </w:trPr>
        <w:tc>
          <w:tcPr>
            <w:tcW w:w="5475" w:type="dxa"/>
          </w:tcPr>
          <w:p w14:paraId="3176CF11" w14:textId="77777777" w:rsidR="00B70892" w:rsidRPr="00177103" w:rsidRDefault="00B70892" w:rsidP="00B70892">
            <w:pPr>
              <w:ind w:left="113"/>
              <w:jc w:val="both"/>
              <w:rPr>
                <w:iCs/>
              </w:rPr>
            </w:pPr>
            <w:r w:rsidRPr="00177103">
              <w:rPr>
                <w:iCs/>
              </w:rPr>
              <w:t>El investigador casi siempre trata de identificar patrones</w:t>
            </w:r>
            <w:r w:rsidR="006D600F" w:rsidRPr="00177103">
              <w:rPr>
                <w:iCs/>
              </w:rPr>
              <w:t>.</w:t>
            </w:r>
          </w:p>
        </w:tc>
        <w:tc>
          <w:tcPr>
            <w:tcW w:w="3884" w:type="dxa"/>
          </w:tcPr>
          <w:p w14:paraId="35F27AF8" w14:textId="77777777" w:rsidR="00B70892" w:rsidRPr="00177103" w:rsidRDefault="00B70892" w:rsidP="001F0AD6">
            <w:pPr>
              <w:jc w:val="both"/>
              <w:rPr>
                <w:iCs/>
              </w:rPr>
            </w:pPr>
            <w:r w:rsidRPr="00177103">
              <w:rPr>
                <w:iCs/>
              </w:rPr>
              <w:t>Green</w:t>
            </w:r>
            <w:r w:rsidR="001F0AD6" w:rsidRPr="00177103">
              <w:rPr>
                <w:iCs/>
              </w:rPr>
              <w:t xml:space="preserve"> (</w:t>
            </w:r>
            <w:r w:rsidRPr="00177103">
              <w:rPr>
                <w:iCs/>
              </w:rPr>
              <w:t>2011)</w:t>
            </w:r>
          </w:p>
        </w:tc>
      </w:tr>
      <w:tr w:rsidR="00B70892" w:rsidRPr="00177103" w14:paraId="67827BFE" w14:textId="77777777" w:rsidTr="00B70892">
        <w:trPr>
          <w:trHeight w:val="273"/>
          <w:jc w:val="right"/>
        </w:trPr>
        <w:tc>
          <w:tcPr>
            <w:tcW w:w="5475" w:type="dxa"/>
          </w:tcPr>
          <w:p w14:paraId="4DF6C6DC" w14:textId="77777777" w:rsidR="00B70892" w:rsidRPr="00177103" w:rsidRDefault="00B70892" w:rsidP="00B70892">
            <w:pPr>
              <w:ind w:left="113"/>
              <w:jc w:val="both"/>
              <w:rPr>
                <w:iCs/>
              </w:rPr>
            </w:pPr>
            <w:r w:rsidRPr="00177103">
              <w:rPr>
                <w:iCs/>
              </w:rPr>
              <w:t>Se realiza en ambientes naturales</w:t>
            </w:r>
            <w:r w:rsidR="006D600F" w:rsidRPr="00177103">
              <w:rPr>
                <w:iCs/>
              </w:rPr>
              <w:t>.</w:t>
            </w:r>
          </w:p>
        </w:tc>
        <w:tc>
          <w:tcPr>
            <w:tcW w:w="3884" w:type="dxa"/>
          </w:tcPr>
          <w:p w14:paraId="0F37B75F" w14:textId="77777777" w:rsidR="00B70892" w:rsidRPr="00177103" w:rsidRDefault="00B70892" w:rsidP="001F0AD6">
            <w:pPr>
              <w:jc w:val="both"/>
              <w:rPr>
                <w:iCs/>
              </w:rPr>
            </w:pPr>
            <w:r w:rsidRPr="00177103">
              <w:rPr>
                <w:iCs/>
              </w:rPr>
              <w:t>Yin</w:t>
            </w:r>
            <w:r w:rsidR="001F0AD6" w:rsidRPr="00177103">
              <w:rPr>
                <w:iCs/>
              </w:rPr>
              <w:t xml:space="preserve"> (</w:t>
            </w:r>
            <w:r w:rsidRPr="00177103">
              <w:rPr>
                <w:iCs/>
              </w:rPr>
              <w:t xml:space="preserve">2013) y Moore </w:t>
            </w:r>
            <w:r w:rsidR="001F0AD6" w:rsidRPr="00177103">
              <w:rPr>
                <w:iCs/>
              </w:rPr>
              <w:t>(</w:t>
            </w:r>
            <w:r w:rsidRPr="00177103">
              <w:rPr>
                <w:iCs/>
              </w:rPr>
              <w:t>2009)</w:t>
            </w:r>
          </w:p>
        </w:tc>
      </w:tr>
      <w:tr w:rsidR="00B70892" w:rsidRPr="00177103" w14:paraId="36811892" w14:textId="77777777" w:rsidTr="00B70892">
        <w:trPr>
          <w:trHeight w:val="519"/>
          <w:jc w:val="right"/>
        </w:trPr>
        <w:tc>
          <w:tcPr>
            <w:tcW w:w="5475" w:type="dxa"/>
          </w:tcPr>
          <w:p w14:paraId="13DBC03A" w14:textId="77777777" w:rsidR="00B70892" w:rsidRPr="00177103" w:rsidRDefault="00B70892" w:rsidP="00B70892">
            <w:pPr>
              <w:ind w:left="113"/>
              <w:jc w:val="both"/>
              <w:rPr>
                <w:iCs/>
              </w:rPr>
            </w:pPr>
            <w:r w:rsidRPr="00177103">
              <w:rPr>
                <w:iCs/>
              </w:rPr>
              <w:t>Son de naturaleza empírica, por lo cual los datos recolectados deben ser ricos y profundos.</w:t>
            </w:r>
          </w:p>
        </w:tc>
        <w:tc>
          <w:tcPr>
            <w:tcW w:w="3884" w:type="dxa"/>
          </w:tcPr>
          <w:p w14:paraId="706A3BB2" w14:textId="77777777" w:rsidR="00B70892" w:rsidRPr="00177103" w:rsidRDefault="00B70892" w:rsidP="001F0AD6">
            <w:pPr>
              <w:jc w:val="both"/>
              <w:rPr>
                <w:iCs/>
              </w:rPr>
            </w:pPr>
            <w:r w:rsidRPr="00177103">
              <w:rPr>
                <w:iCs/>
              </w:rPr>
              <w:t xml:space="preserve">Sekaran y Bougie </w:t>
            </w:r>
            <w:r w:rsidR="001F0AD6" w:rsidRPr="00177103">
              <w:rPr>
                <w:iCs/>
              </w:rPr>
              <w:t>(</w:t>
            </w:r>
            <w:r w:rsidRPr="00177103">
              <w:rPr>
                <w:iCs/>
              </w:rPr>
              <w:t>2013</w:t>
            </w:r>
            <w:r w:rsidR="001F0AD6" w:rsidRPr="00177103">
              <w:rPr>
                <w:iCs/>
              </w:rPr>
              <w:t>),</w:t>
            </w:r>
            <w:r w:rsidRPr="00177103">
              <w:rPr>
                <w:iCs/>
              </w:rPr>
              <w:t xml:space="preserve"> Mertler y Charles </w:t>
            </w:r>
            <w:r w:rsidR="001F0AD6" w:rsidRPr="00177103">
              <w:rPr>
                <w:iCs/>
              </w:rPr>
              <w:t>(</w:t>
            </w:r>
            <w:r w:rsidRPr="00177103">
              <w:rPr>
                <w:iCs/>
              </w:rPr>
              <w:t>2010)</w:t>
            </w:r>
          </w:p>
        </w:tc>
      </w:tr>
      <w:tr w:rsidR="00B70892" w:rsidRPr="00177103" w14:paraId="019AD7E9" w14:textId="77777777" w:rsidTr="00B70892">
        <w:trPr>
          <w:trHeight w:val="533"/>
          <w:jc w:val="right"/>
        </w:trPr>
        <w:tc>
          <w:tcPr>
            <w:tcW w:w="5475" w:type="dxa"/>
          </w:tcPr>
          <w:p w14:paraId="11986B17" w14:textId="77777777" w:rsidR="00B70892" w:rsidRPr="00177103" w:rsidRDefault="00B70892" w:rsidP="00B70892">
            <w:pPr>
              <w:ind w:left="113"/>
              <w:jc w:val="both"/>
              <w:rPr>
                <w:iCs/>
              </w:rPr>
            </w:pPr>
            <w:r w:rsidRPr="00177103">
              <w:rPr>
                <w:iCs/>
              </w:rPr>
              <w:t>Son completamente contextuales, es decir, analizan tanto el caso como su contexto, pues a</w:t>
            </w:r>
            <w:r w:rsidR="006D600F" w:rsidRPr="00177103">
              <w:rPr>
                <w:iCs/>
              </w:rPr>
              <w:t>mbos son igualmente importantes.</w:t>
            </w:r>
          </w:p>
        </w:tc>
        <w:tc>
          <w:tcPr>
            <w:tcW w:w="3884" w:type="dxa"/>
          </w:tcPr>
          <w:p w14:paraId="1F5100DD" w14:textId="77777777" w:rsidR="00B70892" w:rsidRPr="00177103" w:rsidRDefault="001F0AD6" w:rsidP="001F0AD6">
            <w:pPr>
              <w:jc w:val="both"/>
              <w:rPr>
                <w:iCs/>
              </w:rPr>
            </w:pPr>
            <w:r w:rsidRPr="00177103">
              <w:rPr>
                <w:iCs/>
              </w:rPr>
              <w:t>Hernández</w:t>
            </w:r>
            <w:r w:rsidR="00B70892" w:rsidRPr="00177103">
              <w:rPr>
                <w:iCs/>
              </w:rPr>
              <w:t xml:space="preserve"> Sampieri</w:t>
            </w:r>
            <w:r w:rsidRPr="00177103">
              <w:rPr>
                <w:iCs/>
              </w:rPr>
              <w:t xml:space="preserve"> y</w:t>
            </w:r>
            <w:r w:rsidR="00B70892" w:rsidRPr="00177103">
              <w:rPr>
                <w:iCs/>
              </w:rPr>
              <w:t xml:space="preserve"> Mendoza </w:t>
            </w:r>
            <w:r w:rsidRPr="00177103">
              <w:rPr>
                <w:iCs/>
              </w:rPr>
              <w:t>(</w:t>
            </w:r>
            <w:r w:rsidR="00B70892" w:rsidRPr="00177103">
              <w:rPr>
                <w:iCs/>
              </w:rPr>
              <w:t>2012</w:t>
            </w:r>
            <w:r w:rsidRPr="00177103">
              <w:rPr>
                <w:iCs/>
              </w:rPr>
              <w:t>)</w:t>
            </w:r>
            <w:r w:rsidR="00B70892" w:rsidRPr="00177103">
              <w:rPr>
                <w:iCs/>
              </w:rPr>
              <w:t xml:space="preserve"> y Stake </w:t>
            </w:r>
            <w:r w:rsidRPr="00177103">
              <w:rPr>
                <w:iCs/>
              </w:rPr>
              <w:t>(</w:t>
            </w:r>
            <w:r w:rsidR="00B70892" w:rsidRPr="00177103">
              <w:rPr>
                <w:iCs/>
              </w:rPr>
              <w:t>2006)</w:t>
            </w:r>
          </w:p>
        </w:tc>
      </w:tr>
      <w:tr w:rsidR="00B70892" w:rsidRPr="00177103" w14:paraId="683E6889" w14:textId="77777777" w:rsidTr="00B70892">
        <w:trPr>
          <w:trHeight w:val="259"/>
          <w:jc w:val="right"/>
        </w:trPr>
        <w:tc>
          <w:tcPr>
            <w:tcW w:w="5475" w:type="dxa"/>
          </w:tcPr>
          <w:p w14:paraId="2C59ACE9" w14:textId="77777777" w:rsidR="00B70892" w:rsidRPr="00177103" w:rsidRDefault="00B70892" w:rsidP="00B70892">
            <w:pPr>
              <w:ind w:left="113"/>
              <w:jc w:val="both"/>
              <w:rPr>
                <w:iCs/>
              </w:rPr>
            </w:pPr>
            <w:r w:rsidRPr="00177103">
              <w:rPr>
                <w:iCs/>
              </w:rPr>
              <w:t>Utilizan triangulación de fuentes de datos como eje de análisis</w:t>
            </w:r>
            <w:r w:rsidR="006D600F" w:rsidRPr="00177103">
              <w:rPr>
                <w:iCs/>
              </w:rPr>
              <w:t>.</w:t>
            </w:r>
          </w:p>
        </w:tc>
        <w:tc>
          <w:tcPr>
            <w:tcW w:w="3884" w:type="dxa"/>
          </w:tcPr>
          <w:p w14:paraId="074B2105" w14:textId="77777777" w:rsidR="00B70892" w:rsidRPr="00177103" w:rsidRDefault="00B70892" w:rsidP="001F0AD6">
            <w:pPr>
              <w:jc w:val="both"/>
              <w:rPr>
                <w:iCs/>
              </w:rPr>
            </w:pPr>
            <w:r w:rsidRPr="00177103">
              <w:rPr>
                <w:iCs/>
              </w:rPr>
              <w:t xml:space="preserve">Greenn </w:t>
            </w:r>
            <w:r w:rsidR="001F0AD6" w:rsidRPr="00177103">
              <w:rPr>
                <w:iCs/>
              </w:rPr>
              <w:t>(</w:t>
            </w:r>
            <w:r w:rsidRPr="00177103">
              <w:rPr>
                <w:iCs/>
              </w:rPr>
              <w:t>2011)</w:t>
            </w:r>
          </w:p>
        </w:tc>
      </w:tr>
      <w:tr w:rsidR="00B70892" w:rsidRPr="005D0B41" w14:paraId="23980804" w14:textId="77777777" w:rsidTr="00B70892">
        <w:trPr>
          <w:trHeight w:val="793"/>
          <w:jc w:val="right"/>
        </w:trPr>
        <w:tc>
          <w:tcPr>
            <w:tcW w:w="5475" w:type="dxa"/>
          </w:tcPr>
          <w:p w14:paraId="3D3D3C4E" w14:textId="77777777" w:rsidR="00B70892" w:rsidRPr="00177103" w:rsidRDefault="00B70892" w:rsidP="00B70892">
            <w:pPr>
              <w:ind w:left="113"/>
              <w:jc w:val="both"/>
              <w:rPr>
                <w:iCs/>
              </w:rPr>
            </w:pPr>
            <w:r w:rsidRPr="00177103">
              <w:rPr>
                <w:iCs/>
              </w:rPr>
              <w:t>Se fundamentan en la premisa de que un examen en profundidad de un caso y su contexto puede generar información significat</w:t>
            </w:r>
            <w:r w:rsidR="006D600F" w:rsidRPr="00177103">
              <w:rPr>
                <w:iCs/>
              </w:rPr>
              <w:t>iva sobre otros casos similares.</w:t>
            </w:r>
          </w:p>
        </w:tc>
        <w:tc>
          <w:tcPr>
            <w:tcW w:w="3884" w:type="dxa"/>
          </w:tcPr>
          <w:p w14:paraId="713F471D" w14:textId="77777777" w:rsidR="00B70892" w:rsidRPr="00177103" w:rsidRDefault="00B70892" w:rsidP="001F0AD6">
            <w:pPr>
              <w:jc w:val="both"/>
              <w:rPr>
                <w:iCs/>
                <w:lang w:val="en-US"/>
              </w:rPr>
            </w:pPr>
            <w:r w:rsidRPr="00177103">
              <w:rPr>
                <w:i/>
                <w:iCs/>
                <w:lang w:val="en-US"/>
              </w:rPr>
              <w:t>The SAGE Glossary of the Social and Behavioral Sciencies</w:t>
            </w:r>
            <w:r w:rsidRPr="00177103">
              <w:rPr>
                <w:iCs/>
                <w:lang w:val="en-US"/>
              </w:rPr>
              <w:t xml:space="preserve"> </w:t>
            </w:r>
            <w:r w:rsidR="001F0AD6" w:rsidRPr="00177103">
              <w:rPr>
                <w:iCs/>
                <w:lang w:val="en-US"/>
              </w:rPr>
              <w:t>(</w:t>
            </w:r>
            <w:r w:rsidRPr="00177103">
              <w:rPr>
                <w:iCs/>
                <w:lang w:val="en-US"/>
              </w:rPr>
              <w:t>2009)</w:t>
            </w:r>
          </w:p>
        </w:tc>
      </w:tr>
      <w:tr w:rsidR="00B70892" w:rsidRPr="00177103" w14:paraId="5ED31528" w14:textId="77777777" w:rsidTr="00B70892">
        <w:trPr>
          <w:trHeight w:val="259"/>
          <w:jc w:val="right"/>
        </w:trPr>
        <w:tc>
          <w:tcPr>
            <w:tcW w:w="5475" w:type="dxa"/>
          </w:tcPr>
          <w:p w14:paraId="1A784B43" w14:textId="77777777" w:rsidR="00B70892" w:rsidRPr="00177103" w:rsidRDefault="00B70892" w:rsidP="00B70892">
            <w:pPr>
              <w:ind w:left="113"/>
              <w:jc w:val="both"/>
              <w:rPr>
                <w:iCs/>
              </w:rPr>
            </w:pPr>
            <w:r w:rsidRPr="00177103">
              <w:rPr>
                <w:iCs/>
              </w:rPr>
              <w:t>Incluyen todas las perspectivas posibles de los participantes</w:t>
            </w:r>
            <w:r w:rsidR="006D600F" w:rsidRPr="00177103">
              <w:rPr>
                <w:iCs/>
              </w:rPr>
              <w:t>.</w:t>
            </w:r>
          </w:p>
        </w:tc>
        <w:tc>
          <w:tcPr>
            <w:tcW w:w="3884" w:type="dxa"/>
          </w:tcPr>
          <w:p w14:paraId="13EBF999" w14:textId="77777777" w:rsidR="00B70892" w:rsidRPr="00177103" w:rsidRDefault="00B70892" w:rsidP="001F0AD6">
            <w:pPr>
              <w:jc w:val="both"/>
              <w:rPr>
                <w:iCs/>
              </w:rPr>
            </w:pPr>
            <w:r w:rsidRPr="00177103">
              <w:rPr>
                <w:iCs/>
              </w:rPr>
              <w:t xml:space="preserve">Rauffler </w:t>
            </w:r>
            <w:r w:rsidR="001F0AD6" w:rsidRPr="00177103">
              <w:rPr>
                <w:iCs/>
              </w:rPr>
              <w:t>(</w:t>
            </w:r>
            <w:r w:rsidRPr="00177103">
              <w:rPr>
                <w:iCs/>
              </w:rPr>
              <w:t>2009)</w:t>
            </w:r>
          </w:p>
        </w:tc>
      </w:tr>
    </w:tbl>
    <w:p w14:paraId="62DF90AC" w14:textId="77777777" w:rsidR="001F0AD6" w:rsidRPr="001F0AD6" w:rsidRDefault="001F0AD6" w:rsidP="001F0AD6">
      <w:pPr>
        <w:pStyle w:val="Bibliografa"/>
        <w:ind w:left="720" w:hanging="720"/>
        <w:jc w:val="center"/>
        <w:rPr>
          <w:rFonts w:ascii="Times New Roman" w:eastAsia="Times New Roman" w:hAnsi="Times New Roman" w:cs="Times New Roman"/>
          <w:sz w:val="22"/>
          <w:szCs w:val="22"/>
          <w:lang w:eastAsia="es-MX"/>
        </w:rPr>
      </w:pPr>
      <w:r w:rsidRPr="00177103">
        <w:rPr>
          <w:rFonts w:ascii="Times New Roman" w:eastAsia="Times New Roman" w:hAnsi="Times New Roman" w:cs="Times New Roman"/>
          <w:lang w:eastAsia="es-MX"/>
        </w:rPr>
        <w:t xml:space="preserve">Fuente: </w:t>
      </w:r>
      <w:r w:rsidRPr="00177103">
        <w:rPr>
          <w:rFonts w:ascii="Times New Roman" w:hAnsi="Times New Roman" w:cs="Times New Roman"/>
          <w:iCs/>
        </w:rPr>
        <w:t xml:space="preserve">Hernández </w:t>
      </w:r>
      <w:r w:rsidRPr="00177103">
        <w:rPr>
          <w:rFonts w:ascii="Times New Roman" w:hAnsi="Times New Roman" w:cs="Times New Roman"/>
          <w:noProof/>
          <w:lang w:val="es-ES"/>
        </w:rPr>
        <w:t xml:space="preserve">Sampieri </w:t>
      </w:r>
      <w:r w:rsidRPr="00177103">
        <w:rPr>
          <w:rFonts w:ascii="Times New Roman" w:hAnsi="Times New Roman" w:cs="Times New Roman"/>
          <w:i/>
          <w:noProof/>
          <w:lang w:val="es-ES"/>
        </w:rPr>
        <w:t>et al</w:t>
      </w:r>
      <w:r w:rsidRPr="00177103">
        <w:rPr>
          <w:rFonts w:ascii="Times New Roman" w:hAnsi="Times New Roman" w:cs="Times New Roman"/>
          <w:noProof/>
          <w:lang w:val="es-ES"/>
        </w:rPr>
        <w:t>. (2014)</w:t>
      </w:r>
    </w:p>
    <w:p w14:paraId="35BDFAF7" w14:textId="77777777" w:rsidR="001F0AD6" w:rsidRDefault="001F0AD6" w:rsidP="00B70892">
      <w:pPr>
        <w:pStyle w:val="Bibliografa"/>
        <w:ind w:left="720" w:hanging="720"/>
        <w:rPr>
          <w:rFonts w:ascii="Times New Roman" w:eastAsia="Times New Roman" w:hAnsi="Times New Roman" w:cs="Times New Roman"/>
          <w:sz w:val="21"/>
          <w:szCs w:val="21"/>
          <w:lang w:eastAsia="es-MX"/>
        </w:rPr>
      </w:pPr>
      <w:r>
        <w:rPr>
          <w:rFonts w:ascii="Times New Roman" w:eastAsia="Times New Roman" w:hAnsi="Times New Roman" w:cs="Times New Roman"/>
          <w:sz w:val="21"/>
          <w:szCs w:val="21"/>
          <w:lang w:eastAsia="es-MX"/>
        </w:rPr>
        <w:t xml:space="preserve"> </w:t>
      </w:r>
    </w:p>
    <w:p w14:paraId="54519F76" w14:textId="77777777" w:rsidR="006D600F" w:rsidRDefault="00B70892" w:rsidP="006D600F">
      <w:pPr>
        <w:spacing w:line="360" w:lineRule="auto"/>
        <w:ind w:firstLine="708"/>
        <w:jc w:val="both"/>
        <w:rPr>
          <w:iCs/>
        </w:rPr>
      </w:pPr>
      <w:r>
        <w:rPr>
          <w:iCs/>
        </w:rPr>
        <w:t>Dentro de esta recopilación de características se aprecia la gran utilidad de los estudios de caso que permiten de forma integral y holística estudiar un fenómeno en un ambiente natural con el propósito de recabar información significativa y poder establecer patrones.</w:t>
      </w:r>
    </w:p>
    <w:p w14:paraId="5A5F4184" w14:textId="77777777" w:rsidR="006D600F" w:rsidRDefault="00B70892" w:rsidP="006D600F">
      <w:pPr>
        <w:spacing w:line="360" w:lineRule="auto"/>
        <w:ind w:firstLine="708"/>
        <w:jc w:val="both"/>
        <w:rPr>
          <w:iCs/>
        </w:rPr>
      </w:pPr>
      <w:r w:rsidRPr="0033419F">
        <w:rPr>
          <w:iCs/>
        </w:rPr>
        <w:t>En este sentido</w:t>
      </w:r>
      <w:r w:rsidR="006D600F">
        <w:rPr>
          <w:iCs/>
        </w:rPr>
        <w:t>,</w:t>
      </w:r>
      <w:r w:rsidRPr="0033419F">
        <w:rPr>
          <w:iCs/>
        </w:rPr>
        <w:t xml:space="preserve"> al estudiar el </w:t>
      </w:r>
      <w:r>
        <w:rPr>
          <w:iCs/>
        </w:rPr>
        <w:t>s</w:t>
      </w:r>
      <w:r w:rsidRPr="0033419F">
        <w:rPr>
          <w:iCs/>
        </w:rPr>
        <w:t xml:space="preserve">ervicio </w:t>
      </w:r>
      <w:r>
        <w:rPr>
          <w:iCs/>
        </w:rPr>
        <w:t>e</w:t>
      </w:r>
      <w:r w:rsidRPr="0033419F">
        <w:rPr>
          <w:iCs/>
        </w:rPr>
        <w:t xml:space="preserve">ducativo </w:t>
      </w:r>
      <w:r>
        <w:rPr>
          <w:iCs/>
        </w:rPr>
        <w:t>t</w:t>
      </w:r>
      <w:r w:rsidRPr="0033419F">
        <w:rPr>
          <w:iCs/>
        </w:rPr>
        <w:t xml:space="preserve">elebachillerato </w:t>
      </w:r>
      <w:r>
        <w:rPr>
          <w:iCs/>
        </w:rPr>
        <w:t>c</w:t>
      </w:r>
      <w:r w:rsidRPr="0033419F">
        <w:rPr>
          <w:iCs/>
        </w:rPr>
        <w:t xml:space="preserve">omunitario del </w:t>
      </w:r>
      <w:r w:rsidR="006D600F">
        <w:rPr>
          <w:iCs/>
        </w:rPr>
        <w:t>e</w:t>
      </w:r>
      <w:r w:rsidRPr="0033419F">
        <w:rPr>
          <w:iCs/>
        </w:rPr>
        <w:t>stado de Campeche se pretende identificar patrones que permitan comprender cómo ha respondido dicho servicio a las necesidades de la comunidad y formación de estudiantes de tal manera que puedan generar propuestas de mejora de su entorno y calidad de vida</w:t>
      </w:r>
      <w:r w:rsidR="006D600F">
        <w:rPr>
          <w:iCs/>
        </w:rPr>
        <w:t>.</w:t>
      </w:r>
      <w:r>
        <w:rPr>
          <w:iCs/>
        </w:rPr>
        <w:t xml:space="preserve"> </w:t>
      </w:r>
      <w:r w:rsidR="006D600F">
        <w:rPr>
          <w:iCs/>
        </w:rPr>
        <w:t xml:space="preserve">En este proceso se consideran como más importantes las preguntas </w:t>
      </w:r>
      <w:r w:rsidRPr="006D600F">
        <w:rPr>
          <w:i/>
          <w:iCs/>
        </w:rPr>
        <w:t>cómo</w:t>
      </w:r>
      <w:r w:rsidRPr="0033419F">
        <w:rPr>
          <w:iCs/>
        </w:rPr>
        <w:t xml:space="preserve"> </w:t>
      </w:r>
      <w:r>
        <w:rPr>
          <w:iCs/>
        </w:rPr>
        <w:t>y</w:t>
      </w:r>
      <w:r w:rsidRPr="0033419F">
        <w:rPr>
          <w:iCs/>
        </w:rPr>
        <w:t xml:space="preserve"> </w:t>
      </w:r>
      <w:r w:rsidRPr="006D600F">
        <w:rPr>
          <w:i/>
          <w:iCs/>
        </w:rPr>
        <w:t>por qué</w:t>
      </w:r>
      <w:r w:rsidR="006D600F">
        <w:rPr>
          <w:iCs/>
        </w:rPr>
        <w:t xml:space="preserve">, ya que </w:t>
      </w:r>
      <w:r w:rsidRPr="0033419F">
        <w:rPr>
          <w:iCs/>
        </w:rPr>
        <w:t>el investigador no tiene gran control sobre el fenómeno estudiado.</w:t>
      </w:r>
      <w:r w:rsidR="006D600F">
        <w:rPr>
          <w:iCs/>
        </w:rPr>
        <w:t xml:space="preserve"> </w:t>
      </w:r>
      <w:r w:rsidR="006D600F" w:rsidRPr="0033419F">
        <w:rPr>
          <w:iCs/>
        </w:rPr>
        <w:t xml:space="preserve">Yin </w:t>
      </w:r>
      <w:r w:rsidR="006D600F">
        <w:rPr>
          <w:iCs/>
        </w:rPr>
        <w:t>(</w:t>
      </w:r>
      <w:r w:rsidR="006D600F" w:rsidRPr="0033419F">
        <w:rPr>
          <w:iCs/>
        </w:rPr>
        <w:t>1994</w:t>
      </w:r>
      <w:r w:rsidR="006D600F">
        <w:rPr>
          <w:iCs/>
        </w:rPr>
        <w:t>)</w:t>
      </w:r>
      <w:r w:rsidRPr="0033419F">
        <w:rPr>
          <w:iCs/>
        </w:rPr>
        <w:t xml:space="preserve"> </w:t>
      </w:r>
      <w:r w:rsidR="006D600F">
        <w:rPr>
          <w:iCs/>
        </w:rPr>
        <w:t xml:space="preserve">define el estudio de caso de la siguiente manera: </w:t>
      </w:r>
    </w:p>
    <w:p w14:paraId="78BD64DE" w14:textId="77777777" w:rsidR="00177103" w:rsidRDefault="00177103" w:rsidP="006D600F">
      <w:pPr>
        <w:spacing w:line="360" w:lineRule="auto"/>
        <w:ind w:left="1416"/>
        <w:jc w:val="both"/>
      </w:pPr>
    </w:p>
    <w:p w14:paraId="13614204" w14:textId="33A3EC97" w:rsidR="00B70892" w:rsidRPr="006D600F" w:rsidRDefault="006D600F" w:rsidP="006D600F">
      <w:pPr>
        <w:spacing w:line="360" w:lineRule="auto"/>
        <w:ind w:left="1416"/>
        <w:jc w:val="both"/>
      </w:pPr>
      <w:r w:rsidRPr="006D600F">
        <w:lastRenderedPageBreak/>
        <w:t>U</w:t>
      </w:r>
      <w:r w:rsidR="00B70892" w:rsidRPr="006D600F">
        <w:t>n estudio de caso es (1) una pregunta empírica que investiga un fenómeno contemporáneo dentro de su contexto de vida real sobre todo cuando los límites entre el fenómeno y conte</w:t>
      </w:r>
      <w:r>
        <w:t xml:space="preserve">xto no son claramente evidentes, </w:t>
      </w:r>
      <w:r w:rsidR="00B70892" w:rsidRPr="006D600F">
        <w:t>(2) la pregunta de estudio de caso cubre con la técnicamente distintiva situación en la cual habrá muchas más variables de interés que apuntes de datos y como resultado confía en las fuentes múltiples de evidencia, con datos que necesitan converger en una moda triangular, y como resultado beneficia el desarrollo anterior de proposiciones teóricas para guiar la colección de los datos y análisis</w:t>
      </w:r>
      <w:r>
        <w:t xml:space="preserve"> (p. </w:t>
      </w:r>
      <w:r w:rsidR="007E495F">
        <w:t>9</w:t>
      </w:r>
      <w:r>
        <w:t>)</w:t>
      </w:r>
      <w:r w:rsidR="00B70892" w:rsidRPr="006D600F">
        <w:t>.</w:t>
      </w:r>
      <w:r>
        <w:t xml:space="preserve"> </w:t>
      </w:r>
    </w:p>
    <w:p w14:paraId="2ED3828F" w14:textId="77777777" w:rsidR="00B70892" w:rsidRPr="0033419F" w:rsidRDefault="00B70892" w:rsidP="006D600F">
      <w:pPr>
        <w:spacing w:line="360" w:lineRule="auto"/>
        <w:ind w:firstLine="708"/>
        <w:jc w:val="both"/>
        <w:rPr>
          <w:iCs/>
        </w:rPr>
      </w:pPr>
      <w:r w:rsidRPr="0033419F">
        <w:rPr>
          <w:iCs/>
        </w:rPr>
        <w:t>Cada investigación debe basarse en un plan que será la guía del investigador</w:t>
      </w:r>
      <w:r w:rsidR="006D600F">
        <w:rPr>
          <w:iCs/>
        </w:rPr>
        <w:t>;</w:t>
      </w:r>
      <w:r w:rsidRPr="0033419F">
        <w:rPr>
          <w:iCs/>
        </w:rPr>
        <w:t xml:space="preserve"> de este modo</w:t>
      </w:r>
      <w:r w:rsidR="006D600F">
        <w:rPr>
          <w:iCs/>
        </w:rPr>
        <w:t>,</w:t>
      </w:r>
      <w:r w:rsidRPr="0033419F">
        <w:rPr>
          <w:iCs/>
        </w:rPr>
        <w:t xml:space="preserve"> se contará con un método para recolectar y analizar la información que se recaba</w:t>
      </w:r>
      <w:r w:rsidR="006D600F">
        <w:rPr>
          <w:iCs/>
        </w:rPr>
        <w:t xml:space="preserve">, la cual luego se usará para </w:t>
      </w:r>
      <w:r w:rsidRPr="0033419F">
        <w:rPr>
          <w:iCs/>
        </w:rPr>
        <w:t>emitir un informe.</w:t>
      </w:r>
      <w:r w:rsidR="006D600F">
        <w:rPr>
          <w:iCs/>
        </w:rPr>
        <w:t xml:space="preserve"> Según </w:t>
      </w:r>
      <w:r w:rsidR="006D600F" w:rsidRPr="0033419F">
        <w:rPr>
          <w:iCs/>
        </w:rPr>
        <w:t>Yin</w:t>
      </w:r>
      <w:r w:rsidR="006D600F">
        <w:rPr>
          <w:iCs/>
        </w:rPr>
        <w:t xml:space="preserve"> (</w:t>
      </w:r>
      <w:r w:rsidR="006D600F" w:rsidRPr="0033419F">
        <w:rPr>
          <w:iCs/>
        </w:rPr>
        <w:t>1994)</w:t>
      </w:r>
      <w:r w:rsidR="006D600F">
        <w:rPr>
          <w:iCs/>
        </w:rPr>
        <w:t>, l</w:t>
      </w:r>
      <w:r w:rsidRPr="0033419F">
        <w:rPr>
          <w:iCs/>
        </w:rPr>
        <w:t xml:space="preserve">os componentes de un plan de investigación para los estudios de caso son </w:t>
      </w:r>
      <w:r w:rsidR="006D600F">
        <w:rPr>
          <w:iCs/>
        </w:rPr>
        <w:t>cinco:</w:t>
      </w:r>
    </w:p>
    <w:p w14:paraId="0344864A" w14:textId="77777777" w:rsidR="00B70892" w:rsidRPr="00E8280F" w:rsidRDefault="00B70892" w:rsidP="00E8280F">
      <w:pPr>
        <w:pStyle w:val="Prrafodelista"/>
        <w:numPr>
          <w:ilvl w:val="0"/>
          <w:numId w:val="16"/>
        </w:numPr>
        <w:spacing w:line="360" w:lineRule="auto"/>
        <w:jc w:val="both"/>
        <w:rPr>
          <w:rFonts w:ascii="Times New Roman" w:hAnsi="Times New Roman" w:cs="Times New Roman"/>
          <w:iCs/>
          <w:sz w:val="24"/>
          <w:szCs w:val="24"/>
          <w:lang w:val="es-ES"/>
        </w:rPr>
      </w:pPr>
      <w:r w:rsidRPr="00E8280F">
        <w:rPr>
          <w:rFonts w:ascii="Times New Roman" w:hAnsi="Times New Roman" w:cs="Times New Roman"/>
          <w:iCs/>
          <w:sz w:val="24"/>
          <w:szCs w:val="24"/>
          <w:lang w:val="es-ES"/>
        </w:rPr>
        <w:t>Una pregunta de estudio</w:t>
      </w:r>
      <w:r w:rsidR="00E8280F">
        <w:rPr>
          <w:rFonts w:ascii="Times New Roman" w:hAnsi="Times New Roman" w:cs="Times New Roman"/>
          <w:iCs/>
          <w:sz w:val="24"/>
          <w:szCs w:val="24"/>
          <w:lang w:val="es-ES"/>
        </w:rPr>
        <w:t>.</w:t>
      </w:r>
    </w:p>
    <w:p w14:paraId="76E06C4B" w14:textId="77777777" w:rsidR="00B70892" w:rsidRPr="00E8280F" w:rsidRDefault="00B70892" w:rsidP="00E8280F">
      <w:pPr>
        <w:pStyle w:val="Prrafodelista"/>
        <w:numPr>
          <w:ilvl w:val="0"/>
          <w:numId w:val="16"/>
        </w:numPr>
        <w:spacing w:line="360" w:lineRule="auto"/>
        <w:jc w:val="both"/>
        <w:rPr>
          <w:rFonts w:ascii="Times New Roman" w:hAnsi="Times New Roman" w:cs="Times New Roman"/>
          <w:iCs/>
          <w:sz w:val="24"/>
          <w:szCs w:val="24"/>
          <w:lang w:val="es-ES"/>
        </w:rPr>
      </w:pPr>
      <w:r w:rsidRPr="00E8280F">
        <w:rPr>
          <w:rFonts w:ascii="Times New Roman" w:hAnsi="Times New Roman" w:cs="Times New Roman"/>
          <w:iCs/>
          <w:sz w:val="24"/>
          <w:szCs w:val="24"/>
          <w:lang w:val="es-ES"/>
        </w:rPr>
        <w:t>Sus proposiciones, si hubiera</w:t>
      </w:r>
      <w:r w:rsidR="00E8280F">
        <w:rPr>
          <w:rFonts w:ascii="Times New Roman" w:hAnsi="Times New Roman" w:cs="Times New Roman"/>
          <w:iCs/>
          <w:sz w:val="24"/>
          <w:szCs w:val="24"/>
          <w:lang w:val="es-ES"/>
        </w:rPr>
        <w:t>.</w:t>
      </w:r>
    </w:p>
    <w:p w14:paraId="1AA767EC" w14:textId="77777777" w:rsidR="00B70892" w:rsidRPr="00E8280F" w:rsidRDefault="00B70892" w:rsidP="00E8280F">
      <w:pPr>
        <w:pStyle w:val="Prrafodelista"/>
        <w:numPr>
          <w:ilvl w:val="0"/>
          <w:numId w:val="16"/>
        </w:numPr>
        <w:spacing w:line="360" w:lineRule="auto"/>
        <w:jc w:val="both"/>
        <w:rPr>
          <w:rFonts w:ascii="Times New Roman" w:hAnsi="Times New Roman" w:cs="Times New Roman"/>
          <w:iCs/>
          <w:sz w:val="24"/>
          <w:szCs w:val="24"/>
          <w:lang w:val="es-ES"/>
        </w:rPr>
      </w:pPr>
      <w:r w:rsidRPr="00E8280F">
        <w:rPr>
          <w:rFonts w:ascii="Times New Roman" w:hAnsi="Times New Roman" w:cs="Times New Roman"/>
          <w:iCs/>
          <w:sz w:val="24"/>
          <w:szCs w:val="24"/>
          <w:lang w:val="es-ES"/>
        </w:rPr>
        <w:t>Su unidad o unidades de análisis</w:t>
      </w:r>
      <w:r w:rsidR="00E8280F">
        <w:rPr>
          <w:rFonts w:ascii="Times New Roman" w:hAnsi="Times New Roman" w:cs="Times New Roman"/>
          <w:iCs/>
          <w:sz w:val="24"/>
          <w:szCs w:val="24"/>
          <w:lang w:val="es-ES"/>
        </w:rPr>
        <w:t>.</w:t>
      </w:r>
    </w:p>
    <w:p w14:paraId="234A77B7" w14:textId="77777777" w:rsidR="00B70892" w:rsidRPr="00E8280F" w:rsidRDefault="00B70892" w:rsidP="00E8280F">
      <w:pPr>
        <w:pStyle w:val="Prrafodelista"/>
        <w:numPr>
          <w:ilvl w:val="0"/>
          <w:numId w:val="16"/>
        </w:numPr>
        <w:spacing w:line="360" w:lineRule="auto"/>
        <w:jc w:val="both"/>
        <w:rPr>
          <w:rFonts w:ascii="Times New Roman" w:hAnsi="Times New Roman" w:cs="Times New Roman"/>
          <w:iCs/>
          <w:sz w:val="24"/>
          <w:szCs w:val="24"/>
          <w:lang w:val="es-ES"/>
        </w:rPr>
      </w:pPr>
      <w:r w:rsidRPr="00E8280F">
        <w:rPr>
          <w:rFonts w:ascii="Times New Roman" w:hAnsi="Times New Roman" w:cs="Times New Roman"/>
          <w:iCs/>
          <w:sz w:val="24"/>
          <w:szCs w:val="24"/>
          <w:lang w:val="es-ES"/>
        </w:rPr>
        <w:t>La lógica que une los datos a las proposiciones</w:t>
      </w:r>
      <w:r w:rsidR="00E8280F">
        <w:rPr>
          <w:rFonts w:ascii="Times New Roman" w:hAnsi="Times New Roman" w:cs="Times New Roman"/>
          <w:iCs/>
          <w:sz w:val="24"/>
          <w:szCs w:val="24"/>
          <w:lang w:val="es-ES"/>
        </w:rPr>
        <w:t>.</w:t>
      </w:r>
    </w:p>
    <w:p w14:paraId="7ADF7D0C" w14:textId="77777777" w:rsidR="00B70892" w:rsidRPr="00E8280F" w:rsidRDefault="00B70892" w:rsidP="00E8280F">
      <w:pPr>
        <w:pStyle w:val="Prrafodelista"/>
        <w:numPr>
          <w:ilvl w:val="0"/>
          <w:numId w:val="16"/>
        </w:numPr>
        <w:spacing w:line="360" w:lineRule="auto"/>
        <w:jc w:val="both"/>
        <w:rPr>
          <w:rFonts w:ascii="Times New Roman" w:eastAsia="Times New Roman" w:hAnsi="Times New Roman" w:cs="Times New Roman"/>
          <w:sz w:val="24"/>
          <w:szCs w:val="24"/>
          <w:lang w:val="es-MX"/>
        </w:rPr>
      </w:pPr>
      <w:r w:rsidRPr="00E8280F">
        <w:rPr>
          <w:rFonts w:ascii="Times New Roman" w:hAnsi="Times New Roman" w:cs="Times New Roman"/>
          <w:iCs/>
          <w:sz w:val="24"/>
          <w:szCs w:val="24"/>
          <w:lang w:val="es-ES"/>
        </w:rPr>
        <w:t>Criterio</w:t>
      </w:r>
      <w:r w:rsidRPr="00E8280F">
        <w:rPr>
          <w:rFonts w:ascii="Times New Roman" w:eastAsia="Times New Roman" w:hAnsi="Times New Roman" w:cs="Times New Roman"/>
          <w:sz w:val="24"/>
          <w:szCs w:val="24"/>
          <w:lang w:val="es-MX"/>
        </w:rPr>
        <w:t xml:space="preserve"> para interpretar los resultados de un estudio</w:t>
      </w:r>
      <w:r w:rsidR="00E8280F">
        <w:rPr>
          <w:rFonts w:ascii="Times New Roman" w:eastAsia="Times New Roman" w:hAnsi="Times New Roman" w:cs="Times New Roman"/>
          <w:sz w:val="24"/>
          <w:szCs w:val="24"/>
          <w:lang w:val="es-MX"/>
        </w:rPr>
        <w:t>.</w:t>
      </w:r>
    </w:p>
    <w:p w14:paraId="5A4B0C90" w14:textId="77777777" w:rsidR="00E8280F" w:rsidRDefault="00B70892" w:rsidP="00E8280F">
      <w:pPr>
        <w:spacing w:line="360" w:lineRule="auto"/>
        <w:ind w:firstLine="708"/>
        <w:jc w:val="both"/>
        <w:rPr>
          <w:lang w:val="es-ES"/>
        </w:rPr>
      </w:pPr>
      <w:r w:rsidRPr="0033419F">
        <w:rPr>
          <w:lang w:val="es-ES"/>
        </w:rPr>
        <w:t>Para la recolección de datos se diseñó una</w:t>
      </w:r>
      <w:r>
        <w:rPr>
          <w:lang w:val="es-ES"/>
        </w:rPr>
        <w:t xml:space="preserve"> encuesta que se aplicó a dos grupos poblaciones</w:t>
      </w:r>
      <w:r w:rsidR="00E8280F">
        <w:rPr>
          <w:lang w:val="es-ES"/>
        </w:rPr>
        <w:t>:</w:t>
      </w:r>
      <w:r>
        <w:rPr>
          <w:lang w:val="es-ES"/>
        </w:rPr>
        <w:t xml:space="preserve"> los alumnos de sexto semestre </w:t>
      </w:r>
      <w:r w:rsidR="00E8280F">
        <w:rPr>
          <w:lang w:val="es-ES"/>
        </w:rPr>
        <w:t>(</w:t>
      </w:r>
      <w:r>
        <w:rPr>
          <w:lang w:val="es-ES"/>
        </w:rPr>
        <w:t xml:space="preserve">previo a su egreso </w:t>
      </w:r>
      <w:r w:rsidR="00E8280F">
        <w:rPr>
          <w:lang w:val="es-ES"/>
        </w:rPr>
        <w:t>en el</w:t>
      </w:r>
      <w:r>
        <w:rPr>
          <w:lang w:val="es-ES"/>
        </w:rPr>
        <w:t xml:space="preserve"> momento del estudio</w:t>
      </w:r>
      <w:r w:rsidR="00E8280F">
        <w:rPr>
          <w:lang w:val="es-ES"/>
        </w:rPr>
        <w:t>)</w:t>
      </w:r>
      <w:r>
        <w:rPr>
          <w:lang w:val="es-ES"/>
        </w:rPr>
        <w:t xml:space="preserve"> y los egresados de años anteriores </w:t>
      </w:r>
      <w:r w:rsidR="00E8280F">
        <w:rPr>
          <w:lang w:val="es-ES"/>
        </w:rPr>
        <w:t>(</w:t>
      </w:r>
      <w:r>
        <w:rPr>
          <w:lang w:val="es-ES"/>
        </w:rPr>
        <w:t>de los cuales no se contaba con registro</w:t>
      </w:r>
      <w:r w:rsidR="00E8280F">
        <w:rPr>
          <w:lang w:val="es-ES"/>
        </w:rPr>
        <w:t>)</w:t>
      </w:r>
      <w:r>
        <w:rPr>
          <w:lang w:val="es-ES"/>
        </w:rPr>
        <w:t>.</w:t>
      </w:r>
    </w:p>
    <w:p w14:paraId="0C2DD698" w14:textId="77777777" w:rsidR="00B70892" w:rsidRDefault="00B70892" w:rsidP="00E8280F">
      <w:pPr>
        <w:spacing w:line="360" w:lineRule="auto"/>
        <w:ind w:firstLine="708"/>
        <w:jc w:val="both"/>
      </w:pPr>
      <w:r w:rsidRPr="005C3F55">
        <w:t xml:space="preserve">El estudio </w:t>
      </w:r>
      <w:r w:rsidR="00E8280F">
        <w:t>—</w:t>
      </w:r>
      <w:r w:rsidRPr="005C3F55">
        <w:t>al tener la finalidad de realizar comparaciones y establecer patrones</w:t>
      </w:r>
      <w:r w:rsidR="00E8280F">
        <w:t>—</w:t>
      </w:r>
      <w:r w:rsidRPr="005C3F55">
        <w:t xml:space="preserve"> </w:t>
      </w:r>
      <w:r w:rsidR="00E8280F">
        <w:t>necesita recabar</w:t>
      </w:r>
      <w:r w:rsidRPr="005C3F55">
        <w:t xml:space="preserve"> información desde todos los ángulos posibles</w:t>
      </w:r>
      <w:r w:rsidR="00E8280F">
        <w:t>. Por eso —y</w:t>
      </w:r>
      <w:r w:rsidRPr="005C3F55">
        <w:t xml:space="preserve"> para no limitarlo a una sola zona donde </w:t>
      </w:r>
      <w:r w:rsidR="00E8280F">
        <w:t>tres</w:t>
      </w:r>
      <w:r w:rsidRPr="005C3F55">
        <w:t xml:space="preserve"> o </w:t>
      </w:r>
      <w:r w:rsidR="00E8280F">
        <w:t>cuatro</w:t>
      </w:r>
      <w:r w:rsidRPr="005C3F55">
        <w:t xml:space="preserve"> planteles estuvieran en condiciones similares</w:t>
      </w:r>
      <w:r w:rsidR="00E8280F">
        <w:t>,</w:t>
      </w:r>
      <w:r w:rsidRPr="005C3F55">
        <w:t xml:space="preserve"> pero que no </w:t>
      </w:r>
      <w:r w:rsidR="00E8280F">
        <w:t xml:space="preserve">se aplicaran </w:t>
      </w:r>
      <w:r w:rsidRPr="005C3F55">
        <w:t>para los restantes</w:t>
      </w:r>
      <w:r w:rsidR="00E8280F">
        <w:t>—</w:t>
      </w:r>
      <w:r w:rsidRPr="005C3F55">
        <w:t>, se decidió que cada plantel se considerara un caso</w:t>
      </w:r>
      <w:r w:rsidR="00E8280F">
        <w:t>.</w:t>
      </w:r>
      <w:r w:rsidRPr="005C3F55">
        <w:t xml:space="preserve"> </w:t>
      </w:r>
      <w:r w:rsidR="00E8280F">
        <w:t>E</w:t>
      </w:r>
      <w:r w:rsidRPr="005C3F55">
        <w:t>s</w:t>
      </w:r>
      <w:r w:rsidR="00E8280F">
        <w:t>t</w:t>
      </w:r>
      <w:r w:rsidRPr="005C3F55">
        <w:t>o permite tener una visión general</w:t>
      </w:r>
      <w:r>
        <w:t xml:space="preserve"> </w:t>
      </w:r>
      <w:r w:rsidRPr="005C3F55">
        <w:t>y analizar aspectos centrales de cada plantel para establecer semejanzas y diferencias.</w:t>
      </w:r>
      <w:r w:rsidR="00E8280F">
        <w:t xml:space="preserve"> En concreto, c</w:t>
      </w:r>
      <w:r w:rsidRPr="005C3F55">
        <w:t xml:space="preserve">ada caso </w:t>
      </w:r>
      <w:r>
        <w:t xml:space="preserve">se identificó </w:t>
      </w:r>
      <w:r w:rsidR="00E8280F">
        <w:t>con</w:t>
      </w:r>
      <w:r w:rsidRPr="005C3F55">
        <w:t xml:space="preserve"> el nombre del plantel</w:t>
      </w:r>
      <w:r w:rsidR="00E8280F">
        <w:t xml:space="preserve"> (en total fueron </w:t>
      </w:r>
      <w:r w:rsidRPr="005C3F55">
        <w:t>19</w:t>
      </w:r>
      <w:r w:rsidR="00E8280F">
        <w:t>)</w:t>
      </w:r>
      <w:r w:rsidRPr="005C3F55">
        <w:t>:</w:t>
      </w:r>
    </w:p>
    <w:p w14:paraId="558E365F" w14:textId="14D39808" w:rsidR="00E8280F" w:rsidRDefault="00E8280F" w:rsidP="00E8280F">
      <w:pPr>
        <w:spacing w:line="360" w:lineRule="auto"/>
        <w:ind w:firstLine="708"/>
        <w:jc w:val="both"/>
      </w:pPr>
    </w:p>
    <w:p w14:paraId="147C164B" w14:textId="776FF53D" w:rsidR="00177103" w:rsidRDefault="00177103" w:rsidP="00E8280F">
      <w:pPr>
        <w:spacing w:line="360" w:lineRule="auto"/>
        <w:ind w:firstLine="708"/>
        <w:jc w:val="both"/>
      </w:pPr>
    </w:p>
    <w:p w14:paraId="1D2015A1" w14:textId="72EA8DB0" w:rsidR="00177103" w:rsidRDefault="00177103" w:rsidP="00E8280F">
      <w:pPr>
        <w:spacing w:line="360" w:lineRule="auto"/>
        <w:ind w:firstLine="708"/>
        <w:jc w:val="both"/>
      </w:pPr>
    </w:p>
    <w:p w14:paraId="2B4A8EBA" w14:textId="1532D3C4" w:rsidR="00177103" w:rsidRDefault="00177103" w:rsidP="00E8280F">
      <w:pPr>
        <w:spacing w:line="360" w:lineRule="auto"/>
        <w:ind w:firstLine="708"/>
        <w:jc w:val="both"/>
      </w:pPr>
    </w:p>
    <w:p w14:paraId="59F2CAB0" w14:textId="77777777" w:rsidR="005D0B41" w:rsidRPr="005C3F55" w:rsidRDefault="005D0B41" w:rsidP="00E8280F">
      <w:pPr>
        <w:spacing w:line="360" w:lineRule="auto"/>
        <w:ind w:firstLine="708"/>
        <w:jc w:val="both"/>
      </w:pPr>
    </w:p>
    <w:p w14:paraId="4BC8BA58" w14:textId="77777777" w:rsidR="00B70892" w:rsidRPr="00177103" w:rsidRDefault="00E8280F" w:rsidP="00B70892">
      <w:pPr>
        <w:jc w:val="center"/>
      </w:pPr>
      <w:r w:rsidRPr="00177103">
        <w:rPr>
          <w:b/>
        </w:rPr>
        <w:lastRenderedPageBreak/>
        <w:t>Tabla 3.</w:t>
      </w:r>
      <w:r w:rsidRPr="00177103">
        <w:t xml:space="preserve"> </w:t>
      </w:r>
      <w:r w:rsidR="00B70892" w:rsidRPr="00177103">
        <w:t>Casos definidos para el estudio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697"/>
      </w:tblGrid>
      <w:tr w:rsidR="00B70892" w:rsidRPr="00177103" w14:paraId="040621A8" w14:textId="77777777" w:rsidTr="00E8280F">
        <w:trPr>
          <w:jc w:val="center"/>
        </w:trPr>
        <w:tc>
          <w:tcPr>
            <w:tcW w:w="1493" w:type="dxa"/>
          </w:tcPr>
          <w:p w14:paraId="6EA1A805" w14:textId="77777777" w:rsidR="00B70892" w:rsidRPr="00177103" w:rsidRDefault="00B70892" w:rsidP="00E8280F">
            <w:pPr>
              <w:jc w:val="both"/>
              <w:rPr>
                <w:b/>
              </w:rPr>
            </w:pPr>
            <w:r w:rsidRPr="00177103">
              <w:rPr>
                <w:b/>
              </w:rPr>
              <w:t>N</w:t>
            </w:r>
            <w:r w:rsidR="00E8280F" w:rsidRPr="00177103">
              <w:rPr>
                <w:b/>
              </w:rPr>
              <w:t>.°</w:t>
            </w:r>
            <w:r w:rsidRPr="00177103">
              <w:rPr>
                <w:b/>
              </w:rPr>
              <w:t xml:space="preserve"> </w:t>
            </w:r>
            <w:r w:rsidR="00E8280F" w:rsidRPr="00177103">
              <w:rPr>
                <w:b/>
              </w:rPr>
              <w:t xml:space="preserve">de </w:t>
            </w:r>
            <w:r w:rsidRPr="00177103">
              <w:rPr>
                <w:b/>
              </w:rPr>
              <w:t>caso</w:t>
            </w:r>
          </w:p>
        </w:tc>
        <w:tc>
          <w:tcPr>
            <w:tcW w:w="2697" w:type="dxa"/>
          </w:tcPr>
          <w:p w14:paraId="4AB7B0CA" w14:textId="77777777" w:rsidR="00B70892" w:rsidRPr="00177103" w:rsidRDefault="00B70892" w:rsidP="00B70892">
            <w:pPr>
              <w:jc w:val="both"/>
              <w:rPr>
                <w:b/>
              </w:rPr>
            </w:pPr>
            <w:r w:rsidRPr="00177103">
              <w:rPr>
                <w:b/>
              </w:rPr>
              <w:t>Nombre del caso</w:t>
            </w:r>
          </w:p>
        </w:tc>
      </w:tr>
      <w:tr w:rsidR="00B70892" w:rsidRPr="00177103" w14:paraId="098021AC" w14:textId="77777777" w:rsidTr="00E8280F">
        <w:trPr>
          <w:jc w:val="center"/>
        </w:trPr>
        <w:tc>
          <w:tcPr>
            <w:tcW w:w="1493" w:type="dxa"/>
          </w:tcPr>
          <w:p w14:paraId="7A45EF90" w14:textId="77777777" w:rsidR="00B70892" w:rsidRPr="00177103" w:rsidRDefault="00B70892" w:rsidP="00B70892">
            <w:pPr>
              <w:jc w:val="both"/>
            </w:pPr>
            <w:r w:rsidRPr="00177103">
              <w:t>Caso 1</w:t>
            </w:r>
          </w:p>
        </w:tc>
        <w:tc>
          <w:tcPr>
            <w:tcW w:w="2697" w:type="dxa"/>
          </w:tcPr>
          <w:p w14:paraId="680456BB" w14:textId="77777777" w:rsidR="00B70892" w:rsidRPr="00177103" w:rsidRDefault="00B70892" w:rsidP="00B70892">
            <w:pPr>
              <w:jc w:val="both"/>
            </w:pPr>
            <w:r w:rsidRPr="00177103">
              <w:t>Adolfo Ru</w:t>
            </w:r>
            <w:r w:rsidR="00E8280F" w:rsidRPr="00177103">
              <w:t>iz Cortí</w:t>
            </w:r>
            <w:r w:rsidRPr="00177103">
              <w:t>nez</w:t>
            </w:r>
          </w:p>
        </w:tc>
      </w:tr>
      <w:tr w:rsidR="00B70892" w:rsidRPr="00177103" w14:paraId="1AA2CB04" w14:textId="77777777" w:rsidTr="00E8280F">
        <w:trPr>
          <w:jc w:val="center"/>
        </w:trPr>
        <w:tc>
          <w:tcPr>
            <w:tcW w:w="1493" w:type="dxa"/>
          </w:tcPr>
          <w:p w14:paraId="13987FE1" w14:textId="77777777" w:rsidR="00B70892" w:rsidRPr="00177103" w:rsidRDefault="00B70892" w:rsidP="00B70892">
            <w:pPr>
              <w:jc w:val="both"/>
            </w:pPr>
            <w:r w:rsidRPr="00177103">
              <w:t>Caso 2</w:t>
            </w:r>
          </w:p>
        </w:tc>
        <w:tc>
          <w:tcPr>
            <w:tcW w:w="2697" w:type="dxa"/>
          </w:tcPr>
          <w:p w14:paraId="5C6E9DA6" w14:textId="77777777" w:rsidR="00B70892" w:rsidRPr="00177103" w:rsidRDefault="00E8280F" w:rsidP="00B70892">
            <w:pPr>
              <w:jc w:val="both"/>
            </w:pPr>
            <w:r w:rsidRPr="00177103">
              <w:t>Carlos Salinas d</w:t>
            </w:r>
            <w:r w:rsidR="00B70892" w:rsidRPr="00177103">
              <w:t>e Gortari</w:t>
            </w:r>
          </w:p>
        </w:tc>
      </w:tr>
      <w:tr w:rsidR="00B70892" w:rsidRPr="00177103" w14:paraId="719BD8C3" w14:textId="77777777" w:rsidTr="00E8280F">
        <w:trPr>
          <w:jc w:val="center"/>
        </w:trPr>
        <w:tc>
          <w:tcPr>
            <w:tcW w:w="1493" w:type="dxa"/>
          </w:tcPr>
          <w:p w14:paraId="72530688" w14:textId="77777777" w:rsidR="00B70892" w:rsidRPr="00177103" w:rsidRDefault="00B70892" w:rsidP="00B70892">
            <w:pPr>
              <w:jc w:val="both"/>
            </w:pPr>
            <w:r w:rsidRPr="00177103">
              <w:t>Caso 3</w:t>
            </w:r>
          </w:p>
        </w:tc>
        <w:tc>
          <w:tcPr>
            <w:tcW w:w="2697" w:type="dxa"/>
          </w:tcPr>
          <w:p w14:paraId="762E8471" w14:textId="77777777" w:rsidR="00B70892" w:rsidRPr="00177103" w:rsidRDefault="00B70892" w:rsidP="00B70892">
            <w:pPr>
              <w:jc w:val="both"/>
            </w:pPr>
            <w:r w:rsidRPr="00177103">
              <w:t>Chunchintok</w:t>
            </w:r>
          </w:p>
        </w:tc>
      </w:tr>
      <w:tr w:rsidR="00B70892" w:rsidRPr="00177103" w14:paraId="52E3E13F" w14:textId="77777777" w:rsidTr="00E8280F">
        <w:trPr>
          <w:jc w:val="center"/>
        </w:trPr>
        <w:tc>
          <w:tcPr>
            <w:tcW w:w="1493" w:type="dxa"/>
          </w:tcPr>
          <w:p w14:paraId="02D79878" w14:textId="77777777" w:rsidR="00B70892" w:rsidRPr="00177103" w:rsidRDefault="00B70892" w:rsidP="00B70892">
            <w:pPr>
              <w:jc w:val="both"/>
            </w:pPr>
            <w:r w:rsidRPr="00177103">
              <w:t>Caso 4</w:t>
            </w:r>
          </w:p>
        </w:tc>
        <w:tc>
          <w:tcPr>
            <w:tcW w:w="2697" w:type="dxa"/>
          </w:tcPr>
          <w:p w14:paraId="2400EF2A" w14:textId="77777777" w:rsidR="00B70892" w:rsidRPr="00177103" w:rsidRDefault="00B70892" w:rsidP="00B70892">
            <w:pPr>
              <w:jc w:val="both"/>
            </w:pPr>
            <w:r w:rsidRPr="00177103">
              <w:t>Chunkanan</w:t>
            </w:r>
          </w:p>
        </w:tc>
      </w:tr>
      <w:tr w:rsidR="00B70892" w:rsidRPr="00177103" w14:paraId="07950AAF" w14:textId="77777777" w:rsidTr="00E8280F">
        <w:trPr>
          <w:jc w:val="center"/>
        </w:trPr>
        <w:tc>
          <w:tcPr>
            <w:tcW w:w="1493" w:type="dxa"/>
          </w:tcPr>
          <w:p w14:paraId="0B450734" w14:textId="77777777" w:rsidR="00B70892" w:rsidRPr="00177103" w:rsidRDefault="00B70892" w:rsidP="00B70892">
            <w:pPr>
              <w:jc w:val="both"/>
            </w:pPr>
            <w:r w:rsidRPr="00177103">
              <w:t>Caso 5</w:t>
            </w:r>
          </w:p>
        </w:tc>
        <w:tc>
          <w:tcPr>
            <w:tcW w:w="2697" w:type="dxa"/>
          </w:tcPr>
          <w:p w14:paraId="72321D25" w14:textId="77777777" w:rsidR="00B70892" w:rsidRPr="00177103" w:rsidRDefault="00B70892" w:rsidP="00B70892">
            <w:pPr>
              <w:jc w:val="both"/>
            </w:pPr>
            <w:r w:rsidRPr="00177103">
              <w:t>Cumpich</w:t>
            </w:r>
          </w:p>
        </w:tc>
      </w:tr>
      <w:tr w:rsidR="00B70892" w:rsidRPr="00177103" w14:paraId="5A1DB3C9" w14:textId="77777777" w:rsidTr="00E8280F">
        <w:trPr>
          <w:jc w:val="center"/>
        </w:trPr>
        <w:tc>
          <w:tcPr>
            <w:tcW w:w="1493" w:type="dxa"/>
          </w:tcPr>
          <w:p w14:paraId="7BC780F6" w14:textId="77777777" w:rsidR="00B70892" w:rsidRPr="00177103" w:rsidRDefault="00B70892" w:rsidP="00B70892">
            <w:pPr>
              <w:jc w:val="both"/>
            </w:pPr>
            <w:r w:rsidRPr="00177103">
              <w:t>Caso 6</w:t>
            </w:r>
          </w:p>
        </w:tc>
        <w:tc>
          <w:tcPr>
            <w:tcW w:w="2697" w:type="dxa"/>
          </w:tcPr>
          <w:p w14:paraId="2FAB4FB6" w14:textId="77777777" w:rsidR="00B70892" w:rsidRPr="00177103" w:rsidRDefault="00B70892" w:rsidP="00B70892">
            <w:pPr>
              <w:jc w:val="both"/>
            </w:pPr>
            <w:r w:rsidRPr="00177103">
              <w:t xml:space="preserve">Gustavo </w:t>
            </w:r>
            <w:r w:rsidR="00E8280F" w:rsidRPr="00177103">
              <w:t>Díaz</w:t>
            </w:r>
            <w:r w:rsidRPr="00177103">
              <w:t xml:space="preserve"> Ordaz</w:t>
            </w:r>
          </w:p>
        </w:tc>
      </w:tr>
      <w:tr w:rsidR="00B70892" w:rsidRPr="00177103" w14:paraId="657E6E08" w14:textId="77777777" w:rsidTr="00E8280F">
        <w:trPr>
          <w:jc w:val="center"/>
        </w:trPr>
        <w:tc>
          <w:tcPr>
            <w:tcW w:w="1493" w:type="dxa"/>
          </w:tcPr>
          <w:p w14:paraId="4087087A" w14:textId="77777777" w:rsidR="00B70892" w:rsidRPr="00177103" w:rsidRDefault="00B70892" w:rsidP="00B70892">
            <w:pPr>
              <w:jc w:val="both"/>
            </w:pPr>
            <w:r w:rsidRPr="00177103">
              <w:t>Caso 7</w:t>
            </w:r>
          </w:p>
        </w:tc>
        <w:tc>
          <w:tcPr>
            <w:tcW w:w="2697" w:type="dxa"/>
          </w:tcPr>
          <w:p w14:paraId="175CFDB9" w14:textId="77777777" w:rsidR="00B70892" w:rsidRPr="00177103" w:rsidRDefault="00B70892" w:rsidP="00B70892">
            <w:pPr>
              <w:jc w:val="both"/>
            </w:pPr>
            <w:r w:rsidRPr="00177103">
              <w:t>Isla Arena</w:t>
            </w:r>
          </w:p>
        </w:tc>
      </w:tr>
      <w:tr w:rsidR="00B70892" w:rsidRPr="00177103" w14:paraId="07B471EC" w14:textId="77777777" w:rsidTr="00E8280F">
        <w:trPr>
          <w:jc w:val="center"/>
        </w:trPr>
        <w:tc>
          <w:tcPr>
            <w:tcW w:w="1493" w:type="dxa"/>
          </w:tcPr>
          <w:p w14:paraId="3E502237" w14:textId="77777777" w:rsidR="00B70892" w:rsidRPr="00177103" w:rsidRDefault="00B70892" w:rsidP="00B70892">
            <w:pPr>
              <w:jc w:val="both"/>
            </w:pPr>
            <w:r w:rsidRPr="00177103">
              <w:t>Caso 8</w:t>
            </w:r>
          </w:p>
        </w:tc>
        <w:tc>
          <w:tcPr>
            <w:tcW w:w="2697" w:type="dxa"/>
          </w:tcPr>
          <w:p w14:paraId="233D74BE" w14:textId="77777777" w:rsidR="00B70892" w:rsidRPr="00177103" w:rsidRDefault="00B70892" w:rsidP="00B70892">
            <w:pPr>
              <w:jc w:val="both"/>
            </w:pPr>
            <w:r w:rsidRPr="00177103">
              <w:t>Iturbide</w:t>
            </w:r>
          </w:p>
        </w:tc>
      </w:tr>
      <w:tr w:rsidR="00B70892" w:rsidRPr="00177103" w14:paraId="740A8888" w14:textId="77777777" w:rsidTr="00E8280F">
        <w:trPr>
          <w:jc w:val="center"/>
        </w:trPr>
        <w:tc>
          <w:tcPr>
            <w:tcW w:w="1493" w:type="dxa"/>
          </w:tcPr>
          <w:p w14:paraId="3083167E" w14:textId="77777777" w:rsidR="00B70892" w:rsidRPr="00177103" w:rsidRDefault="00B70892" w:rsidP="00B70892">
            <w:pPr>
              <w:jc w:val="both"/>
            </w:pPr>
            <w:r w:rsidRPr="00177103">
              <w:t>Caso 9</w:t>
            </w:r>
          </w:p>
        </w:tc>
        <w:tc>
          <w:tcPr>
            <w:tcW w:w="2697" w:type="dxa"/>
          </w:tcPr>
          <w:p w14:paraId="3002BC9C" w14:textId="77777777" w:rsidR="00B70892" w:rsidRPr="00177103" w:rsidRDefault="00B70892" w:rsidP="00B70892">
            <w:pPr>
              <w:jc w:val="both"/>
            </w:pPr>
            <w:r w:rsidRPr="00177103">
              <w:t>La Victoria</w:t>
            </w:r>
          </w:p>
        </w:tc>
      </w:tr>
      <w:tr w:rsidR="00B70892" w:rsidRPr="00177103" w14:paraId="2E808981" w14:textId="77777777" w:rsidTr="00E8280F">
        <w:trPr>
          <w:jc w:val="center"/>
        </w:trPr>
        <w:tc>
          <w:tcPr>
            <w:tcW w:w="1493" w:type="dxa"/>
          </w:tcPr>
          <w:p w14:paraId="5324BDC5" w14:textId="77777777" w:rsidR="00B70892" w:rsidRPr="00177103" w:rsidRDefault="00B70892" w:rsidP="00B70892">
            <w:pPr>
              <w:jc w:val="both"/>
            </w:pPr>
            <w:r w:rsidRPr="00177103">
              <w:t>Caso 10</w:t>
            </w:r>
          </w:p>
        </w:tc>
        <w:tc>
          <w:tcPr>
            <w:tcW w:w="2697" w:type="dxa"/>
          </w:tcPr>
          <w:p w14:paraId="43910BDA" w14:textId="77777777" w:rsidR="00B70892" w:rsidRPr="00177103" w:rsidRDefault="00B70892" w:rsidP="00B70892">
            <w:pPr>
              <w:jc w:val="both"/>
            </w:pPr>
            <w:r w:rsidRPr="00177103">
              <w:t>Laguna Grande</w:t>
            </w:r>
          </w:p>
        </w:tc>
      </w:tr>
      <w:tr w:rsidR="00B70892" w:rsidRPr="00177103" w14:paraId="5604B694" w14:textId="77777777" w:rsidTr="00E8280F">
        <w:trPr>
          <w:jc w:val="center"/>
        </w:trPr>
        <w:tc>
          <w:tcPr>
            <w:tcW w:w="1493" w:type="dxa"/>
          </w:tcPr>
          <w:p w14:paraId="1427F581" w14:textId="77777777" w:rsidR="00B70892" w:rsidRPr="00177103" w:rsidRDefault="00B70892" w:rsidP="00B70892">
            <w:pPr>
              <w:jc w:val="both"/>
            </w:pPr>
            <w:r w:rsidRPr="00177103">
              <w:t>Caso 11</w:t>
            </w:r>
          </w:p>
        </w:tc>
        <w:tc>
          <w:tcPr>
            <w:tcW w:w="2697" w:type="dxa"/>
          </w:tcPr>
          <w:p w14:paraId="5C020EF5" w14:textId="77777777" w:rsidR="00B70892" w:rsidRPr="00177103" w:rsidRDefault="00B70892" w:rsidP="00B70892">
            <w:pPr>
              <w:jc w:val="both"/>
            </w:pPr>
            <w:r w:rsidRPr="00177103">
              <w:t>Mancolona</w:t>
            </w:r>
          </w:p>
        </w:tc>
      </w:tr>
      <w:tr w:rsidR="00B70892" w:rsidRPr="00177103" w14:paraId="7F3F0865" w14:textId="77777777" w:rsidTr="00E8280F">
        <w:trPr>
          <w:jc w:val="center"/>
        </w:trPr>
        <w:tc>
          <w:tcPr>
            <w:tcW w:w="1493" w:type="dxa"/>
          </w:tcPr>
          <w:p w14:paraId="0DDD22FC" w14:textId="77777777" w:rsidR="00B70892" w:rsidRPr="00177103" w:rsidRDefault="00B70892" w:rsidP="00B70892">
            <w:pPr>
              <w:jc w:val="both"/>
            </w:pPr>
            <w:r w:rsidRPr="00177103">
              <w:t>Caso 12</w:t>
            </w:r>
          </w:p>
        </w:tc>
        <w:tc>
          <w:tcPr>
            <w:tcW w:w="2697" w:type="dxa"/>
          </w:tcPr>
          <w:p w14:paraId="7793E181" w14:textId="77777777" w:rsidR="00B70892" w:rsidRPr="00177103" w:rsidRDefault="00B70892" w:rsidP="00B70892">
            <w:pPr>
              <w:jc w:val="both"/>
            </w:pPr>
            <w:r w:rsidRPr="00177103">
              <w:t>Miguel Colorado</w:t>
            </w:r>
          </w:p>
        </w:tc>
      </w:tr>
      <w:tr w:rsidR="00B70892" w:rsidRPr="00177103" w14:paraId="7BA4276D" w14:textId="77777777" w:rsidTr="00E8280F">
        <w:trPr>
          <w:jc w:val="center"/>
        </w:trPr>
        <w:tc>
          <w:tcPr>
            <w:tcW w:w="1493" w:type="dxa"/>
          </w:tcPr>
          <w:p w14:paraId="303218AF" w14:textId="77777777" w:rsidR="00B70892" w:rsidRPr="00177103" w:rsidRDefault="00B70892" w:rsidP="00B70892">
            <w:pPr>
              <w:jc w:val="both"/>
            </w:pPr>
            <w:r w:rsidRPr="00177103">
              <w:t>Caso 13</w:t>
            </w:r>
          </w:p>
        </w:tc>
        <w:tc>
          <w:tcPr>
            <w:tcW w:w="2697" w:type="dxa"/>
          </w:tcPr>
          <w:p w14:paraId="0CE9AD25" w14:textId="77777777" w:rsidR="00B70892" w:rsidRPr="00177103" w:rsidRDefault="00B70892" w:rsidP="00B70892">
            <w:pPr>
              <w:jc w:val="both"/>
            </w:pPr>
            <w:r w:rsidRPr="00177103">
              <w:t>Nayarit Castellot</w:t>
            </w:r>
          </w:p>
        </w:tc>
      </w:tr>
      <w:tr w:rsidR="00B70892" w:rsidRPr="00177103" w14:paraId="587A0508" w14:textId="77777777" w:rsidTr="00E8280F">
        <w:trPr>
          <w:jc w:val="center"/>
        </w:trPr>
        <w:tc>
          <w:tcPr>
            <w:tcW w:w="1493" w:type="dxa"/>
          </w:tcPr>
          <w:p w14:paraId="63896945" w14:textId="77777777" w:rsidR="00B70892" w:rsidRPr="00177103" w:rsidRDefault="00B70892" w:rsidP="00B70892">
            <w:pPr>
              <w:jc w:val="both"/>
            </w:pPr>
            <w:r w:rsidRPr="00177103">
              <w:t>Caso 14</w:t>
            </w:r>
          </w:p>
        </w:tc>
        <w:tc>
          <w:tcPr>
            <w:tcW w:w="2697" w:type="dxa"/>
          </w:tcPr>
          <w:p w14:paraId="299872D4" w14:textId="77777777" w:rsidR="00B70892" w:rsidRPr="00177103" w:rsidRDefault="00B70892" w:rsidP="00B70892">
            <w:pPr>
              <w:jc w:val="both"/>
            </w:pPr>
            <w:r w:rsidRPr="00177103">
              <w:t>Oxcabal</w:t>
            </w:r>
          </w:p>
        </w:tc>
      </w:tr>
      <w:tr w:rsidR="00B70892" w:rsidRPr="00177103" w14:paraId="4FC78589" w14:textId="77777777" w:rsidTr="00E8280F">
        <w:trPr>
          <w:jc w:val="center"/>
        </w:trPr>
        <w:tc>
          <w:tcPr>
            <w:tcW w:w="1493" w:type="dxa"/>
          </w:tcPr>
          <w:p w14:paraId="5C1FF1D3" w14:textId="77777777" w:rsidR="00B70892" w:rsidRPr="00177103" w:rsidRDefault="00B70892" w:rsidP="00B70892">
            <w:pPr>
              <w:jc w:val="both"/>
            </w:pPr>
            <w:r w:rsidRPr="00177103">
              <w:t>Caso 15</w:t>
            </w:r>
          </w:p>
        </w:tc>
        <w:tc>
          <w:tcPr>
            <w:tcW w:w="2697" w:type="dxa"/>
          </w:tcPr>
          <w:p w14:paraId="508D1766" w14:textId="77777777" w:rsidR="00B70892" w:rsidRPr="00177103" w:rsidRDefault="00B70892" w:rsidP="00B70892">
            <w:pPr>
              <w:jc w:val="both"/>
            </w:pPr>
            <w:r w:rsidRPr="00177103">
              <w:t>Pablo García</w:t>
            </w:r>
          </w:p>
        </w:tc>
      </w:tr>
      <w:tr w:rsidR="00B70892" w:rsidRPr="00177103" w14:paraId="0F948DC2" w14:textId="77777777" w:rsidTr="00E8280F">
        <w:trPr>
          <w:jc w:val="center"/>
        </w:trPr>
        <w:tc>
          <w:tcPr>
            <w:tcW w:w="1493" w:type="dxa"/>
          </w:tcPr>
          <w:p w14:paraId="345ABEAC" w14:textId="77777777" w:rsidR="00B70892" w:rsidRPr="00177103" w:rsidRDefault="00B70892" w:rsidP="00B70892">
            <w:pPr>
              <w:jc w:val="both"/>
            </w:pPr>
            <w:r w:rsidRPr="00177103">
              <w:t>Caso 16</w:t>
            </w:r>
          </w:p>
        </w:tc>
        <w:tc>
          <w:tcPr>
            <w:tcW w:w="2697" w:type="dxa"/>
          </w:tcPr>
          <w:p w14:paraId="1851A786" w14:textId="77777777" w:rsidR="00B70892" w:rsidRPr="00177103" w:rsidRDefault="00B70892" w:rsidP="00B70892">
            <w:pPr>
              <w:jc w:val="both"/>
            </w:pPr>
            <w:r w:rsidRPr="00177103">
              <w:t xml:space="preserve">San José </w:t>
            </w:r>
            <w:r w:rsidR="00E8280F" w:rsidRPr="00177103">
              <w:t xml:space="preserve">de las </w:t>
            </w:r>
            <w:r w:rsidRPr="00177103">
              <w:t>Montañas</w:t>
            </w:r>
          </w:p>
        </w:tc>
      </w:tr>
      <w:tr w:rsidR="00B70892" w:rsidRPr="00177103" w14:paraId="7AD5F35C" w14:textId="77777777" w:rsidTr="00E8280F">
        <w:trPr>
          <w:jc w:val="center"/>
        </w:trPr>
        <w:tc>
          <w:tcPr>
            <w:tcW w:w="1493" w:type="dxa"/>
          </w:tcPr>
          <w:p w14:paraId="510F094B" w14:textId="77777777" w:rsidR="00B70892" w:rsidRPr="00177103" w:rsidRDefault="00B70892" w:rsidP="00B70892">
            <w:pPr>
              <w:jc w:val="both"/>
            </w:pPr>
            <w:r w:rsidRPr="00177103">
              <w:t>Caso 17</w:t>
            </w:r>
          </w:p>
        </w:tc>
        <w:tc>
          <w:tcPr>
            <w:tcW w:w="2697" w:type="dxa"/>
          </w:tcPr>
          <w:p w14:paraId="48E45677" w14:textId="77777777" w:rsidR="00B70892" w:rsidRPr="00177103" w:rsidRDefault="00B70892" w:rsidP="00B70892">
            <w:pPr>
              <w:jc w:val="both"/>
            </w:pPr>
            <w:r w:rsidRPr="00177103">
              <w:t>Suctuc</w:t>
            </w:r>
          </w:p>
        </w:tc>
      </w:tr>
      <w:tr w:rsidR="00B70892" w:rsidRPr="00177103" w14:paraId="3076FDCD" w14:textId="77777777" w:rsidTr="00E8280F">
        <w:trPr>
          <w:jc w:val="center"/>
        </w:trPr>
        <w:tc>
          <w:tcPr>
            <w:tcW w:w="1493" w:type="dxa"/>
          </w:tcPr>
          <w:p w14:paraId="7CE61258" w14:textId="77777777" w:rsidR="00B70892" w:rsidRPr="00177103" w:rsidRDefault="00B70892" w:rsidP="00B70892">
            <w:pPr>
              <w:jc w:val="both"/>
            </w:pPr>
            <w:r w:rsidRPr="00177103">
              <w:t>Caso 18</w:t>
            </w:r>
          </w:p>
        </w:tc>
        <w:tc>
          <w:tcPr>
            <w:tcW w:w="2697" w:type="dxa"/>
          </w:tcPr>
          <w:p w14:paraId="215AB8F9" w14:textId="77777777" w:rsidR="00B70892" w:rsidRPr="00177103" w:rsidRDefault="00B70892" w:rsidP="00B70892">
            <w:pPr>
              <w:jc w:val="both"/>
            </w:pPr>
            <w:r w:rsidRPr="00177103">
              <w:t>Tikinmul</w:t>
            </w:r>
          </w:p>
        </w:tc>
      </w:tr>
      <w:tr w:rsidR="00B70892" w:rsidRPr="00177103" w14:paraId="710CDAEA" w14:textId="77777777" w:rsidTr="00E8280F">
        <w:trPr>
          <w:trHeight w:val="311"/>
          <w:jc w:val="center"/>
        </w:trPr>
        <w:tc>
          <w:tcPr>
            <w:tcW w:w="1493" w:type="dxa"/>
          </w:tcPr>
          <w:p w14:paraId="5FF3770A" w14:textId="77777777" w:rsidR="00B70892" w:rsidRPr="00177103" w:rsidRDefault="00B70892" w:rsidP="00B70892">
            <w:pPr>
              <w:jc w:val="both"/>
            </w:pPr>
            <w:r w:rsidRPr="00177103">
              <w:t>Caso 19</w:t>
            </w:r>
          </w:p>
        </w:tc>
        <w:tc>
          <w:tcPr>
            <w:tcW w:w="2697" w:type="dxa"/>
          </w:tcPr>
          <w:p w14:paraId="1A2AA51C" w14:textId="77777777" w:rsidR="00B70892" w:rsidRPr="00177103" w:rsidRDefault="00B70892" w:rsidP="00B70892">
            <w:pPr>
              <w:jc w:val="both"/>
            </w:pPr>
            <w:r w:rsidRPr="00177103">
              <w:t>Yohaltun</w:t>
            </w:r>
          </w:p>
        </w:tc>
      </w:tr>
    </w:tbl>
    <w:p w14:paraId="1537489C" w14:textId="77777777" w:rsidR="00B70892" w:rsidRPr="00313CC4" w:rsidRDefault="00E8280F" w:rsidP="00E8280F">
      <w:pPr>
        <w:pStyle w:val="Bibliografa"/>
        <w:jc w:val="center"/>
        <w:rPr>
          <w:rFonts w:ascii="Times New Roman" w:eastAsia="Times New Roman" w:hAnsi="Times New Roman" w:cs="Times New Roman"/>
          <w:sz w:val="20"/>
          <w:szCs w:val="20"/>
          <w:lang w:eastAsia="es-MX"/>
        </w:rPr>
      </w:pPr>
      <w:r w:rsidRPr="00177103">
        <w:rPr>
          <w:rFonts w:ascii="Times New Roman" w:eastAsia="Times New Roman" w:hAnsi="Times New Roman" w:cs="Times New Roman"/>
          <w:lang w:eastAsia="es-MX"/>
        </w:rPr>
        <w:t>Fuente: Elaboración propia</w:t>
      </w:r>
      <w:r>
        <w:rPr>
          <w:rFonts w:ascii="Times New Roman" w:eastAsia="Times New Roman" w:hAnsi="Times New Roman" w:cs="Times New Roman"/>
          <w:sz w:val="20"/>
          <w:szCs w:val="20"/>
          <w:lang w:eastAsia="es-MX"/>
        </w:rPr>
        <w:t xml:space="preserve"> </w:t>
      </w:r>
    </w:p>
    <w:p w14:paraId="01F1D846" w14:textId="77777777" w:rsidR="00E8280F" w:rsidRDefault="00B70892" w:rsidP="00E8280F">
      <w:pPr>
        <w:spacing w:line="360" w:lineRule="auto"/>
        <w:ind w:firstLine="708"/>
        <w:jc w:val="both"/>
      </w:pPr>
      <w:r w:rsidRPr="005C3F55">
        <w:t xml:space="preserve">El diseño de múltiples casos </w:t>
      </w:r>
      <w:r>
        <w:t xml:space="preserve">es </w:t>
      </w:r>
      <w:r w:rsidRPr="005C3F55">
        <w:t>particularmente útil</w:t>
      </w:r>
      <w:r w:rsidR="00E8280F">
        <w:t>,</w:t>
      </w:r>
      <w:r w:rsidRPr="005C3F55">
        <w:t xml:space="preserve"> dado que permitirá encontrar las similitudes y diferencias entre cada uno de ellos para poder establecer patrones y generar el reporte comparativo.</w:t>
      </w:r>
      <w:r w:rsidR="00E8280F">
        <w:t xml:space="preserve"> </w:t>
      </w:r>
      <w:r>
        <w:t xml:space="preserve">El estudio se llevó a cabo </w:t>
      </w:r>
      <w:r w:rsidRPr="005C3F55">
        <w:t>utilizando la lógica de repetición</w:t>
      </w:r>
      <w:r>
        <w:t xml:space="preserve"> sobre la de muestreo</w:t>
      </w:r>
      <w:r w:rsidR="00E8280F">
        <w:t>,</w:t>
      </w:r>
      <w:r>
        <w:t xml:space="preserve"> ya que se analizaron la totalidad de los planteles</w:t>
      </w:r>
      <w:r w:rsidR="00E8280F">
        <w:t xml:space="preserve"> en un periodo de </w:t>
      </w:r>
      <w:r>
        <w:t xml:space="preserve">8 meses </w:t>
      </w:r>
      <w:r w:rsidR="00E8280F">
        <w:t>(desde abril a</w:t>
      </w:r>
      <w:r>
        <w:t xml:space="preserve"> noviembre </w:t>
      </w:r>
      <w:r w:rsidR="00E8280F">
        <w:t>de 2019)</w:t>
      </w:r>
      <w:r>
        <w:t>.</w:t>
      </w:r>
    </w:p>
    <w:p w14:paraId="3602B425" w14:textId="77777777" w:rsidR="00F000C1" w:rsidRDefault="00B70892" w:rsidP="00F000C1">
      <w:pPr>
        <w:spacing w:line="360" w:lineRule="auto"/>
        <w:ind w:firstLine="708"/>
        <w:jc w:val="both"/>
      </w:pPr>
      <w:r w:rsidRPr="00354DE3">
        <w:t xml:space="preserve">La </w:t>
      </w:r>
      <w:r>
        <w:t>p</w:t>
      </w:r>
      <w:r w:rsidRPr="00354DE3">
        <w:t xml:space="preserve">rimera fase del estudio </w:t>
      </w:r>
      <w:r w:rsidR="00E8280F">
        <w:t>se enfocó en</w:t>
      </w:r>
      <w:r w:rsidRPr="00354DE3">
        <w:t xml:space="preserve"> la población que ya egresó </w:t>
      </w:r>
      <w:r w:rsidR="00E8280F">
        <w:t>(</w:t>
      </w:r>
      <w:r w:rsidRPr="00354DE3">
        <w:t>generaciones 2013, 2014 y 2015</w:t>
      </w:r>
      <w:r w:rsidR="00E8280F">
        <w:t>)</w:t>
      </w:r>
      <w:r w:rsidRPr="00354DE3">
        <w:t xml:space="preserve">. </w:t>
      </w:r>
      <w:r w:rsidR="00E8280F">
        <w:t>E</w:t>
      </w:r>
      <w:r w:rsidRPr="00354DE3">
        <w:t xml:space="preserve">l propósito </w:t>
      </w:r>
      <w:r w:rsidR="00E8280F">
        <w:t>fue</w:t>
      </w:r>
      <w:r w:rsidRPr="00354DE3">
        <w:t xml:space="preserve"> conocer lo que están haciendo </w:t>
      </w:r>
      <w:r w:rsidR="00E8280F">
        <w:t>estas personas</w:t>
      </w:r>
      <w:r w:rsidRPr="00354DE3">
        <w:t xml:space="preserve"> </w:t>
      </w:r>
      <w:r w:rsidR="00E8280F">
        <w:t>(</w:t>
      </w:r>
      <w:r w:rsidRPr="00354DE3">
        <w:t>el rumbo profesional y personal que ha</w:t>
      </w:r>
      <w:r w:rsidR="00E8280F">
        <w:t>n</w:t>
      </w:r>
      <w:r w:rsidRPr="00354DE3">
        <w:t xml:space="preserve"> tomado</w:t>
      </w:r>
      <w:r w:rsidR="00E8280F">
        <w:t>).</w:t>
      </w:r>
      <w:r w:rsidRPr="00354DE3">
        <w:t xml:space="preserve"> </w:t>
      </w:r>
      <w:r w:rsidR="00E8280F">
        <w:t>L</w:t>
      </w:r>
      <w:r w:rsidRPr="00354DE3">
        <w:t xml:space="preserve">a </w:t>
      </w:r>
      <w:r>
        <w:t>s</w:t>
      </w:r>
      <w:r w:rsidRPr="00354DE3">
        <w:t xml:space="preserve">egunda fase del estudio </w:t>
      </w:r>
      <w:r w:rsidR="00E8280F">
        <w:t>se centró en</w:t>
      </w:r>
      <w:r w:rsidRPr="00354DE3">
        <w:t xml:space="preserve"> la población que en </w:t>
      </w:r>
      <w:r>
        <w:t xml:space="preserve">el momento del estudio </w:t>
      </w:r>
      <w:r w:rsidRPr="00354DE3">
        <w:t xml:space="preserve">estaba próxima a egresar </w:t>
      </w:r>
      <w:r w:rsidR="00F000C1">
        <w:t>(</w:t>
      </w:r>
      <w:r w:rsidRPr="00354DE3">
        <w:t>generación 2016</w:t>
      </w:r>
      <w:r w:rsidR="00F000C1">
        <w:t>-</w:t>
      </w:r>
      <w:r w:rsidRPr="00354DE3">
        <w:t>2019</w:t>
      </w:r>
      <w:r w:rsidR="00F000C1">
        <w:t xml:space="preserve">) con el fin de </w:t>
      </w:r>
      <w:r w:rsidRPr="00354DE3">
        <w:t>dar continuidad al estudio de la primera fase</w:t>
      </w:r>
      <w:r w:rsidR="00F000C1">
        <w:t xml:space="preserve"> (esto </w:t>
      </w:r>
      <w:r w:rsidRPr="00354DE3">
        <w:t>se hará con cada generación subsecuentemente</w:t>
      </w:r>
      <w:r w:rsidR="00F000C1">
        <w:t>)</w:t>
      </w:r>
      <w:r w:rsidRPr="00354DE3">
        <w:t>.</w:t>
      </w:r>
    </w:p>
    <w:p w14:paraId="20C5CA8F" w14:textId="77777777" w:rsidR="00F000C1" w:rsidRDefault="00B70892" w:rsidP="00F000C1">
      <w:pPr>
        <w:spacing w:line="360" w:lineRule="auto"/>
        <w:ind w:firstLine="708"/>
        <w:jc w:val="both"/>
      </w:pPr>
      <w:r w:rsidRPr="007B7197">
        <w:t xml:space="preserve">Se tomaron los meses de abril, mayo y junio de 2019 para la aplicación del instrumento que se realizó por medio de formularios de </w:t>
      </w:r>
      <w:r w:rsidR="00F000C1">
        <w:t>G</w:t>
      </w:r>
      <w:r w:rsidRPr="007B7197">
        <w:t>oogl</w:t>
      </w:r>
      <w:r>
        <w:t>e</w:t>
      </w:r>
      <w:r w:rsidR="00F000C1">
        <w:t>.</w:t>
      </w:r>
      <w:r>
        <w:t xml:space="preserve"> </w:t>
      </w:r>
      <w:r w:rsidR="00F000C1">
        <w:t>L</w:t>
      </w:r>
      <w:r w:rsidRPr="007B7197">
        <w:t xml:space="preserve">a información que se </w:t>
      </w:r>
      <w:r>
        <w:t xml:space="preserve">recabó </w:t>
      </w:r>
      <w:r w:rsidRPr="007B7197">
        <w:t xml:space="preserve">por cada egresado </w:t>
      </w:r>
      <w:r>
        <w:t xml:space="preserve">fue </w:t>
      </w:r>
      <w:r w:rsidRPr="007B7197">
        <w:t>de qué plantel egresó, en qu</w:t>
      </w:r>
      <w:r>
        <w:t>é</w:t>
      </w:r>
      <w:r w:rsidRPr="007B7197">
        <w:t xml:space="preserve"> año</w:t>
      </w:r>
      <w:r w:rsidR="00F000C1">
        <w:t xml:space="preserve"> y</w:t>
      </w:r>
      <w:r w:rsidRPr="007B7197">
        <w:t xml:space="preserve"> datos generales como nombre, sexo, correo electrónico, edad, estado civil, hijos</w:t>
      </w:r>
      <w:r w:rsidR="00F000C1">
        <w:t>,</w:t>
      </w:r>
      <w:r>
        <w:t xml:space="preserve"> ocupación, i</w:t>
      </w:r>
      <w:r w:rsidRPr="005414E4">
        <w:t>nstituciones en que se encuentran matriculados</w:t>
      </w:r>
      <w:r>
        <w:t>, así como en qu</w:t>
      </w:r>
      <w:r w:rsidR="00F000C1">
        <w:t>é</w:t>
      </w:r>
      <w:r>
        <w:t xml:space="preserve"> áreas se desenvuelven profesionalmente. </w:t>
      </w:r>
      <w:r w:rsidRPr="007B7197">
        <w:t>Finalmente</w:t>
      </w:r>
      <w:r w:rsidR="00F000C1">
        <w:t>,</w:t>
      </w:r>
      <w:r w:rsidRPr="007B7197">
        <w:t xml:space="preserve"> </w:t>
      </w:r>
      <w:r w:rsidR="00F000C1">
        <w:t>se procuró saber</w:t>
      </w:r>
      <w:r w:rsidRPr="007B7197">
        <w:t xml:space="preserve"> el grado de satisfacción de la formación recibida en el </w:t>
      </w:r>
      <w:r w:rsidR="00F000C1" w:rsidRPr="007B7197">
        <w:t>telebachillerato comunitario</w:t>
      </w:r>
      <w:r w:rsidRPr="007B7197">
        <w:t>.</w:t>
      </w:r>
    </w:p>
    <w:p w14:paraId="5EF895A2" w14:textId="77777777" w:rsidR="00B70892" w:rsidRPr="007B7197" w:rsidRDefault="00B70892" w:rsidP="00F000C1">
      <w:pPr>
        <w:spacing w:line="360" w:lineRule="auto"/>
        <w:ind w:firstLine="708"/>
        <w:jc w:val="both"/>
      </w:pPr>
      <w:r w:rsidRPr="007B7197">
        <w:lastRenderedPageBreak/>
        <w:t>Para la segunda fase se consider</w:t>
      </w:r>
      <w:r w:rsidR="00F000C1">
        <w:t>ó</w:t>
      </w:r>
      <w:r w:rsidRPr="007B7197">
        <w:t xml:space="preserve"> a los </w:t>
      </w:r>
      <w:r w:rsidR="00F000C1">
        <w:t xml:space="preserve">estudiantes </w:t>
      </w:r>
      <w:r w:rsidRPr="007B7197">
        <w:t>que estaban próximos a egresar en el mes de julio</w:t>
      </w:r>
      <w:r>
        <w:t xml:space="preserve"> </w:t>
      </w:r>
      <w:r w:rsidRPr="007B7197">
        <w:t xml:space="preserve">de 2019 </w:t>
      </w:r>
      <w:r w:rsidR="00F000C1">
        <w:t>(</w:t>
      </w:r>
      <w:r w:rsidRPr="007B7197">
        <w:t>el periodo de registro finalizó en el</w:t>
      </w:r>
      <w:r>
        <w:t xml:space="preserve"> </w:t>
      </w:r>
      <w:r w:rsidRPr="007B7197">
        <w:t>mes de noviembre de 2019</w:t>
      </w:r>
      <w:r w:rsidR="00F000C1">
        <w:t>)</w:t>
      </w:r>
      <w:r w:rsidRPr="007B7197">
        <w:t>.</w:t>
      </w:r>
      <w:r w:rsidR="00F000C1">
        <w:t xml:space="preserve"> </w:t>
      </w:r>
      <w:r>
        <w:t>En esta fase el propósito fue reconocer las expectativas en torno a su proyecto de vida profesional y laboral</w:t>
      </w:r>
      <w:r w:rsidR="00F000C1">
        <w:t>,</w:t>
      </w:r>
      <w:r>
        <w:t xml:space="preserve"> y si lograron llevarlo a cabo</w:t>
      </w:r>
      <w:r w:rsidR="00F000C1">
        <w:t>.</w:t>
      </w:r>
      <w:r>
        <w:t xml:space="preserve"> </w:t>
      </w:r>
      <w:r w:rsidR="00F000C1">
        <w:t>D</w:t>
      </w:r>
      <w:r>
        <w:t>ado que el periodo de recolección de datos culminó en noviembre</w:t>
      </w:r>
      <w:r w:rsidR="00F000C1">
        <w:t>,</w:t>
      </w:r>
      <w:r>
        <w:t xml:space="preserve"> </w:t>
      </w:r>
      <w:r w:rsidR="00F000C1">
        <w:t xml:space="preserve">se pudieron </w:t>
      </w:r>
      <w:r>
        <w:t xml:space="preserve">registrar los resultados de sus postulaciones a instituciones de </w:t>
      </w:r>
      <w:r w:rsidR="00F000C1">
        <w:t>educación</w:t>
      </w:r>
      <w:r>
        <w:t xml:space="preserve"> superior o </w:t>
      </w:r>
      <w:r w:rsidR="00F000C1">
        <w:t>si se lograron insertar al</w:t>
      </w:r>
      <w:r>
        <w:t xml:space="preserve"> campo laboral.</w:t>
      </w:r>
    </w:p>
    <w:p w14:paraId="01913ED9" w14:textId="77777777" w:rsidR="00B70892" w:rsidRPr="00F000C1" w:rsidRDefault="00B70892" w:rsidP="00B70892">
      <w:pPr>
        <w:spacing w:line="360" w:lineRule="auto"/>
        <w:jc w:val="both"/>
        <w:rPr>
          <w:b/>
          <w:bCs/>
        </w:rPr>
      </w:pPr>
    </w:p>
    <w:p w14:paraId="3C24B9E3" w14:textId="77777777" w:rsidR="00B70892" w:rsidRPr="00177103" w:rsidRDefault="00B70892" w:rsidP="00B70892">
      <w:pPr>
        <w:spacing w:line="360" w:lineRule="auto"/>
        <w:jc w:val="center"/>
        <w:rPr>
          <w:b/>
          <w:bCs/>
          <w:sz w:val="32"/>
          <w:szCs w:val="32"/>
          <w:lang w:val="es-ES"/>
        </w:rPr>
      </w:pPr>
      <w:r w:rsidRPr="00177103">
        <w:rPr>
          <w:b/>
          <w:bCs/>
          <w:sz w:val="32"/>
          <w:szCs w:val="32"/>
          <w:lang w:val="es-ES"/>
        </w:rPr>
        <w:t>Resultados</w:t>
      </w:r>
    </w:p>
    <w:p w14:paraId="67FC1600" w14:textId="77777777" w:rsidR="00B70892" w:rsidRDefault="00B70892" w:rsidP="00F000C1">
      <w:pPr>
        <w:spacing w:line="360" w:lineRule="auto"/>
        <w:ind w:firstLine="708"/>
        <w:jc w:val="both"/>
        <w:rPr>
          <w:lang w:val="es-ES"/>
        </w:rPr>
      </w:pPr>
      <w:r>
        <w:rPr>
          <w:lang w:val="es-ES"/>
        </w:rPr>
        <w:t>A continuación, se presentan los resultados obtenidos.</w:t>
      </w:r>
      <w:r w:rsidR="00F000C1">
        <w:rPr>
          <w:lang w:val="es-ES"/>
        </w:rPr>
        <w:t xml:space="preserve"> </w:t>
      </w:r>
      <w:r>
        <w:rPr>
          <w:lang w:val="es-ES"/>
        </w:rPr>
        <w:t xml:space="preserve">Se registraron en total 516 egresados distribuidos por </w:t>
      </w:r>
      <w:r w:rsidR="00F000C1">
        <w:rPr>
          <w:lang w:val="es-ES"/>
        </w:rPr>
        <w:t>generaciones</w:t>
      </w:r>
      <w:r>
        <w:rPr>
          <w:lang w:val="es-ES"/>
        </w:rPr>
        <w:t xml:space="preserve"> de la siguiente manera:</w:t>
      </w:r>
    </w:p>
    <w:p w14:paraId="4CE4EFD1" w14:textId="77777777" w:rsidR="00B70892" w:rsidRDefault="00B70892" w:rsidP="00B70892">
      <w:pPr>
        <w:spacing w:line="360" w:lineRule="auto"/>
        <w:jc w:val="center"/>
        <w:rPr>
          <w:lang w:val="es-ES"/>
        </w:rPr>
      </w:pPr>
    </w:p>
    <w:p w14:paraId="05D0FB66" w14:textId="77777777" w:rsidR="00B70892" w:rsidRPr="00177103" w:rsidRDefault="00F000C1" w:rsidP="00B70892">
      <w:pPr>
        <w:spacing w:line="360" w:lineRule="auto"/>
        <w:jc w:val="center"/>
        <w:rPr>
          <w:szCs w:val="28"/>
          <w:lang w:val="es-ES"/>
        </w:rPr>
      </w:pPr>
      <w:r w:rsidRPr="00177103">
        <w:rPr>
          <w:b/>
          <w:szCs w:val="28"/>
          <w:lang w:val="es-ES"/>
        </w:rPr>
        <w:t>Figura 1.</w:t>
      </w:r>
      <w:r w:rsidRPr="00177103">
        <w:rPr>
          <w:szCs w:val="28"/>
          <w:lang w:val="es-ES"/>
        </w:rPr>
        <w:t xml:space="preserve"> </w:t>
      </w:r>
      <w:r w:rsidR="00B70892" w:rsidRPr="00177103">
        <w:rPr>
          <w:szCs w:val="28"/>
          <w:lang w:val="es-ES"/>
        </w:rPr>
        <w:t>Número de egresados de TBC por generación</w:t>
      </w:r>
    </w:p>
    <w:p w14:paraId="3D491CB2" w14:textId="77777777" w:rsidR="00B70892" w:rsidRDefault="00B70892" w:rsidP="00B70892">
      <w:pPr>
        <w:spacing w:line="360" w:lineRule="auto"/>
        <w:jc w:val="center"/>
        <w:rPr>
          <w:lang w:val="es-ES"/>
        </w:rPr>
      </w:pPr>
      <w:r w:rsidRPr="009C728B">
        <w:rPr>
          <w:noProof/>
          <w:lang w:val="es-VE" w:eastAsia="es-VE"/>
        </w:rPr>
        <w:drawing>
          <wp:inline distT="0" distB="0" distL="0" distR="0" wp14:anchorId="27C6B41F" wp14:editId="0CF8D757">
            <wp:extent cx="3733089" cy="2535082"/>
            <wp:effectExtent l="0" t="0" r="127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460"/>
                    <a:stretch/>
                  </pic:blipFill>
                  <pic:spPr bwMode="auto">
                    <a:xfrm>
                      <a:off x="0" y="0"/>
                      <a:ext cx="3789633" cy="2573480"/>
                    </a:xfrm>
                    <a:prstGeom prst="rect">
                      <a:avLst/>
                    </a:prstGeom>
                    <a:ln>
                      <a:noFill/>
                    </a:ln>
                    <a:extLst>
                      <a:ext uri="{53640926-AAD7-44D8-BBD7-CCE9431645EC}">
                        <a14:shadowObscured xmlns:a14="http://schemas.microsoft.com/office/drawing/2010/main"/>
                      </a:ext>
                    </a:extLst>
                  </pic:spPr>
                </pic:pic>
              </a:graphicData>
            </a:graphic>
          </wp:inline>
        </w:drawing>
      </w:r>
    </w:p>
    <w:p w14:paraId="38DEABAF" w14:textId="77777777" w:rsidR="00B70892" w:rsidRPr="00177103" w:rsidRDefault="00BF2B27" w:rsidP="00B70892">
      <w:pPr>
        <w:spacing w:line="360" w:lineRule="auto"/>
        <w:jc w:val="center"/>
        <w:rPr>
          <w:szCs w:val="28"/>
          <w:lang w:val="es-ES"/>
        </w:rPr>
      </w:pPr>
      <w:r w:rsidRPr="00177103">
        <w:rPr>
          <w:szCs w:val="28"/>
          <w:lang w:val="es-ES"/>
        </w:rPr>
        <w:t xml:space="preserve">Fuente: Elaboración propia </w:t>
      </w:r>
    </w:p>
    <w:p w14:paraId="66AF4D1B" w14:textId="77777777" w:rsidR="00B70892" w:rsidRDefault="00B70892" w:rsidP="00BF2B27">
      <w:pPr>
        <w:spacing w:line="360" w:lineRule="auto"/>
        <w:ind w:firstLine="708"/>
        <w:jc w:val="both"/>
        <w:rPr>
          <w:lang w:val="es-ES"/>
        </w:rPr>
      </w:pPr>
      <w:r>
        <w:rPr>
          <w:lang w:val="es-ES"/>
        </w:rPr>
        <w:t xml:space="preserve">Es importante destacar que </w:t>
      </w:r>
      <w:r w:rsidR="00BF2B27">
        <w:rPr>
          <w:lang w:val="es-ES"/>
        </w:rPr>
        <w:t xml:space="preserve">se registra un crecimiento de 336 % porque, como ya se mencionó, a partir del año 2013 hubo un incremento progresivo de </w:t>
      </w:r>
      <w:r>
        <w:rPr>
          <w:lang w:val="es-ES"/>
        </w:rPr>
        <w:t>TBC</w:t>
      </w:r>
      <w:r w:rsidR="00BF2B27">
        <w:rPr>
          <w:lang w:val="es-ES"/>
        </w:rPr>
        <w:t xml:space="preserve">, los cuales en la actualidad suman 19 centros (figura 2). </w:t>
      </w:r>
    </w:p>
    <w:p w14:paraId="6E2DFDAA" w14:textId="24D6B736" w:rsidR="00BF2B27" w:rsidRDefault="00BF2B27" w:rsidP="00B70892">
      <w:pPr>
        <w:spacing w:line="360" w:lineRule="auto"/>
        <w:jc w:val="center"/>
        <w:rPr>
          <w:lang w:val="es-ES"/>
        </w:rPr>
      </w:pPr>
    </w:p>
    <w:p w14:paraId="5C3F512E" w14:textId="5256B387" w:rsidR="00177103" w:rsidRDefault="00177103" w:rsidP="00B70892">
      <w:pPr>
        <w:spacing w:line="360" w:lineRule="auto"/>
        <w:jc w:val="center"/>
        <w:rPr>
          <w:lang w:val="es-ES"/>
        </w:rPr>
      </w:pPr>
    </w:p>
    <w:p w14:paraId="633229F7" w14:textId="1680E677" w:rsidR="005D0B41" w:rsidRDefault="005D0B41" w:rsidP="00B70892">
      <w:pPr>
        <w:spacing w:line="360" w:lineRule="auto"/>
        <w:jc w:val="center"/>
        <w:rPr>
          <w:lang w:val="es-ES"/>
        </w:rPr>
      </w:pPr>
    </w:p>
    <w:p w14:paraId="6A160EC3" w14:textId="6B413D22" w:rsidR="005D0B41" w:rsidRDefault="005D0B41" w:rsidP="00B70892">
      <w:pPr>
        <w:spacing w:line="360" w:lineRule="auto"/>
        <w:jc w:val="center"/>
        <w:rPr>
          <w:lang w:val="es-ES"/>
        </w:rPr>
      </w:pPr>
    </w:p>
    <w:p w14:paraId="40D32994" w14:textId="77777777" w:rsidR="005D0B41" w:rsidRDefault="005D0B41" w:rsidP="00B70892">
      <w:pPr>
        <w:spacing w:line="360" w:lineRule="auto"/>
        <w:jc w:val="center"/>
        <w:rPr>
          <w:lang w:val="es-ES"/>
        </w:rPr>
      </w:pPr>
    </w:p>
    <w:p w14:paraId="7EDF8588" w14:textId="6012B814" w:rsidR="00177103" w:rsidRDefault="00177103" w:rsidP="00B70892">
      <w:pPr>
        <w:spacing w:line="360" w:lineRule="auto"/>
        <w:jc w:val="center"/>
        <w:rPr>
          <w:lang w:val="es-ES"/>
        </w:rPr>
      </w:pPr>
    </w:p>
    <w:p w14:paraId="492CB2E7" w14:textId="77777777" w:rsidR="00177103" w:rsidRDefault="00177103" w:rsidP="00B70892">
      <w:pPr>
        <w:spacing w:line="360" w:lineRule="auto"/>
        <w:jc w:val="center"/>
        <w:rPr>
          <w:lang w:val="es-ES"/>
        </w:rPr>
      </w:pPr>
    </w:p>
    <w:p w14:paraId="7569626F" w14:textId="77777777" w:rsidR="00BF2B27" w:rsidRPr="00177103" w:rsidRDefault="00BF2B27" w:rsidP="00BF2B27">
      <w:pPr>
        <w:spacing w:line="360" w:lineRule="auto"/>
        <w:jc w:val="center"/>
        <w:rPr>
          <w:szCs w:val="28"/>
          <w:lang w:val="es-ES"/>
        </w:rPr>
      </w:pPr>
      <w:r w:rsidRPr="00177103">
        <w:rPr>
          <w:b/>
          <w:szCs w:val="28"/>
          <w:lang w:val="es-ES"/>
        </w:rPr>
        <w:lastRenderedPageBreak/>
        <w:t>Figura 2.</w:t>
      </w:r>
      <w:r w:rsidRPr="00177103">
        <w:rPr>
          <w:szCs w:val="28"/>
          <w:lang w:val="es-ES"/>
        </w:rPr>
        <w:t xml:space="preserve"> Planteles que tuvieron egreso en cada generación</w:t>
      </w:r>
    </w:p>
    <w:p w14:paraId="66F229F1" w14:textId="77777777" w:rsidR="00B70892" w:rsidRDefault="00B70892" w:rsidP="00B70892">
      <w:pPr>
        <w:spacing w:line="360" w:lineRule="auto"/>
        <w:jc w:val="center"/>
        <w:rPr>
          <w:lang w:val="es-ES"/>
        </w:rPr>
      </w:pPr>
      <w:r>
        <w:rPr>
          <w:noProof/>
          <w:lang w:val="es-VE" w:eastAsia="es-VE"/>
        </w:rPr>
        <w:drawing>
          <wp:inline distT="0" distB="0" distL="0" distR="0" wp14:anchorId="4169E26C" wp14:editId="16201D75">
            <wp:extent cx="4360333" cy="2616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2. Número de planteles con egreso.png"/>
                    <pic:cNvPicPr/>
                  </pic:nvPicPr>
                  <pic:blipFill>
                    <a:blip r:embed="rId9">
                      <a:extLst>
                        <a:ext uri="{28A0092B-C50C-407E-A947-70E740481C1C}">
                          <a14:useLocalDpi xmlns:a14="http://schemas.microsoft.com/office/drawing/2010/main" val="0"/>
                        </a:ext>
                      </a:extLst>
                    </a:blip>
                    <a:stretch>
                      <a:fillRect/>
                    </a:stretch>
                  </pic:blipFill>
                  <pic:spPr>
                    <a:xfrm>
                      <a:off x="0" y="0"/>
                      <a:ext cx="4376943" cy="2626166"/>
                    </a:xfrm>
                    <a:prstGeom prst="rect">
                      <a:avLst/>
                    </a:prstGeom>
                  </pic:spPr>
                </pic:pic>
              </a:graphicData>
            </a:graphic>
          </wp:inline>
        </w:drawing>
      </w:r>
    </w:p>
    <w:p w14:paraId="733FF8DC" w14:textId="77777777" w:rsidR="00BF2B27" w:rsidRPr="00177103" w:rsidRDefault="00BF2B27" w:rsidP="00BF2B27">
      <w:pPr>
        <w:spacing w:line="360" w:lineRule="auto"/>
        <w:jc w:val="center"/>
        <w:rPr>
          <w:szCs w:val="28"/>
          <w:lang w:val="es-ES"/>
        </w:rPr>
      </w:pPr>
      <w:r w:rsidRPr="00177103">
        <w:rPr>
          <w:szCs w:val="28"/>
          <w:lang w:val="es-ES"/>
        </w:rPr>
        <w:t xml:space="preserve">Fuente: Elaboración propia </w:t>
      </w:r>
    </w:p>
    <w:p w14:paraId="0BCF99FF" w14:textId="77777777" w:rsidR="00B70892" w:rsidRDefault="00B70892" w:rsidP="00BF2B27">
      <w:pPr>
        <w:spacing w:line="360" w:lineRule="auto"/>
        <w:ind w:firstLine="708"/>
        <w:jc w:val="both"/>
        <w:rPr>
          <w:lang w:val="es-ES"/>
        </w:rPr>
      </w:pPr>
      <w:r>
        <w:rPr>
          <w:lang w:val="es-ES"/>
        </w:rPr>
        <w:t xml:space="preserve">En relación </w:t>
      </w:r>
      <w:r w:rsidR="00BF2B27">
        <w:rPr>
          <w:lang w:val="es-ES"/>
        </w:rPr>
        <w:t>con el</w:t>
      </w:r>
      <w:r>
        <w:rPr>
          <w:lang w:val="es-ES"/>
        </w:rPr>
        <w:t xml:space="preserve"> género, de los 516 egresados</w:t>
      </w:r>
      <w:r w:rsidR="00BF2B27">
        <w:rPr>
          <w:lang w:val="es-ES"/>
        </w:rPr>
        <w:t>,</w:t>
      </w:r>
      <w:r>
        <w:rPr>
          <w:lang w:val="es-ES"/>
        </w:rPr>
        <w:t xml:space="preserve"> 54</w:t>
      </w:r>
      <w:r w:rsidR="00BF2B27">
        <w:rPr>
          <w:lang w:val="es-ES"/>
        </w:rPr>
        <w:t xml:space="preserve"> </w:t>
      </w:r>
      <w:r>
        <w:rPr>
          <w:lang w:val="es-ES"/>
        </w:rPr>
        <w:t>% son hombres y 45.93</w:t>
      </w:r>
      <w:r w:rsidR="00BF2B27">
        <w:rPr>
          <w:lang w:val="es-ES"/>
        </w:rPr>
        <w:t xml:space="preserve"> </w:t>
      </w:r>
      <w:r>
        <w:rPr>
          <w:lang w:val="es-ES"/>
        </w:rPr>
        <w:t>% mujeres</w:t>
      </w:r>
      <w:r w:rsidR="00BF2B27">
        <w:rPr>
          <w:lang w:val="es-ES"/>
        </w:rPr>
        <w:t xml:space="preserve"> (figura 3).</w:t>
      </w:r>
      <w:r>
        <w:rPr>
          <w:lang w:val="es-ES"/>
        </w:rPr>
        <w:t xml:space="preserve"> </w:t>
      </w:r>
    </w:p>
    <w:p w14:paraId="496B7773" w14:textId="77777777" w:rsidR="00177103" w:rsidRDefault="00177103" w:rsidP="00BF2B27">
      <w:pPr>
        <w:spacing w:line="360" w:lineRule="auto"/>
        <w:jc w:val="center"/>
        <w:rPr>
          <w:b/>
          <w:sz w:val="22"/>
          <w:szCs w:val="22"/>
          <w:lang w:val="es-ES"/>
        </w:rPr>
      </w:pPr>
    </w:p>
    <w:p w14:paraId="3653766C" w14:textId="52D82760" w:rsidR="00BF2B27" w:rsidRPr="005D0B41" w:rsidRDefault="00BF2B27" w:rsidP="00BF2B27">
      <w:pPr>
        <w:spacing w:line="360" w:lineRule="auto"/>
        <w:jc w:val="center"/>
        <w:rPr>
          <w:lang w:val="es-ES"/>
        </w:rPr>
      </w:pPr>
      <w:r w:rsidRPr="005D0B41">
        <w:rPr>
          <w:b/>
          <w:lang w:val="es-ES"/>
        </w:rPr>
        <w:t>Figura 3.</w:t>
      </w:r>
      <w:r w:rsidRPr="005D0B41">
        <w:rPr>
          <w:lang w:val="es-ES"/>
        </w:rPr>
        <w:t xml:space="preserve"> Egresados por sexo y generación</w:t>
      </w:r>
    </w:p>
    <w:p w14:paraId="3AF2DC36" w14:textId="77777777" w:rsidR="00B70892" w:rsidRDefault="00B70892" w:rsidP="00B70892">
      <w:pPr>
        <w:spacing w:line="360" w:lineRule="auto"/>
        <w:jc w:val="center"/>
        <w:rPr>
          <w:lang w:val="es-ES"/>
        </w:rPr>
      </w:pPr>
      <w:r>
        <w:rPr>
          <w:noProof/>
          <w:lang w:val="es-VE" w:eastAsia="es-VE"/>
        </w:rPr>
        <w:drawing>
          <wp:inline distT="0" distB="0" distL="0" distR="0" wp14:anchorId="6916CB45" wp14:editId="2A8117FE">
            <wp:extent cx="4677823" cy="2461097"/>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3. Egresados por sexo y generación.png"/>
                    <pic:cNvPicPr/>
                  </pic:nvPicPr>
                  <pic:blipFill rotWithShape="1">
                    <a:blip r:embed="rId10">
                      <a:extLst>
                        <a:ext uri="{28A0092B-C50C-407E-A947-70E740481C1C}">
                          <a14:useLocalDpi xmlns:a14="http://schemas.microsoft.com/office/drawing/2010/main" val="0"/>
                        </a:ext>
                      </a:extLst>
                    </a:blip>
                    <a:srcRect l="1809" t="25535" r="1519" b="1841"/>
                    <a:stretch/>
                  </pic:blipFill>
                  <pic:spPr bwMode="auto">
                    <a:xfrm>
                      <a:off x="0" y="0"/>
                      <a:ext cx="4794108" cy="2522277"/>
                    </a:xfrm>
                    <a:prstGeom prst="rect">
                      <a:avLst/>
                    </a:prstGeom>
                    <a:ln>
                      <a:noFill/>
                    </a:ln>
                    <a:extLst>
                      <a:ext uri="{53640926-AAD7-44D8-BBD7-CCE9431645EC}">
                        <a14:shadowObscured xmlns:a14="http://schemas.microsoft.com/office/drawing/2010/main"/>
                      </a:ext>
                    </a:extLst>
                  </pic:spPr>
                </pic:pic>
              </a:graphicData>
            </a:graphic>
          </wp:inline>
        </w:drawing>
      </w:r>
    </w:p>
    <w:p w14:paraId="11F6C854" w14:textId="77777777" w:rsidR="00BF2B27" w:rsidRPr="00177103" w:rsidRDefault="00BF2B27" w:rsidP="00BF2B27">
      <w:pPr>
        <w:spacing w:line="360" w:lineRule="auto"/>
        <w:jc w:val="center"/>
        <w:rPr>
          <w:szCs w:val="28"/>
          <w:lang w:val="es-ES"/>
        </w:rPr>
      </w:pPr>
      <w:r w:rsidRPr="00177103">
        <w:rPr>
          <w:szCs w:val="28"/>
          <w:lang w:val="es-ES"/>
        </w:rPr>
        <w:t xml:space="preserve">Fuente: Elaboración propia </w:t>
      </w:r>
    </w:p>
    <w:p w14:paraId="0C5F1558" w14:textId="1356941E" w:rsidR="00177103" w:rsidRDefault="00B70892" w:rsidP="00177103">
      <w:pPr>
        <w:spacing w:line="360" w:lineRule="auto"/>
        <w:ind w:firstLine="708"/>
        <w:jc w:val="both"/>
        <w:rPr>
          <w:lang w:val="es-ES"/>
        </w:rPr>
      </w:pPr>
      <w:r>
        <w:rPr>
          <w:lang w:val="es-ES"/>
        </w:rPr>
        <w:t xml:space="preserve">En relación </w:t>
      </w:r>
      <w:r w:rsidR="00BF2B27">
        <w:rPr>
          <w:lang w:val="es-ES"/>
        </w:rPr>
        <w:t>con el</w:t>
      </w:r>
      <w:r>
        <w:rPr>
          <w:lang w:val="es-ES"/>
        </w:rPr>
        <w:t xml:space="preserve"> número de egresados de cada plantel</w:t>
      </w:r>
      <w:r w:rsidR="00BF2B27">
        <w:rPr>
          <w:lang w:val="es-ES"/>
        </w:rPr>
        <w:t>,</w:t>
      </w:r>
      <w:r>
        <w:rPr>
          <w:lang w:val="es-ES"/>
        </w:rPr>
        <w:t xml:space="preserve"> </w:t>
      </w:r>
      <w:r w:rsidR="00BF2B27">
        <w:rPr>
          <w:lang w:val="es-ES"/>
        </w:rPr>
        <w:t xml:space="preserve">en la figura 4 </w:t>
      </w:r>
      <w:r>
        <w:rPr>
          <w:lang w:val="es-ES"/>
        </w:rPr>
        <w:t xml:space="preserve">se puede observar que el mayor número en un plantel de TBC Campeche </w:t>
      </w:r>
      <w:r w:rsidR="00BF2B27">
        <w:rPr>
          <w:lang w:val="es-ES"/>
        </w:rPr>
        <w:t xml:space="preserve">fue </w:t>
      </w:r>
      <w:r>
        <w:rPr>
          <w:lang w:val="es-ES"/>
        </w:rPr>
        <w:t xml:space="preserve">de 65 </w:t>
      </w:r>
      <w:r w:rsidR="00BF2B27">
        <w:rPr>
          <w:lang w:val="es-ES"/>
        </w:rPr>
        <w:t>(</w:t>
      </w:r>
      <w:r>
        <w:rPr>
          <w:lang w:val="es-ES"/>
        </w:rPr>
        <w:t>Mancolona</w:t>
      </w:r>
      <w:r w:rsidR="00BF2B27">
        <w:rPr>
          <w:lang w:val="es-ES"/>
        </w:rPr>
        <w:t>)</w:t>
      </w:r>
      <w:r>
        <w:rPr>
          <w:lang w:val="es-ES"/>
        </w:rPr>
        <w:t xml:space="preserve"> y el menor número </w:t>
      </w:r>
      <w:r w:rsidR="00BF2B27">
        <w:rPr>
          <w:lang w:val="es-ES"/>
        </w:rPr>
        <w:t>fue</w:t>
      </w:r>
      <w:r>
        <w:rPr>
          <w:lang w:val="es-ES"/>
        </w:rPr>
        <w:t xml:space="preserve"> 2 en los planteles de Adolfo Ruiz Cortínez y Gustavo Díaz Ordaz.</w:t>
      </w:r>
    </w:p>
    <w:p w14:paraId="7B7CF147" w14:textId="03411B58" w:rsidR="00177103" w:rsidRDefault="00177103" w:rsidP="00177103">
      <w:pPr>
        <w:spacing w:line="360" w:lineRule="auto"/>
        <w:ind w:firstLine="708"/>
        <w:jc w:val="both"/>
        <w:rPr>
          <w:lang w:val="es-ES"/>
        </w:rPr>
      </w:pPr>
    </w:p>
    <w:p w14:paraId="73C2BDD5" w14:textId="77777777" w:rsidR="00177103" w:rsidRDefault="00177103" w:rsidP="00177103">
      <w:pPr>
        <w:spacing w:line="360" w:lineRule="auto"/>
        <w:ind w:firstLine="708"/>
        <w:jc w:val="both"/>
        <w:rPr>
          <w:lang w:val="es-ES"/>
        </w:rPr>
      </w:pPr>
    </w:p>
    <w:p w14:paraId="4E4DC8D7" w14:textId="77777777" w:rsidR="00177103" w:rsidRDefault="00177103" w:rsidP="00177103">
      <w:pPr>
        <w:spacing w:line="360" w:lineRule="auto"/>
        <w:jc w:val="center"/>
        <w:rPr>
          <w:b/>
          <w:sz w:val="22"/>
          <w:szCs w:val="22"/>
          <w:lang w:val="es-ES"/>
        </w:rPr>
      </w:pPr>
    </w:p>
    <w:p w14:paraId="31EBF029" w14:textId="10F97D6F" w:rsidR="00BF2B27" w:rsidRPr="00177103" w:rsidRDefault="00BF2B27" w:rsidP="00177103">
      <w:pPr>
        <w:spacing w:line="360" w:lineRule="auto"/>
        <w:jc w:val="center"/>
        <w:rPr>
          <w:lang w:val="es-ES"/>
        </w:rPr>
      </w:pPr>
      <w:r w:rsidRPr="00177103">
        <w:rPr>
          <w:b/>
          <w:lang w:val="es-ES"/>
        </w:rPr>
        <w:lastRenderedPageBreak/>
        <w:t>Figura 4.</w:t>
      </w:r>
      <w:r w:rsidRPr="00177103">
        <w:rPr>
          <w:lang w:val="es-ES"/>
        </w:rPr>
        <w:t xml:space="preserve"> Número de egresos en cada plantel de TBC Campeche</w:t>
      </w:r>
    </w:p>
    <w:p w14:paraId="436932C8" w14:textId="77777777" w:rsidR="00B70892" w:rsidRPr="00177103" w:rsidRDefault="00B70892" w:rsidP="00B70892">
      <w:pPr>
        <w:spacing w:line="360" w:lineRule="auto"/>
        <w:jc w:val="center"/>
        <w:rPr>
          <w:lang w:val="es-ES"/>
        </w:rPr>
      </w:pPr>
      <w:r w:rsidRPr="00177103">
        <w:rPr>
          <w:noProof/>
          <w:lang w:val="es-VE" w:eastAsia="es-VE"/>
        </w:rPr>
        <w:drawing>
          <wp:inline distT="0" distB="0" distL="0" distR="0" wp14:anchorId="358243C4" wp14:editId="616E7D88">
            <wp:extent cx="5081666" cy="2920175"/>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4. Egresados por plantel.png"/>
                    <pic:cNvPicPr/>
                  </pic:nvPicPr>
                  <pic:blipFill>
                    <a:blip r:embed="rId11">
                      <a:extLst>
                        <a:ext uri="{28A0092B-C50C-407E-A947-70E740481C1C}">
                          <a14:useLocalDpi xmlns:a14="http://schemas.microsoft.com/office/drawing/2010/main" val="0"/>
                        </a:ext>
                      </a:extLst>
                    </a:blip>
                    <a:stretch>
                      <a:fillRect/>
                    </a:stretch>
                  </pic:blipFill>
                  <pic:spPr>
                    <a:xfrm>
                      <a:off x="0" y="0"/>
                      <a:ext cx="5129266" cy="2947528"/>
                    </a:xfrm>
                    <a:prstGeom prst="rect">
                      <a:avLst/>
                    </a:prstGeom>
                  </pic:spPr>
                </pic:pic>
              </a:graphicData>
            </a:graphic>
          </wp:inline>
        </w:drawing>
      </w:r>
    </w:p>
    <w:p w14:paraId="35CDECFC" w14:textId="77777777" w:rsidR="00BF2B27" w:rsidRPr="00BF2B27" w:rsidRDefault="00BF2B27" w:rsidP="00BF2B27">
      <w:pPr>
        <w:spacing w:line="360" w:lineRule="auto"/>
        <w:jc w:val="center"/>
        <w:rPr>
          <w:sz w:val="20"/>
          <w:szCs w:val="22"/>
          <w:lang w:val="es-ES"/>
        </w:rPr>
      </w:pPr>
      <w:r w:rsidRPr="00177103">
        <w:rPr>
          <w:lang w:val="es-ES"/>
        </w:rPr>
        <w:t>Fuente: Elaboración propia</w:t>
      </w:r>
      <w:r>
        <w:rPr>
          <w:sz w:val="20"/>
          <w:szCs w:val="22"/>
          <w:lang w:val="es-ES"/>
        </w:rPr>
        <w:t xml:space="preserve"> </w:t>
      </w:r>
    </w:p>
    <w:p w14:paraId="5ACAF038" w14:textId="77777777" w:rsidR="00B70892" w:rsidRDefault="00B70892" w:rsidP="00BF2B27">
      <w:pPr>
        <w:spacing w:line="360" w:lineRule="auto"/>
        <w:ind w:firstLine="708"/>
        <w:jc w:val="both"/>
        <w:rPr>
          <w:lang w:val="es-ES"/>
        </w:rPr>
      </w:pPr>
      <w:r>
        <w:rPr>
          <w:lang w:val="es-ES"/>
        </w:rPr>
        <w:t xml:space="preserve">En la </w:t>
      </w:r>
      <w:r w:rsidR="00BF2B27">
        <w:rPr>
          <w:lang w:val="es-ES"/>
        </w:rPr>
        <w:t>f</w:t>
      </w:r>
      <w:r>
        <w:rPr>
          <w:lang w:val="es-ES"/>
        </w:rPr>
        <w:t xml:space="preserve">igura 5 se observa que de los 516 egresados, 139 </w:t>
      </w:r>
      <w:r w:rsidR="00BF2B27">
        <w:rPr>
          <w:lang w:val="es-ES"/>
        </w:rPr>
        <w:t xml:space="preserve">(26.93 %) </w:t>
      </w:r>
      <w:r>
        <w:rPr>
          <w:lang w:val="es-ES"/>
        </w:rPr>
        <w:t>se encuentran estudiando, de los cuales 56</w:t>
      </w:r>
      <w:r w:rsidR="00BF2B27">
        <w:rPr>
          <w:lang w:val="es-ES"/>
        </w:rPr>
        <w:t xml:space="preserve"> </w:t>
      </w:r>
      <w:r>
        <w:rPr>
          <w:lang w:val="es-ES"/>
        </w:rPr>
        <w:t>% son hombres y 36.69</w:t>
      </w:r>
      <w:r w:rsidR="00BF2B27">
        <w:rPr>
          <w:lang w:val="es-ES"/>
        </w:rPr>
        <w:t xml:space="preserve"> </w:t>
      </w:r>
      <w:r>
        <w:rPr>
          <w:lang w:val="es-ES"/>
        </w:rPr>
        <w:t xml:space="preserve">% mujeres. </w:t>
      </w:r>
    </w:p>
    <w:p w14:paraId="366E881C" w14:textId="77777777" w:rsidR="00BF2B27" w:rsidRDefault="00BF2B27" w:rsidP="00BF2B27">
      <w:pPr>
        <w:spacing w:line="360" w:lineRule="auto"/>
        <w:jc w:val="center"/>
        <w:rPr>
          <w:sz w:val="22"/>
          <w:szCs w:val="22"/>
          <w:lang w:val="es-ES"/>
        </w:rPr>
      </w:pPr>
    </w:p>
    <w:p w14:paraId="49686600" w14:textId="77777777" w:rsidR="00BF2B27" w:rsidRPr="00177103" w:rsidRDefault="00BF2B27" w:rsidP="00BF2B27">
      <w:pPr>
        <w:spacing w:line="360" w:lineRule="auto"/>
        <w:jc w:val="center"/>
        <w:rPr>
          <w:lang w:val="es-ES"/>
        </w:rPr>
      </w:pPr>
      <w:r w:rsidRPr="00177103">
        <w:rPr>
          <w:b/>
          <w:lang w:val="es-ES"/>
        </w:rPr>
        <w:t>Figura 5.</w:t>
      </w:r>
      <w:r w:rsidRPr="00177103">
        <w:rPr>
          <w:lang w:val="es-ES"/>
        </w:rPr>
        <w:t xml:space="preserve"> Egresados que se encuentran estudiando</w:t>
      </w:r>
    </w:p>
    <w:p w14:paraId="451DE0F2" w14:textId="77777777" w:rsidR="00B70892" w:rsidRDefault="00B70892" w:rsidP="00B70892">
      <w:pPr>
        <w:spacing w:line="360" w:lineRule="auto"/>
        <w:jc w:val="center"/>
        <w:rPr>
          <w:lang w:val="es-ES"/>
        </w:rPr>
      </w:pPr>
      <w:r>
        <w:rPr>
          <w:noProof/>
          <w:lang w:val="es-VE" w:eastAsia="es-VE"/>
        </w:rPr>
        <w:drawing>
          <wp:inline distT="0" distB="0" distL="0" distR="0" wp14:anchorId="66D2C79C" wp14:editId="3F409984">
            <wp:extent cx="4746021" cy="2042160"/>
            <wp:effectExtent l="0" t="0" r="381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5. Egresados estudiando.png"/>
                    <pic:cNvPicPr/>
                  </pic:nvPicPr>
                  <pic:blipFill rotWithShape="1">
                    <a:blip r:embed="rId12">
                      <a:extLst>
                        <a:ext uri="{28A0092B-C50C-407E-A947-70E740481C1C}">
                          <a14:useLocalDpi xmlns:a14="http://schemas.microsoft.com/office/drawing/2010/main" val="0"/>
                        </a:ext>
                      </a:extLst>
                    </a:blip>
                    <a:srcRect l="995" t="17797" r="1866" b="2670"/>
                    <a:stretch/>
                  </pic:blipFill>
                  <pic:spPr bwMode="auto">
                    <a:xfrm>
                      <a:off x="0" y="0"/>
                      <a:ext cx="4782645" cy="2057919"/>
                    </a:xfrm>
                    <a:prstGeom prst="rect">
                      <a:avLst/>
                    </a:prstGeom>
                    <a:ln>
                      <a:noFill/>
                    </a:ln>
                    <a:extLst>
                      <a:ext uri="{53640926-AAD7-44D8-BBD7-CCE9431645EC}">
                        <a14:shadowObscured xmlns:a14="http://schemas.microsoft.com/office/drawing/2010/main"/>
                      </a:ext>
                    </a:extLst>
                  </pic:spPr>
                </pic:pic>
              </a:graphicData>
            </a:graphic>
          </wp:inline>
        </w:drawing>
      </w:r>
    </w:p>
    <w:p w14:paraId="264B80AD" w14:textId="77777777" w:rsidR="00BF2B27" w:rsidRPr="00177103" w:rsidRDefault="00BF2B27" w:rsidP="00BF2B27">
      <w:pPr>
        <w:spacing w:line="360" w:lineRule="auto"/>
        <w:jc w:val="center"/>
        <w:rPr>
          <w:szCs w:val="28"/>
          <w:lang w:val="es-ES"/>
        </w:rPr>
      </w:pPr>
      <w:r w:rsidRPr="00177103">
        <w:rPr>
          <w:szCs w:val="28"/>
          <w:lang w:val="es-ES"/>
        </w:rPr>
        <w:t xml:space="preserve">Fuente: Elaboración propia </w:t>
      </w:r>
    </w:p>
    <w:p w14:paraId="07AAE826" w14:textId="77777777" w:rsidR="00B70892" w:rsidRDefault="00B70892" w:rsidP="00BF2B27">
      <w:pPr>
        <w:spacing w:line="360" w:lineRule="auto"/>
        <w:ind w:firstLine="708"/>
        <w:jc w:val="both"/>
        <w:rPr>
          <w:lang w:val="es-ES"/>
        </w:rPr>
      </w:pPr>
      <w:r>
        <w:rPr>
          <w:lang w:val="es-ES"/>
        </w:rPr>
        <w:t xml:space="preserve">En </w:t>
      </w:r>
      <w:r w:rsidR="00BF2B27">
        <w:rPr>
          <w:lang w:val="es-ES"/>
        </w:rPr>
        <w:t xml:space="preserve">cuanto </w:t>
      </w:r>
      <w:r>
        <w:rPr>
          <w:lang w:val="es-ES"/>
        </w:rPr>
        <w:t>al nivel de estudio en que se encuentran matriculados, 86</w:t>
      </w:r>
      <w:r w:rsidR="00BF2B27">
        <w:rPr>
          <w:lang w:val="es-ES"/>
        </w:rPr>
        <w:t xml:space="preserve"> </w:t>
      </w:r>
      <w:r>
        <w:rPr>
          <w:lang w:val="es-ES"/>
        </w:rPr>
        <w:t xml:space="preserve">% se </w:t>
      </w:r>
      <w:r w:rsidR="00BF2B27">
        <w:rPr>
          <w:lang w:val="es-ES"/>
        </w:rPr>
        <w:t>hallan</w:t>
      </w:r>
      <w:r>
        <w:rPr>
          <w:lang w:val="es-ES"/>
        </w:rPr>
        <w:t xml:space="preserve"> estudiando en </w:t>
      </w:r>
      <w:r w:rsidR="00BF2B27">
        <w:rPr>
          <w:lang w:val="es-ES"/>
        </w:rPr>
        <w:t>i</w:t>
      </w:r>
      <w:r>
        <w:rPr>
          <w:lang w:val="es-ES"/>
        </w:rPr>
        <w:t>nstituciones de nivel superior</w:t>
      </w:r>
      <w:r w:rsidR="00BF2B27">
        <w:rPr>
          <w:lang w:val="es-ES"/>
        </w:rPr>
        <w:t>,</w:t>
      </w:r>
      <w:r>
        <w:rPr>
          <w:lang w:val="es-ES"/>
        </w:rPr>
        <w:t xml:space="preserve"> mientras que 9</w:t>
      </w:r>
      <w:r w:rsidR="00BF2B27">
        <w:rPr>
          <w:lang w:val="es-ES"/>
        </w:rPr>
        <w:t xml:space="preserve"> </w:t>
      </w:r>
      <w:r>
        <w:rPr>
          <w:lang w:val="es-ES"/>
        </w:rPr>
        <w:t>% se encuentra</w:t>
      </w:r>
      <w:r w:rsidR="00BF2B27">
        <w:rPr>
          <w:lang w:val="es-ES"/>
        </w:rPr>
        <w:t>n</w:t>
      </w:r>
      <w:r>
        <w:rPr>
          <w:lang w:val="es-ES"/>
        </w:rPr>
        <w:t xml:space="preserve"> estudiando nivel técnico o algún oficio </w:t>
      </w:r>
      <w:r w:rsidR="00BF2B27">
        <w:rPr>
          <w:lang w:val="es-ES"/>
        </w:rPr>
        <w:t>(</w:t>
      </w:r>
      <w:r>
        <w:rPr>
          <w:lang w:val="es-ES"/>
        </w:rPr>
        <w:t>5</w:t>
      </w:r>
      <w:r w:rsidR="00BF2B27">
        <w:rPr>
          <w:lang w:val="es-ES"/>
        </w:rPr>
        <w:t xml:space="preserve"> </w:t>
      </w:r>
      <w:r>
        <w:rPr>
          <w:lang w:val="es-ES"/>
        </w:rPr>
        <w:t>% no especificó</w:t>
      </w:r>
      <w:r w:rsidR="00BF2B27">
        <w:rPr>
          <w:lang w:val="es-ES"/>
        </w:rPr>
        <w:t>)</w:t>
      </w:r>
      <w:r>
        <w:rPr>
          <w:lang w:val="es-ES"/>
        </w:rPr>
        <w:t>.</w:t>
      </w:r>
    </w:p>
    <w:p w14:paraId="4298B047" w14:textId="15512A41" w:rsidR="00BF2B27" w:rsidRDefault="00BF2B27" w:rsidP="00BF2B27">
      <w:pPr>
        <w:spacing w:line="360" w:lineRule="auto"/>
        <w:ind w:firstLine="708"/>
        <w:jc w:val="both"/>
        <w:rPr>
          <w:lang w:val="es-ES"/>
        </w:rPr>
      </w:pPr>
    </w:p>
    <w:p w14:paraId="65CECEF6" w14:textId="49E69AEB" w:rsidR="00177103" w:rsidRDefault="00177103" w:rsidP="00BF2B27">
      <w:pPr>
        <w:spacing w:line="360" w:lineRule="auto"/>
        <w:ind w:firstLine="708"/>
        <w:jc w:val="both"/>
        <w:rPr>
          <w:lang w:val="es-ES"/>
        </w:rPr>
      </w:pPr>
    </w:p>
    <w:p w14:paraId="2ED20443" w14:textId="77777777" w:rsidR="00177103" w:rsidRDefault="00177103" w:rsidP="00BF2B27">
      <w:pPr>
        <w:spacing w:line="360" w:lineRule="auto"/>
        <w:ind w:firstLine="708"/>
        <w:jc w:val="both"/>
        <w:rPr>
          <w:lang w:val="es-ES"/>
        </w:rPr>
      </w:pPr>
    </w:p>
    <w:p w14:paraId="76AF6FA7" w14:textId="77777777" w:rsidR="00BF2B27" w:rsidRPr="00177103" w:rsidRDefault="00BF2B27" w:rsidP="00BF2B27">
      <w:pPr>
        <w:spacing w:line="360" w:lineRule="auto"/>
        <w:jc w:val="center"/>
        <w:rPr>
          <w:lang w:val="es-ES"/>
        </w:rPr>
      </w:pPr>
      <w:r w:rsidRPr="00177103">
        <w:rPr>
          <w:b/>
          <w:lang w:val="es-ES"/>
        </w:rPr>
        <w:lastRenderedPageBreak/>
        <w:t>Figura 6.</w:t>
      </w:r>
      <w:r w:rsidRPr="00177103">
        <w:rPr>
          <w:lang w:val="es-ES"/>
        </w:rPr>
        <w:t xml:space="preserve"> Nivel educativo en que se matricularon los egresados</w:t>
      </w:r>
    </w:p>
    <w:p w14:paraId="20CD6632" w14:textId="77777777" w:rsidR="00B70892" w:rsidRPr="00177103" w:rsidRDefault="00B70892" w:rsidP="00B70892">
      <w:pPr>
        <w:spacing w:line="360" w:lineRule="auto"/>
        <w:jc w:val="center"/>
        <w:rPr>
          <w:lang w:val="es-ES"/>
        </w:rPr>
      </w:pPr>
      <w:r w:rsidRPr="00177103">
        <w:rPr>
          <w:noProof/>
          <w:lang w:val="es-VE" w:eastAsia="es-VE"/>
        </w:rPr>
        <w:drawing>
          <wp:inline distT="0" distB="0" distL="0" distR="0" wp14:anchorId="2C4E41BC" wp14:editId="513C8889">
            <wp:extent cx="3453319" cy="2802598"/>
            <wp:effectExtent l="0" t="0" r="127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6. Nivel Educativo.png"/>
                    <pic:cNvPicPr/>
                  </pic:nvPicPr>
                  <pic:blipFill rotWithShape="1">
                    <a:blip r:embed="rId13">
                      <a:extLst>
                        <a:ext uri="{28A0092B-C50C-407E-A947-70E740481C1C}">
                          <a14:useLocalDpi xmlns:a14="http://schemas.microsoft.com/office/drawing/2010/main" val="0"/>
                        </a:ext>
                      </a:extLst>
                    </a:blip>
                    <a:srcRect l="20744" t="11939" r="21887"/>
                    <a:stretch/>
                  </pic:blipFill>
                  <pic:spPr bwMode="auto">
                    <a:xfrm>
                      <a:off x="0" y="0"/>
                      <a:ext cx="3470169" cy="2816273"/>
                    </a:xfrm>
                    <a:prstGeom prst="rect">
                      <a:avLst/>
                    </a:prstGeom>
                    <a:ln>
                      <a:noFill/>
                    </a:ln>
                    <a:extLst>
                      <a:ext uri="{53640926-AAD7-44D8-BBD7-CCE9431645EC}">
                        <a14:shadowObscured xmlns:a14="http://schemas.microsoft.com/office/drawing/2010/main"/>
                      </a:ext>
                    </a:extLst>
                  </pic:spPr>
                </pic:pic>
              </a:graphicData>
            </a:graphic>
          </wp:inline>
        </w:drawing>
      </w:r>
    </w:p>
    <w:p w14:paraId="02D6451D" w14:textId="77777777" w:rsidR="00BF2B27" w:rsidRPr="00BF2B27" w:rsidRDefault="00BF2B27" w:rsidP="00BF2B27">
      <w:pPr>
        <w:spacing w:line="360" w:lineRule="auto"/>
        <w:jc w:val="center"/>
        <w:rPr>
          <w:sz w:val="20"/>
          <w:szCs w:val="22"/>
          <w:lang w:val="es-ES"/>
        </w:rPr>
      </w:pPr>
      <w:r w:rsidRPr="00177103">
        <w:rPr>
          <w:lang w:val="es-ES"/>
        </w:rPr>
        <w:t>Fuente: Elaboración propia</w:t>
      </w:r>
    </w:p>
    <w:p w14:paraId="5E78CAA9" w14:textId="77777777" w:rsidR="00B70892" w:rsidRDefault="00B70892" w:rsidP="00BF2B27">
      <w:pPr>
        <w:spacing w:line="360" w:lineRule="auto"/>
        <w:ind w:firstLine="708"/>
        <w:jc w:val="both"/>
        <w:rPr>
          <w:lang w:val="es-ES"/>
        </w:rPr>
      </w:pPr>
      <w:r>
        <w:rPr>
          <w:lang w:val="es-ES"/>
        </w:rPr>
        <w:t>Con respecto a las principales carreras elegidas por los egresados, 62</w:t>
      </w:r>
      <w:r w:rsidR="00BF2B27">
        <w:rPr>
          <w:lang w:val="es-ES"/>
        </w:rPr>
        <w:t xml:space="preserve"> </w:t>
      </w:r>
      <w:r>
        <w:rPr>
          <w:lang w:val="es-ES"/>
        </w:rPr>
        <w:t>%</w:t>
      </w:r>
      <w:r w:rsidR="00B67B66">
        <w:rPr>
          <w:lang w:val="es-ES"/>
        </w:rPr>
        <w:t xml:space="preserve"> se encuentran estudiando</w:t>
      </w:r>
      <w:r>
        <w:rPr>
          <w:lang w:val="es-ES"/>
        </w:rPr>
        <w:t xml:space="preserve"> </w:t>
      </w:r>
      <w:r w:rsidR="00B67B66">
        <w:rPr>
          <w:lang w:val="es-ES"/>
        </w:rPr>
        <w:t>l</w:t>
      </w:r>
      <w:r>
        <w:rPr>
          <w:lang w:val="es-ES"/>
        </w:rPr>
        <w:t>icenciatura en Administración de Empresas</w:t>
      </w:r>
      <w:r w:rsidR="00B67B66">
        <w:rPr>
          <w:lang w:val="es-ES"/>
        </w:rPr>
        <w:t>,</w:t>
      </w:r>
      <w:r>
        <w:rPr>
          <w:lang w:val="es-ES"/>
        </w:rPr>
        <w:t xml:space="preserve"> 7</w:t>
      </w:r>
      <w:r w:rsidR="00B67B66">
        <w:rPr>
          <w:lang w:val="es-ES"/>
        </w:rPr>
        <w:t xml:space="preserve"> </w:t>
      </w:r>
      <w:r>
        <w:rPr>
          <w:lang w:val="es-ES"/>
        </w:rPr>
        <w:t xml:space="preserve">% </w:t>
      </w:r>
      <w:r w:rsidR="00B67B66">
        <w:rPr>
          <w:lang w:val="es-ES"/>
        </w:rPr>
        <w:t>i</w:t>
      </w:r>
      <w:r>
        <w:rPr>
          <w:lang w:val="es-ES"/>
        </w:rPr>
        <w:t>ngeniería en Innovación Agrícola Sustentable, 6</w:t>
      </w:r>
      <w:r w:rsidR="00B67B66">
        <w:rPr>
          <w:lang w:val="es-ES"/>
        </w:rPr>
        <w:t xml:space="preserve"> </w:t>
      </w:r>
      <w:r>
        <w:rPr>
          <w:lang w:val="es-ES"/>
        </w:rPr>
        <w:t xml:space="preserve">% </w:t>
      </w:r>
      <w:r w:rsidR="00B67B66">
        <w:rPr>
          <w:lang w:val="es-ES"/>
        </w:rPr>
        <w:t>i</w:t>
      </w:r>
      <w:r>
        <w:rPr>
          <w:lang w:val="es-ES"/>
        </w:rPr>
        <w:t>ngeniería en Sistemas Computacionales, 4</w:t>
      </w:r>
      <w:r w:rsidR="00B67B66">
        <w:rPr>
          <w:lang w:val="es-ES"/>
        </w:rPr>
        <w:t xml:space="preserve"> </w:t>
      </w:r>
      <w:r>
        <w:rPr>
          <w:lang w:val="es-ES"/>
        </w:rPr>
        <w:t>% Contabilidad</w:t>
      </w:r>
      <w:r w:rsidR="00B67B66">
        <w:rPr>
          <w:lang w:val="es-ES"/>
        </w:rPr>
        <w:t xml:space="preserve"> (en otras carreras se </w:t>
      </w:r>
      <w:r>
        <w:rPr>
          <w:lang w:val="es-ES"/>
        </w:rPr>
        <w:t xml:space="preserve">encuentra matriculado </w:t>
      </w:r>
      <w:r w:rsidR="00B67B66">
        <w:rPr>
          <w:lang w:val="es-ES"/>
        </w:rPr>
        <w:t>el</w:t>
      </w:r>
      <w:r>
        <w:rPr>
          <w:lang w:val="es-ES"/>
        </w:rPr>
        <w:t xml:space="preserve"> equivale </w:t>
      </w:r>
      <w:r w:rsidR="00B67B66">
        <w:rPr>
          <w:lang w:val="es-ES"/>
        </w:rPr>
        <w:t>a</w:t>
      </w:r>
      <w:r>
        <w:rPr>
          <w:lang w:val="es-ES"/>
        </w:rPr>
        <w:t xml:space="preserve"> 2</w:t>
      </w:r>
      <w:r w:rsidR="00B67B66">
        <w:rPr>
          <w:lang w:val="es-ES"/>
        </w:rPr>
        <w:t xml:space="preserve"> </w:t>
      </w:r>
      <w:r>
        <w:rPr>
          <w:lang w:val="es-ES"/>
        </w:rPr>
        <w:t>%</w:t>
      </w:r>
      <w:r w:rsidR="00B67B66">
        <w:rPr>
          <w:lang w:val="es-ES"/>
        </w:rPr>
        <w:t>)</w:t>
      </w:r>
      <w:r>
        <w:rPr>
          <w:lang w:val="es-ES"/>
        </w:rPr>
        <w:t>.</w:t>
      </w:r>
    </w:p>
    <w:p w14:paraId="5B038FAF" w14:textId="77777777" w:rsidR="00B70892" w:rsidRDefault="00B70892" w:rsidP="00B70892">
      <w:pPr>
        <w:spacing w:line="360" w:lineRule="auto"/>
        <w:jc w:val="both"/>
        <w:rPr>
          <w:lang w:val="es-ES"/>
        </w:rPr>
      </w:pPr>
    </w:p>
    <w:p w14:paraId="32AC01B2" w14:textId="77777777" w:rsidR="00B67B66" w:rsidRPr="00177103" w:rsidRDefault="00B67B66" w:rsidP="00B67B66">
      <w:pPr>
        <w:spacing w:line="360" w:lineRule="auto"/>
        <w:jc w:val="center"/>
        <w:rPr>
          <w:lang w:val="es-ES"/>
        </w:rPr>
      </w:pPr>
      <w:r w:rsidRPr="00177103">
        <w:rPr>
          <w:b/>
          <w:lang w:val="es-ES"/>
        </w:rPr>
        <w:t>Figura 7.</w:t>
      </w:r>
      <w:r w:rsidRPr="00177103">
        <w:rPr>
          <w:lang w:val="es-ES"/>
        </w:rPr>
        <w:t xml:space="preserve"> Principales carreras elegidas por los egresados</w:t>
      </w:r>
    </w:p>
    <w:p w14:paraId="0BC9CA55" w14:textId="77777777" w:rsidR="00B70892" w:rsidRDefault="00B70892" w:rsidP="00B70892">
      <w:pPr>
        <w:spacing w:line="360" w:lineRule="auto"/>
        <w:jc w:val="center"/>
        <w:rPr>
          <w:lang w:val="es-ES"/>
        </w:rPr>
      </w:pPr>
      <w:r>
        <w:rPr>
          <w:noProof/>
          <w:lang w:val="es-VE" w:eastAsia="es-VE"/>
        </w:rPr>
        <w:drawing>
          <wp:inline distT="0" distB="0" distL="0" distR="0" wp14:anchorId="1A4ED54D" wp14:editId="5D59A32B">
            <wp:extent cx="5223754" cy="2986392"/>
            <wp:effectExtent l="0" t="0" r="8890" b="11430"/>
            <wp:docPr id="1" name="Gráfico 1">
              <a:extLst xmlns:a="http://schemas.openxmlformats.org/drawingml/2006/main">
                <a:ext uri="{FF2B5EF4-FFF2-40B4-BE49-F238E27FC236}">
                  <a16:creationId xmlns:a16="http://schemas.microsoft.com/office/drawing/2014/main" id="{87D75A0F-27DD-AF45-9664-54AAF9A11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63C8FD" w14:textId="77777777" w:rsidR="00B67B66" w:rsidRPr="00177103" w:rsidRDefault="00B67B66" w:rsidP="00B67B66">
      <w:pPr>
        <w:spacing w:line="360" w:lineRule="auto"/>
        <w:jc w:val="center"/>
        <w:rPr>
          <w:szCs w:val="28"/>
          <w:lang w:val="es-ES"/>
        </w:rPr>
      </w:pPr>
      <w:r w:rsidRPr="00177103">
        <w:rPr>
          <w:szCs w:val="28"/>
          <w:lang w:val="es-ES"/>
        </w:rPr>
        <w:t>Fuente: Elaboración propia</w:t>
      </w:r>
    </w:p>
    <w:p w14:paraId="2A226EE6" w14:textId="77777777" w:rsidR="00B70892" w:rsidRDefault="00B70892" w:rsidP="00B70892">
      <w:pPr>
        <w:spacing w:line="360" w:lineRule="auto"/>
        <w:jc w:val="both"/>
        <w:rPr>
          <w:lang w:val="es-ES"/>
        </w:rPr>
      </w:pPr>
    </w:p>
    <w:p w14:paraId="060530FE" w14:textId="77777777" w:rsidR="00B70892" w:rsidRDefault="00B70892" w:rsidP="00B67B66">
      <w:pPr>
        <w:spacing w:line="360" w:lineRule="auto"/>
        <w:ind w:firstLine="708"/>
        <w:jc w:val="both"/>
        <w:rPr>
          <w:lang w:val="es-ES"/>
        </w:rPr>
      </w:pPr>
      <w:r>
        <w:rPr>
          <w:lang w:val="es-ES"/>
        </w:rPr>
        <w:lastRenderedPageBreak/>
        <w:t xml:space="preserve">En relación </w:t>
      </w:r>
      <w:r w:rsidR="00B67B66">
        <w:rPr>
          <w:lang w:val="es-ES"/>
        </w:rPr>
        <w:t>con</w:t>
      </w:r>
      <w:r>
        <w:rPr>
          <w:lang w:val="es-ES"/>
        </w:rPr>
        <w:t xml:space="preserve"> la situación laboral</w:t>
      </w:r>
      <w:r w:rsidR="00B67B66">
        <w:rPr>
          <w:lang w:val="es-ES"/>
        </w:rPr>
        <w:t>,</w:t>
      </w:r>
      <w:r>
        <w:rPr>
          <w:lang w:val="es-ES"/>
        </w:rPr>
        <w:t xml:space="preserve"> 61.24</w:t>
      </w:r>
      <w:r w:rsidR="00B67B66">
        <w:rPr>
          <w:lang w:val="es-ES"/>
        </w:rPr>
        <w:t xml:space="preserve"> </w:t>
      </w:r>
      <w:r>
        <w:rPr>
          <w:lang w:val="es-ES"/>
        </w:rPr>
        <w:t>% de los egresados se encuentra laborando, de los cuales 40</w:t>
      </w:r>
      <w:r w:rsidR="00B67B66">
        <w:rPr>
          <w:lang w:val="es-ES"/>
        </w:rPr>
        <w:t xml:space="preserve"> </w:t>
      </w:r>
      <w:r>
        <w:rPr>
          <w:lang w:val="es-ES"/>
        </w:rPr>
        <w:t>% son hombres y 20</w:t>
      </w:r>
      <w:r w:rsidR="00B67B66">
        <w:rPr>
          <w:lang w:val="es-ES"/>
        </w:rPr>
        <w:t xml:space="preserve"> </w:t>
      </w:r>
      <w:r>
        <w:rPr>
          <w:lang w:val="es-ES"/>
        </w:rPr>
        <w:t>% mujeres.</w:t>
      </w:r>
    </w:p>
    <w:p w14:paraId="10354609" w14:textId="77777777" w:rsidR="00B70892" w:rsidRDefault="00B70892" w:rsidP="00B70892">
      <w:pPr>
        <w:spacing w:line="360" w:lineRule="auto"/>
        <w:jc w:val="both"/>
        <w:rPr>
          <w:lang w:val="es-ES"/>
        </w:rPr>
      </w:pPr>
    </w:p>
    <w:p w14:paraId="66CC7EDD" w14:textId="77777777" w:rsidR="00B67B66" w:rsidRPr="00177103" w:rsidRDefault="00B67B66" w:rsidP="00B67B66">
      <w:pPr>
        <w:spacing w:line="360" w:lineRule="auto"/>
        <w:jc w:val="center"/>
        <w:rPr>
          <w:lang w:val="es-ES"/>
        </w:rPr>
      </w:pPr>
      <w:r w:rsidRPr="00177103">
        <w:rPr>
          <w:b/>
          <w:lang w:val="es-ES"/>
        </w:rPr>
        <w:t>Figura 8.</w:t>
      </w:r>
      <w:r w:rsidRPr="00177103">
        <w:rPr>
          <w:lang w:val="es-ES"/>
        </w:rPr>
        <w:t xml:space="preserve"> Situación laboral de egresados</w:t>
      </w:r>
    </w:p>
    <w:p w14:paraId="4E2BDBF2" w14:textId="77777777" w:rsidR="00B70892" w:rsidRPr="00177103" w:rsidRDefault="00B70892" w:rsidP="00B70892">
      <w:pPr>
        <w:spacing w:line="360" w:lineRule="auto"/>
        <w:jc w:val="center"/>
        <w:rPr>
          <w:lang w:val="es-ES"/>
        </w:rPr>
      </w:pPr>
      <w:r w:rsidRPr="00177103">
        <w:rPr>
          <w:noProof/>
          <w:lang w:val="es-VE" w:eastAsia="es-VE"/>
        </w:rPr>
        <w:drawing>
          <wp:inline distT="0" distB="0" distL="0" distR="0" wp14:anchorId="52D58B4D" wp14:editId="654DEB47">
            <wp:extent cx="4570095" cy="2217906"/>
            <wp:effectExtent l="0" t="0" r="1905"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8. Egresados trabajando .png"/>
                    <pic:cNvPicPr/>
                  </pic:nvPicPr>
                  <pic:blipFill rotWithShape="1">
                    <a:blip r:embed="rId15">
                      <a:extLst>
                        <a:ext uri="{28A0092B-C50C-407E-A947-70E740481C1C}">
                          <a14:useLocalDpi xmlns:a14="http://schemas.microsoft.com/office/drawing/2010/main" val="0"/>
                        </a:ext>
                      </a:extLst>
                    </a:blip>
                    <a:srcRect l="1039" t="16389" r="1312" b="2322"/>
                    <a:stretch/>
                  </pic:blipFill>
                  <pic:spPr bwMode="auto">
                    <a:xfrm>
                      <a:off x="0" y="0"/>
                      <a:ext cx="4584409" cy="2224853"/>
                    </a:xfrm>
                    <a:prstGeom prst="rect">
                      <a:avLst/>
                    </a:prstGeom>
                    <a:ln>
                      <a:noFill/>
                    </a:ln>
                    <a:extLst>
                      <a:ext uri="{53640926-AAD7-44D8-BBD7-CCE9431645EC}">
                        <a14:shadowObscured xmlns:a14="http://schemas.microsoft.com/office/drawing/2010/main"/>
                      </a:ext>
                    </a:extLst>
                  </pic:spPr>
                </pic:pic>
              </a:graphicData>
            </a:graphic>
          </wp:inline>
        </w:drawing>
      </w:r>
    </w:p>
    <w:p w14:paraId="03A1AFD4" w14:textId="77777777" w:rsidR="00B67B66" w:rsidRPr="00177103" w:rsidRDefault="00B67B66" w:rsidP="00B67B66">
      <w:pPr>
        <w:spacing w:line="360" w:lineRule="auto"/>
        <w:jc w:val="center"/>
        <w:rPr>
          <w:lang w:val="es-ES"/>
        </w:rPr>
      </w:pPr>
      <w:r w:rsidRPr="00177103">
        <w:rPr>
          <w:lang w:val="es-ES"/>
        </w:rPr>
        <w:t>Fuente: Elaboración propia</w:t>
      </w:r>
    </w:p>
    <w:p w14:paraId="5E95A2ED" w14:textId="77777777" w:rsidR="00B70892" w:rsidRDefault="00B67B66" w:rsidP="00B67B66">
      <w:pPr>
        <w:spacing w:line="360" w:lineRule="auto"/>
        <w:ind w:firstLine="708"/>
        <w:jc w:val="both"/>
        <w:rPr>
          <w:lang w:val="es-ES"/>
        </w:rPr>
      </w:pPr>
      <w:r>
        <w:rPr>
          <w:lang w:val="es-ES"/>
        </w:rPr>
        <w:t>Sobre e</w:t>
      </w:r>
      <w:r w:rsidR="00B70892">
        <w:rPr>
          <w:lang w:val="es-ES"/>
        </w:rPr>
        <w:t>l tipo de trabajo que desempeñan</w:t>
      </w:r>
      <w:r>
        <w:rPr>
          <w:lang w:val="es-ES"/>
        </w:rPr>
        <w:t>,</w:t>
      </w:r>
      <w:r w:rsidR="00B70892">
        <w:rPr>
          <w:lang w:val="es-ES"/>
        </w:rPr>
        <w:t xml:space="preserve"> las principales actividades se pueden apreciar en la tabla</w:t>
      </w:r>
      <w:r>
        <w:rPr>
          <w:lang w:val="es-ES"/>
        </w:rPr>
        <w:t xml:space="preserve"> 4</w:t>
      </w:r>
      <w:r w:rsidR="00B70892">
        <w:rPr>
          <w:lang w:val="es-ES"/>
        </w:rPr>
        <w:t xml:space="preserve">, donde se destacan las labores del campo y de </w:t>
      </w:r>
      <w:r>
        <w:rPr>
          <w:lang w:val="es-ES"/>
        </w:rPr>
        <w:t xml:space="preserve">la </w:t>
      </w:r>
      <w:r w:rsidR="00B70892">
        <w:rPr>
          <w:lang w:val="es-ES"/>
        </w:rPr>
        <w:t>casa.</w:t>
      </w:r>
    </w:p>
    <w:p w14:paraId="443C3D22" w14:textId="77777777" w:rsidR="00B70892" w:rsidRDefault="00B70892" w:rsidP="00B70892">
      <w:pPr>
        <w:spacing w:line="360" w:lineRule="auto"/>
        <w:jc w:val="center"/>
        <w:rPr>
          <w:lang w:val="es-ES"/>
        </w:rPr>
      </w:pPr>
    </w:p>
    <w:p w14:paraId="56022AA0" w14:textId="77777777" w:rsidR="00B67B66" w:rsidRPr="00177103" w:rsidRDefault="00B67B66" w:rsidP="00B67B66">
      <w:pPr>
        <w:pStyle w:val="Bibliografa"/>
        <w:jc w:val="center"/>
        <w:rPr>
          <w:rFonts w:ascii="Times New Roman" w:eastAsia="Times New Roman" w:hAnsi="Times New Roman" w:cs="Times New Roman"/>
          <w:lang w:eastAsia="es-MX"/>
        </w:rPr>
      </w:pPr>
      <w:r w:rsidRPr="00177103">
        <w:rPr>
          <w:rFonts w:ascii="Times New Roman" w:eastAsia="Times New Roman" w:hAnsi="Times New Roman" w:cs="Times New Roman"/>
          <w:b/>
          <w:lang w:eastAsia="es-MX"/>
        </w:rPr>
        <w:t>Tabla 4.</w:t>
      </w:r>
      <w:r w:rsidRPr="00177103">
        <w:rPr>
          <w:rFonts w:ascii="Times New Roman" w:eastAsia="Times New Roman" w:hAnsi="Times New Roman" w:cs="Times New Roman"/>
          <w:lang w:eastAsia="es-MX"/>
        </w:rPr>
        <w:t xml:space="preserve"> Principales actividades laborales</w:t>
      </w:r>
    </w:p>
    <w:p w14:paraId="2C2A1DD5" w14:textId="77777777" w:rsidR="00B67B66" w:rsidRPr="00177103" w:rsidRDefault="00B67B66" w:rsidP="00B67B66"/>
    <w:tbl>
      <w:tblPr>
        <w:tblStyle w:val="Tablaconcuadrcula"/>
        <w:tblW w:w="6096" w:type="dxa"/>
        <w:jc w:val="center"/>
        <w:tblLook w:val="04A0" w:firstRow="1" w:lastRow="0" w:firstColumn="1" w:lastColumn="0" w:noHBand="0" w:noVBand="1"/>
      </w:tblPr>
      <w:tblGrid>
        <w:gridCol w:w="3544"/>
        <w:gridCol w:w="2552"/>
      </w:tblGrid>
      <w:tr w:rsidR="00B70892" w:rsidRPr="00177103" w14:paraId="1D0A86B8" w14:textId="77777777" w:rsidTr="00B70892">
        <w:trPr>
          <w:trHeight w:val="463"/>
          <w:jc w:val="center"/>
        </w:trPr>
        <w:tc>
          <w:tcPr>
            <w:tcW w:w="3544" w:type="dxa"/>
            <w:hideMark/>
          </w:tcPr>
          <w:p w14:paraId="66C748D2" w14:textId="77777777" w:rsidR="00B70892" w:rsidRPr="00177103" w:rsidRDefault="00B67B66" w:rsidP="00B70892">
            <w:pPr>
              <w:rPr>
                <w:b/>
                <w:color w:val="000000" w:themeColor="text1"/>
              </w:rPr>
            </w:pPr>
            <w:r w:rsidRPr="00177103">
              <w:rPr>
                <w:b/>
                <w:color w:val="000000" w:themeColor="text1"/>
              </w:rPr>
              <w:t>Actividades l</w:t>
            </w:r>
            <w:r w:rsidR="00B70892" w:rsidRPr="00177103">
              <w:rPr>
                <w:b/>
                <w:color w:val="000000" w:themeColor="text1"/>
              </w:rPr>
              <w:t>aborales</w:t>
            </w:r>
          </w:p>
        </w:tc>
        <w:tc>
          <w:tcPr>
            <w:tcW w:w="2552" w:type="dxa"/>
            <w:hideMark/>
          </w:tcPr>
          <w:p w14:paraId="06419555" w14:textId="77777777" w:rsidR="00B70892" w:rsidRPr="00177103" w:rsidRDefault="00B70892" w:rsidP="00B67B66">
            <w:pPr>
              <w:jc w:val="center"/>
              <w:rPr>
                <w:b/>
              </w:rPr>
            </w:pPr>
            <w:r w:rsidRPr="00177103">
              <w:rPr>
                <w:b/>
                <w:color w:val="000000" w:themeColor="text1"/>
              </w:rPr>
              <w:t>Número de egresados</w:t>
            </w:r>
          </w:p>
        </w:tc>
      </w:tr>
      <w:tr w:rsidR="00B70892" w:rsidRPr="00177103" w14:paraId="669DAD95" w14:textId="77777777" w:rsidTr="00B70892">
        <w:trPr>
          <w:trHeight w:val="208"/>
          <w:jc w:val="center"/>
        </w:trPr>
        <w:tc>
          <w:tcPr>
            <w:tcW w:w="3544" w:type="dxa"/>
            <w:noWrap/>
            <w:hideMark/>
          </w:tcPr>
          <w:p w14:paraId="37DEF418" w14:textId="77777777" w:rsidR="00B70892" w:rsidRPr="00177103" w:rsidRDefault="00B70892" w:rsidP="00B67B66">
            <w:pPr>
              <w:rPr>
                <w:color w:val="000000"/>
              </w:rPr>
            </w:pPr>
            <w:r w:rsidRPr="00177103">
              <w:rPr>
                <w:color w:val="000000"/>
              </w:rPr>
              <w:t xml:space="preserve">Labores </w:t>
            </w:r>
            <w:r w:rsidR="00B67B66" w:rsidRPr="00177103">
              <w:rPr>
                <w:color w:val="000000"/>
              </w:rPr>
              <w:t>d</w:t>
            </w:r>
            <w:r w:rsidRPr="00177103">
              <w:rPr>
                <w:color w:val="000000"/>
              </w:rPr>
              <w:t>omésticas</w:t>
            </w:r>
          </w:p>
        </w:tc>
        <w:tc>
          <w:tcPr>
            <w:tcW w:w="2552" w:type="dxa"/>
            <w:noWrap/>
            <w:hideMark/>
          </w:tcPr>
          <w:p w14:paraId="7F471FD8" w14:textId="77777777" w:rsidR="00B70892" w:rsidRPr="00177103" w:rsidRDefault="00B70892" w:rsidP="00B70892">
            <w:pPr>
              <w:jc w:val="center"/>
              <w:rPr>
                <w:color w:val="000000"/>
              </w:rPr>
            </w:pPr>
            <w:r w:rsidRPr="00177103">
              <w:rPr>
                <w:color w:val="000000"/>
              </w:rPr>
              <w:t>39</w:t>
            </w:r>
          </w:p>
        </w:tc>
      </w:tr>
      <w:tr w:rsidR="00B70892" w:rsidRPr="00177103" w14:paraId="374667FB" w14:textId="77777777" w:rsidTr="00B70892">
        <w:trPr>
          <w:trHeight w:val="208"/>
          <w:jc w:val="center"/>
        </w:trPr>
        <w:tc>
          <w:tcPr>
            <w:tcW w:w="3544" w:type="dxa"/>
            <w:noWrap/>
            <w:hideMark/>
          </w:tcPr>
          <w:p w14:paraId="4A1920BE" w14:textId="77777777" w:rsidR="00B70892" w:rsidRPr="00177103" w:rsidRDefault="00B70892" w:rsidP="00B67B66">
            <w:pPr>
              <w:rPr>
                <w:color w:val="000000"/>
              </w:rPr>
            </w:pPr>
            <w:r w:rsidRPr="00177103">
              <w:rPr>
                <w:color w:val="000000"/>
              </w:rPr>
              <w:t xml:space="preserve">Asistente </w:t>
            </w:r>
            <w:r w:rsidR="00B67B66" w:rsidRPr="00177103">
              <w:rPr>
                <w:color w:val="000000"/>
              </w:rPr>
              <w:t>en la comisaría municipal</w:t>
            </w:r>
          </w:p>
        </w:tc>
        <w:tc>
          <w:tcPr>
            <w:tcW w:w="2552" w:type="dxa"/>
            <w:noWrap/>
            <w:hideMark/>
          </w:tcPr>
          <w:p w14:paraId="4109FD47" w14:textId="77777777" w:rsidR="00B70892" w:rsidRPr="00177103" w:rsidRDefault="00B70892" w:rsidP="00B70892">
            <w:pPr>
              <w:jc w:val="center"/>
              <w:rPr>
                <w:color w:val="000000"/>
              </w:rPr>
            </w:pPr>
            <w:r w:rsidRPr="00177103">
              <w:rPr>
                <w:color w:val="000000"/>
              </w:rPr>
              <w:t>1</w:t>
            </w:r>
          </w:p>
        </w:tc>
      </w:tr>
      <w:tr w:rsidR="00B70892" w:rsidRPr="00177103" w14:paraId="559F706A" w14:textId="77777777" w:rsidTr="00B70892">
        <w:trPr>
          <w:trHeight w:val="208"/>
          <w:jc w:val="center"/>
        </w:trPr>
        <w:tc>
          <w:tcPr>
            <w:tcW w:w="3544" w:type="dxa"/>
            <w:noWrap/>
            <w:hideMark/>
          </w:tcPr>
          <w:p w14:paraId="230FE433" w14:textId="77777777" w:rsidR="00B70892" w:rsidRPr="00177103" w:rsidRDefault="00B70892" w:rsidP="00B70892">
            <w:pPr>
              <w:rPr>
                <w:color w:val="000000"/>
              </w:rPr>
            </w:pPr>
            <w:r w:rsidRPr="00177103">
              <w:rPr>
                <w:color w:val="000000"/>
              </w:rPr>
              <w:t>Independiente</w:t>
            </w:r>
          </w:p>
        </w:tc>
        <w:tc>
          <w:tcPr>
            <w:tcW w:w="2552" w:type="dxa"/>
            <w:noWrap/>
            <w:hideMark/>
          </w:tcPr>
          <w:p w14:paraId="33B22E1A" w14:textId="77777777" w:rsidR="00B70892" w:rsidRPr="00177103" w:rsidRDefault="00B70892" w:rsidP="00B70892">
            <w:pPr>
              <w:jc w:val="center"/>
              <w:rPr>
                <w:color w:val="000000"/>
              </w:rPr>
            </w:pPr>
            <w:r w:rsidRPr="00177103">
              <w:rPr>
                <w:color w:val="000000"/>
              </w:rPr>
              <w:t>49</w:t>
            </w:r>
          </w:p>
        </w:tc>
      </w:tr>
      <w:tr w:rsidR="00B70892" w:rsidRPr="00177103" w14:paraId="56B630D8" w14:textId="77777777" w:rsidTr="00B70892">
        <w:trPr>
          <w:trHeight w:val="208"/>
          <w:jc w:val="center"/>
        </w:trPr>
        <w:tc>
          <w:tcPr>
            <w:tcW w:w="3544" w:type="dxa"/>
            <w:noWrap/>
            <w:hideMark/>
          </w:tcPr>
          <w:p w14:paraId="60A86B99" w14:textId="77777777" w:rsidR="00B70892" w:rsidRPr="00177103" w:rsidRDefault="00B70892" w:rsidP="00B70892">
            <w:pPr>
              <w:rPr>
                <w:color w:val="000000"/>
              </w:rPr>
            </w:pPr>
            <w:r w:rsidRPr="00177103">
              <w:rPr>
                <w:color w:val="000000"/>
              </w:rPr>
              <w:t xml:space="preserve">Labores </w:t>
            </w:r>
            <w:r w:rsidR="00B67B66" w:rsidRPr="00177103">
              <w:rPr>
                <w:color w:val="000000"/>
              </w:rPr>
              <w:t>de limpieza</w:t>
            </w:r>
          </w:p>
        </w:tc>
        <w:tc>
          <w:tcPr>
            <w:tcW w:w="2552" w:type="dxa"/>
            <w:noWrap/>
            <w:hideMark/>
          </w:tcPr>
          <w:p w14:paraId="3834A54C" w14:textId="77777777" w:rsidR="00B70892" w:rsidRPr="00177103" w:rsidRDefault="00B70892" w:rsidP="00B70892">
            <w:pPr>
              <w:jc w:val="center"/>
              <w:rPr>
                <w:color w:val="000000"/>
              </w:rPr>
            </w:pPr>
            <w:r w:rsidRPr="00177103">
              <w:rPr>
                <w:color w:val="000000"/>
              </w:rPr>
              <w:t>1</w:t>
            </w:r>
          </w:p>
        </w:tc>
      </w:tr>
      <w:tr w:rsidR="00B70892" w:rsidRPr="00177103" w14:paraId="72590255" w14:textId="77777777" w:rsidTr="00B70892">
        <w:trPr>
          <w:trHeight w:val="208"/>
          <w:jc w:val="center"/>
        </w:trPr>
        <w:tc>
          <w:tcPr>
            <w:tcW w:w="3544" w:type="dxa"/>
            <w:noWrap/>
            <w:hideMark/>
          </w:tcPr>
          <w:p w14:paraId="267CBF50" w14:textId="77777777" w:rsidR="00B70892" w:rsidRPr="00177103" w:rsidRDefault="00B70892" w:rsidP="00B70892">
            <w:pPr>
              <w:rPr>
                <w:color w:val="000000"/>
              </w:rPr>
            </w:pPr>
            <w:r w:rsidRPr="00177103">
              <w:rPr>
                <w:color w:val="000000"/>
              </w:rPr>
              <w:t xml:space="preserve">Labores </w:t>
            </w:r>
            <w:r w:rsidR="00B67B66" w:rsidRPr="00177103">
              <w:rPr>
                <w:color w:val="000000"/>
              </w:rPr>
              <w:t>del campo</w:t>
            </w:r>
          </w:p>
        </w:tc>
        <w:tc>
          <w:tcPr>
            <w:tcW w:w="2552" w:type="dxa"/>
            <w:noWrap/>
            <w:hideMark/>
          </w:tcPr>
          <w:p w14:paraId="1AC428AC" w14:textId="77777777" w:rsidR="00B70892" w:rsidRPr="00177103" w:rsidRDefault="00B70892" w:rsidP="00B70892">
            <w:pPr>
              <w:jc w:val="center"/>
              <w:rPr>
                <w:color w:val="000000"/>
              </w:rPr>
            </w:pPr>
            <w:r w:rsidRPr="00177103">
              <w:rPr>
                <w:color w:val="000000"/>
              </w:rPr>
              <w:t>99</w:t>
            </w:r>
          </w:p>
        </w:tc>
      </w:tr>
      <w:tr w:rsidR="00B70892" w:rsidRPr="00177103" w14:paraId="51B4E64A" w14:textId="77777777" w:rsidTr="00B70892">
        <w:trPr>
          <w:trHeight w:val="208"/>
          <w:jc w:val="center"/>
        </w:trPr>
        <w:tc>
          <w:tcPr>
            <w:tcW w:w="3544" w:type="dxa"/>
            <w:noWrap/>
            <w:hideMark/>
          </w:tcPr>
          <w:p w14:paraId="5BBB6B64" w14:textId="77777777" w:rsidR="00B70892" w:rsidRPr="00177103" w:rsidRDefault="00B70892" w:rsidP="00B70892">
            <w:pPr>
              <w:rPr>
                <w:color w:val="000000"/>
              </w:rPr>
            </w:pPr>
            <w:r w:rsidRPr="00177103">
              <w:rPr>
                <w:color w:val="000000"/>
              </w:rPr>
              <w:t xml:space="preserve">Labores </w:t>
            </w:r>
            <w:r w:rsidR="00B67B66" w:rsidRPr="00177103">
              <w:rPr>
                <w:color w:val="000000"/>
              </w:rPr>
              <w:t>del campo, independiente</w:t>
            </w:r>
          </w:p>
        </w:tc>
        <w:tc>
          <w:tcPr>
            <w:tcW w:w="2552" w:type="dxa"/>
            <w:noWrap/>
            <w:hideMark/>
          </w:tcPr>
          <w:p w14:paraId="4013C68D" w14:textId="77777777" w:rsidR="00B70892" w:rsidRPr="00177103" w:rsidRDefault="00B70892" w:rsidP="00B70892">
            <w:pPr>
              <w:jc w:val="center"/>
              <w:rPr>
                <w:color w:val="000000"/>
              </w:rPr>
            </w:pPr>
            <w:r w:rsidRPr="00177103">
              <w:rPr>
                <w:color w:val="000000"/>
              </w:rPr>
              <w:t>4</w:t>
            </w:r>
          </w:p>
        </w:tc>
      </w:tr>
      <w:tr w:rsidR="00B70892" w:rsidRPr="00177103" w14:paraId="22F2B16A" w14:textId="77777777" w:rsidTr="00B70892">
        <w:trPr>
          <w:trHeight w:val="208"/>
          <w:jc w:val="center"/>
        </w:trPr>
        <w:tc>
          <w:tcPr>
            <w:tcW w:w="3544" w:type="dxa"/>
            <w:noWrap/>
            <w:hideMark/>
          </w:tcPr>
          <w:p w14:paraId="23F38145" w14:textId="77777777" w:rsidR="00B70892" w:rsidRPr="00177103" w:rsidRDefault="00B70892" w:rsidP="00B70892">
            <w:pPr>
              <w:rPr>
                <w:color w:val="000000"/>
              </w:rPr>
            </w:pPr>
            <w:r w:rsidRPr="00177103">
              <w:rPr>
                <w:color w:val="000000"/>
              </w:rPr>
              <w:t>Privado</w:t>
            </w:r>
          </w:p>
        </w:tc>
        <w:tc>
          <w:tcPr>
            <w:tcW w:w="2552" w:type="dxa"/>
            <w:noWrap/>
            <w:hideMark/>
          </w:tcPr>
          <w:p w14:paraId="4FB30C7B" w14:textId="77777777" w:rsidR="00B70892" w:rsidRPr="00177103" w:rsidRDefault="00B70892" w:rsidP="00B70892">
            <w:pPr>
              <w:jc w:val="center"/>
              <w:rPr>
                <w:color w:val="000000"/>
              </w:rPr>
            </w:pPr>
            <w:r w:rsidRPr="00177103">
              <w:rPr>
                <w:color w:val="000000"/>
              </w:rPr>
              <w:t>54</w:t>
            </w:r>
          </w:p>
        </w:tc>
      </w:tr>
      <w:tr w:rsidR="00B70892" w:rsidRPr="00177103" w14:paraId="2F2B0518" w14:textId="77777777" w:rsidTr="00B70892">
        <w:trPr>
          <w:trHeight w:val="208"/>
          <w:jc w:val="center"/>
        </w:trPr>
        <w:tc>
          <w:tcPr>
            <w:tcW w:w="3544" w:type="dxa"/>
            <w:noWrap/>
            <w:hideMark/>
          </w:tcPr>
          <w:p w14:paraId="538CE41B" w14:textId="77777777" w:rsidR="00B70892" w:rsidRPr="00177103" w:rsidRDefault="00B70892" w:rsidP="00B67B66">
            <w:pPr>
              <w:rPr>
                <w:color w:val="000000"/>
              </w:rPr>
            </w:pPr>
            <w:r w:rsidRPr="00177103">
              <w:rPr>
                <w:color w:val="000000"/>
              </w:rPr>
              <w:t xml:space="preserve">Privado, </w:t>
            </w:r>
            <w:r w:rsidR="00B67B66" w:rsidRPr="00177103">
              <w:rPr>
                <w:color w:val="000000"/>
              </w:rPr>
              <w:t>i</w:t>
            </w:r>
            <w:r w:rsidRPr="00177103">
              <w:rPr>
                <w:color w:val="000000"/>
              </w:rPr>
              <w:t>ndependiente</w:t>
            </w:r>
          </w:p>
        </w:tc>
        <w:tc>
          <w:tcPr>
            <w:tcW w:w="2552" w:type="dxa"/>
            <w:noWrap/>
            <w:hideMark/>
          </w:tcPr>
          <w:p w14:paraId="5F17CD47" w14:textId="77777777" w:rsidR="00B70892" w:rsidRPr="00177103" w:rsidRDefault="00B70892" w:rsidP="00B70892">
            <w:pPr>
              <w:jc w:val="center"/>
              <w:rPr>
                <w:color w:val="000000"/>
              </w:rPr>
            </w:pPr>
            <w:r w:rsidRPr="00177103">
              <w:rPr>
                <w:color w:val="000000"/>
              </w:rPr>
              <w:t>1</w:t>
            </w:r>
          </w:p>
        </w:tc>
      </w:tr>
      <w:tr w:rsidR="00B70892" w:rsidRPr="00177103" w14:paraId="2EC113E6" w14:textId="77777777" w:rsidTr="00B70892">
        <w:trPr>
          <w:trHeight w:val="208"/>
          <w:jc w:val="center"/>
        </w:trPr>
        <w:tc>
          <w:tcPr>
            <w:tcW w:w="3544" w:type="dxa"/>
            <w:noWrap/>
            <w:hideMark/>
          </w:tcPr>
          <w:p w14:paraId="206F3D91" w14:textId="77777777" w:rsidR="00B70892" w:rsidRPr="00177103" w:rsidRDefault="00B70892" w:rsidP="00B70892">
            <w:pPr>
              <w:rPr>
                <w:color w:val="000000"/>
              </w:rPr>
            </w:pPr>
            <w:r w:rsidRPr="00177103">
              <w:rPr>
                <w:color w:val="000000"/>
              </w:rPr>
              <w:t xml:space="preserve">Privado, </w:t>
            </w:r>
            <w:r w:rsidR="00B67B66" w:rsidRPr="00177103">
              <w:rPr>
                <w:color w:val="000000"/>
              </w:rPr>
              <w:t>labores del campo</w:t>
            </w:r>
          </w:p>
        </w:tc>
        <w:tc>
          <w:tcPr>
            <w:tcW w:w="2552" w:type="dxa"/>
            <w:noWrap/>
            <w:hideMark/>
          </w:tcPr>
          <w:p w14:paraId="6699A0F7" w14:textId="77777777" w:rsidR="00B70892" w:rsidRPr="00177103" w:rsidRDefault="00B70892" w:rsidP="00B70892">
            <w:pPr>
              <w:jc w:val="center"/>
              <w:rPr>
                <w:color w:val="000000"/>
              </w:rPr>
            </w:pPr>
            <w:r w:rsidRPr="00177103">
              <w:rPr>
                <w:color w:val="000000"/>
              </w:rPr>
              <w:t>1</w:t>
            </w:r>
          </w:p>
        </w:tc>
      </w:tr>
      <w:tr w:rsidR="00B70892" w:rsidRPr="00177103" w14:paraId="34379BE1" w14:textId="77777777" w:rsidTr="00B70892">
        <w:trPr>
          <w:trHeight w:val="208"/>
          <w:jc w:val="center"/>
        </w:trPr>
        <w:tc>
          <w:tcPr>
            <w:tcW w:w="3544" w:type="dxa"/>
            <w:noWrap/>
            <w:hideMark/>
          </w:tcPr>
          <w:p w14:paraId="4025352C" w14:textId="77777777" w:rsidR="00B70892" w:rsidRPr="00177103" w:rsidRDefault="00B70892" w:rsidP="00B70892">
            <w:pPr>
              <w:rPr>
                <w:color w:val="000000"/>
              </w:rPr>
            </w:pPr>
            <w:r w:rsidRPr="00177103">
              <w:rPr>
                <w:color w:val="000000"/>
              </w:rPr>
              <w:t>Público</w:t>
            </w:r>
          </w:p>
        </w:tc>
        <w:tc>
          <w:tcPr>
            <w:tcW w:w="2552" w:type="dxa"/>
            <w:noWrap/>
            <w:hideMark/>
          </w:tcPr>
          <w:p w14:paraId="6E75B1EC" w14:textId="77777777" w:rsidR="00B70892" w:rsidRPr="00177103" w:rsidRDefault="00B70892" w:rsidP="00B70892">
            <w:pPr>
              <w:jc w:val="center"/>
              <w:rPr>
                <w:color w:val="000000"/>
              </w:rPr>
            </w:pPr>
            <w:r w:rsidRPr="00177103">
              <w:rPr>
                <w:color w:val="000000"/>
              </w:rPr>
              <w:t>37</w:t>
            </w:r>
          </w:p>
        </w:tc>
      </w:tr>
      <w:tr w:rsidR="00B70892" w:rsidRPr="00177103" w14:paraId="4240ED50" w14:textId="77777777" w:rsidTr="00B70892">
        <w:trPr>
          <w:trHeight w:val="208"/>
          <w:jc w:val="center"/>
        </w:trPr>
        <w:tc>
          <w:tcPr>
            <w:tcW w:w="3544" w:type="dxa"/>
            <w:noWrap/>
            <w:hideMark/>
          </w:tcPr>
          <w:p w14:paraId="5463C501" w14:textId="77777777" w:rsidR="00B70892" w:rsidRPr="00177103" w:rsidRDefault="00B70892" w:rsidP="00B70892">
            <w:pPr>
              <w:rPr>
                <w:color w:val="000000"/>
              </w:rPr>
            </w:pPr>
            <w:r w:rsidRPr="00177103">
              <w:rPr>
                <w:color w:val="000000"/>
              </w:rPr>
              <w:t xml:space="preserve">Público, </w:t>
            </w:r>
            <w:r w:rsidR="00B67B66" w:rsidRPr="00177103">
              <w:rPr>
                <w:color w:val="000000"/>
              </w:rPr>
              <w:t>labores del campo</w:t>
            </w:r>
          </w:p>
        </w:tc>
        <w:tc>
          <w:tcPr>
            <w:tcW w:w="2552" w:type="dxa"/>
            <w:noWrap/>
            <w:hideMark/>
          </w:tcPr>
          <w:p w14:paraId="12898F08" w14:textId="77777777" w:rsidR="00B70892" w:rsidRPr="00177103" w:rsidRDefault="00B70892" w:rsidP="00B70892">
            <w:pPr>
              <w:jc w:val="center"/>
              <w:rPr>
                <w:color w:val="000000"/>
              </w:rPr>
            </w:pPr>
            <w:r w:rsidRPr="00177103">
              <w:rPr>
                <w:color w:val="000000"/>
              </w:rPr>
              <w:t>1</w:t>
            </w:r>
          </w:p>
        </w:tc>
      </w:tr>
      <w:tr w:rsidR="00B70892" w:rsidRPr="00177103" w14:paraId="7C576072" w14:textId="77777777" w:rsidTr="00B70892">
        <w:trPr>
          <w:trHeight w:val="208"/>
          <w:jc w:val="center"/>
        </w:trPr>
        <w:tc>
          <w:tcPr>
            <w:tcW w:w="3544" w:type="dxa"/>
            <w:noWrap/>
            <w:hideMark/>
          </w:tcPr>
          <w:p w14:paraId="4FDCF3DF" w14:textId="77777777" w:rsidR="00B70892" w:rsidRPr="00177103" w:rsidRDefault="00B70892" w:rsidP="00B70892">
            <w:pPr>
              <w:rPr>
                <w:color w:val="000000"/>
              </w:rPr>
            </w:pPr>
            <w:r w:rsidRPr="00177103">
              <w:rPr>
                <w:color w:val="000000"/>
              </w:rPr>
              <w:t xml:space="preserve">Secretaría </w:t>
            </w:r>
            <w:r w:rsidR="00B67B66" w:rsidRPr="00177103">
              <w:rPr>
                <w:color w:val="000000"/>
              </w:rPr>
              <w:t>de la defensa nacional</w:t>
            </w:r>
          </w:p>
        </w:tc>
        <w:tc>
          <w:tcPr>
            <w:tcW w:w="2552" w:type="dxa"/>
            <w:noWrap/>
            <w:hideMark/>
          </w:tcPr>
          <w:p w14:paraId="6A849BBC" w14:textId="77777777" w:rsidR="00B70892" w:rsidRPr="00177103" w:rsidRDefault="00B70892" w:rsidP="00B70892">
            <w:pPr>
              <w:jc w:val="center"/>
              <w:rPr>
                <w:color w:val="000000"/>
              </w:rPr>
            </w:pPr>
            <w:r w:rsidRPr="00177103">
              <w:rPr>
                <w:color w:val="000000"/>
              </w:rPr>
              <w:t>2</w:t>
            </w:r>
          </w:p>
        </w:tc>
      </w:tr>
      <w:tr w:rsidR="00B70892" w:rsidRPr="00177103" w14:paraId="40446BC6" w14:textId="77777777" w:rsidTr="00B70892">
        <w:trPr>
          <w:trHeight w:val="208"/>
          <w:jc w:val="center"/>
        </w:trPr>
        <w:tc>
          <w:tcPr>
            <w:tcW w:w="3544" w:type="dxa"/>
            <w:noWrap/>
            <w:hideMark/>
          </w:tcPr>
          <w:p w14:paraId="3F1BFDDC" w14:textId="77777777" w:rsidR="00B70892" w:rsidRPr="00177103" w:rsidRDefault="00B70892" w:rsidP="00B70892">
            <w:pPr>
              <w:rPr>
                <w:color w:val="000000"/>
              </w:rPr>
            </w:pPr>
            <w:r w:rsidRPr="00177103">
              <w:rPr>
                <w:color w:val="000000"/>
              </w:rPr>
              <w:t>N/E</w:t>
            </w:r>
          </w:p>
        </w:tc>
        <w:tc>
          <w:tcPr>
            <w:tcW w:w="2552" w:type="dxa"/>
            <w:noWrap/>
            <w:hideMark/>
          </w:tcPr>
          <w:p w14:paraId="2FE6B1EC" w14:textId="77777777" w:rsidR="00B70892" w:rsidRPr="00177103" w:rsidRDefault="00B70892" w:rsidP="00B70892">
            <w:pPr>
              <w:jc w:val="center"/>
              <w:rPr>
                <w:color w:val="000000"/>
              </w:rPr>
            </w:pPr>
            <w:r w:rsidRPr="00177103">
              <w:rPr>
                <w:color w:val="000000"/>
              </w:rPr>
              <w:t>27</w:t>
            </w:r>
          </w:p>
        </w:tc>
      </w:tr>
      <w:tr w:rsidR="00B70892" w:rsidRPr="00177103" w14:paraId="0493F75C" w14:textId="77777777" w:rsidTr="00B70892">
        <w:trPr>
          <w:trHeight w:val="208"/>
          <w:jc w:val="center"/>
        </w:trPr>
        <w:tc>
          <w:tcPr>
            <w:tcW w:w="3544" w:type="dxa"/>
            <w:noWrap/>
            <w:hideMark/>
          </w:tcPr>
          <w:p w14:paraId="1BE757E2" w14:textId="77777777" w:rsidR="00B70892" w:rsidRPr="00177103" w:rsidRDefault="00B70892" w:rsidP="00B67B66">
            <w:pPr>
              <w:rPr>
                <w:color w:val="000000"/>
              </w:rPr>
            </w:pPr>
            <w:r w:rsidRPr="00177103">
              <w:rPr>
                <w:color w:val="000000"/>
              </w:rPr>
              <w:t xml:space="preserve">Total </w:t>
            </w:r>
          </w:p>
        </w:tc>
        <w:tc>
          <w:tcPr>
            <w:tcW w:w="2552" w:type="dxa"/>
            <w:noWrap/>
            <w:hideMark/>
          </w:tcPr>
          <w:p w14:paraId="1523417C" w14:textId="77777777" w:rsidR="00B70892" w:rsidRPr="00177103" w:rsidRDefault="00B70892" w:rsidP="00B70892">
            <w:pPr>
              <w:jc w:val="center"/>
              <w:rPr>
                <w:color w:val="000000"/>
              </w:rPr>
            </w:pPr>
            <w:r w:rsidRPr="00177103">
              <w:rPr>
                <w:color w:val="000000"/>
              </w:rPr>
              <w:t>316</w:t>
            </w:r>
          </w:p>
        </w:tc>
      </w:tr>
    </w:tbl>
    <w:p w14:paraId="3B853893" w14:textId="56D0682D" w:rsidR="00B67B66" w:rsidRPr="00BF2B27" w:rsidRDefault="00B67B66" w:rsidP="00B67B66">
      <w:pPr>
        <w:spacing w:line="360" w:lineRule="auto"/>
        <w:jc w:val="center"/>
        <w:rPr>
          <w:sz w:val="20"/>
          <w:szCs w:val="22"/>
          <w:lang w:val="es-ES"/>
        </w:rPr>
      </w:pPr>
      <w:r w:rsidRPr="00177103">
        <w:rPr>
          <w:lang w:val="es-ES"/>
        </w:rPr>
        <w:t>Fuente: Elaboración propia</w:t>
      </w:r>
    </w:p>
    <w:p w14:paraId="00D82311" w14:textId="77777777" w:rsidR="00B70892" w:rsidRDefault="00B70892" w:rsidP="00B70892">
      <w:pPr>
        <w:spacing w:line="360" w:lineRule="auto"/>
        <w:ind w:left="1416" w:firstLine="708"/>
        <w:jc w:val="both"/>
        <w:rPr>
          <w:lang w:val="es-ES"/>
        </w:rPr>
      </w:pPr>
    </w:p>
    <w:p w14:paraId="7EC5F779" w14:textId="77777777" w:rsidR="00B70892" w:rsidRDefault="00B70892" w:rsidP="00B70892">
      <w:pPr>
        <w:spacing w:line="360" w:lineRule="auto"/>
        <w:jc w:val="both"/>
        <w:rPr>
          <w:lang w:val="es-ES"/>
        </w:rPr>
      </w:pPr>
    </w:p>
    <w:p w14:paraId="0BB3D4EC" w14:textId="77777777" w:rsidR="00B70892" w:rsidRDefault="00B70892" w:rsidP="00B67B66">
      <w:pPr>
        <w:spacing w:line="360" w:lineRule="auto"/>
        <w:ind w:firstLine="708"/>
        <w:jc w:val="both"/>
        <w:rPr>
          <w:lang w:val="es-ES"/>
        </w:rPr>
      </w:pPr>
      <w:r>
        <w:rPr>
          <w:lang w:val="es-ES"/>
        </w:rPr>
        <w:lastRenderedPageBreak/>
        <w:t xml:space="preserve">En relación </w:t>
      </w:r>
      <w:r w:rsidR="00B67B66">
        <w:rPr>
          <w:lang w:val="es-ES"/>
        </w:rPr>
        <w:t>con el</w:t>
      </w:r>
      <w:r>
        <w:rPr>
          <w:lang w:val="es-ES"/>
        </w:rPr>
        <w:t xml:space="preserve"> grado de satisfacción de la formación recibida en el TBC, para 42</w:t>
      </w:r>
      <w:r w:rsidR="00B67B66">
        <w:rPr>
          <w:lang w:val="es-ES"/>
        </w:rPr>
        <w:t xml:space="preserve"> </w:t>
      </w:r>
      <w:r>
        <w:rPr>
          <w:lang w:val="es-ES"/>
        </w:rPr>
        <w:t>% de los egresados fue una experiencia de formación muy satisfactoria, 38% la consider</w:t>
      </w:r>
      <w:r w:rsidR="00B67B66">
        <w:rPr>
          <w:lang w:val="es-ES"/>
        </w:rPr>
        <w:t>ó</w:t>
      </w:r>
      <w:r>
        <w:rPr>
          <w:lang w:val="es-ES"/>
        </w:rPr>
        <w:t xml:space="preserve"> satisfactoria, 10</w:t>
      </w:r>
      <w:r w:rsidR="00B67B66">
        <w:rPr>
          <w:lang w:val="es-ES"/>
        </w:rPr>
        <w:t> </w:t>
      </w:r>
      <w:r>
        <w:rPr>
          <w:lang w:val="es-ES"/>
        </w:rPr>
        <w:t>% aceptable</w:t>
      </w:r>
      <w:r w:rsidR="00B67B66">
        <w:rPr>
          <w:lang w:val="es-ES"/>
        </w:rPr>
        <w:t xml:space="preserve"> y 10 % </w:t>
      </w:r>
      <w:r>
        <w:rPr>
          <w:lang w:val="es-ES"/>
        </w:rPr>
        <w:t>omitió su opinión.</w:t>
      </w:r>
    </w:p>
    <w:p w14:paraId="0CFC1969" w14:textId="77777777" w:rsidR="00B70892" w:rsidRDefault="00B70892" w:rsidP="00B70892">
      <w:pPr>
        <w:spacing w:line="360" w:lineRule="auto"/>
        <w:jc w:val="center"/>
        <w:rPr>
          <w:lang w:val="es-ES"/>
        </w:rPr>
      </w:pPr>
    </w:p>
    <w:p w14:paraId="3E67830C" w14:textId="77777777" w:rsidR="00B67B66" w:rsidRPr="00177103" w:rsidRDefault="00B67B66" w:rsidP="00B67B66">
      <w:pPr>
        <w:spacing w:line="360" w:lineRule="auto"/>
        <w:jc w:val="center"/>
        <w:rPr>
          <w:lang w:val="es-ES"/>
        </w:rPr>
      </w:pPr>
      <w:r w:rsidRPr="00177103">
        <w:rPr>
          <w:b/>
          <w:lang w:val="es-ES"/>
        </w:rPr>
        <w:t>Figura 9.</w:t>
      </w:r>
      <w:r w:rsidRPr="00177103">
        <w:rPr>
          <w:lang w:val="es-ES"/>
        </w:rPr>
        <w:t xml:space="preserve"> Nivel de satisfacción de la formación recibida</w:t>
      </w:r>
    </w:p>
    <w:p w14:paraId="241B3C27" w14:textId="77777777" w:rsidR="00B70892" w:rsidRDefault="00B70892" w:rsidP="00B70892">
      <w:pPr>
        <w:spacing w:line="360" w:lineRule="auto"/>
        <w:jc w:val="center"/>
        <w:rPr>
          <w:lang w:val="es-ES"/>
        </w:rPr>
      </w:pPr>
      <w:r>
        <w:rPr>
          <w:noProof/>
          <w:lang w:val="es-VE" w:eastAsia="es-VE"/>
        </w:rPr>
        <w:drawing>
          <wp:inline distT="0" distB="0" distL="0" distR="0" wp14:anchorId="7947E89E" wp14:editId="56B3EFD5">
            <wp:extent cx="4327557" cy="2379604"/>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9. Nivel de satisfaccion.png"/>
                    <pic:cNvPicPr/>
                  </pic:nvPicPr>
                  <pic:blipFill>
                    <a:blip r:embed="rId16">
                      <a:extLst>
                        <a:ext uri="{28A0092B-C50C-407E-A947-70E740481C1C}">
                          <a14:useLocalDpi xmlns:a14="http://schemas.microsoft.com/office/drawing/2010/main" val="0"/>
                        </a:ext>
                      </a:extLst>
                    </a:blip>
                    <a:stretch>
                      <a:fillRect/>
                    </a:stretch>
                  </pic:blipFill>
                  <pic:spPr>
                    <a:xfrm>
                      <a:off x="0" y="0"/>
                      <a:ext cx="4347875" cy="2390776"/>
                    </a:xfrm>
                    <a:prstGeom prst="rect">
                      <a:avLst/>
                    </a:prstGeom>
                  </pic:spPr>
                </pic:pic>
              </a:graphicData>
            </a:graphic>
          </wp:inline>
        </w:drawing>
      </w:r>
    </w:p>
    <w:p w14:paraId="43DF6103" w14:textId="77777777" w:rsidR="00B67B66" w:rsidRPr="00177103" w:rsidRDefault="00B67B66" w:rsidP="00B67B66">
      <w:pPr>
        <w:spacing w:line="360" w:lineRule="auto"/>
        <w:jc w:val="center"/>
        <w:rPr>
          <w:szCs w:val="28"/>
          <w:lang w:val="es-ES"/>
        </w:rPr>
      </w:pPr>
      <w:r w:rsidRPr="00177103">
        <w:rPr>
          <w:szCs w:val="28"/>
          <w:lang w:val="es-ES"/>
        </w:rPr>
        <w:t>Fuente: Elaboración propia</w:t>
      </w:r>
    </w:p>
    <w:p w14:paraId="6B997672" w14:textId="77777777" w:rsidR="00B70892" w:rsidRDefault="00B70892" w:rsidP="00B70892">
      <w:pPr>
        <w:spacing w:line="360" w:lineRule="auto"/>
        <w:jc w:val="both"/>
        <w:rPr>
          <w:lang w:val="es-ES"/>
        </w:rPr>
      </w:pPr>
    </w:p>
    <w:p w14:paraId="3B450352" w14:textId="77777777" w:rsidR="00B70892" w:rsidRPr="00177103" w:rsidRDefault="00B70892" w:rsidP="00B67B66">
      <w:pPr>
        <w:spacing w:line="276" w:lineRule="auto"/>
        <w:jc w:val="center"/>
        <w:rPr>
          <w:b/>
          <w:sz w:val="32"/>
          <w:szCs w:val="32"/>
        </w:rPr>
      </w:pPr>
      <w:r w:rsidRPr="00177103">
        <w:rPr>
          <w:b/>
          <w:sz w:val="32"/>
          <w:szCs w:val="32"/>
        </w:rPr>
        <w:t>Discusión</w:t>
      </w:r>
    </w:p>
    <w:p w14:paraId="6521A3B7" w14:textId="77777777" w:rsidR="00807ED2" w:rsidRDefault="00B70892" w:rsidP="00807ED2">
      <w:pPr>
        <w:spacing w:line="360" w:lineRule="auto"/>
        <w:ind w:firstLine="708"/>
        <w:jc w:val="both"/>
      </w:pPr>
      <w:r>
        <w:t>Los resultados obtenidos permiten dar respuesta a la pregunta de investigación planteada al inicio del estudio</w:t>
      </w:r>
      <w:r w:rsidR="00807ED2">
        <w:t xml:space="preserve">, es decir, </w:t>
      </w:r>
      <w:r>
        <w:t>¿</w:t>
      </w:r>
      <w:r w:rsidR="00807ED2">
        <w:t>c</w:t>
      </w:r>
      <w:r>
        <w:t xml:space="preserve">uál es la trayectoria que han seguido los egresados del </w:t>
      </w:r>
      <w:r w:rsidR="00807ED2">
        <w:t xml:space="preserve">telebachillerato comunitario en el estado </w:t>
      </w:r>
      <w:r>
        <w:t>de Campeche?</w:t>
      </w:r>
      <w:r w:rsidR="00807ED2">
        <w:t xml:space="preserve"> En tal sentido, a</w:t>
      </w:r>
      <w:r>
        <w:t>l comparar los resultados de cada plantel</w:t>
      </w:r>
      <w:r w:rsidR="00807ED2">
        <w:t>,</w:t>
      </w:r>
      <w:r>
        <w:t xml:space="preserve"> se registraron porcentajes similares de hombres y mujeres que culminaron sus estudios de nivel medio superior en el </w:t>
      </w:r>
      <w:r w:rsidR="00807ED2">
        <w:t>telebachillerato</w:t>
      </w:r>
      <w:r>
        <w:t xml:space="preserve">, </w:t>
      </w:r>
      <w:r w:rsidR="00807ED2">
        <w:t xml:space="preserve">lo que evidencia la posibilidad de un desarrollo académico equitativo. Esta es </w:t>
      </w:r>
      <w:r>
        <w:t xml:space="preserve">una gran fortaleza </w:t>
      </w:r>
      <w:r w:rsidR="00807ED2">
        <w:t>percibida</w:t>
      </w:r>
      <w:r>
        <w:t>.</w:t>
      </w:r>
    </w:p>
    <w:p w14:paraId="569284F6" w14:textId="77777777" w:rsidR="00991A47" w:rsidRDefault="00B70892" w:rsidP="00991A47">
      <w:pPr>
        <w:spacing w:line="360" w:lineRule="auto"/>
        <w:ind w:firstLine="708"/>
        <w:jc w:val="both"/>
      </w:pPr>
      <w:r>
        <w:t>Uno de los propósitos fundamentales de la EMS es dotar al estudiante de las competencias necesarias para continuar sus estudios de nivel superior</w:t>
      </w:r>
      <w:r w:rsidR="00807ED2">
        <w:t>. S</w:t>
      </w:r>
      <w:r>
        <w:t>eguir este trayecto se traduce en un proyecto de vida profesional y una visión para labrarse un futuro mejor</w:t>
      </w:r>
      <w:r w:rsidR="00807ED2">
        <w:t xml:space="preserve">. Al respecto, se puede indicar que </w:t>
      </w:r>
      <w:r>
        <w:t>26</w:t>
      </w:r>
      <w:r w:rsidR="00807ED2">
        <w:t xml:space="preserve"> </w:t>
      </w:r>
      <w:r>
        <w:t>% se encuentra estudiando</w:t>
      </w:r>
      <w:r w:rsidR="00807ED2">
        <w:t xml:space="preserve"> actualmente alguna carrera, </w:t>
      </w:r>
      <w:r w:rsidR="00991A47">
        <w:t>en especial l</w:t>
      </w:r>
      <w:r>
        <w:t>icenciatura en Administración de Empresas</w:t>
      </w:r>
      <w:r w:rsidR="00991A47">
        <w:t xml:space="preserve">. En un futuro trabajo se podría indagar en las razones de esta elección. Sin embargo, también se debe señalar que </w:t>
      </w:r>
      <w:r>
        <w:t xml:space="preserve">la </w:t>
      </w:r>
      <w:r w:rsidR="00991A47">
        <w:t>mayoría</w:t>
      </w:r>
      <w:r>
        <w:t xml:space="preserve"> </w:t>
      </w:r>
      <w:r w:rsidR="00991A47">
        <w:t>ha optado por</w:t>
      </w:r>
      <w:r>
        <w:t xml:space="preserve"> trabajar</w:t>
      </w:r>
      <w:r w:rsidR="00991A47">
        <w:t>. S</w:t>
      </w:r>
      <w:r>
        <w:t xml:space="preserve">i bien las condiciones </w:t>
      </w:r>
      <w:r w:rsidR="00991A47">
        <w:t>socioeconómicas</w:t>
      </w:r>
      <w:r>
        <w:t xml:space="preserve"> pueden dificultar la continuidad de los estudios, se percibe como necesario incluir en futuras investigaciones este aspecto.</w:t>
      </w:r>
      <w:r w:rsidR="00991A47">
        <w:t xml:space="preserve"> </w:t>
      </w:r>
      <w:r>
        <w:t xml:space="preserve">En el </w:t>
      </w:r>
      <w:r w:rsidR="00991A47">
        <w:t xml:space="preserve">TBC </w:t>
      </w:r>
      <w:r>
        <w:t xml:space="preserve">la formación profesional </w:t>
      </w:r>
      <w:r w:rsidR="00991A47">
        <w:t>se promueve</w:t>
      </w:r>
      <w:r>
        <w:t xml:space="preserve"> </w:t>
      </w:r>
      <w:r w:rsidR="00991A47">
        <w:t xml:space="preserve">para impulsar </w:t>
      </w:r>
      <w:r>
        <w:t>el desarrollo de competencias encaminadas a lograr en el estudiante actitude</w:t>
      </w:r>
      <w:r w:rsidR="00991A47">
        <w:t xml:space="preserve">s responsables hacia su entorno. En otras </w:t>
      </w:r>
      <w:r w:rsidR="00991A47">
        <w:lastRenderedPageBreak/>
        <w:t>palabras,</w:t>
      </w:r>
      <w:r>
        <w:t xml:space="preserve"> los egresados al contar con esta formación están capacitados para laborar en organizaciones civiles, ofreciendo servicios de orientación, trabajo social, encuestas de opinión pública, investigación, capacitación</w:t>
      </w:r>
      <w:r w:rsidR="00991A47">
        <w:t>,</w:t>
      </w:r>
      <w:r>
        <w:t xml:space="preserve"> etc. </w:t>
      </w:r>
    </w:p>
    <w:p w14:paraId="4E03B745" w14:textId="77777777" w:rsidR="00991A47" w:rsidRDefault="00991A47" w:rsidP="00991A47">
      <w:pPr>
        <w:spacing w:line="360" w:lineRule="auto"/>
        <w:ind w:firstLine="708"/>
        <w:jc w:val="both"/>
      </w:pPr>
      <w:r>
        <w:t>Asimismo, se debe indicar que l</w:t>
      </w:r>
      <w:r w:rsidR="00B70892">
        <w:t xml:space="preserve">a ocupación principal de los egresados que no continuaron sus estudios son las labores de campo y domésticas, por lo que resulta prioritario para el servicio educativo fortalecer esta capacitación. </w:t>
      </w:r>
      <w:r>
        <w:t>Q</w:t>
      </w:r>
      <w:r w:rsidR="00B70892" w:rsidRPr="008378FF">
        <w:t>ueda como una tarea pendiente</w:t>
      </w:r>
      <w:r w:rsidR="00B70892">
        <w:t xml:space="preserve"> </w:t>
      </w:r>
      <w:r w:rsidR="00B70892" w:rsidRPr="008378FF">
        <w:t>para los profesionales de la educación implementar estrategias que permitan la consolidación y continuidad de los proyectos para convertirlos en un</w:t>
      </w:r>
      <w:r>
        <w:t>a</w:t>
      </w:r>
      <w:r w:rsidR="00B70892" w:rsidRPr="008378FF">
        <w:t xml:space="preserve"> actividad permanente</w:t>
      </w:r>
      <w:r>
        <w:t xml:space="preserve"> y</w:t>
      </w:r>
      <w:r w:rsidR="00B70892" w:rsidRPr="008378FF">
        <w:t xml:space="preserve"> benéfica</w:t>
      </w:r>
      <w:r>
        <w:t xml:space="preserve">, que aporte elementos de </w:t>
      </w:r>
      <w:r w:rsidR="00B70892" w:rsidRPr="008378FF">
        <w:t>autosuficiencia en caso de optar por quedarse con este nivel educativo.</w:t>
      </w:r>
    </w:p>
    <w:p w14:paraId="7F9AAD1A" w14:textId="77777777" w:rsidR="00991A47" w:rsidRDefault="00B70892" w:rsidP="00991A47">
      <w:pPr>
        <w:spacing w:line="360" w:lineRule="auto"/>
        <w:ind w:firstLine="708"/>
        <w:jc w:val="both"/>
      </w:pPr>
      <w:r>
        <w:t xml:space="preserve">Dado que se </w:t>
      </w:r>
      <w:r w:rsidRPr="00F378E5">
        <w:t>espera que los egresados</w:t>
      </w:r>
      <w:r>
        <w:t xml:space="preserve"> </w:t>
      </w:r>
      <w:r w:rsidRPr="00F378E5">
        <w:t xml:space="preserve">estén preparados para continuar sus estudios </w:t>
      </w:r>
      <w:r w:rsidR="00991A47">
        <w:t>en el</w:t>
      </w:r>
      <w:r w:rsidRPr="00F378E5">
        <w:t xml:space="preserve"> nivel superior inmediato, a</w:t>
      </w:r>
      <w:r>
        <w:t>s</w:t>
      </w:r>
      <w:r w:rsidRPr="00F378E5">
        <w:t xml:space="preserve">í como </w:t>
      </w:r>
      <w:r>
        <w:t xml:space="preserve">que incidan </w:t>
      </w:r>
      <w:r w:rsidRPr="00F378E5">
        <w:t>positivamente en su comunidad aprovechando la formación de capacitación para el trabajo</w:t>
      </w:r>
      <w:r>
        <w:t>, este aspecto aún sigue siendo un área de debilidad importante.</w:t>
      </w:r>
    </w:p>
    <w:p w14:paraId="6BEFB2E2" w14:textId="77777777" w:rsidR="00771103" w:rsidRDefault="00991A47" w:rsidP="00771103">
      <w:pPr>
        <w:spacing w:line="360" w:lineRule="auto"/>
        <w:ind w:firstLine="708"/>
        <w:jc w:val="both"/>
        <w:rPr>
          <w:lang w:val="es-ES"/>
        </w:rPr>
      </w:pPr>
      <w:r>
        <w:rPr>
          <w:lang w:val="es-ES"/>
        </w:rPr>
        <w:t>Por otra parte, se debe subrayar que f</w:t>
      </w:r>
      <w:r w:rsidR="00B70892">
        <w:rPr>
          <w:lang w:val="es-ES"/>
        </w:rPr>
        <w:t>ue particularmente difícil contactar a los egresados</w:t>
      </w:r>
      <w:r>
        <w:rPr>
          <w:lang w:val="es-ES"/>
        </w:rPr>
        <w:t>,</w:t>
      </w:r>
      <w:r w:rsidR="00B70892">
        <w:rPr>
          <w:lang w:val="es-ES"/>
        </w:rPr>
        <w:t xml:space="preserve"> dado que no había un registro previo de ellos</w:t>
      </w:r>
      <w:r>
        <w:rPr>
          <w:lang w:val="es-ES"/>
        </w:rPr>
        <w:t>.</w:t>
      </w:r>
      <w:r w:rsidR="00B70892">
        <w:rPr>
          <w:lang w:val="es-ES"/>
        </w:rPr>
        <w:t xml:space="preserve"> </w:t>
      </w:r>
      <w:r>
        <w:rPr>
          <w:lang w:val="es-ES"/>
        </w:rPr>
        <w:t>Por eso, a</w:t>
      </w:r>
      <w:r w:rsidR="00B70892">
        <w:rPr>
          <w:lang w:val="es-ES"/>
        </w:rPr>
        <w:t>l no contar con una base de datos institucional</w:t>
      </w:r>
      <w:r>
        <w:rPr>
          <w:lang w:val="es-ES"/>
        </w:rPr>
        <w:t>,</w:t>
      </w:r>
      <w:r w:rsidR="00B70892">
        <w:rPr>
          <w:lang w:val="es-ES"/>
        </w:rPr>
        <w:t xml:space="preserve"> se diseñó </w:t>
      </w:r>
      <w:r>
        <w:rPr>
          <w:lang w:val="es-ES"/>
        </w:rPr>
        <w:t>un</w:t>
      </w:r>
      <w:r w:rsidR="00B70892">
        <w:rPr>
          <w:lang w:val="es-ES"/>
        </w:rPr>
        <w:t xml:space="preserve"> formulario </w:t>
      </w:r>
      <w:r>
        <w:rPr>
          <w:lang w:val="es-ES"/>
        </w:rPr>
        <w:t>que</w:t>
      </w:r>
      <w:r w:rsidR="00B70892">
        <w:rPr>
          <w:lang w:val="es-ES"/>
        </w:rPr>
        <w:t xml:space="preserve"> fue llenado en su mayoría por </w:t>
      </w:r>
      <w:r>
        <w:rPr>
          <w:lang w:val="es-ES"/>
        </w:rPr>
        <w:t xml:space="preserve">el </w:t>
      </w:r>
      <w:r w:rsidR="00B70892">
        <w:rPr>
          <w:lang w:val="es-ES"/>
        </w:rPr>
        <w:t xml:space="preserve">personal de los planteles que </w:t>
      </w:r>
      <w:r>
        <w:rPr>
          <w:lang w:val="es-ES"/>
        </w:rPr>
        <w:t xml:space="preserve">colaboraron en la </w:t>
      </w:r>
      <w:r w:rsidR="00B70892">
        <w:rPr>
          <w:lang w:val="es-ES"/>
        </w:rPr>
        <w:t xml:space="preserve">tarea de </w:t>
      </w:r>
      <w:r>
        <w:rPr>
          <w:lang w:val="es-ES"/>
        </w:rPr>
        <w:t>ubicación de</w:t>
      </w:r>
      <w:r w:rsidR="00B70892">
        <w:rPr>
          <w:lang w:val="es-ES"/>
        </w:rPr>
        <w:t xml:space="preserve"> los egresados. </w:t>
      </w:r>
      <w:r w:rsidR="00771103">
        <w:rPr>
          <w:lang w:val="es-ES"/>
        </w:rPr>
        <w:t>Esta, por una parte, fue u</w:t>
      </w:r>
      <w:r w:rsidR="00771103" w:rsidRPr="00F378E5">
        <w:rPr>
          <w:lang w:val="es-ES"/>
        </w:rPr>
        <w:t>na de las principales fortalezas</w:t>
      </w:r>
      <w:r w:rsidR="00771103">
        <w:rPr>
          <w:lang w:val="es-ES"/>
        </w:rPr>
        <w:t xml:space="preserve"> de este trabajo, pues se la </w:t>
      </w:r>
      <w:r w:rsidR="00771103" w:rsidRPr="00F378E5">
        <w:rPr>
          <w:lang w:val="es-ES"/>
        </w:rPr>
        <w:t xml:space="preserve">suma de esfuerzos de la </w:t>
      </w:r>
      <w:r w:rsidR="00771103">
        <w:rPr>
          <w:lang w:val="es-ES"/>
        </w:rPr>
        <w:t>c</w:t>
      </w:r>
      <w:r w:rsidR="00771103" w:rsidRPr="00F378E5">
        <w:rPr>
          <w:lang w:val="es-ES"/>
        </w:rPr>
        <w:t xml:space="preserve">omunidad </w:t>
      </w:r>
      <w:r w:rsidR="00771103">
        <w:rPr>
          <w:lang w:val="es-ES"/>
        </w:rPr>
        <w:t>e</w:t>
      </w:r>
      <w:r w:rsidR="00771103" w:rsidRPr="00F378E5">
        <w:rPr>
          <w:lang w:val="es-ES"/>
        </w:rPr>
        <w:t xml:space="preserve">ducativa </w:t>
      </w:r>
      <w:r w:rsidR="00771103">
        <w:rPr>
          <w:lang w:val="es-ES"/>
        </w:rPr>
        <w:t xml:space="preserve">sirvió </w:t>
      </w:r>
      <w:r w:rsidR="00771103" w:rsidRPr="00F378E5">
        <w:rPr>
          <w:lang w:val="es-ES"/>
        </w:rPr>
        <w:t>para localizar y registrar al mayor número de egresados.</w:t>
      </w:r>
      <w:r w:rsidR="00771103">
        <w:rPr>
          <w:lang w:val="es-ES"/>
        </w:rPr>
        <w:t xml:space="preserve"> Sin embargo, al mismo tiempo, esta fue una de las </w:t>
      </w:r>
      <w:r w:rsidR="00B70892">
        <w:rPr>
          <w:lang w:val="es-ES"/>
        </w:rPr>
        <w:t xml:space="preserve">áreas de debilidad </w:t>
      </w:r>
      <w:r>
        <w:rPr>
          <w:lang w:val="es-ES"/>
        </w:rPr>
        <w:t xml:space="preserve">de este trabajo, </w:t>
      </w:r>
      <w:r w:rsidR="00B70892">
        <w:rPr>
          <w:lang w:val="es-ES"/>
        </w:rPr>
        <w:t>por lo que para generaciones posteriores se sugiere implementar mecanismos que faciliten la comunicación y seguimiento</w:t>
      </w:r>
      <w:r w:rsidR="00771103">
        <w:rPr>
          <w:lang w:val="es-ES"/>
        </w:rPr>
        <w:t xml:space="preserve"> de los alumnos</w:t>
      </w:r>
      <w:r w:rsidR="00B70892">
        <w:rPr>
          <w:lang w:val="es-ES"/>
        </w:rPr>
        <w:t xml:space="preserve">, </w:t>
      </w:r>
      <w:r w:rsidR="00771103">
        <w:rPr>
          <w:lang w:val="es-ES"/>
        </w:rPr>
        <w:t xml:space="preserve">así como diseñar </w:t>
      </w:r>
      <w:r w:rsidR="00B70892">
        <w:rPr>
          <w:lang w:val="es-ES"/>
        </w:rPr>
        <w:t>un proceso más estandarizado y sistematizado que garantice la emisión de resultados fiables.</w:t>
      </w:r>
    </w:p>
    <w:p w14:paraId="65AE6C6E" w14:textId="77777777" w:rsidR="00771103" w:rsidRDefault="00771103" w:rsidP="00771103">
      <w:pPr>
        <w:spacing w:line="360" w:lineRule="auto"/>
        <w:ind w:firstLine="708"/>
        <w:jc w:val="both"/>
        <w:rPr>
          <w:lang w:val="es-ES"/>
        </w:rPr>
      </w:pPr>
      <w:r>
        <w:rPr>
          <w:lang w:val="es-ES"/>
        </w:rPr>
        <w:t>Asimismo, i</w:t>
      </w:r>
      <w:r w:rsidR="00B70892">
        <w:rPr>
          <w:lang w:val="es-ES"/>
        </w:rPr>
        <w:t xml:space="preserve">ncrementar el número de estudiantes que </w:t>
      </w:r>
      <w:r>
        <w:rPr>
          <w:lang w:val="es-ES"/>
        </w:rPr>
        <w:t>ingresan al</w:t>
      </w:r>
      <w:r w:rsidR="00B70892">
        <w:rPr>
          <w:lang w:val="es-ES"/>
        </w:rPr>
        <w:t xml:space="preserve"> nivel superior sigue siendo uno de los principales retos del </w:t>
      </w:r>
      <w:r>
        <w:rPr>
          <w:lang w:val="es-ES"/>
        </w:rPr>
        <w:t>telebachillerato comunitario</w:t>
      </w:r>
      <w:r w:rsidR="00B70892">
        <w:rPr>
          <w:lang w:val="es-ES"/>
        </w:rPr>
        <w:t xml:space="preserve">, </w:t>
      </w:r>
      <w:r>
        <w:rPr>
          <w:lang w:val="es-ES"/>
        </w:rPr>
        <w:t xml:space="preserve">así como </w:t>
      </w:r>
      <w:r w:rsidR="00B70892">
        <w:rPr>
          <w:lang w:val="es-ES"/>
        </w:rPr>
        <w:t>fortalecer el trabajo por proyectos</w:t>
      </w:r>
      <w:r>
        <w:rPr>
          <w:lang w:val="es-ES"/>
        </w:rPr>
        <w:t xml:space="preserve"> para incidir </w:t>
      </w:r>
      <w:r w:rsidR="00B70892">
        <w:rPr>
          <w:lang w:val="es-ES"/>
        </w:rPr>
        <w:t xml:space="preserve">directamente en la comunidad y </w:t>
      </w:r>
      <w:r>
        <w:rPr>
          <w:lang w:val="es-ES"/>
        </w:rPr>
        <w:t>para que permanezcan activos au</w:t>
      </w:r>
      <w:r w:rsidR="00B70892">
        <w:rPr>
          <w:lang w:val="es-ES"/>
        </w:rPr>
        <w:t>n después de haber egresado.</w:t>
      </w:r>
    </w:p>
    <w:p w14:paraId="6F829A30" w14:textId="77777777" w:rsidR="00B70892" w:rsidRDefault="00B70892" w:rsidP="00771103">
      <w:pPr>
        <w:spacing w:line="360" w:lineRule="auto"/>
        <w:ind w:firstLine="708"/>
        <w:jc w:val="both"/>
        <w:rPr>
          <w:rFonts w:eastAsiaTheme="minorHAnsi"/>
        </w:rPr>
      </w:pPr>
      <w:r>
        <w:rPr>
          <w:rFonts w:eastAsiaTheme="minorHAnsi"/>
        </w:rPr>
        <w:t>Los resultados</w:t>
      </w:r>
      <w:r w:rsidR="00771103">
        <w:rPr>
          <w:rFonts w:eastAsiaTheme="minorHAnsi"/>
        </w:rPr>
        <w:t>, en síntesis,</w:t>
      </w:r>
      <w:r>
        <w:rPr>
          <w:rFonts w:eastAsiaTheme="minorHAnsi"/>
        </w:rPr>
        <w:t xml:space="preserve"> permiten reafirmar la necesidad de fortalecer la calidad de la educación media superior, sobre todo la que se imparte en las poblaciones más vulnerables</w:t>
      </w:r>
      <w:r w:rsidR="00771103">
        <w:rPr>
          <w:rFonts w:eastAsiaTheme="minorHAnsi"/>
        </w:rPr>
        <w:t xml:space="preserve">. Igualmente, se deben proveer los </w:t>
      </w:r>
      <w:r>
        <w:rPr>
          <w:rFonts w:eastAsiaTheme="minorHAnsi"/>
        </w:rPr>
        <w:t xml:space="preserve">insumos </w:t>
      </w:r>
      <w:r w:rsidR="00771103">
        <w:rPr>
          <w:rFonts w:eastAsiaTheme="minorHAnsi"/>
        </w:rPr>
        <w:t xml:space="preserve">suficientes </w:t>
      </w:r>
      <w:r>
        <w:rPr>
          <w:rFonts w:eastAsiaTheme="minorHAnsi"/>
        </w:rPr>
        <w:t>para que las decisiones que se tomen puedan incidir favorablemente en las realidades de los jóvenes.</w:t>
      </w:r>
    </w:p>
    <w:p w14:paraId="0A095E3A" w14:textId="77777777" w:rsidR="005D0B41" w:rsidRDefault="005D0B41" w:rsidP="00B70892">
      <w:pPr>
        <w:spacing w:line="360" w:lineRule="auto"/>
        <w:jc w:val="center"/>
        <w:rPr>
          <w:b/>
          <w:sz w:val="32"/>
          <w:szCs w:val="32"/>
          <w:lang w:val="es-ES"/>
        </w:rPr>
      </w:pPr>
    </w:p>
    <w:p w14:paraId="3F02130F" w14:textId="7FEEDFB7" w:rsidR="00B70892" w:rsidRPr="00771103" w:rsidRDefault="00B70892" w:rsidP="00B70892">
      <w:pPr>
        <w:spacing w:line="360" w:lineRule="auto"/>
        <w:jc w:val="center"/>
        <w:rPr>
          <w:b/>
          <w:sz w:val="32"/>
          <w:szCs w:val="32"/>
          <w:lang w:val="es-ES"/>
        </w:rPr>
      </w:pPr>
      <w:r w:rsidRPr="00771103">
        <w:rPr>
          <w:b/>
          <w:sz w:val="32"/>
          <w:szCs w:val="32"/>
          <w:lang w:val="es-ES"/>
        </w:rPr>
        <w:lastRenderedPageBreak/>
        <w:t>Conclusiones</w:t>
      </w:r>
      <w:r w:rsidR="00771103">
        <w:rPr>
          <w:b/>
          <w:sz w:val="32"/>
          <w:szCs w:val="32"/>
          <w:lang w:val="es-ES"/>
        </w:rPr>
        <w:t xml:space="preserve"> </w:t>
      </w:r>
    </w:p>
    <w:p w14:paraId="4DA1ED8E" w14:textId="77777777" w:rsidR="00C44C64" w:rsidRDefault="00B70892" w:rsidP="00C44C64">
      <w:pPr>
        <w:pStyle w:val="Ttulo1"/>
        <w:spacing w:before="0" w:line="360" w:lineRule="auto"/>
        <w:ind w:firstLine="709"/>
        <w:jc w:val="both"/>
        <w:rPr>
          <w:rFonts w:ascii="Times New Roman" w:hAnsi="Times New Roman" w:cs="Times New Roman"/>
          <w:b w:val="0"/>
          <w:color w:val="auto"/>
          <w:sz w:val="24"/>
          <w:szCs w:val="24"/>
        </w:rPr>
      </w:pPr>
      <w:r w:rsidRPr="00F378E5">
        <w:rPr>
          <w:rFonts w:ascii="Times New Roman" w:eastAsiaTheme="minorHAnsi" w:hAnsi="Times New Roman" w:cs="Times New Roman"/>
          <w:b w:val="0"/>
          <w:bCs w:val="0"/>
          <w:color w:val="auto"/>
          <w:sz w:val="24"/>
          <w:szCs w:val="24"/>
        </w:rPr>
        <w:t xml:space="preserve">El </w:t>
      </w:r>
      <w:r w:rsidR="00771103">
        <w:rPr>
          <w:rFonts w:ascii="Times New Roman" w:eastAsiaTheme="minorHAnsi" w:hAnsi="Times New Roman" w:cs="Times New Roman"/>
          <w:b w:val="0"/>
          <w:bCs w:val="0"/>
          <w:color w:val="auto"/>
          <w:sz w:val="24"/>
          <w:szCs w:val="24"/>
        </w:rPr>
        <w:t xml:space="preserve">presente </w:t>
      </w:r>
      <w:r w:rsidRPr="00F378E5">
        <w:rPr>
          <w:rFonts w:ascii="Times New Roman" w:eastAsiaTheme="minorHAnsi" w:hAnsi="Times New Roman" w:cs="Times New Roman"/>
          <w:b w:val="0"/>
          <w:bCs w:val="0"/>
          <w:color w:val="auto"/>
          <w:sz w:val="24"/>
          <w:szCs w:val="24"/>
        </w:rPr>
        <w:t xml:space="preserve">estudio </w:t>
      </w:r>
      <w:r w:rsidR="00771103">
        <w:rPr>
          <w:rFonts w:ascii="Times New Roman" w:eastAsiaTheme="minorHAnsi" w:hAnsi="Times New Roman" w:cs="Times New Roman"/>
          <w:b w:val="0"/>
          <w:bCs w:val="0"/>
          <w:color w:val="auto"/>
          <w:sz w:val="24"/>
          <w:szCs w:val="24"/>
        </w:rPr>
        <w:t xml:space="preserve">sirvió para </w:t>
      </w:r>
      <w:r w:rsidRPr="00F378E5">
        <w:rPr>
          <w:rFonts w:ascii="Times New Roman" w:eastAsiaTheme="minorHAnsi" w:hAnsi="Times New Roman" w:cs="Times New Roman"/>
          <w:b w:val="0"/>
          <w:bCs w:val="0"/>
          <w:color w:val="auto"/>
          <w:sz w:val="24"/>
          <w:szCs w:val="24"/>
        </w:rPr>
        <w:t>ofrece</w:t>
      </w:r>
      <w:r w:rsidR="00771103">
        <w:rPr>
          <w:rFonts w:ascii="Times New Roman" w:eastAsiaTheme="minorHAnsi" w:hAnsi="Times New Roman" w:cs="Times New Roman"/>
          <w:b w:val="0"/>
          <w:bCs w:val="0"/>
          <w:color w:val="auto"/>
          <w:sz w:val="24"/>
          <w:szCs w:val="24"/>
        </w:rPr>
        <w:t>r</w:t>
      </w:r>
      <w:r w:rsidRPr="00F378E5">
        <w:rPr>
          <w:rFonts w:ascii="Times New Roman" w:eastAsiaTheme="minorHAnsi" w:hAnsi="Times New Roman" w:cs="Times New Roman"/>
          <w:b w:val="0"/>
          <w:bCs w:val="0"/>
          <w:color w:val="auto"/>
          <w:sz w:val="24"/>
          <w:szCs w:val="24"/>
        </w:rPr>
        <w:t xml:space="preserve"> insumos valiosos </w:t>
      </w:r>
      <w:r w:rsidR="00771103">
        <w:rPr>
          <w:rFonts w:ascii="Times New Roman" w:eastAsiaTheme="minorHAnsi" w:hAnsi="Times New Roman" w:cs="Times New Roman"/>
          <w:b w:val="0"/>
          <w:bCs w:val="0"/>
          <w:color w:val="auto"/>
          <w:sz w:val="24"/>
          <w:szCs w:val="24"/>
        </w:rPr>
        <w:t xml:space="preserve">sobre </w:t>
      </w:r>
      <w:r w:rsidRPr="00F378E5">
        <w:rPr>
          <w:rFonts w:ascii="Times New Roman" w:eastAsiaTheme="minorHAnsi" w:hAnsi="Times New Roman" w:cs="Times New Roman"/>
          <w:b w:val="0"/>
          <w:bCs w:val="0"/>
          <w:color w:val="auto"/>
          <w:sz w:val="24"/>
          <w:szCs w:val="24"/>
        </w:rPr>
        <w:t xml:space="preserve">cómo el servicio educativo </w:t>
      </w:r>
      <w:r w:rsidR="00771103" w:rsidRPr="00F378E5">
        <w:rPr>
          <w:rFonts w:ascii="Times New Roman" w:eastAsiaTheme="minorHAnsi" w:hAnsi="Times New Roman" w:cs="Times New Roman"/>
          <w:b w:val="0"/>
          <w:bCs w:val="0"/>
          <w:color w:val="auto"/>
          <w:sz w:val="24"/>
          <w:szCs w:val="24"/>
        </w:rPr>
        <w:t xml:space="preserve">telebachillerato comunitario en el estado </w:t>
      </w:r>
      <w:r w:rsidRPr="00F378E5">
        <w:rPr>
          <w:rFonts w:ascii="Times New Roman" w:eastAsiaTheme="minorHAnsi" w:hAnsi="Times New Roman" w:cs="Times New Roman"/>
          <w:b w:val="0"/>
          <w:bCs w:val="0"/>
          <w:color w:val="auto"/>
          <w:sz w:val="24"/>
          <w:szCs w:val="24"/>
        </w:rPr>
        <w:t>de Campeche ha ido consolidándose como una oferta educativa que ofrece a los jóvenes educación de calidad</w:t>
      </w:r>
      <w:r w:rsidR="00771103">
        <w:rPr>
          <w:rFonts w:ascii="Times New Roman" w:eastAsiaTheme="minorHAnsi" w:hAnsi="Times New Roman" w:cs="Times New Roman"/>
          <w:b w:val="0"/>
          <w:bCs w:val="0"/>
          <w:color w:val="auto"/>
          <w:sz w:val="24"/>
          <w:szCs w:val="24"/>
        </w:rPr>
        <w:t xml:space="preserve">, de ahí que en la actualidad sea </w:t>
      </w:r>
      <w:r w:rsidRPr="00F378E5">
        <w:rPr>
          <w:rFonts w:ascii="Times New Roman" w:eastAsiaTheme="minorHAnsi" w:hAnsi="Times New Roman" w:cs="Times New Roman"/>
          <w:b w:val="0"/>
          <w:bCs w:val="0"/>
          <w:color w:val="auto"/>
          <w:sz w:val="24"/>
          <w:szCs w:val="24"/>
        </w:rPr>
        <w:t xml:space="preserve">reconocida como una alternativa para </w:t>
      </w:r>
      <w:r w:rsidR="00771103">
        <w:rPr>
          <w:rFonts w:ascii="Times New Roman" w:eastAsiaTheme="minorHAnsi" w:hAnsi="Times New Roman" w:cs="Times New Roman"/>
          <w:b w:val="0"/>
          <w:bCs w:val="0"/>
          <w:color w:val="auto"/>
          <w:sz w:val="24"/>
          <w:szCs w:val="24"/>
        </w:rPr>
        <w:t>formarse de manera académica</w:t>
      </w:r>
      <w:r>
        <w:rPr>
          <w:rFonts w:ascii="Times New Roman" w:eastAsiaTheme="minorHAnsi" w:hAnsi="Times New Roman" w:cs="Times New Roman"/>
          <w:b w:val="0"/>
          <w:bCs w:val="0"/>
          <w:color w:val="auto"/>
          <w:sz w:val="24"/>
          <w:szCs w:val="24"/>
        </w:rPr>
        <w:t>.</w:t>
      </w:r>
      <w:r w:rsidR="00771103">
        <w:rPr>
          <w:rFonts w:ascii="Times New Roman" w:eastAsiaTheme="minorHAnsi" w:hAnsi="Times New Roman" w:cs="Times New Roman"/>
          <w:b w:val="0"/>
          <w:bCs w:val="0"/>
          <w:color w:val="auto"/>
          <w:sz w:val="24"/>
          <w:szCs w:val="24"/>
        </w:rPr>
        <w:t xml:space="preserve"> </w:t>
      </w:r>
      <w:r w:rsidRPr="00771103">
        <w:rPr>
          <w:rFonts w:ascii="Times New Roman" w:hAnsi="Times New Roman" w:cs="Times New Roman"/>
          <w:b w:val="0"/>
          <w:color w:val="auto"/>
          <w:sz w:val="24"/>
          <w:szCs w:val="24"/>
        </w:rPr>
        <w:t xml:space="preserve">Esta consolidación ha permitido que sea el segundo servicio educativo más grande en el </w:t>
      </w:r>
      <w:r w:rsidR="00771103">
        <w:rPr>
          <w:rFonts w:ascii="Times New Roman" w:hAnsi="Times New Roman" w:cs="Times New Roman"/>
          <w:b w:val="0"/>
          <w:color w:val="auto"/>
          <w:sz w:val="24"/>
          <w:szCs w:val="24"/>
        </w:rPr>
        <w:t>e</w:t>
      </w:r>
      <w:r w:rsidRPr="00771103">
        <w:rPr>
          <w:rFonts w:ascii="Times New Roman" w:hAnsi="Times New Roman" w:cs="Times New Roman"/>
          <w:b w:val="0"/>
          <w:color w:val="auto"/>
          <w:sz w:val="24"/>
          <w:szCs w:val="24"/>
        </w:rPr>
        <w:t>stado</w:t>
      </w:r>
      <w:r w:rsidR="00771103">
        <w:rPr>
          <w:rFonts w:ascii="Times New Roman" w:hAnsi="Times New Roman" w:cs="Times New Roman"/>
          <w:b w:val="0"/>
          <w:color w:val="auto"/>
          <w:sz w:val="24"/>
          <w:szCs w:val="24"/>
        </w:rPr>
        <w:t>,</w:t>
      </w:r>
      <w:r w:rsidRPr="00771103">
        <w:rPr>
          <w:rFonts w:ascii="Times New Roman" w:hAnsi="Times New Roman" w:cs="Times New Roman"/>
          <w:b w:val="0"/>
          <w:color w:val="auto"/>
          <w:sz w:val="24"/>
          <w:szCs w:val="24"/>
        </w:rPr>
        <w:t xml:space="preserve"> con 19 planteles distribuidos </w:t>
      </w:r>
      <w:r w:rsidR="00771103">
        <w:rPr>
          <w:rFonts w:ascii="Times New Roman" w:hAnsi="Times New Roman" w:cs="Times New Roman"/>
          <w:b w:val="0"/>
          <w:color w:val="auto"/>
          <w:sz w:val="24"/>
          <w:szCs w:val="24"/>
        </w:rPr>
        <w:t>en el</w:t>
      </w:r>
      <w:r w:rsidRPr="00771103">
        <w:rPr>
          <w:rFonts w:ascii="Times New Roman" w:hAnsi="Times New Roman" w:cs="Times New Roman"/>
          <w:b w:val="0"/>
          <w:color w:val="auto"/>
          <w:sz w:val="24"/>
          <w:szCs w:val="24"/>
        </w:rPr>
        <w:t xml:space="preserve"> interior. As</w:t>
      </w:r>
      <w:r w:rsidR="00771103">
        <w:rPr>
          <w:rFonts w:ascii="Times New Roman" w:hAnsi="Times New Roman" w:cs="Times New Roman"/>
          <w:b w:val="0"/>
          <w:color w:val="auto"/>
          <w:sz w:val="24"/>
          <w:szCs w:val="24"/>
        </w:rPr>
        <w:t>i</w:t>
      </w:r>
      <w:r w:rsidRPr="00771103">
        <w:rPr>
          <w:rFonts w:ascii="Times New Roman" w:hAnsi="Times New Roman" w:cs="Times New Roman"/>
          <w:b w:val="0"/>
          <w:color w:val="auto"/>
          <w:sz w:val="24"/>
          <w:szCs w:val="24"/>
        </w:rPr>
        <w:t>mismo</w:t>
      </w:r>
      <w:r w:rsidR="00771103">
        <w:rPr>
          <w:rFonts w:ascii="Times New Roman" w:hAnsi="Times New Roman" w:cs="Times New Roman"/>
          <w:b w:val="0"/>
          <w:color w:val="auto"/>
          <w:sz w:val="24"/>
          <w:szCs w:val="24"/>
        </w:rPr>
        <w:t>,</w:t>
      </w:r>
      <w:r w:rsidRPr="00771103">
        <w:rPr>
          <w:rFonts w:ascii="Times New Roman" w:hAnsi="Times New Roman" w:cs="Times New Roman"/>
          <w:b w:val="0"/>
          <w:color w:val="auto"/>
          <w:sz w:val="24"/>
          <w:szCs w:val="24"/>
        </w:rPr>
        <w:t xml:space="preserve"> el crecimiento sostenido de su matrícula ha hecho que se atienda a una población de 800 alumnos </w:t>
      </w:r>
      <w:r w:rsidR="00C44C64">
        <w:rPr>
          <w:rFonts w:ascii="Times New Roman" w:hAnsi="Times New Roman" w:cs="Times New Roman"/>
          <w:b w:val="0"/>
          <w:color w:val="auto"/>
          <w:sz w:val="24"/>
          <w:szCs w:val="24"/>
        </w:rPr>
        <w:t xml:space="preserve">que pueden </w:t>
      </w:r>
      <w:r w:rsidRPr="00771103">
        <w:rPr>
          <w:rFonts w:ascii="Times New Roman" w:hAnsi="Times New Roman" w:cs="Times New Roman"/>
          <w:b w:val="0"/>
          <w:color w:val="auto"/>
          <w:sz w:val="24"/>
          <w:szCs w:val="24"/>
        </w:rPr>
        <w:t>recibir educación media superior.</w:t>
      </w:r>
    </w:p>
    <w:p w14:paraId="582348E3" w14:textId="77777777" w:rsidR="00B70892" w:rsidRPr="00C44C64" w:rsidRDefault="00B70892" w:rsidP="00C44C64">
      <w:pPr>
        <w:pStyle w:val="Ttulo1"/>
        <w:spacing w:before="0" w:line="360" w:lineRule="auto"/>
        <w:ind w:firstLine="709"/>
        <w:jc w:val="both"/>
        <w:rPr>
          <w:rFonts w:ascii="Times New Roman" w:hAnsi="Times New Roman" w:cs="Times New Roman"/>
          <w:b w:val="0"/>
          <w:color w:val="auto"/>
          <w:sz w:val="24"/>
          <w:szCs w:val="24"/>
        </w:rPr>
      </w:pPr>
      <w:r w:rsidRPr="00C44C64">
        <w:rPr>
          <w:rFonts w:ascii="Times New Roman" w:hAnsi="Times New Roman" w:cs="Times New Roman"/>
          <w:b w:val="0"/>
          <w:color w:val="auto"/>
          <w:sz w:val="24"/>
          <w:szCs w:val="24"/>
        </w:rPr>
        <w:t>El incremento en la matrícula refleja que en el TBC se realizan estudios de nivel medio superior en donde hombres y mujeres desarrollan de la misma manera las competencias requeridas, lo que resulta sumamente motivador</w:t>
      </w:r>
      <w:r w:rsidR="00C44C64">
        <w:rPr>
          <w:rFonts w:ascii="Times New Roman" w:hAnsi="Times New Roman" w:cs="Times New Roman"/>
          <w:b w:val="0"/>
          <w:color w:val="auto"/>
          <w:sz w:val="24"/>
          <w:szCs w:val="24"/>
        </w:rPr>
        <w:t>,</w:t>
      </w:r>
      <w:r w:rsidRPr="00C44C64">
        <w:rPr>
          <w:rFonts w:ascii="Times New Roman" w:hAnsi="Times New Roman" w:cs="Times New Roman"/>
          <w:b w:val="0"/>
          <w:color w:val="auto"/>
          <w:sz w:val="24"/>
          <w:szCs w:val="24"/>
        </w:rPr>
        <w:t xml:space="preserve"> dado los esfuerzos de los docentes para evitar que las mujeres abandonen los estudios para asumir roles tradicionales </w:t>
      </w:r>
      <w:r w:rsidR="00C44C64">
        <w:rPr>
          <w:rFonts w:ascii="Times New Roman" w:hAnsi="Times New Roman" w:cs="Times New Roman"/>
          <w:b w:val="0"/>
          <w:color w:val="auto"/>
          <w:sz w:val="24"/>
          <w:szCs w:val="24"/>
        </w:rPr>
        <w:t>(</w:t>
      </w:r>
      <w:r w:rsidR="00C44C64" w:rsidRPr="00C44C64">
        <w:rPr>
          <w:rFonts w:ascii="Times New Roman" w:hAnsi="Times New Roman" w:cs="Times New Roman"/>
          <w:b w:val="0"/>
          <w:color w:val="auto"/>
          <w:sz w:val="24"/>
          <w:szCs w:val="24"/>
        </w:rPr>
        <w:t>amas de casa</w:t>
      </w:r>
      <w:r w:rsidR="00C44C64">
        <w:rPr>
          <w:rFonts w:ascii="Times New Roman" w:hAnsi="Times New Roman" w:cs="Times New Roman"/>
          <w:b w:val="0"/>
          <w:color w:val="auto"/>
          <w:sz w:val="24"/>
          <w:szCs w:val="24"/>
        </w:rPr>
        <w:t xml:space="preserve">) </w:t>
      </w:r>
      <w:r w:rsidRPr="00C44C64">
        <w:rPr>
          <w:rFonts w:ascii="Times New Roman" w:hAnsi="Times New Roman" w:cs="Times New Roman"/>
          <w:b w:val="0"/>
          <w:color w:val="auto"/>
          <w:sz w:val="24"/>
          <w:szCs w:val="24"/>
        </w:rPr>
        <w:t>dentro de la comunidad.</w:t>
      </w:r>
      <w:r w:rsidR="00C44C64">
        <w:rPr>
          <w:rFonts w:ascii="Times New Roman" w:hAnsi="Times New Roman" w:cs="Times New Roman"/>
          <w:b w:val="0"/>
          <w:color w:val="auto"/>
          <w:sz w:val="24"/>
          <w:szCs w:val="24"/>
        </w:rPr>
        <w:t xml:space="preserve"> </w:t>
      </w:r>
    </w:p>
    <w:p w14:paraId="5CB0004F" w14:textId="77777777" w:rsidR="00B70892" w:rsidRPr="00425F6E" w:rsidRDefault="00B70892" w:rsidP="00C44C64">
      <w:pPr>
        <w:spacing w:line="360" w:lineRule="auto"/>
        <w:ind w:firstLine="708"/>
        <w:jc w:val="both"/>
        <w:rPr>
          <w:lang w:val="es-ES"/>
        </w:rPr>
      </w:pPr>
      <w:r>
        <w:t>V</w:t>
      </w:r>
      <w:r w:rsidRPr="00354DE3">
        <w:t xml:space="preserve">alorar la importancia de realizar este estudio representó un esfuerzo para que se genere </w:t>
      </w:r>
      <w:r w:rsidR="00C44C64">
        <w:t>en</w:t>
      </w:r>
      <w:r w:rsidRPr="00354DE3">
        <w:t xml:space="preserve"> cada plantel una cultura de seguimiento al egresado como base para la mejora</w:t>
      </w:r>
      <w:r>
        <w:t>, por lo que su continuidad será fundamental para fortalecer la educación que se imparte.</w:t>
      </w:r>
      <w:r w:rsidR="00C44C64">
        <w:t xml:space="preserve"> </w:t>
      </w:r>
    </w:p>
    <w:p w14:paraId="6708BA5A" w14:textId="77777777" w:rsidR="00B70892" w:rsidRDefault="00B70892" w:rsidP="00C44C64">
      <w:pPr>
        <w:spacing w:line="360" w:lineRule="auto"/>
        <w:ind w:firstLine="708"/>
        <w:jc w:val="both"/>
      </w:pPr>
      <w:r>
        <w:t xml:space="preserve">Al egresar, se espera que los jóvenes den muestra de sus capacidades y de su integración en todos los ámbitos de la sociedad y los relacionados con su formación integral </w:t>
      </w:r>
      <w:r w:rsidR="00C44C64">
        <w:t>(</w:t>
      </w:r>
      <w:r>
        <w:t xml:space="preserve">aspectos </w:t>
      </w:r>
      <w:r w:rsidR="00C44C64">
        <w:t>físicos</w:t>
      </w:r>
      <w:r>
        <w:t>, afectivos, sociales</w:t>
      </w:r>
      <w:r w:rsidR="00C44C64">
        <w:t>)</w:t>
      </w:r>
      <w:r>
        <w:t>.</w:t>
      </w:r>
      <w:r w:rsidR="00C44C64">
        <w:t xml:space="preserve"> </w:t>
      </w:r>
    </w:p>
    <w:p w14:paraId="54E1FEDD" w14:textId="77777777" w:rsidR="00B70892" w:rsidRDefault="00B70892" w:rsidP="00C44C64">
      <w:pPr>
        <w:spacing w:line="360" w:lineRule="auto"/>
        <w:ind w:firstLine="708"/>
        <w:jc w:val="both"/>
        <w:rPr>
          <w:lang w:val="es-ES"/>
        </w:rPr>
      </w:pPr>
      <w:r>
        <w:rPr>
          <w:lang w:val="es-ES"/>
        </w:rPr>
        <w:t>En cuanto al número de estudiantes que lograron egresar satisfactoriamente, de las cuatro generaciones analizadas se registraron 516; en futuras investigaciones se contemplará el análisis de la eficiencia terminal.</w:t>
      </w:r>
      <w:r w:rsidR="00C44C64">
        <w:rPr>
          <w:lang w:val="es-ES"/>
        </w:rPr>
        <w:t xml:space="preserve"> </w:t>
      </w:r>
    </w:p>
    <w:p w14:paraId="7CFB3AE6" w14:textId="77777777" w:rsidR="00B70892" w:rsidRDefault="00B70892" w:rsidP="00C44C64">
      <w:pPr>
        <w:spacing w:line="360" w:lineRule="auto"/>
        <w:ind w:firstLine="708"/>
        <w:jc w:val="both"/>
        <w:rPr>
          <w:lang w:val="es-ES"/>
        </w:rPr>
      </w:pPr>
      <w:r>
        <w:rPr>
          <w:lang w:val="es-ES"/>
        </w:rPr>
        <w:t xml:space="preserve">Siendo uno de los propósitos del servicio educativo orientar el interés vocacional de los jóvenes y que continúen sus estudios, al registrar que de los 139 egresados </w:t>
      </w:r>
      <w:r w:rsidR="00C44C64">
        <w:rPr>
          <w:lang w:val="es-ES"/>
        </w:rPr>
        <w:t xml:space="preserve">que estaban </w:t>
      </w:r>
      <w:r>
        <w:rPr>
          <w:lang w:val="es-ES"/>
        </w:rPr>
        <w:t xml:space="preserve">estudiando </w:t>
      </w:r>
      <w:r w:rsidR="00C44C64">
        <w:rPr>
          <w:lang w:val="es-ES"/>
        </w:rPr>
        <w:t xml:space="preserve">en el </w:t>
      </w:r>
      <w:r>
        <w:rPr>
          <w:lang w:val="es-ES"/>
        </w:rPr>
        <w:t xml:space="preserve">momento de </w:t>
      </w:r>
      <w:r w:rsidR="00C44C64">
        <w:rPr>
          <w:lang w:val="es-ES"/>
        </w:rPr>
        <w:t xml:space="preserve">aplicar </w:t>
      </w:r>
      <w:r>
        <w:rPr>
          <w:lang w:val="es-ES"/>
        </w:rPr>
        <w:t xml:space="preserve">la encuesta, 120 lo hacen en instituciones de educación superior, </w:t>
      </w:r>
      <w:r w:rsidR="00C44C64">
        <w:rPr>
          <w:lang w:val="es-ES"/>
        </w:rPr>
        <w:t>se puede afirmar</w:t>
      </w:r>
      <w:r>
        <w:rPr>
          <w:lang w:val="es-ES"/>
        </w:rPr>
        <w:t xml:space="preserve"> que la primera opción </w:t>
      </w:r>
      <w:r w:rsidR="00C44C64">
        <w:rPr>
          <w:lang w:val="es-ES"/>
        </w:rPr>
        <w:t xml:space="preserve">de estudio </w:t>
      </w:r>
      <w:r>
        <w:rPr>
          <w:lang w:val="es-ES"/>
        </w:rPr>
        <w:t xml:space="preserve">es el nivel superior </w:t>
      </w:r>
      <w:r w:rsidR="00C44C64">
        <w:rPr>
          <w:lang w:val="es-ES"/>
        </w:rPr>
        <w:t>(</w:t>
      </w:r>
      <w:r>
        <w:rPr>
          <w:lang w:val="es-ES"/>
        </w:rPr>
        <w:t xml:space="preserve">muy por debajo </w:t>
      </w:r>
      <w:r w:rsidR="00C44C64">
        <w:rPr>
          <w:lang w:val="es-ES"/>
        </w:rPr>
        <w:t xml:space="preserve">se hallan </w:t>
      </w:r>
      <w:r>
        <w:rPr>
          <w:lang w:val="es-ES"/>
        </w:rPr>
        <w:t>las carreras técnicas u oficios</w:t>
      </w:r>
      <w:r w:rsidR="00C44C64">
        <w:rPr>
          <w:lang w:val="es-ES"/>
        </w:rPr>
        <w:t>)</w:t>
      </w:r>
      <w:r>
        <w:rPr>
          <w:lang w:val="es-ES"/>
        </w:rPr>
        <w:t>.</w:t>
      </w:r>
    </w:p>
    <w:p w14:paraId="4D0F88DB" w14:textId="77777777" w:rsidR="00B70892" w:rsidRDefault="00B70892" w:rsidP="00C44C64">
      <w:pPr>
        <w:spacing w:line="360" w:lineRule="auto"/>
        <w:ind w:firstLine="708"/>
        <w:jc w:val="both"/>
        <w:rPr>
          <w:lang w:val="es-ES"/>
        </w:rPr>
      </w:pPr>
      <w:r>
        <w:rPr>
          <w:lang w:val="es-ES"/>
        </w:rPr>
        <w:t>Un aspecto que es necesario fortalecer es el relacionado con la ocupación</w:t>
      </w:r>
      <w:r w:rsidR="00C44C64">
        <w:rPr>
          <w:lang w:val="es-ES"/>
        </w:rPr>
        <w:t xml:space="preserve">. En este sentido, </w:t>
      </w:r>
      <w:r>
        <w:rPr>
          <w:lang w:val="es-ES"/>
        </w:rPr>
        <w:t>61.24</w:t>
      </w:r>
      <w:r w:rsidR="00C44C64">
        <w:rPr>
          <w:lang w:val="es-ES"/>
        </w:rPr>
        <w:t> </w:t>
      </w:r>
      <w:r>
        <w:rPr>
          <w:lang w:val="es-ES"/>
        </w:rPr>
        <w:t>% de los egresados se encuentra laborando al momento del estudio, de los cuales 40</w:t>
      </w:r>
      <w:r w:rsidR="00C44C64">
        <w:rPr>
          <w:lang w:val="es-ES"/>
        </w:rPr>
        <w:t xml:space="preserve"> </w:t>
      </w:r>
      <w:r>
        <w:rPr>
          <w:lang w:val="es-ES"/>
        </w:rPr>
        <w:t>% son hombres y 20</w:t>
      </w:r>
      <w:r w:rsidR="00C44C64">
        <w:rPr>
          <w:lang w:val="es-ES"/>
        </w:rPr>
        <w:t xml:space="preserve"> </w:t>
      </w:r>
      <w:r>
        <w:rPr>
          <w:lang w:val="es-ES"/>
        </w:rPr>
        <w:t xml:space="preserve">% mujeres. Sin embargo, las ocupaciones distan mucho del propósito del autoempleo, </w:t>
      </w:r>
      <w:r w:rsidR="00C44C64">
        <w:rPr>
          <w:lang w:val="es-ES"/>
        </w:rPr>
        <w:t xml:space="preserve">el </w:t>
      </w:r>
      <w:r>
        <w:rPr>
          <w:lang w:val="es-ES"/>
        </w:rPr>
        <w:t xml:space="preserve">empleo formal o el relacionado con su formación profesional </w:t>
      </w:r>
      <w:r w:rsidR="00C44C64">
        <w:rPr>
          <w:lang w:val="es-ES"/>
        </w:rPr>
        <w:t xml:space="preserve">(es decir, </w:t>
      </w:r>
      <w:r>
        <w:rPr>
          <w:lang w:val="es-ES"/>
        </w:rPr>
        <w:t>trabajo comunitario</w:t>
      </w:r>
      <w:r w:rsidR="00C44C64">
        <w:rPr>
          <w:lang w:val="es-ES"/>
        </w:rPr>
        <w:t>)</w:t>
      </w:r>
      <w:r>
        <w:rPr>
          <w:lang w:val="es-ES"/>
        </w:rPr>
        <w:t xml:space="preserve">, ya que prioritariamente laboran en el campo o en </w:t>
      </w:r>
      <w:r w:rsidR="00C44C64">
        <w:rPr>
          <w:lang w:val="es-ES"/>
        </w:rPr>
        <w:t>el</w:t>
      </w:r>
      <w:r>
        <w:rPr>
          <w:lang w:val="es-ES"/>
        </w:rPr>
        <w:t xml:space="preserve"> hogar. </w:t>
      </w:r>
    </w:p>
    <w:p w14:paraId="68022AC6" w14:textId="77777777" w:rsidR="00B70892" w:rsidRDefault="00B70892" w:rsidP="00C44C64">
      <w:pPr>
        <w:spacing w:line="360" w:lineRule="auto"/>
        <w:ind w:firstLine="708"/>
        <w:jc w:val="both"/>
      </w:pPr>
      <w:r>
        <w:lastRenderedPageBreak/>
        <w:t xml:space="preserve">Reconocer la trayectoria del egresado es parte fundamental de la evaluación educativa y curricular, pues </w:t>
      </w:r>
      <w:r w:rsidR="00C44C64">
        <w:t>sirve para</w:t>
      </w:r>
      <w:r>
        <w:t xml:space="preserve"> valorar la pertinencia de los planes de estudio y el logro de competencias que caracterizan a la educación media superior.</w:t>
      </w:r>
      <w:r w:rsidR="00C44C64">
        <w:t xml:space="preserve"> </w:t>
      </w:r>
    </w:p>
    <w:p w14:paraId="362FD961" w14:textId="77777777" w:rsidR="00B70892" w:rsidRDefault="00B70892" w:rsidP="00C44C64">
      <w:pPr>
        <w:spacing w:line="360" w:lineRule="auto"/>
        <w:ind w:firstLine="708"/>
        <w:jc w:val="both"/>
        <w:rPr>
          <w:lang w:val="es-ES"/>
        </w:rPr>
      </w:pPr>
      <w:r>
        <w:rPr>
          <w:lang w:val="es-ES"/>
        </w:rPr>
        <w:t xml:space="preserve">Con los resultados, cada plantel contará con datos que permitan valorar las fortalezas y debilidades de sus centros educativos, analizar los aspectos relacionados con el rendimiento de los estudiantes, así como realizar evaluaciones educativas en todos sus ámbitos teniendo en cuenta que el centro escolar, la administración educativa y los procesos de enseñanza </w:t>
      </w:r>
      <w:r w:rsidR="00C44C64">
        <w:rPr>
          <w:lang w:val="es-ES"/>
        </w:rPr>
        <w:t xml:space="preserve">y </w:t>
      </w:r>
      <w:r>
        <w:rPr>
          <w:lang w:val="es-ES"/>
        </w:rPr>
        <w:t>aprendizaje deben estar en concordancia para la consecución de los objetivos.</w:t>
      </w:r>
    </w:p>
    <w:p w14:paraId="3A0BC2B9" w14:textId="703A0F11" w:rsidR="00BA7B38" w:rsidRDefault="00BA7B38" w:rsidP="00C44C64">
      <w:pPr>
        <w:spacing w:line="360" w:lineRule="auto"/>
        <w:ind w:firstLine="708"/>
        <w:jc w:val="both"/>
        <w:rPr>
          <w:lang w:val="es-ES"/>
        </w:rPr>
      </w:pPr>
    </w:p>
    <w:p w14:paraId="7E60F389" w14:textId="5BF0F955" w:rsidR="00BA7B38" w:rsidRPr="00577D14" w:rsidRDefault="00BA7B38" w:rsidP="00BA7B38">
      <w:pPr>
        <w:spacing w:line="360" w:lineRule="auto"/>
        <w:ind w:firstLine="708"/>
        <w:jc w:val="center"/>
        <w:rPr>
          <w:b/>
          <w:sz w:val="28"/>
          <w:szCs w:val="28"/>
          <w:lang w:val="es-ES"/>
        </w:rPr>
      </w:pPr>
      <w:r w:rsidRPr="00577D14">
        <w:rPr>
          <w:b/>
          <w:sz w:val="28"/>
          <w:szCs w:val="28"/>
          <w:lang w:val="es-ES"/>
        </w:rPr>
        <w:t>Futuras líneas de investigación</w:t>
      </w:r>
    </w:p>
    <w:p w14:paraId="469A2C03" w14:textId="5D3494A6" w:rsidR="00BA7B38" w:rsidRDefault="00B7706A" w:rsidP="00BA7B38">
      <w:pPr>
        <w:spacing w:line="360" w:lineRule="auto"/>
        <w:ind w:firstLine="708"/>
        <w:rPr>
          <w:lang w:val="es-ES"/>
        </w:rPr>
      </w:pPr>
      <w:r>
        <w:rPr>
          <w:lang w:val="es-ES"/>
        </w:rPr>
        <w:t>El presente estudio pone de manifiesto la necesidad de continuar documentando e investigando sobre los diversos actores</w:t>
      </w:r>
      <w:r w:rsidR="00CA292C">
        <w:rPr>
          <w:lang w:val="es-ES"/>
        </w:rPr>
        <w:t xml:space="preserve"> y procesos </w:t>
      </w:r>
      <w:r>
        <w:rPr>
          <w:lang w:val="es-ES"/>
        </w:rPr>
        <w:t xml:space="preserve"> del servicio educativo telebachillerato comunitario, como futuras líneas de investigación se mencionan las siguientes:</w:t>
      </w:r>
    </w:p>
    <w:p w14:paraId="70E2993C" w14:textId="0229ACDE" w:rsidR="00B7706A" w:rsidRPr="00471B91" w:rsidRDefault="00B7706A" w:rsidP="00CA292C">
      <w:pPr>
        <w:pStyle w:val="Prrafodelista"/>
        <w:numPr>
          <w:ilvl w:val="0"/>
          <w:numId w:val="17"/>
        </w:numPr>
        <w:spacing w:line="360" w:lineRule="auto"/>
        <w:jc w:val="both"/>
        <w:rPr>
          <w:rFonts w:ascii="Times New Roman" w:eastAsia="Times New Roman" w:hAnsi="Times New Roman" w:cs="Times New Roman"/>
          <w:sz w:val="24"/>
          <w:szCs w:val="24"/>
          <w:lang w:val="es-ES"/>
        </w:rPr>
      </w:pPr>
      <w:r w:rsidRPr="00471B91">
        <w:rPr>
          <w:rFonts w:ascii="Times New Roman" w:eastAsia="Times New Roman" w:hAnsi="Times New Roman" w:cs="Times New Roman"/>
          <w:sz w:val="24"/>
          <w:szCs w:val="24"/>
          <w:lang w:val="es-ES"/>
        </w:rPr>
        <w:t>Continuidad al seguimiento de egresados para mantener el historial actualizado que permita contar con insumos sobre la trayectoria que siguen los jóvenes al egresar.</w:t>
      </w:r>
    </w:p>
    <w:p w14:paraId="13D96212" w14:textId="319E9279" w:rsidR="00B7706A" w:rsidRPr="00471B91" w:rsidRDefault="00B7706A" w:rsidP="00CA292C">
      <w:pPr>
        <w:pStyle w:val="Prrafodelista"/>
        <w:numPr>
          <w:ilvl w:val="0"/>
          <w:numId w:val="17"/>
        </w:numPr>
        <w:spacing w:line="360" w:lineRule="auto"/>
        <w:jc w:val="both"/>
        <w:rPr>
          <w:rFonts w:ascii="Times New Roman" w:eastAsia="Times New Roman" w:hAnsi="Times New Roman" w:cs="Times New Roman"/>
          <w:sz w:val="24"/>
          <w:szCs w:val="24"/>
          <w:lang w:val="es-ES"/>
        </w:rPr>
      </w:pPr>
      <w:r w:rsidRPr="00471B91">
        <w:rPr>
          <w:rFonts w:ascii="Times New Roman" w:eastAsia="Times New Roman" w:hAnsi="Times New Roman" w:cs="Times New Roman"/>
          <w:sz w:val="24"/>
          <w:szCs w:val="24"/>
          <w:lang w:val="es-ES"/>
        </w:rPr>
        <w:t xml:space="preserve">Analizar la eficiencia terminal para conocer </w:t>
      </w:r>
      <w:r w:rsidR="00471B91" w:rsidRPr="00471B91">
        <w:rPr>
          <w:rFonts w:ascii="Times New Roman" w:eastAsia="Times New Roman" w:hAnsi="Times New Roman" w:cs="Times New Roman"/>
          <w:sz w:val="24"/>
          <w:szCs w:val="24"/>
          <w:lang w:val="es-ES"/>
        </w:rPr>
        <w:t>la cantidad de jóvenes que egresan comparándolo con los de nuevo ingreso.</w:t>
      </w:r>
    </w:p>
    <w:p w14:paraId="2B65F204" w14:textId="1F26B054" w:rsidR="00471B91" w:rsidRPr="00471B91" w:rsidRDefault="00471B91" w:rsidP="00CA292C">
      <w:pPr>
        <w:pStyle w:val="Prrafodelista"/>
        <w:numPr>
          <w:ilvl w:val="0"/>
          <w:numId w:val="17"/>
        </w:numPr>
        <w:spacing w:line="360" w:lineRule="auto"/>
        <w:jc w:val="both"/>
        <w:rPr>
          <w:rFonts w:ascii="Times New Roman" w:eastAsia="Times New Roman" w:hAnsi="Times New Roman" w:cs="Times New Roman"/>
          <w:sz w:val="24"/>
          <w:szCs w:val="24"/>
          <w:lang w:val="es-ES"/>
        </w:rPr>
      </w:pPr>
      <w:r w:rsidRPr="00471B91">
        <w:rPr>
          <w:rFonts w:ascii="Times New Roman" w:eastAsia="Times New Roman" w:hAnsi="Times New Roman" w:cs="Times New Roman"/>
          <w:sz w:val="24"/>
          <w:szCs w:val="24"/>
          <w:lang w:val="es-ES"/>
        </w:rPr>
        <w:t>Un siguiente aspecto es profundizar en la evaluación externa del curriculum para documentar la experiencia que han tenido los egresados en las ocupaciones formales e informales en las que se desempeñan</w:t>
      </w:r>
      <w:r>
        <w:rPr>
          <w:rFonts w:ascii="Times New Roman" w:eastAsia="Times New Roman" w:hAnsi="Times New Roman" w:cs="Times New Roman"/>
          <w:sz w:val="24"/>
          <w:szCs w:val="24"/>
          <w:lang w:val="es-ES"/>
        </w:rPr>
        <w:t xml:space="preserve"> recabando la percepción de los empleadores.</w:t>
      </w:r>
    </w:p>
    <w:p w14:paraId="3D6086F1" w14:textId="31956DD8" w:rsidR="00471B91" w:rsidRDefault="00471B91" w:rsidP="00CA292C">
      <w:pPr>
        <w:pStyle w:val="Prrafodelista"/>
        <w:numPr>
          <w:ilvl w:val="0"/>
          <w:numId w:val="17"/>
        </w:num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Dar seguimiento a la trayectoria profesional del egresado, para reconocer las áreas </w:t>
      </w:r>
      <w:r w:rsidR="00CA292C">
        <w:rPr>
          <w:rFonts w:ascii="Times New Roman" w:eastAsia="Times New Roman" w:hAnsi="Times New Roman" w:cs="Times New Roman"/>
          <w:sz w:val="24"/>
          <w:szCs w:val="24"/>
          <w:lang w:val="es-ES"/>
        </w:rPr>
        <w:t>disciplinares</w:t>
      </w:r>
      <w:r>
        <w:rPr>
          <w:rFonts w:ascii="Times New Roman" w:eastAsia="Times New Roman" w:hAnsi="Times New Roman" w:cs="Times New Roman"/>
          <w:sz w:val="24"/>
          <w:szCs w:val="24"/>
          <w:lang w:val="es-ES"/>
        </w:rPr>
        <w:t xml:space="preserve"> en las que se siente fortalecido y aquellas que se le han dificultado en su formación superior. </w:t>
      </w:r>
    </w:p>
    <w:p w14:paraId="430927E7" w14:textId="77777777" w:rsidR="00CA292C" w:rsidRPr="00CA292C" w:rsidRDefault="00CA292C" w:rsidP="00CA292C">
      <w:pPr>
        <w:spacing w:line="360" w:lineRule="auto"/>
        <w:ind w:left="708"/>
        <w:jc w:val="both"/>
        <w:rPr>
          <w:lang w:val="es-ES"/>
        </w:rPr>
      </w:pPr>
      <w:r w:rsidRPr="00CA292C">
        <w:rPr>
          <w:lang w:val="es-ES"/>
        </w:rPr>
        <w:t>Finalmente, se percibe como necesario incluir de forma permanente en el trabajo colegiado estudios no solo de egresados, sino de todos los procesos relacionados con la formación de los estudiantes para concretar acciones encaminadas al fortalecimiento de la educación en Campeche y, sobre todo, brindar a jóvenes que se encuentran en situación vulnerable posibilidades de superación.</w:t>
      </w:r>
    </w:p>
    <w:p w14:paraId="0F31CF7F" w14:textId="77777777" w:rsidR="005D0B41" w:rsidRDefault="005D0B41" w:rsidP="00B70892">
      <w:pPr>
        <w:jc w:val="both"/>
        <w:rPr>
          <w:rFonts w:asciiTheme="minorHAnsi" w:hAnsiTheme="minorHAnsi" w:cstheme="minorHAnsi"/>
          <w:b/>
          <w:color w:val="333232"/>
          <w:sz w:val="28"/>
          <w:szCs w:val="28"/>
        </w:rPr>
      </w:pPr>
    </w:p>
    <w:p w14:paraId="518C80FF" w14:textId="77777777" w:rsidR="005D0B41" w:rsidRDefault="005D0B41" w:rsidP="00B70892">
      <w:pPr>
        <w:jc w:val="both"/>
        <w:rPr>
          <w:rFonts w:asciiTheme="minorHAnsi" w:hAnsiTheme="minorHAnsi" w:cstheme="minorHAnsi"/>
          <w:b/>
          <w:color w:val="333232"/>
          <w:sz w:val="28"/>
          <w:szCs w:val="28"/>
        </w:rPr>
      </w:pPr>
    </w:p>
    <w:p w14:paraId="5651C229" w14:textId="77777777" w:rsidR="005D0B41" w:rsidRDefault="005D0B41" w:rsidP="00B70892">
      <w:pPr>
        <w:jc w:val="both"/>
        <w:rPr>
          <w:rFonts w:asciiTheme="minorHAnsi" w:hAnsiTheme="minorHAnsi" w:cstheme="minorHAnsi"/>
          <w:b/>
          <w:color w:val="333232"/>
          <w:sz w:val="28"/>
          <w:szCs w:val="28"/>
        </w:rPr>
      </w:pPr>
    </w:p>
    <w:p w14:paraId="239AAA1A" w14:textId="163DA78E" w:rsidR="00B70892" w:rsidRPr="00177103" w:rsidRDefault="00B70892" w:rsidP="005D0B41">
      <w:pPr>
        <w:spacing w:after="240"/>
        <w:jc w:val="both"/>
        <w:rPr>
          <w:rFonts w:asciiTheme="minorHAnsi" w:hAnsiTheme="minorHAnsi" w:cstheme="minorHAnsi"/>
          <w:b/>
          <w:color w:val="333232"/>
          <w:sz w:val="28"/>
          <w:szCs w:val="28"/>
        </w:rPr>
      </w:pPr>
      <w:r w:rsidRPr="00177103">
        <w:rPr>
          <w:rFonts w:asciiTheme="minorHAnsi" w:hAnsiTheme="minorHAnsi" w:cstheme="minorHAnsi"/>
          <w:b/>
          <w:color w:val="333232"/>
          <w:sz w:val="28"/>
          <w:szCs w:val="28"/>
        </w:rPr>
        <w:lastRenderedPageBreak/>
        <w:t xml:space="preserve">Referencias </w:t>
      </w:r>
    </w:p>
    <w:p w14:paraId="7F7C5D3E" w14:textId="1D11C0C4" w:rsidR="005148F1" w:rsidRPr="00E96C85" w:rsidRDefault="005148F1" w:rsidP="00177103">
      <w:pPr>
        <w:spacing w:line="360" w:lineRule="auto"/>
        <w:ind w:left="708" w:hanging="708"/>
        <w:jc w:val="both"/>
        <w:rPr>
          <w:color w:val="333232"/>
        </w:rPr>
      </w:pPr>
      <w:r w:rsidRPr="00E96C85">
        <w:rPr>
          <w:color w:val="333232"/>
        </w:rPr>
        <w:t xml:space="preserve">Alanís, J. F. (2020). Egresados de telebachillerato comunitario y su capacidad de aspiración. </w:t>
      </w:r>
      <w:r w:rsidRPr="00E96C85">
        <w:rPr>
          <w:i/>
          <w:color w:val="333232"/>
        </w:rPr>
        <w:t>Revista Latinoamericana de Estudios Educativos</w:t>
      </w:r>
      <w:r w:rsidR="00654594">
        <w:rPr>
          <w:color w:val="333232"/>
        </w:rPr>
        <w:t xml:space="preserve">, </w:t>
      </w:r>
      <w:r w:rsidR="00654594" w:rsidRPr="00654594">
        <w:rPr>
          <w:i/>
          <w:color w:val="333232"/>
        </w:rPr>
        <w:t>50</w:t>
      </w:r>
      <w:r w:rsidRPr="00E96C85">
        <w:rPr>
          <w:color w:val="333232"/>
        </w:rPr>
        <w:t xml:space="preserve">(2), 165-194. Recuperado de </w:t>
      </w:r>
      <w:r w:rsidRPr="00177103">
        <w:t>https://www.redalyc.org/articulo.oa?id=270/27062001005</w:t>
      </w:r>
    </w:p>
    <w:p w14:paraId="6111FD65" w14:textId="77777777" w:rsidR="005148F1" w:rsidRPr="00E96C85" w:rsidRDefault="005148F1" w:rsidP="00177103">
      <w:pPr>
        <w:spacing w:line="360" w:lineRule="auto"/>
        <w:ind w:left="708" w:hanging="708"/>
        <w:jc w:val="both"/>
        <w:rPr>
          <w:color w:val="333232"/>
        </w:rPr>
      </w:pPr>
      <w:r w:rsidRPr="00E96C85">
        <w:rPr>
          <w:color w:val="333232"/>
        </w:rPr>
        <w:t xml:space="preserve">Barriga, F. D., González, M., Pacheco Pinzón, D., Saad Dayan, E. y Rojas Drummond, S. (1990). </w:t>
      </w:r>
      <w:r w:rsidRPr="00E96C85">
        <w:rPr>
          <w:i/>
          <w:color w:val="333232"/>
        </w:rPr>
        <w:t>Metodología del diseño curricular</w:t>
      </w:r>
      <w:r w:rsidRPr="00E96C85">
        <w:rPr>
          <w:color w:val="333232"/>
        </w:rPr>
        <w:t>. México: Trillas.</w:t>
      </w:r>
    </w:p>
    <w:p w14:paraId="0A32FEDC" w14:textId="65D98E3C" w:rsidR="005148F1" w:rsidRPr="00E96C85" w:rsidRDefault="005148F1" w:rsidP="00177103">
      <w:pPr>
        <w:spacing w:line="360" w:lineRule="auto"/>
        <w:ind w:left="708" w:hanging="708"/>
        <w:jc w:val="both"/>
        <w:rPr>
          <w:color w:val="333232"/>
        </w:rPr>
      </w:pPr>
      <w:r w:rsidRPr="00E96C85">
        <w:rPr>
          <w:color w:val="333232"/>
        </w:rPr>
        <w:t xml:space="preserve">DGB (2019). Profesiograma para el telebachillerato comunitario por área disciplinar. Recuperado de </w:t>
      </w:r>
      <w:r w:rsidRPr="00177103">
        <w:t>https://www.dgb.sep.gob.mx/servicios-educativos/telebachillerato/normatividad/Profesiograma-2-19-Actualizacion.pdf</w:t>
      </w:r>
    </w:p>
    <w:p w14:paraId="6167F85D" w14:textId="3A3CDA03" w:rsidR="005148F1" w:rsidRPr="00E96C85" w:rsidRDefault="005148F1" w:rsidP="00177103">
      <w:pPr>
        <w:spacing w:line="360" w:lineRule="auto"/>
        <w:ind w:left="708" w:hanging="708"/>
        <w:jc w:val="both"/>
        <w:rPr>
          <w:color w:val="333232"/>
        </w:rPr>
      </w:pPr>
      <w:r w:rsidRPr="00E96C85">
        <w:rPr>
          <w:color w:val="333232"/>
        </w:rPr>
        <w:t xml:space="preserve">Diario Oficial de la Federación (2019). </w:t>
      </w:r>
      <w:r w:rsidRPr="00E96C85">
        <w:rPr>
          <w:i/>
          <w:color w:val="333232"/>
        </w:rPr>
        <w:t>Decreto por el que se expide la Ley General de Educación y se abroga la Ley General de la Infraestructura Física Educativa.</w:t>
      </w:r>
      <w:r w:rsidRPr="00E96C85">
        <w:rPr>
          <w:color w:val="333232"/>
        </w:rPr>
        <w:t xml:space="preserve"> Recuperado de </w:t>
      </w:r>
      <w:r w:rsidRPr="00177103">
        <w:t>https://www.dof.gob.mx/nota_detalle.php?codigo=5573858&amp;fecha=30/09/2019&amp;print=true</w:t>
      </w:r>
    </w:p>
    <w:p w14:paraId="6CAFFBB2" w14:textId="360616A0" w:rsidR="005148F1" w:rsidRPr="00E96C85" w:rsidRDefault="005148F1" w:rsidP="00177103">
      <w:pPr>
        <w:spacing w:line="360" w:lineRule="auto"/>
        <w:ind w:left="708" w:hanging="708"/>
        <w:jc w:val="both"/>
        <w:rPr>
          <w:color w:val="333232"/>
        </w:rPr>
      </w:pPr>
      <w:r w:rsidRPr="00E96C85">
        <w:rPr>
          <w:color w:val="333232"/>
        </w:rPr>
        <w:t xml:space="preserve">Diario Oficial de la Federación (2019). </w:t>
      </w:r>
      <w:r w:rsidRPr="00E96C85">
        <w:rPr>
          <w:i/>
          <w:color w:val="333232"/>
        </w:rPr>
        <w:t>Por el que se expide la Ley General de Educación y se abroga la Ley General de la Infraestructura Física y Educativa</w:t>
      </w:r>
      <w:r w:rsidRPr="00E96C85">
        <w:rPr>
          <w:color w:val="333232"/>
        </w:rPr>
        <w:t xml:space="preserve">. 30 Septiembre de 2019. Recuperado de </w:t>
      </w:r>
      <w:r w:rsidRPr="00177103">
        <w:t>https://www.dof.gob.mx/nota_detalle.php?codigo=5573858&amp;fecha=30/09/2019&amp;print=true</w:t>
      </w:r>
    </w:p>
    <w:p w14:paraId="3657DBCB" w14:textId="3E9F884C" w:rsidR="005148F1" w:rsidRPr="00E96C85" w:rsidRDefault="005148F1" w:rsidP="00177103">
      <w:pPr>
        <w:spacing w:line="360" w:lineRule="auto"/>
        <w:ind w:left="708" w:hanging="708"/>
        <w:jc w:val="both"/>
        <w:rPr>
          <w:color w:val="333232"/>
        </w:rPr>
      </w:pPr>
      <w:r w:rsidRPr="00E96C85">
        <w:rPr>
          <w:color w:val="333232"/>
        </w:rPr>
        <w:t xml:space="preserve">García, R. S., Fonseca Bautista, C. D. e Ibarra Uribe, L. M. (2017). </w:t>
      </w:r>
      <w:r w:rsidRPr="00E96C85">
        <w:rPr>
          <w:i/>
          <w:color w:val="333232"/>
        </w:rPr>
        <w:t>Seguimiento de egresados en educación media superior. Una tarea pendiente y necesaria</w:t>
      </w:r>
      <w:r w:rsidRPr="00E96C85">
        <w:rPr>
          <w:color w:val="333232"/>
        </w:rPr>
        <w:t xml:space="preserve">. Trabajo presentado en el Congreso Nacional de Investigación Educativa COMIE. San Luis Potosí, México. Recuperado de </w:t>
      </w:r>
      <w:r w:rsidRPr="00177103">
        <w:t>https://www.comie.org.mx/congreso/memoriaelectronica/v14/doc/0645.pdf</w:t>
      </w:r>
    </w:p>
    <w:p w14:paraId="6397C599" w14:textId="77777777" w:rsidR="005148F1" w:rsidRPr="00E96C85" w:rsidRDefault="005148F1" w:rsidP="00177103">
      <w:pPr>
        <w:spacing w:line="360" w:lineRule="auto"/>
        <w:ind w:left="708" w:hanging="708"/>
        <w:jc w:val="both"/>
        <w:rPr>
          <w:color w:val="333232"/>
        </w:rPr>
      </w:pPr>
      <w:r w:rsidRPr="00E96C85">
        <w:rPr>
          <w:color w:val="333232"/>
        </w:rPr>
        <w:t xml:space="preserve">Hernández Sampieri, R. H., Fernández, C. C. y Baptista, L. P. (2014). </w:t>
      </w:r>
      <w:r w:rsidRPr="00E96C85">
        <w:rPr>
          <w:i/>
          <w:color w:val="333232"/>
        </w:rPr>
        <w:t>Metodología de la investigación</w:t>
      </w:r>
      <w:r w:rsidRPr="00E96C85">
        <w:rPr>
          <w:color w:val="333232"/>
        </w:rPr>
        <w:t xml:space="preserve">. México: Mc Graw Hill. </w:t>
      </w:r>
    </w:p>
    <w:p w14:paraId="50846A07" w14:textId="738D8203" w:rsidR="005148F1" w:rsidRPr="00E96C85" w:rsidRDefault="005148F1" w:rsidP="00177103">
      <w:pPr>
        <w:spacing w:line="360" w:lineRule="auto"/>
        <w:ind w:left="708" w:hanging="708"/>
        <w:jc w:val="both"/>
        <w:rPr>
          <w:color w:val="333232"/>
        </w:rPr>
      </w:pPr>
      <w:r w:rsidRPr="00E96C85">
        <w:t>Instituto Nacional para la Evaluación de la Educación</w:t>
      </w:r>
      <w:r w:rsidRPr="00E96C85">
        <w:rPr>
          <w:noProof/>
        </w:rPr>
        <w:t xml:space="preserve"> [INEE]</w:t>
      </w:r>
      <w:r w:rsidRPr="00E96C85">
        <w:rPr>
          <w:color w:val="333232"/>
        </w:rPr>
        <w:t xml:space="preserve"> (2018a). Educación media superior: los desafíos. </w:t>
      </w:r>
      <w:r w:rsidRPr="00E96C85">
        <w:rPr>
          <w:i/>
          <w:color w:val="333232"/>
        </w:rPr>
        <w:t>Revista de Evaluación para Docentes y Directivos</w:t>
      </w:r>
      <w:r w:rsidRPr="00E96C85">
        <w:rPr>
          <w:color w:val="333232"/>
        </w:rPr>
        <w:t xml:space="preserve">, 9, 5. Recuperado de </w:t>
      </w:r>
      <w:r w:rsidRPr="00177103">
        <w:t>https://www.inee.edu.mx/wp-content/uploads/2018/12/Red09.pdf</w:t>
      </w:r>
    </w:p>
    <w:p w14:paraId="02E47A85" w14:textId="1C6D273D" w:rsidR="005148F1" w:rsidRPr="00E96C85" w:rsidRDefault="005148F1" w:rsidP="00177103">
      <w:pPr>
        <w:spacing w:line="360" w:lineRule="auto"/>
        <w:ind w:left="708" w:hanging="708"/>
        <w:jc w:val="both"/>
        <w:rPr>
          <w:color w:val="333232"/>
        </w:rPr>
      </w:pPr>
      <w:r w:rsidRPr="00E96C85">
        <w:t>Instituto Nacional para la Evaluación de la Educación</w:t>
      </w:r>
      <w:r w:rsidRPr="00E96C85">
        <w:rPr>
          <w:noProof/>
        </w:rPr>
        <w:t xml:space="preserve"> [INEE]</w:t>
      </w:r>
      <w:r w:rsidRPr="00E96C85">
        <w:rPr>
          <w:color w:val="333232"/>
        </w:rPr>
        <w:t xml:space="preserve"> (2018b). </w:t>
      </w:r>
      <w:r w:rsidRPr="00E96C85">
        <w:rPr>
          <w:i/>
          <w:color w:val="333232"/>
        </w:rPr>
        <w:t>Principales cifras. Educación básica y media superior. Inicio del ciclo escolar 2017-2018</w:t>
      </w:r>
      <w:r w:rsidRPr="00E96C85">
        <w:rPr>
          <w:color w:val="333232"/>
        </w:rPr>
        <w:t xml:space="preserve">. México. Recuperado de </w:t>
      </w:r>
      <w:r w:rsidRPr="00177103">
        <w:t>https://www.inee.edu.mx/wp-content/uploads/2019/01/P2M109.pdf</w:t>
      </w:r>
    </w:p>
    <w:p w14:paraId="123CE9FB" w14:textId="31DE88FB" w:rsidR="005148F1" w:rsidRPr="00E96C85" w:rsidRDefault="005148F1" w:rsidP="00177103">
      <w:pPr>
        <w:spacing w:line="360" w:lineRule="auto"/>
        <w:ind w:left="708" w:hanging="708"/>
        <w:jc w:val="both"/>
        <w:rPr>
          <w:color w:val="333232"/>
        </w:rPr>
      </w:pPr>
      <w:r w:rsidRPr="00E96C85">
        <w:rPr>
          <w:color w:val="333232"/>
        </w:rPr>
        <w:lastRenderedPageBreak/>
        <w:t xml:space="preserve">Instituto Tecnológico de Estudios Superiores de Monterrey  [ITESM] (2006). </w:t>
      </w:r>
      <w:r w:rsidRPr="00E96C85">
        <w:rPr>
          <w:i/>
          <w:color w:val="333232"/>
        </w:rPr>
        <w:t>Manual de instrumentos y recomendaciones sobre el seguimiento de egresados</w:t>
      </w:r>
      <w:r w:rsidRPr="00E96C85">
        <w:rPr>
          <w:color w:val="333232"/>
        </w:rPr>
        <w:t xml:space="preserve">. Red Gradua2 / Asociación Columbus. Recuperado de </w:t>
      </w:r>
      <w:r w:rsidRPr="00177103">
        <w:t>https://www.almalaurea.it/sites/almalaurea.it/files/docs/universita/altro/red_gradua2.pdf</w:t>
      </w:r>
    </w:p>
    <w:p w14:paraId="45E8F55D" w14:textId="62E329B9" w:rsidR="005148F1" w:rsidRPr="00E96C85" w:rsidRDefault="005148F1" w:rsidP="00177103">
      <w:pPr>
        <w:spacing w:line="360" w:lineRule="auto"/>
        <w:ind w:left="708" w:hanging="708"/>
        <w:jc w:val="both"/>
        <w:rPr>
          <w:color w:val="333232"/>
        </w:rPr>
      </w:pPr>
      <w:r w:rsidRPr="00E96C85">
        <w:rPr>
          <w:color w:val="333232"/>
        </w:rPr>
        <w:t xml:space="preserve">Ramírez, C. G. y Padilla González, L. E. (2017). </w:t>
      </w:r>
      <w:r w:rsidRPr="00E96C85">
        <w:rPr>
          <w:i/>
          <w:color w:val="333232"/>
        </w:rPr>
        <w:t>El telebachillerato comunitario en Aguascalientes: estudio de un caso de alta eficacia escolar</w:t>
      </w:r>
      <w:r w:rsidRPr="00E96C85">
        <w:rPr>
          <w:color w:val="333232"/>
        </w:rPr>
        <w:t xml:space="preserve">. Trabajo presentado en el Congreso Nacional de Investigación Educativa COMIE. San Luis Potosí, México. Recuperado de </w:t>
      </w:r>
      <w:r w:rsidRPr="00177103">
        <w:t>http://www.comie.org.mx/congreso/memoriaelectronica/v14/doc/2246.pdf</w:t>
      </w:r>
    </w:p>
    <w:p w14:paraId="1519BD97" w14:textId="71353F66" w:rsidR="005148F1" w:rsidRPr="00E96C85" w:rsidRDefault="005148F1" w:rsidP="00177103">
      <w:pPr>
        <w:spacing w:line="360" w:lineRule="auto"/>
        <w:ind w:left="708" w:hanging="708"/>
        <w:jc w:val="both"/>
        <w:rPr>
          <w:color w:val="333232"/>
        </w:rPr>
      </w:pPr>
      <w:r w:rsidRPr="00E96C85">
        <w:rPr>
          <w:iCs/>
        </w:rPr>
        <w:t>Subsecretaría de Educación Media Superior [</w:t>
      </w:r>
      <w:r w:rsidRPr="00E96C85">
        <w:rPr>
          <w:noProof/>
          <w:lang w:val="es-ES"/>
        </w:rPr>
        <w:t>SEMS</w:t>
      </w:r>
      <w:r w:rsidRPr="00E96C85">
        <w:rPr>
          <w:iCs/>
        </w:rPr>
        <w:t>]</w:t>
      </w:r>
      <w:r w:rsidRPr="00E96C85">
        <w:rPr>
          <w:color w:val="333232"/>
        </w:rPr>
        <w:t xml:space="preserve"> (2008). </w:t>
      </w:r>
      <w:r w:rsidRPr="00E96C85">
        <w:rPr>
          <w:i/>
          <w:color w:val="333232"/>
        </w:rPr>
        <w:t>Acuerdo 447 por el que se establecen las competencias docentes para quienes impartan educación media superior en la modalidad escolarizada</w:t>
      </w:r>
      <w:r w:rsidRPr="00E96C85">
        <w:rPr>
          <w:color w:val="333232"/>
        </w:rPr>
        <w:t xml:space="preserve">. México: Autor. Recuperado de: </w:t>
      </w:r>
      <w:r w:rsidRPr="00177103">
        <w:t>http://bit.ly/2vW3jyF</w:t>
      </w:r>
    </w:p>
    <w:p w14:paraId="178B044D" w14:textId="77777777" w:rsidR="005148F1" w:rsidRPr="00E96C85" w:rsidRDefault="005148F1" w:rsidP="00177103">
      <w:pPr>
        <w:spacing w:line="360" w:lineRule="auto"/>
        <w:ind w:left="708" w:hanging="708"/>
        <w:jc w:val="both"/>
        <w:rPr>
          <w:color w:val="333232"/>
        </w:rPr>
      </w:pPr>
      <w:r w:rsidRPr="00E96C85">
        <w:rPr>
          <w:iCs/>
        </w:rPr>
        <w:t>Subsecretaría de Educación Media Superior [</w:t>
      </w:r>
      <w:r w:rsidRPr="00E96C85">
        <w:rPr>
          <w:noProof/>
          <w:lang w:val="es-ES"/>
        </w:rPr>
        <w:t>SEMS</w:t>
      </w:r>
      <w:r w:rsidRPr="00E96C85">
        <w:rPr>
          <w:iCs/>
        </w:rPr>
        <w:t>]</w:t>
      </w:r>
      <w:r w:rsidRPr="00E96C85">
        <w:rPr>
          <w:color w:val="333232"/>
        </w:rPr>
        <w:t xml:space="preserve"> (2016). </w:t>
      </w:r>
      <w:r w:rsidRPr="00E96C85">
        <w:rPr>
          <w:i/>
          <w:color w:val="333232"/>
        </w:rPr>
        <w:t>Documento base del telebachillerato comunitario</w:t>
      </w:r>
      <w:r w:rsidRPr="00E96C85">
        <w:rPr>
          <w:color w:val="333232"/>
        </w:rPr>
        <w:t>. México.</w:t>
      </w:r>
    </w:p>
    <w:p w14:paraId="4B30CB86" w14:textId="55DBC751" w:rsidR="005148F1" w:rsidRPr="00E96C85" w:rsidRDefault="005148F1" w:rsidP="00177103">
      <w:pPr>
        <w:spacing w:line="360" w:lineRule="auto"/>
        <w:ind w:left="708" w:hanging="708"/>
        <w:jc w:val="both"/>
        <w:rPr>
          <w:color w:val="333232"/>
        </w:rPr>
      </w:pPr>
      <w:r w:rsidRPr="00E96C85">
        <w:rPr>
          <w:iCs/>
        </w:rPr>
        <w:t>Subsecretaría de Educación Media Superior [</w:t>
      </w:r>
      <w:r w:rsidRPr="00E96C85">
        <w:rPr>
          <w:noProof/>
          <w:lang w:val="es-ES"/>
        </w:rPr>
        <w:t>SEMS</w:t>
      </w:r>
      <w:r w:rsidRPr="00E96C85">
        <w:rPr>
          <w:iCs/>
        </w:rPr>
        <w:t>]</w:t>
      </w:r>
      <w:r w:rsidRPr="00E96C85">
        <w:rPr>
          <w:color w:val="333232"/>
        </w:rPr>
        <w:t xml:space="preserve"> (2018). </w:t>
      </w:r>
      <w:r w:rsidRPr="00E96C85">
        <w:rPr>
          <w:i/>
          <w:color w:val="333232"/>
        </w:rPr>
        <w:t>Documento base del telebachillerato comunitario</w:t>
      </w:r>
      <w:r w:rsidRPr="00E96C85">
        <w:rPr>
          <w:color w:val="333232"/>
        </w:rPr>
        <w:t xml:space="preserve"> (2.</w:t>
      </w:r>
      <w:r w:rsidRPr="00E96C85">
        <w:rPr>
          <w:color w:val="333232"/>
          <w:vertAlign w:val="superscript"/>
        </w:rPr>
        <w:t>a</w:t>
      </w:r>
      <w:r w:rsidRPr="00E96C85">
        <w:rPr>
          <w:color w:val="333232"/>
        </w:rPr>
        <w:t xml:space="preserve"> ed.). México. Recuperado de </w:t>
      </w:r>
      <w:r w:rsidRPr="00177103">
        <w:t>https://www.dgb.sep.gob.mx/servicios-educativos/telebachillerato/normatividad/Documento-base-2018.pdf</w:t>
      </w:r>
      <w:r w:rsidRPr="00E96C85">
        <w:rPr>
          <w:rStyle w:val="Hipervnculo"/>
        </w:rPr>
        <w:t xml:space="preserve"> </w:t>
      </w:r>
    </w:p>
    <w:p w14:paraId="29FCAD72" w14:textId="5077A4BE" w:rsidR="005148F1" w:rsidRPr="00E96C85" w:rsidRDefault="005148F1" w:rsidP="00177103">
      <w:pPr>
        <w:spacing w:line="360" w:lineRule="auto"/>
        <w:ind w:left="708" w:hanging="708"/>
        <w:jc w:val="both"/>
        <w:rPr>
          <w:color w:val="333232"/>
        </w:rPr>
      </w:pPr>
      <w:r w:rsidRPr="00E96C85">
        <w:rPr>
          <w:iCs/>
        </w:rPr>
        <w:t>Subsecretaría de Educación Media Superior [</w:t>
      </w:r>
      <w:r w:rsidRPr="00E96C85">
        <w:rPr>
          <w:noProof/>
          <w:lang w:val="es-ES"/>
        </w:rPr>
        <w:t>SEMS</w:t>
      </w:r>
      <w:r w:rsidRPr="00E96C85">
        <w:rPr>
          <w:iCs/>
        </w:rPr>
        <w:t>]</w:t>
      </w:r>
      <w:r w:rsidRPr="00E96C85">
        <w:rPr>
          <w:color w:val="333232"/>
        </w:rPr>
        <w:t xml:space="preserve"> (2020). </w:t>
      </w:r>
      <w:r w:rsidRPr="00E96C85">
        <w:rPr>
          <w:i/>
          <w:color w:val="333232"/>
        </w:rPr>
        <w:t>Educación Media Superior</w:t>
      </w:r>
      <w:r w:rsidRPr="00E96C85">
        <w:rPr>
          <w:color w:val="333232"/>
        </w:rPr>
        <w:t xml:space="preserve">. Recuperado de </w:t>
      </w:r>
      <w:r w:rsidRPr="00177103">
        <w:t>http://www.sems.gob.mx/work/models/sems/Resource/12491/4/images/Educacion%20Media%20Superior.pdf</w:t>
      </w:r>
    </w:p>
    <w:p w14:paraId="5D96B91E" w14:textId="77D3CFCD" w:rsidR="005148F1" w:rsidRPr="008229A6" w:rsidRDefault="005148F1" w:rsidP="00177103">
      <w:pPr>
        <w:pStyle w:val="Bibliografa"/>
        <w:spacing w:line="360" w:lineRule="auto"/>
        <w:ind w:left="708" w:hanging="708"/>
        <w:jc w:val="both"/>
        <w:rPr>
          <w:rFonts w:ascii="Times New Roman" w:hAnsi="Times New Roman" w:cs="Times New Roman"/>
          <w:noProof/>
          <w:lang w:val="es-ES"/>
        </w:rPr>
      </w:pPr>
      <w:r w:rsidRPr="00E96C85">
        <w:rPr>
          <w:rFonts w:ascii="Times New Roman" w:hAnsi="Times New Roman" w:cs="Times New Roman"/>
          <w:noProof/>
          <w:lang w:val="es-ES"/>
        </w:rPr>
        <w:t xml:space="preserve">Yin, R. K. (1994). </w:t>
      </w:r>
      <w:r w:rsidRPr="00E96C85">
        <w:rPr>
          <w:rFonts w:ascii="Times New Roman" w:hAnsi="Times New Roman" w:cs="Times New Roman"/>
          <w:i/>
          <w:noProof/>
          <w:lang w:val="es-ES"/>
        </w:rPr>
        <w:t>Investigación sobre estudio de casos</w:t>
      </w:r>
      <w:r w:rsidRPr="00E96C85">
        <w:rPr>
          <w:rFonts w:ascii="Times New Roman" w:hAnsi="Times New Roman" w:cs="Times New Roman"/>
          <w:noProof/>
          <w:lang w:val="es-ES"/>
        </w:rPr>
        <w:t xml:space="preserve"> (2.</w:t>
      </w:r>
      <w:r w:rsidRPr="00E96C85">
        <w:rPr>
          <w:rFonts w:ascii="Times New Roman" w:hAnsi="Times New Roman" w:cs="Times New Roman"/>
          <w:noProof/>
          <w:vertAlign w:val="superscript"/>
          <w:lang w:val="es-ES"/>
        </w:rPr>
        <w:t>a</w:t>
      </w:r>
      <w:r w:rsidRPr="00E96C85">
        <w:rPr>
          <w:rFonts w:ascii="Times New Roman" w:hAnsi="Times New Roman" w:cs="Times New Roman"/>
          <w:noProof/>
          <w:lang w:val="es-ES"/>
        </w:rPr>
        <w:t xml:space="preserve"> ed.). London: Publicaciones SAGE. Recuperado de </w:t>
      </w:r>
      <w:r w:rsidRPr="00177103">
        <w:rPr>
          <w:rFonts w:ascii="Times New Roman" w:hAnsi="Times New Roman" w:cs="Times New Roman"/>
          <w:noProof/>
          <w:lang w:val="es-ES"/>
        </w:rPr>
        <w:t>https://panel.inkuba.com/sites/2/archivos/YIN%20ROBERT%20.pdf</w:t>
      </w:r>
    </w:p>
    <w:p w14:paraId="7A489168" w14:textId="77777777" w:rsidR="00B70892" w:rsidRPr="005148F1" w:rsidRDefault="00B70892" w:rsidP="00B70892">
      <w:pPr>
        <w:rPr>
          <w:lang w:val="es-ES"/>
        </w:rPr>
      </w:pPr>
    </w:p>
    <w:p w14:paraId="4CFF36FF" w14:textId="77777777" w:rsidR="00B70892" w:rsidRDefault="00B70892" w:rsidP="00B70892"/>
    <w:p w14:paraId="75EDA3FC" w14:textId="77777777" w:rsidR="00B70892" w:rsidRPr="000568A5" w:rsidRDefault="00B70892" w:rsidP="00B70892">
      <w:pPr>
        <w:rPr>
          <w:lang w:val="es-ES" w:eastAsia="en-US"/>
        </w:rPr>
      </w:pPr>
    </w:p>
    <w:p w14:paraId="38B8E219" w14:textId="77777777" w:rsidR="000F21B0" w:rsidRPr="00B70892" w:rsidRDefault="000F21B0">
      <w:pPr>
        <w:rPr>
          <w:lang w:val="es-ES"/>
        </w:rPr>
      </w:pPr>
    </w:p>
    <w:sectPr w:rsidR="000F21B0" w:rsidRPr="00B70892" w:rsidSect="005D0B41">
      <w:headerReference w:type="default" r:id="rId17"/>
      <w:footerReference w:type="default" r:id="rId18"/>
      <w:pgSz w:w="12240" w:h="15840"/>
      <w:pgMar w:top="1276"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2EB3" w14:textId="77777777" w:rsidR="00F848BF" w:rsidRDefault="00F848BF" w:rsidP="00747095">
      <w:r>
        <w:separator/>
      </w:r>
    </w:p>
  </w:endnote>
  <w:endnote w:type="continuationSeparator" w:id="0">
    <w:p w14:paraId="79FEEB67" w14:textId="77777777" w:rsidR="00F848BF" w:rsidRDefault="00F848BF" w:rsidP="0074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A42D3" w14:textId="376522CC" w:rsidR="001C2EC3" w:rsidRDefault="001C2EC3">
    <w:pPr>
      <w:pStyle w:val="Piedepgina"/>
    </w:pPr>
    <w:r>
      <w:t xml:space="preserve">       </w:t>
    </w:r>
    <w:r>
      <w:rPr>
        <w:noProof/>
      </w:rPr>
      <w:drawing>
        <wp:inline distT="0" distB="0" distL="0" distR="0" wp14:anchorId="080FAB40" wp14:editId="5C297D81">
          <wp:extent cx="1600200" cy="419100"/>
          <wp:effectExtent l="0" t="0" r="0" b="0"/>
          <wp:docPr id="23" name="Imagen 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47095">
      <w:rPr>
        <w:rFonts w:asciiTheme="minorHAnsi" w:hAnsiTheme="minorHAnsi" w:cstheme="minorHAnsi"/>
        <w:b/>
        <w:sz w:val="22"/>
        <w:szCs w:val="18"/>
      </w:rPr>
      <w:t xml:space="preserve">Vol. 12, Núm. 22 </w:t>
    </w:r>
    <w:proofErr w:type="gramStart"/>
    <w:r w:rsidRPr="00747095">
      <w:rPr>
        <w:rFonts w:asciiTheme="minorHAnsi" w:hAnsiTheme="minorHAnsi" w:cstheme="minorHAnsi"/>
        <w:b/>
        <w:sz w:val="22"/>
        <w:szCs w:val="18"/>
      </w:rPr>
      <w:t>Enero</w:t>
    </w:r>
    <w:proofErr w:type="gramEnd"/>
    <w:r w:rsidRPr="00747095">
      <w:rPr>
        <w:rFonts w:asciiTheme="minorHAnsi" w:hAnsiTheme="minorHAnsi" w:cstheme="minorHAnsi"/>
        <w:b/>
        <w:sz w:val="22"/>
        <w:szCs w:val="18"/>
      </w:rPr>
      <w:t xml:space="preserve"> - Junio 2021, e</w:t>
    </w:r>
    <w:r w:rsidR="005D0B41">
      <w:rPr>
        <w:rFonts w:asciiTheme="minorHAnsi" w:hAnsiTheme="minorHAnsi" w:cstheme="minorHAnsi"/>
        <w:b/>
        <w:sz w:val="22"/>
        <w:szCs w:val="18"/>
      </w:rPr>
      <w:t>169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ED1DD" w14:textId="77777777" w:rsidR="00F848BF" w:rsidRDefault="00F848BF" w:rsidP="00747095">
      <w:r>
        <w:separator/>
      </w:r>
    </w:p>
  </w:footnote>
  <w:footnote w:type="continuationSeparator" w:id="0">
    <w:p w14:paraId="4121A6DE" w14:textId="77777777" w:rsidR="00F848BF" w:rsidRDefault="00F848BF" w:rsidP="0074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16F1" w14:textId="0366D927" w:rsidR="001C2EC3" w:rsidRDefault="001C2EC3" w:rsidP="00747095">
    <w:pPr>
      <w:pStyle w:val="Encabezado"/>
      <w:jc w:val="center"/>
    </w:pPr>
    <w:r w:rsidRPr="005A563C">
      <w:rPr>
        <w:noProof/>
      </w:rPr>
      <w:drawing>
        <wp:inline distT="0" distB="0" distL="0" distR="0" wp14:anchorId="1BA56870" wp14:editId="33A45E2A">
          <wp:extent cx="5400040" cy="63260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111D"/>
    <w:multiLevelType w:val="hybridMultilevel"/>
    <w:tmpl w:val="E3BC5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D11BD"/>
    <w:multiLevelType w:val="hybridMultilevel"/>
    <w:tmpl w:val="7EBECB7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01206C0"/>
    <w:multiLevelType w:val="hybridMultilevel"/>
    <w:tmpl w:val="6B5066D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11C6850"/>
    <w:multiLevelType w:val="multilevel"/>
    <w:tmpl w:val="78221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567" w:hanging="454"/>
      </w:pPr>
      <w:rPr>
        <w:rFonts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7A638E"/>
    <w:multiLevelType w:val="hybridMultilevel"/>
    <w:tmpl w:val="4FD4D4D8"/>
    <w:lvl w:ilvl="0" w:tplc="080A000F">
      <w:start w:val="1"/>
      <w:numFmt w:val="decimal"/>
      <w:lvlText w:val="%1."/>
      <w:lvlJc w:val="left"/>
      <w:pPr>
        <w:ind w:left="1590" w:hanging="360"/>
      </w:pPr>
      <w:rPr>
        <w:rFonts w:hint="default"/>
      </w:rPr>
    </w:lvl>
    <w:lvl w:ilvl="1" w:tplc="080A0019" w:tentative="1">
      <w:start w:val="1"/>
      <w:numFmt w:val="lowerLetter"/>
      <w:lvlText w:val="%2."/>
      <w:lvlJc w:val="left"/>
      <w:pPr>
        <w:ind w:left="2310" w:hanging="360"/>
      </w:pPr>
    </w:lvl>
    <w:lvl w:ilvl="2" w:tplc="080A001B" w:tentative="1">
      <w:start w:val="1"/>
      <w:numFmt w:val="lowerRoman"/>
      <w:lvlText w:val="%3."/>
      <w:lvlJc w:val="right"/>
      <w:pPr>
        <w:ind w:left="3030" w:hanging="180"/>
      </w:pPr>
    </w:lvl>
    <w:lvl w:ilvl="3" w:tplc="080A000F" w:tentative="1">
      <w:start w:val="1"/>
      <w:numFmt w:val="decimal"/>
      <w:lvlText w:val="%4."/>
      <w:lvlJc w:val="left"/>
      <w:pPr>
        <w:ind w:left="3750" w:hanging="360"/>
      </w:pPr>
    </w:lvl>
    <w:lvl w:ilvl="4" w:tplc="080A0019" w:tentative="1">
      <w:start w:val="1"/>
      <w:numFmt w:val="lowerLetter"/>
      <w:lvlText w:val="%5."/>
      <w:lvlJc w:val="left"/>
      <w:pPr>
        <w:ind w:left="4470" w:hanging="360"/>
      </w:pPr>
    </w:lvl>
    <w:lvl w:ilvl="5" w:tplc="080A001B" w:tentative="1">
      <w:start w:val="1"/>
      <w:numFmt w:val="lowerRoman"/>
      <w:lvlText w:val="%6."/>
      <w:lvlJc w:val="right"/>
      <w:pPr>
        <w:ind w:left="5190" w:hanging="180"/>
      </w:pPr>
    </w:lvl>
    <w:lvl w:ilvl="6" w:tplc="080A000F" w:tentative="1">
      <w:start w:val="1"/>
      <w:numFmt w:val="decimal"/>
      <w:lvlText w:val="%7."/>
      <w:lvlJc w:val="left"/>
      <w:pPr>
        <w:ind w:left="5910" w:hanging="360"/>
      </w:pPr>
    </w:lvl>
    <w:lvl w:ilvl="7" w:tplc="080A0019" w:tentative="1">
      <w:start w:val="1"/>
      <w:numFmt w:val="lowerLetter"/>
      <w:lvlText w:val="%8."/>
      <w:lvlJc w:val="left"/>
      <w:pPr>
        <w:ind w:left="6630" w:hanging="360"/>
      </w:pPr>
    </w:lvl>
    <w:lvl w:ilvl="8" w:tplc="080A001B" w:tentative="1">
      <w:start w:val="1"/>
      <w:numFmt w:val="lowerRoman"/>
      <w:lvlText w:val="%9."/>
      <w:lvlJc w:val="right"/>
      <w:pPr>
        <w:ind w:left="7350" w:hanging="180"/>
      </w:pPr>
    </w:lvl>
  </w:abstractNum>
  <w:abstractNum w:abstractNumId="5" w15:restartNumberingAfterBreak="0">
    <w:nsid w:val="30FA2F8C"/>
    <w:multiLevelType w:val="hybridMultilevel"/>
    <w:tmpl w:val="11A8A0E0"/>
    <w:lvl w:ilvl="0" w:tplc="C450B2A6">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C43212"/>
    <w:multiLevelType w:val="hybridMultilevel"/>
    <w:tmpl w:val="516856C8"/>
    <w:lvl w:ilvl="0" w:tplc="0409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7" w15:restartNumberingAfterBreak="0">
    <w:nsid w:val="3D4420A2"/>
    <w:multiLevelType w:val="hybridMultilevel"/>
    <w:tmpl w:val="04021A84"/>
    <w:lvl w:ilvl="0" w:tplc="53C07ED4">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16E4E23"/>
    <w:multiLevelType w:val="multilevel"/>
    <w:tmpl w:val="D9F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80611"/>
    <w:multiLevelType w:val="hybridMultilevel"/>
    <w:tmpl w:val="E7543888"/>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4CE11647"/>
    <w:multiLevelType w:val="hybridMultilevel"/>
    <w:tmpl w:val="C6BE137A"/>
    <w:lvl w:ilvl="0" w:tplc="20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2505E"/>
    <w:multiLevelType w:val="hybridMultilevel"/>
    <w:tmpl w:val="E7B00EDA"/>
    <w:lvl w:ilvl="0" w:tplc="0409000D">
      <w:start w:val="1"/>
      <w:numFmt w:val="bullet"/>
      <w:lvlText w:val=""/>
      <w:lvlJc w:val="left"/>
      <w:pPr>
        <w:ind w:left="76" w:hanging="360"/>
      </w:pPr>
      <w:rPr>
        <w:rFonts w:ascii="Wingdings" w:hAnsi="Wingding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6CB5312D"/>
    <w:multiLevelType w:val="multilevel"/>
    <w:tmpl w:val="74C8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65CD2"/>
    <w:multiLevelType w:val="hybridMultilevel"/>
    <w:tmpl w:val="40324A92"/>
    <w:lvl w:ilvl="0" w:tplc="8334F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E003EC"/>
    <w:multiLevelType w:val="multilevel"/>
    <w:tmpl w:val="2E0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1293B"/>
    <w:multiLevelType w:val="hybridMultilevel"/>
    <w:tmpl w:val="092E6D2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7F832801"/>
    <w:multiLevelType w:val="hybridMultilevel"/>
    <w:tmpl w:val="EAAC80EE"/>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14"/>
  </w:num>
  <w:num w:numId="4">
    <w:abstractNumId w:val="11"/>
  </w:num>
  <w:num w:numId="5">
    <w:abstractNumId w:val="5"/>
  </w:num>
  <w:num w:numId="6">
    <w:abstractNumId w:val="13"/>
  </w:num>
  <w:num w:numId="7">
    <w:abstractNumId w:val="9"/>
  </w:num>
  <w:num w:numId="8">
    <w:abstractNumId w:val="15"/>
  </w:num>
  <w:num w:numId="9">
    <w:abstractNumId w:val="6"/>
  </w:num>
  <w:num w:numId="10">
    <w:abstractNumId w:val="0"/>
  </w:num>
  <w:num w:numId="11">
    <w:abstractNumId w:val="4"/>
  </w:num>
  <w:num w:numId="12">
    <w:abstractNumId w:val="3"/>
  </w:num>
  <w:num w:numId="13">
    <w:abstractNumId w:val="2"/>
  </w:num>
  <w:num w:numId="14">
    <w:abstractNumId w:val="10"/>
  </w:num>
  <w:num w:numId="15">
    <w:abstractNumId w:val="1"/>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92"/>
    <w:rsid w:val="000576D3"/>
    <w:rsid w:val="000843BD"/>
    <w:rsid w:val="000E1F9C"/>
    <w:rsid w:val="000F21B0"/>
    <w:rsid w:val="001037A7"/>
    <w:rsid w:val="00122104"/>
    <w:rsid w:val="001417D2"/>
    <w:rsid w:val="00174F26"/>
    <w:rsid w:val="00177103"/>
    <w:rsid w:val="001C2EC3"/>
    <w:rsid w:val="001F0AD6"/>
    <w:rsid w:val="0029490A"/>
    <w:rsid w:val="002C77FD"/>
    <w:rsid w:val="00340EDF"/>
    <w:rsid w:val="00471B91"/>
    <w:rsid w:val="005148F1"/>
    <w:rsid w:val="00577D14"/>
    <w:rsid w:val="005D0B41"/>
    <w:rsid w:val="00654594"/>
    <w:rsid w:val="006D600F"/>
    <w:rsid w:val="00747095"/>
    <w:rsid w:val="00771103"/>
    <w:rsid w:val="007923FD"/>
    <w:rsid w:val="007C7B30"/>
    <w:rsid w:val="007E1048"/>
    <w:rsid w:val="007E495F"/>
    <w:rsid w:val="00807ED2"/>
    <w:rsid w:val="0093296F"/>
    <w:rsid w:val="0096126A"/>
    <w:rsid w:val="009624C2"/>
    <w:rsid w:val="00991A47"/>
    <w:rsid w:val="00A34CAC"/>
    <w:rsid w:val="00A721E1"/>
    <w:rsid w:val="00A9407E"/>
    <w:rsid w:val="00B110EB"/>
    <w:rsid w:val="00B208E2"/>
    <w:rsid w:val="00B67B66"/>
    <w:rsid w:val="00B70892"/>
    <w:rsid w:val="00B73A18"/>
    <w:rsid w:val="00B7706A"/>
    <w:rsid w:val="00B96CB5"/>
    <w:rsid w:val="00BA7B38"/>
    <w:rsid w:val="00BF2B27"/>
    <w:rsid w:val="00C05234"/>
    <w:rsid w:val="00C44C64"/>
    <w:rsid w:val="00CA292C"/>
    <w:rsid w:val="00D82E10"/>
    <w:rsid w:val="00E8280F"/>
    <w:rsid w:val="00EF01B3"/>
    <w:rsid w:val="00F000C1"/>
    <w:rsid w:val="00F5736D"/>
    <w:rsid w:val="00F848BF"/>
    <w:rsid w:val="00F91B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85971"/>
  <w15:docId w15:val="{CCF5EDBC-B3C3-4E83-A365-C36FD74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9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7089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892"/>
    <w:rPr>
      <w:rFonts w:asciiTheme="majorHAnsi" w:eastAsiaTheme="majorEastAsia" w:hAnsiTheme="majorHAnsi" w:cstheme="majorBidi"/>
      <w:b/>
      <w:bCs/>
      <w:color w:val="365F91" w:themeColor="accent1" w:themeShade="BF"/>
      <w:sz w:val="28"/>
      <w:szCs w:val="28"/>
      <w:lang w:val="es-MX" w:eastAsia="es-MX"/>
    </w:rPr>
  </w:style>
  <w:style w:type="table" w:styleId="Tablaconcuadrcula">
    <w:name w:val="Table Grid"/>
    <w:basedOn w:val="Tablanormal"/>
    <w:uiPriority w:val="39"/>
    <w:rsid w:val="00B70892"/>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nformatoprevioCar">
    <w:name w:val="HTML con formato previo Car"/>
    <w:basedOn w:val="Fuentedeprrafopredeter"/>
    <w:link w:val="HTMLconformatoprevio"/>
    <w:uiPriority w:val="99"/>
    <w:rsid w:val="00B70892"/>
    <w:rPr>
      <w:rFonts w:ascii="Courier New" w:eastAsia="Times New Roman" w:hAnsi="Courier New" w:cs="Courier New"/>
      <w:sz w:val="20"/>
      <w:szCs w:val="20"/>
      <w:lang w:val="es-MX" w:eastAsia="es-MX"/>
    </w:rPr>
  </w:style>
  <w:style w:type="paragraph" w:styleId="HTMLconformatoprevio">
    <w:name w:val="HTML Preformatted"/>
    <w:basedOn w:val="Normal"/>
    <w:link w:val="HTMLconformatoprevioCar"/>
    <w:uiPriority w:val="99"/>
    <w:unhideWhenUsed/>
    <w:rsid w:val="00B7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rafodelista">
    <w:name w:val="List Paragraph"/>
    <w:basedOn w:val="Normal"/>
    <w:uiPriority w:val="34"/>
    <w:qFormat/>
    <w:rsid w:val="00B70892"/>
    <w:pPr>
      <w:spacing w:line="276" w:lineRule="auto"/>
      <w:ind w:left="720"/>
      <w:contextualSpacing/>
    </w:pPr>
    <w:rPr>
      <w:rFonts w:ascii="Arial" w:eastAsia="Arial" w:hAnsi="Arial" w:cs="Arial"/>
      <w:sz w:val="22"/>
      <w:szCs w:val="22"/>
      <w:lang w:val="es"/>
    </w:rPr>
  </w:style>
  <w:style w:type="paragraph" w:styleId="Textodeglobo">
    <w:name w:val="Balloon Text"/>
    <w:basedOn w:val="Normal"/>
    <w:link w:val="TextodegloboCar"/>
    <w:uiPriority w:val="99"/>
    <w:semiHidden/>
    <w:unhideWhenUsed/>
    <w:rsid w:val="00B70892"/>
    <w:rPr>
      <w:sz w:val="18"/>
      <w:szCs w:val="18"/>
    </w:rPr>
  </w:style>
  <w:style w:type="character" w:customStyle="1" w:styleId="TextodegloboCar">
    <w:name w:val="Texto de globo Car"/>
    <w:basedOn w:val="Fuentedeprrafopredeter"/>
    <w:link w:val="Textodeglobo"/>
    <w:uiPriority w:val="99"/>
    <w:semiHidden/>
    <w:rsid w:val="00B70892"/>
    <w:rPr>
      <w:rFonts w:ascii="Times New Roman" w:eastAsia="Times New Roman" w:hAnsi="Times New Roman" w:cs="Times New Roman"/>
      <w:sz w:val="18"/>
      <w:szCs w:val="18"/>
      <w:lang w:val="es-MX" w:eastAsia="es-MX"/>
    </w:rPr>
  </w:style>
  <w:style w:type="paragraph" w:styleId="Bibliografa">
    <w:name w:val="Bibliography"/>
    <w:basedOn w:val="Normal"/>
    <w:next w:val="Normal"/>
    <w:uiPriority w:val="37"/>
    <w:unhideWhenUsed/>
    <w:rsid w:val="00B70892"/>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B70892"/>
    <w:rPr>
      <w:sz w:val="16"/>
      <w:szCs w:val="16"/>
    </w:rPr>
  </w:style>
  <w:style w:type="paragraph" w:styleId="Textocomentario">
    <w:name w:val="annotation text"/>
    <w:basedOn w:val="Normal"/>
    <w:link w:val="TextocomentarioCar"/>
    <w:uiPriority w:val="99"/>
    <w:unhideWhenUsed/>
    <w:rsid w:val="00B70892"/>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B70892"/>
    <w:rPr>
      <w:sz w:val="20"/>
      <w:szCs w:val="20"/>
      <w:lang w:val="es-MX"/>
    </w:rPr>
  </w:style>
  <w:style w:type="character" w:styleId="Textoennegrita">
    <w:name w:val="Strong"/>
    <w:basedOn w:val="Fuentedeprrafopredeter"/>
    <w:uiPriority w:val="22"/>
    <w:qFormat/>
    <w:rsid w:val="00B70892"/>
    <w:rPr>
      <w:b/>
      <w:bCs/>
    </w:rPr>
  </w:style>
  <w:style w:type="character" w:customStyle="1" w:styleId="il">
    <w:name w:val="il"/>
    <w:basedOn w:val="Fuentedeprrafopredeter"/>
    <w:rsid w:val="00B70892"/>
  </w:style>
  <w:style w:type="character" w:styleId="Hipervnculo">
    <w:name w:val="Hyperlink"/>
    <w:basedOn w:val="Fuentedeprrafopredeter"/>
    <w:uiPriority w:val="99"/>
    <w:unhideWhenUsed/>
    <w:rsid w:val="00B70892"/>
    <w:rPr>
      <w:color w:val="0000FF" w:themeColor="hyperlink"/>
      <w:u w:val="single"/>
    </w:rPr>
  </w:style>
  <w:style w:type="table" w:customStyle="1" w:styleId="Tablaconcuadrcula1clara-nfasis31">
    <w:name w:val="Tabla con cuadrícula 1 clara - Énfasis 31"/>
    <w:basedOn w:val="Tablanormal"/>
    <w:uiPriority w:val="46"/>
    <w:rsid w:val="00B70892"/>
    <w:pPr>
      <w:spacing w:after="0" w:line="240" w:lineRule="auto"/>
    </w:pPr>
    <w:rPr>
      <w:sz w:val="24"/>
      <w:szCs w:val="24"/>
      <w:lang w:val="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B70892"/>
    <w:pPr>
      <w:tabs>
        <w:tab w:val="center" w:pos="4419"/>
        <w:tab w:val="right" w:pos="8838"/>
      </w:tabs>
    </w:pPr>
  </w:style>
  <w:style w:type="character" w:customStyle="1" w:styleId="EncabezadoCar">
    <w:name w:val="Encabezado Car"/>
    <w:basedOn w:val="Fuentedeprrafopredeter"/>
    <w:link w:val="Encabezado"/>
    <w:uiPriority w:val="99"/>
    <w:rsid w:val="00B7089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70892"/>
    <w:pPr>
      <w:tabs>
        <w:tab w:val="center" w:pos="4419"/>
        <w:tab w:val="right" w:pos="8838"/>
      </w:tabs>
    </w:pPr>
  </w:style>
  <w:style w:type="character" w:customStyle="1" w:styleId="PiedepginaCar">
    <w:name w:val="Pie de página Car"/>
    <w:basedOn w:val="Fuentedeprrafopredeter"/>
    <w:link w:val="Piedepgina"/>
    <w:uiPriority w:val="99"/>
    <w:rsid w:val="00B70892"/>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B70892"/>
    <w:pPr>
      <w:spacing w:after="0"/>
    </w:pPr>
    <w:rPr>
      <w:rFonts w:ascii="Times New Roman" w:eastAsia="Times New Roman" w:hAnsi="Times New Roman" w:cs="Times New Roman"/>
      <w:b/>
      <w:bCs/>
      <w:lang w:eastAsia="es-MX"/>
    </w:rPr>
  </w:style>
  <w:style w:type="character" w:customStyle="1" w:styleId="AsuntodelcomentarioCar">
    <w:name w:val="Asunto del comentario Car"/>
    <w:basedOn w:val="TextocomentarioCar"/>
    <w:link w:val="Asuntodelcomentario"/>
    <w:uiPriority w:val="99"/>
    <w:semiHidden/>
    <w:rsid w:val="00B70892"/>
    <w:rPr>
      <w:rFonts w:ascii="Times New Roman" w:eastAsia="Times New Roman" w:hAnsi="Times New Roman" w:cs="Times New Roman"/>
      <w:b/>
      <w:bCs/>
      <w:sz w:val="20"/>
      <w:szCs w:val="20"/>
      <w:lang w:val="es-MX" w:eastAsia="es-MX"/>
    </w:rPr>
  </w:style>
  <w:style w:type="character" w:styleId="Mencinsinresolver">
    <w:name w:val="Unresolved Mention"/>
    <w:basedOn w:val="Fuentedeprrafopredeter"/>
    <w:uiPriority w:val="99"/>
    <w:semiHidden/>
    <w:unhideWhenUsed/>
    <w:rsid w:val="00C05234"/>
    <w:rPr>
      <w:color w:val="605E5C"/>
      <w:shd w:val="clear" w:color="auto" w:fill="E1DFDD"/>
    </w:rPr>
  </w:style>
  <w:style w:type="character" w:customStyle="1" w:styleId="orcid-id-https">
    <w:name w:val="orcid-id-https"/>
    <w:basedOn w:val="Fuentedeprrafopredeter"/>
    <w:rsid w:val="00C0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8617">
      <w:bodyDiv w:val="1"/>
      <w:marLeft w:val="0"/>
      <w:marRight w:val="0"/>
      <w:marTop w:val="0"/>
      <w:marBottom w:val="0"/>
      <w:divBdr>
        <w:top w:val="none" w:sz="0" w:space="0" w:color="auto"/>
        <w:left w:val="none" w:sz="0" w:space="0" w:color="auto"/>
        <w:bottom w:val="none" w:sz="0" w:space="0" w:color="auto"/>
        <w:right w:val="none" w:sz="0" w:space="0" w:color="auto"/>
      </w:divBdr>
    </w:div>
    <w:div w:id="384765179">
      <w:bodyDiv w:val="1"/>
      <w:marLeft w:val="0"/>
      <w:marRight w:val="0"/>
      <w:marTop w:val="0"/>
      <w:marBottom w:val="0"/>
      <w:divBdr>
        <w:top w:val="none" w:sz="0" w:space="0" w:color="auto"/>
        <w:left w:val="none" w:sz="0" w:space="0" w:color="auto"/>
        <w:bottom w:val="none" w:sz="0" w:space="0" w:color="auto"/>
        <w:right w:val="none" w:sz="0" w:space="0" w:color="auto"/>
      </w:divBdr>
    </w:div>
    <w:div w:id="6242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Users\thelmanunezamaro\Documents\PUBLICACIONES\nuevas%20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4B-6045-9BAE-B587C1D7EF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4B-6045-9BAE-B587C1D7EF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4B-6045-9BAE-B587C1D7EF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4B-6045-9BAE-B587C1D7EFD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4B-6045-9BAE-B587C1D7EF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Hoja1!$A$76:$A$80</c:f>
              <c:strCache>
                <c:ptCount val="5"/>
                <c:pt idx="0">
                  <c:v>Licenciatura en Administración de Empresas</c:v>
                </c:pt>
                <c:pt idx="1">
                  <c:v>Ingeniería en Innovación Agrícola Sustentable</c:v>
                </c:pt>
                <c:pt idx="2">
                  <c:v>Ingenieria en Sistemas Computacionales</c:v>
                </c:pt>
                <c:pt idx="3">
                  <c:v>Licenciatura en Contabilidad</c:v>
                </c:pt>
                <c:pt idx="4">
                  <c:v>Otras</c:v>
                </c:pt>
              </c:strCache>
            </c:strRef>
          </c:cat>
          <c:val>
            <c:numRef>
              <c:f>Hoja1!$B$76:$B$80</c:f>
              <c:numCache>
                <c:formatCode>General</c:formatCode>
                <c:ptCount val="5"/>
                <c:pt idx="0">
                  <c:v>29</c:v>
                </c:pt>
                <c:pt idx="1">
                  <c:v>10</c:v>
                </c:pt>
                <c:pt idx="2">
                  <c:v>8</c:v>
                </c:pt>
                <c:pt idx="3">
                  <c:v>6</c:v>
                </c:pt>
                <c:pt idx="4">
                  <c:v>86</c:v>
                </c:pt>
              </c:numCache>
            </c:numRef>
          </c:val>
          <c:extLst>
            <c:ext xmlns:c16="http://schemas.microsoft.com/office/drawing/2014/chart" uri="{C3380CC4-5D6E-409C-BE32-E72D297353CC}">
              <c16:uniqueId val="{0000000A-8F4B-6045-9BAE-B587C1D7EF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INE18</b:Tag>
    <b:SourceType>JournalArticle</b:SourceType>
    <b:Guid>{43A4D43F-2457-7F48-A24E-2B1BB370B829}</b:Guid>
    <b:Author>
      <b:Author>
        <b:NameList>
          <b:Person>
            <b:Last>INEE</b:Last>
          </b:Person>
        </b:NameList>
      </b:Author>
    </b:Author>
    <b:Title>Educación Media Superior: Los Desafios</b:Title>
    <b:JournalName>Revista de Evaluación para docentes y directivos</b:JournalName>
    <b:Year>2018</b:Year>
    <b:Pages>Pag. 5</b:Pages>
    <b:RefOrder>2</b:RefOrder>
  </b:Source>
  <b:Source>
    <b:Tag>SEM18</b:Tag>
    <b:SourceType>Misc</b:SourceType>
    <b:Guid>{21E12BC9-9992-0A4D-A62B-13D1798856D4}</b:Guid>
    <b:Author>
      <b:Author>
        <b:NameList>
          <b:Person>
            <b:Last>SEMS</b:Last>
          </b:Person>
        </b:NameList>
      </b:Author>
    </b:Author>
    <b:Title>Documento Base del Telebachillerato Comunitario 2a. Edición</b:Title>
    <b:Year>2018</b:Year>
    <b:CountryRegion>México</b:CountryRegion>
    <b:RefOrder>4</b:RefOrder>
  </b:Source>
  <b:Source>
    <b:Tag>INE181</b:Tag>
    <b:SourceType>ElectronicSource</b:SourceType>
    <b:Guid>{B690433E-182D-B442-89AA-65E7BAE65149}</b:Guid>
    <b:Author>
      <b:Author>
        <b:NameList>
          <b:Person>
            <b:Last>INEE</b:Last>
          </b:Person>
        </b:NameList>
      </b:Author>
    </b:Author>
    <b:Title>Principales cifras. Educacion básica y media superior. Inicio del ciclo escolar 2017-2018</b:Title>
    <b:City>México</b:City>
    <b:Year>2018</b:Year>
    <b:RefOrder>5</b:RefOrder>
  </b:Source>
  <b:Source>
    <b:Tag>Bar12</b:Tag>
    <b:SourceType>Book</b:SourceType>
    <b:Guid>{CFFE821A-C347-D54A-9377-697F53A832FA}</b:Guid>
    <b:Author>
      <b:Author>
        <b:NameList>
          <b:Person>
            <b:Last>Barriga</b:Last>
            <b:First>Frida</b:First>
            <b:Middle>Diaz</b:Middle>
          </b:Person>
          <b:Person>
            <b:Last>Gonzalez</b:Last>
            <b:First>Maria</b:First>
            <b:Middle>de Lourdes</b:Middle>
          </b:Person>
          <b:Person>
            <b:Last>Pacheco Pinzon</b:Last>
            <b:First>Diana</b:First>
          </b:Person>
          <b:Person>
            <b:Last>Saad Dayan</b:Last>
            <b:First>Elisa</b:First>
          </b:Person>
          <b:Person>
            <b:Last>Rojas Drummond</b:Last>
            <b:First>Silvia</b:First>
          </b:Person>
        </b:NameList>
      </b:Author>
    </b:Author>
    <b:Title>Metodología del Diseño Curricular</b:Title>
    <b:City>México</b:City>
    <b:Publisher>Trillas</b:Publisher>
    <b:Year>1990 Reimp.2012</b:Year>
    <b:RefOrder>6</b:RefOrder>
  </b:Source>
  <b:Source>
    <b:Tag>SEM16</b:Tag>
    <b:SourceType>Misc</b:SourceType>
    <b:Guid>{FFD368EA-DBA7-8248-B544-171CA631B6C2}</b:Guid>
    <b:Author>
      <b:Author>
        <b:NameList>
          <b:Person>
            <b:Last>SEMS</b:Last>
          </b:Person>
        </b:NameList>
      </b:Author>
    </b:Author>
    <b:Title>Documento Base del  Telebachillerato Comunitario. 1a. Edición</b:Title>
    <b:Year>2016</b:Year>
    <b:CountryRegion>México</b:CountryRegion>
    <b:RefOrder>7</b:RefOrder>
  </b:Source>
  <b:Source>
    <b:Tag>DIR19</b:Tag>
    <b:SourceType>DocumentFromInternetSite</b:SourceType>
    <b:Guid>{159B87E8-8224-FC44-BAE1-625B27A9C0E8}</b:Guid>
    <b:Author>
      <b:Author>
        <b:NameList>
          <b:Person>
            <b:Last>DGB</b:Last>
          </b:Person>
        </b:NameList>
      </b:Author>
    </b:Author>
    <b:Title>Profesiograma para el Telebachillerato Comunitario por Área Disciplinar</b:Title>
    <b:Year>2019</b:Year>
    <b:URL>https://www.dgb.sep.gob.mx/servicios-educativos/telebachillerato/normatividad/Profesiograma-2-19-Actualizacion.pdf</b:URL>
    <b:RefOrder>8</b:RefOrder>
  </b:Source>
  <b:Source>
    <b:Tag>Gar171</b:Tag>
    <b:SourceType>ElectronicSource</b:SourceType>
    <b:Guid>{A55DAEB5-E63A-3C48-ABE3-5E46C2EA3807}</b:Guid>
    <b:Author>
      <b:Author>
        <b:NameList>
          <b:Person>
            <b:Last>García</b:Last>
            <b:First>Rosana</b:First>
            <b:Middle>Santiago</b:Middle>
          </b:Person>
          <b:Person>
            <b:Last>Fonseca Bautista</b:Last>
            <b:Middle>Dario</b:Middle>
            <b:First>Cesar </b:First>
          </b:Person>
          <b:Person>
            <b:Last>Ibarra Uribe</b:Last>
            <b:Middle>Marina</b:Middle>
            <b:First>Luz </b:First>
          </b:Person>
        </b:NameList>
      </b:Author>
    </b:Author>
    <b:Title>Seguimiento de Egresados en Educacion Media Superior. Una tarea pendiente y necesaria. COMIE</b:Title>
    <b:City>San Luis Potosi</b:City>
    <b:CountryRegion>México</b:CountryRegion>
    <b:Year>2017</b:Year>
    <b:RefOrder>9</b:RefOrder>
  </b:Source>
  <b:Source>
    <b:Tag>Sam14</b:Tag>
    <b:SourceType>Book</b:SourceType>
    <b:Guid>{A5D7D2DD-E776-6647-9D3A-00A76D9DE28C}</b:Guid>
    <b:Title>Metodología de la Investigación</b:Title>
    <b:Year>2014</b:Year>
    <b:Author>
      <b:Author>
        <b:NameList>
          <b:Person>
            <b:Last>Sampieri</b:Last>
            <b:First>Roberto</b:First>
            <b:Middle>Hernández</b:Middle>
          </b:Person>
          <b:Person>
            <b:Last>Fernandez </b:Last>
            <b:Middle>Carlos</b:Middle>
            <b:First>Collado</b:First>
          </b:Person>
          <b:Person>
            <b:Last>Baptista</b:Last>
            <b:Middle>Pilar</b:Middle>
            <b:First>Lucio</b:First>
          </b:Person>
        </b:NameList>
      </b:Author>
    </b:Author>
    <b:City>México</b:City>
    <b:Publisher>Mc Graw Hill</b:Publisher>
    <b:RefOrder>4</b:RefOrder>
  </b:Source>
  <b:Source>
    <b:Tag>Rob</b:Tag>
    <b:SourceType>Book</b:SourceType>
    <b:Guid>{10525261-28FC-6C49-BF79-1CCA02A00A3F}</b:Guid>
    <b:Author>
      <b:Author>
        <b:NameList>
          <b:Person>
            <b:Last>Yin</b:Last>
            <b:First>Robert</b:First>
            <b:Middle>K.</b:Middle>
          </b:Person>
        </b:NameList>
      </b:Author>
    </b:Author>
    <b:Title>Investigación sobre estudio de casos</b:Title>
    <b:City>London</b:City>
    <b:Publisher>SAGE</b:Publisher>
    <b:Year>1994</b:Year>
    <b:RefOrder>5</b:RefOrder>
  </b:Source>
</b:Sources>
</file>

<file path=customXml/itemProps1.xml><?xml version="1.0" encoding="utf-8"?>
<ds:datastoreItem xmlns:ds="http://schemas.openxmlformats.org/officeDocument/2006/customXml" ds:itemID="{BC094EDD-826C-4B52-B050-172E8C34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6900</Words>
  <Characters>37952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23</cp:revision>
  <dcterms:created xsi:type="dcterms:W3CDTF">2020-12-27T15:19:00Z</dcterms:created>
  <dcterms:modified xsi:type="dcterms:W3CDTF">2021-01-12T19:42:00Z</dcterms:modified>
</cp:coreProperties>
</file>