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68EC" w14:textId="73E0F01F" w:rsidR="007F799E" w:rsidRPr="004F173C" w:rsidRDefault="004F173C" w:rsidP="00B44F32">
      <w:pPr>
        <w:pStyle w:val="Textoindependiente"/>
        <w:spacing w:before="240" w:line="360" w:lineRule="auto"/>
        <w:ind w:left="708" w:hanging="70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43223341"/>
      <w:r w:rsidRPr="004F173C">
        <w:rPr>
          <w:rFonts w:ascii="Times New Roman" w:hAnsi="Times New Roman"/>
          <w:b/>
          <w:bCs/>
          <w:i/>
          <w:iCs/>
          <w:sz w:val="24"/>
          <w:szCs w:val="24"/>
        </w:rPr>
        <w:t>https://doi.org/10.23913/ride.v11i22.865</w:t>
      </w:r>
    </w:p>
    <w:p w14:paraId="7C5ECBCB" w14:textId="5BBD1CA3" w:rsidR="007F799E" w:rsidRDefault="007F799E" w:rsidP="007F799E">
      <w:pPr>
        <w:pStyle w:val="Textoindependiente"/>
        <w:spacing w:before="240" w:line="36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</w:pPr>
      <w:r w:rsidRPr="003E3D51">
        <w:rPr>
          <w:rFonts w:ascii="Times New Roman" w:hAnsi="Times New Roman"/>
          <w:b/>
          <w:bCs/>
          <w:i/>
          <w:iCs/>
          <w:sz w:val="24"/>
          <w:szCs w:val="24"/>
        </w:rPr>
        <w:t>Artículos científicos</w:t>
      </w:r>
    </w:p>
    <w:p w14:paraId="1BD5E9DB" w14:textId="3532E3ED" w:rsidR="00B36A36" w:rsidRPr="007F799E" w:rsidRDefault="00B36A36" w:rsidP="007F799E">
      <w:pPr>
        <w:pStyle w:val="Textoindependiente"/>
        <w:spacing w:after="0"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Recursos </w:t>
      </w:r>
      <w:r w:rsidR="00C7756E"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educativos abiertos </w:t>
      </w:r>
      <w:r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y políticas </w:t>
      </w:r>
      <w:r w:rsidR="006C2667"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institucionales </w:t>
      </w:r>
      <w:r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en </w:t>
      </w:r>
      <w:r w:rsidR="00C7756E"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universidades públicas </w:t>
      </w:r>
      <w:bookmarkEnd w:id="0"/>
      <w:r w:rsidR="00C7756E"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mexicanas</w:t>
      </w:r>
      <w:r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: </w:t>
      </w:r>
      <w:r w:rsidR="00C7756E"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estudio </w:t>
      </w:r>
      <w:r w:rsidRPr="007F799E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de caso</w:t>
      </w:r>
    </w:p>
    <w:p w14:paraId="78793A84" w14:textId="128E7CC5" w:rsidR="00C2337B" w:rsidRPr="005C46BC" w:rsidRDefault="007F799E" w:rsidP="007F799E">
      <w:pPr>
        <w:pStyle w:val="Textoindependiente"/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4F173C">
        <w:rPr>
          <w:rFonts w:ascii="Calibri" w:eastAsia="Times New Roman" w:hAnsi="Calibri" w:cs="Calibri"/>
          <w:b/>
          <w:color w:val="000000"/>
          <w:sz w:val="36"/>
          <w:szCs w:val="36"/>
          <w:lang w:val="en-US" w:eastAsia="es-MX"/>
        </w:rPr>
        <w:br/>
      </w:r>
      <w:r w:rsidR="00C2337B" w:rsidRPr="005C46B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Open Educational Resources and </w:t>
      </w:r>
      <w:r w:rsidR="00C7756E" w:rsidRPr="005C46B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Institutional Policies </w:t>
      </w:r>
      <w:r w:rsidR="00C2337B" w:rsidRPr="005C46B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in Mexican Public Universities: Case Study</w:t>
      </w:r>
    </w:p>
    <w:p w14:paraId="1A7217D9" w14:textId="7F555F43" w:rsidR="007F799E" w:rsidRPr="007F799E" w:rsidRDefault="007F799E" w:rsidP="007F799E">
      <w:pPr>
        <w:pStyle w:val="Textoindependiente"/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 w:rsidRPr="004F173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Recursos </w:t>
      </w:r>
      <w:proofErr w:type="spellStart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educacionais</w:t>
      </w:r>
      <w:proofErr w:type="spellEnd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abertos</w:t>
      </w:r>
      <w:proofErr w:type="spellEnd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 políticas </w:t>
      </w:r>
      <w:proofErr w:type="spellStart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institucionais</w:t>
      </w:r>
      <w:proofErr w:type="spellEnd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em universidades públicas mexicanas: </w:t>
      </w:r>
      <w:proofErr w:type="spellStart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um</w:t>
      </w:r>
      <w:proofErr w:type="spellEnd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estudo</w:t>
      </w:r>
      <w:proofErr w:type="spellEnd"/>
      <w:r w:rsidRPr="007F799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de caso</w:t>
      </w:r>
    </w:p>
    <w:p w14:paraId="64932502" w14:textId="77777777" w:rsidR="005C36C5" w:rsidRPr="007F799E" w:rsidRDefault="005C36C5" w:rsidP="005C36C5">
      <w:pPr>
        <w:pStyle w:val="Textoindependiente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14:paraId="5DC6D07D" w14:textId="583E10F9" w:rsidR="006C2667" w:rsidRPr="007F799E" w:rsidRDefault="006C2667" w:rsidP="007F799E">
      <w:pPr>
        <w:pStyle w:val="Textoindependiente"/>
        <w:spacing w:after="0" w:line="276" w:lineRule="auto"/>
        <w:jc w:val="right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7F799E">
        <w:rPr>
          <w:rFonts w:cstheme="minorHAnsi"/>
          <w:b/>
          <w:color w:val="000000" w:themeColor="text1"/>
          <w:sz w:val="24"/>
          <w:szCs w:val="24"/>
          <w:lang w:val="es-MX"/>
        </w:rPr>
        <w:t>Serafín Ángel Torres Velandia</w:t>
      </w:r>
    </w:p>
    <w:p w14:paraId="6E15DFF8" w14:textId="77777777" w:rsidR="007F799E" w:rsidRPr="007F799E" w:rsidRDefault="007F799E" w:rsidP="007F799E">
      <w:pPr>
        <w:pStyle w:val="Textoindependiente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9E">
        <w:rPr>
          <w:rFonts w:ascii="Times New Roman" w:hAnsi="Times New Roman" w:cs="Times New Roman"/>
          <w:sz w:val="24"/>
          <w:szCs w:val="24"/>
        </w:rPr>
        <w:t>Universidad Autónoma del Estado de Morelos, México</w:t>
      </w:r>
    </w:p>
    <w:p w14:paraId="227F8CD4" w14:textId="01E0D2B9" w:rsidR="007F799E" w:rsidRPr="00D03F3B" w:rsidRDefault="00817F95" w:rsidP="007F799E">
      <w:pPr>
        <w:pStyle w:val="Textoindependiente"/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D03F3B">
        <w:rPr>
          <w:rFonts w:cstheme="minorHAnsi"/>
          <w:color w:val="FF0000"/>
          <w:sz w:val="24"/>
          <w:szCs w:val="24"/>
        </w:rPr>
        <w:t>angelt@uaem.mx</w:t>
      </w:r>
    </w:p>
    <w:p w14:paraId="14A31ECB" w14:textId="48E1E5AD" w:rsidR="00817F95" w:rsidRPr="00D03F3B" w:rsidRDefault="00D03F3B" w:rsidP="00817F95">
      <w:pPr>
        <w:pStyle w:val="Textoindependiente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http://orcid.org/</w:t>
      </w:r>
      <w:r w:rsidR="00817F95" w:rsidRPr="00D03F3B">
        <w:rPr>
          <w:rFonts w:ascii="Times New Roman" w:hAnsi="Times New Roman" w:cs="Times New Roman"/>
          <w:sz w:val="24"/>
          <w:szCs w:val="24"/>
        </w:rPr>
        <w:t>0000</w:t>
      </w:r>
      <w:r w:rsidRPr="00D03F3B">
        <w:rPr>
          <w:rFonts w:ascii="Times New Roman" w:hAnsi="Times New Roman" w:cs="Times New Roman"/>
          <w:sz w:val="24"/>
          <w:szCs w:val="24"/>
        </w:rPr>
        <w:t>-</w:t>
      </w:r>
      <w:r w:rsidR="00817F95" w:rsidRPr="00D03F3B">
        <w:rPr>
          <w:rFonts w:ascii="Times New Roman" w:hAnsi="Times New Roman" w:cs="Times New Roman"/>
          <w:sz w:val="24"/>
          <w:szCs w:val="24"/>
        </w:rPr>
        <w:t>0002</w:t>
      </w:r>
      <w:r w:rsidRPr="00D03F3B">
        <w:rPr>
          <w:rFonts w:ascii="Times New Roman" w:hAnsi="Times New Roman" w:cs="Times New Roman"/>
          <w:sz w:val="24"/>
          <w:szCs w:val="24"/>
        </w:rPr>
        <w:t>-</w:t>
      </w:r>
      <w:r w:rsidR="00817F95" w:rsidRPr="00D03F3B">
        <w:rPr>
          <w:rFonts w:ascii="Times New Roman" w:hAnsi="Times New Roman" w:cs="Times New Roman"/>
          <w:sz w:val="24"/>
          <w:szCs w:val="24"/>
        </w:rPr>
        <w:t>1854</w:t>
      </w:r>
      <w:r w:rsidRPr="00D03F3B">
        <w:rPr>
          <w:rFonts w:ascii="Times New Roman" w:hAnsi="Times New Roman" w:cs="Times New Roman"/>
          <w:sz w:val="24"/>
          <w:szCs w:val="24"/>
        </w:rPr>
        <w:t>-</w:t>
      </w:r>
      <w:r w:rsidR="00817F95" w:rsidRPr="00D03F3B">
        <w:rPr>
          <w:rFonts w:ascii="Times New Roman" w:hAnsi="Times New Roman" w:cs="Times New Roman"/>
          <w:sz w:val="24"/>
          <w:szCs w:val="24"/>
        </w:rPr>
        <w:t>8192</w:t>
      </w:r>
    </w:p>
    <w:p w14:paraId="79FE9B28" w14:textId="7ADF0D53" w:rsidR="00F23A00" w:rsidRPr="007F799E" w:rsidRDefault="00F23A00" w:rsidP="00AC50FE">
      <w:pPr>
        <w:pStyle w:val="Textoindependiente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14:paraId="11BAACAE" w14:textId="73F641F2" w:rsidR="000A496F" w:rsidRPr="007F799E" w:rsidRDefault="00B36A36" w:rsidP="007F799E">
      <w:pPr>
        <w:pStyle w:val="Textoindependiente"/>
        <w:spacing w:after="0" w:line="360" w:lineRule="auto"/>
        <w:ind w:left="3119"/>
        <w:jc w:val="right"/>
        <w:rPr>
          <w:rFonts w:ascii="Times New Roman" w:hAnsi="Times New Roman" w:cs="Times New Roman"/>
          <w:bCs/>
          <w:iCs/>
          <w:color w:val="000000" w:themeColor="text1"/>
          <w:lang w:val="es-MX"/>
        </w:rPr>
      </w:pPr>
      <w:bookmarkStart w:id="1" w:name="_Hlk43121580"/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COVID-19 ha resultado en una crisis de aprendizaje que necesita nuestro apoyo</w:t>
      </w:r>
      <w:r w:rsidR="005C36C5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 </w:t>
      </w:r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colectivo. Los principios de apertura, intercambio y colaboración</w:t>
      </w:r>
      <w:r w:rsidR="005C36C5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 </w:t>
      </w:r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que caracterizan el movimiento </w:t>
      </w:r>
      <w:r w:rsidR="002B7720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recursos educativos abiertos </w:t>
      </w:r>
      <w:r w:rsidR="00DF42D7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(</w:t>
      </w:r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REA</w:t>
      </w:r>
      <w:r w:rsidR="00DF42D7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)</w:t>
      </w:r>
      <w:r w:rsidR="00C7756E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 </w:t>
      </w:r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nos guiarán en nuestra respuesta</w:t>
      </w:r>
      <w:r w:rsidR="005C36C5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 xml:space="preserve"> </w:t>
      </w:r>
      <w:r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colectiva a esta crisis</w:t>
      </w:r>
      <w:r w:rsidR="00305732" w:rsidRPr="007F799E">
        <w:rPr>
          <w:rFonts w:ascii="Times New Roman" w:hAnsi="Times New Roman" w:cs="Times New Roman"/>
          <w:bCs/>
          <w:iCs/>
          <w:color w:val="000000" w:themeColor="text1"/>
          <w:lang w:val="es-MX"/>
        </w:rPr>
        <w:t>.</w:t>
      </w:r>
    </w:p>
    <w:bookmarkEnd w:id="1"/>
    <w:p w14:paraId="417F53C5" w14:textId="30EB8CF9" w:rsidR="00B36A36" w:rsidRPr="007F799E" w:rsidRDefault="00B36A36" w:rsidP="00AC50FE">
      <w:pPr>
        <w:pStyle w:val="Textoindependiente"/>
        <w:spacing w:after="0" w:line="360" w:lineRule="auto"/>
        <w:jc w:val="right"/>
        <w:rPr>
          <w:rFonts w:ascii="Times New Roman" w:hAnsi="Times New Roman" w:cs="Times New Roman"/>
          <w:bCs/>
          <w:iCs/>
          <w:smallCaps/>
          <w:color w:val="000000" w:themeColor="text1"/>
          <w:sz w:val="24"/>
          <w:szCs w:val="24"/>
          <w:lang w:val="es-MX"/>
        </w:rPr>
      </w:pPr>
      <w:proofErr w:type="spellStart"/>
      <w:r w:rsidRPr="007F799E">
        <w:rPr>
          <w:rFonts w:ascii="Times New Roman" w:hAnsi="Times New Roman" w:cs="Times New Roman"/>
          <w:bCs/>
          <w:iCs/>
          <w:smallCaps/>
          <w:color w:val="000000" w:themeColor="text1"/>
          <w:lang w:val="es-MX"/>
        </w:rPr>
        <w:t>Asha</w:t>
      </w:r>
      <w:proofErr w:type="spellEnd"/>
      <w:r w:rsidRPr="007F799E">
        <w:rPr>
          <w:rFonts w:ascii="Times New Roman" w:hAnsi="Times New Roman" w:cs="Times New Roman"/>
          <w:bCs/>
          <w:iCs/>
          <w:smallCaps/>
          <w:color w:val="000000" w:themeColor="text1"/>
          <w:lang w:val="es-MX"/>
        </w:rPr>
        <w:t xml:space="preserve"> </w:t>
      </w:r>
      <w:proofErr w:type="spellStart"/>
      <w:r w:rsidRPr="007F799E">
        <w:rPr>
          <w:rFonts w:ascii="Times New Roman" w:hAnsi="Times New Roman" w:cs="Times New Roman"/>
          <w:bCs/>
          <w:iCs/>
          <w:smallCaps/>
          <w:color w:val="000000" w:themeColor="text1"/>
          <w:lang w:val="es-MX"/>
        </w:rPr>
        <w:t>Kanwa</w:t>
      </w:r>
      <w:r w:rsidR="00BE1207" w:rsidRPr="007F799E">
        <w:rPr>
          <w:rFonts w:ascii="Times New Roman" w:hAnsi="Times New Roman" w:cs="Times New Roman"/>
          <w:bCs/>
          <w:iCs/>
          <w:smallCaps/>
          <w:color w:val="000000" w:themeColor="text1"/>
          <w:lang w:val="es-MX"/>
        </w:rPr>
        <w:t>r</w:t>
      </w:r>
      <w:proofErr w:type="spellEnd"/>
    </w:p>
    <w:p w14:paraId="1F022823" w14:textId="77777777" w:rsidR="00DF42D7" w:rsidRPr="00DE116E" w:rsidRDefault="00DF42D7" w:rsidP="00AC50FE">
      <w:pPr>
        <w:pStyle w:val="Lista2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</w:p>
    <w:p w14:paraId="6FE35E6F" w14:textId="77777777" w:rsidR="00C40DF3" w:rsidRPr="007F799E" w:rsidRDefault="00C40DF3" w:rsidP="00AC50FE">
      <w:pPr>
        <w:spacing w:after="0" w:line="360" w:lineRule="auto"/>
        <w:contextualSpacing/>
        <w:jc w:val="both"/>
        <w:rPr>
          <w:rFonts w:cstheme="minorHAnsi"/>
          <w:b/>
          <w:bCs/>
          <w:color w:val="000000" w:themeColor="text1"/>
          <w:sz w:val="28"/>
          <w:szCs w:val="28"/>
          <w:lang w:val="es-MX"/>
        </w:rPr>
      </w:pPr>
      <w:r w:rsidRPr="007F799E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>Resumen</w:t>
      </w:r>
    </w:p>
    <w:p w14:paraId="2FA599C7" w14:textId="08DE00AD" w:rsidR="00C40DF3" w:rsidRPr="00DE116E" w:rsidRDefault="00C40DF3" w:rsidP="00AC50F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2" w:name="_Hlk44930766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movimiento de </w:t>
      </w:r>
      <w:bookmarkStart w:id="3" w:name="_Hlk45712665"/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recursos educativos abiertos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(REA)</w:t>
      </w:r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End w:id="3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circunscribe en la tendencia de </w:t>
      </w:r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ciencia abierta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impacta en el ámbito de la educación superior. </w:t>
      </w:r>
      <w:bookmarkStart w:id="4" w:name="_Hlk45626581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investigación tuvo como objetivo identificar el estado actual de las políticas educativas institucionales de las </w:t>
      </w:r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universidades públicas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estatales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relación con los 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la percepción de los docentes e investigadores de la Universidad Autónoma del Estado de Morelos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(UAEM)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México.</w:t>
      </w:r>
      <w:bookmarkEnd w:id="4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utilizó una metodología con perspectiva cualitativa y enfoque exploratorio descriptivo. Al claustro de profesores se envió, en febrero del </w:t>
      </w:r>
      <w:r w:rsidR="00975F7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2020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una guía de consulta con posibilidad de respuestas libres y abiertas</w:t>
      </w:r>
      <w:r w:rsidR="00D55B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 el propósito de conocer las percepciones que tienen </w:t>
      </w:r>
      <w:r w:rsidR="007A617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respecto </w:t>
      </w:r>
      <w:r w:rsidR="007A617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políticas educativas existentes en su institución para el diseño y elaboración de </w:t>
      </w:r>
      <w:r w:rsidR="0074650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Se obtuvo un total de 25 contribuciones que integraron el 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corpus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análisis.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base en el estudio exploratorio de las 35 </w:t>
      </w:r>
      <w:bookmarkStart w:id="5" w:name="_Hlk45713343"/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universidades públicas estatales </w:t>
      </w:r>
      <w:bookmarkEnd w:id="5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registró la Secretaría de Educación Pública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(SEP)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obtuvieron los siguientes hallazgos: </w:t>
      </w:r>
      <w:r w:rsidR="004D73D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4D73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ichas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universidades carecen de políticas institucionales que les permita integrar los 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los </w:t>
      </w:r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programas institucionales de desarrollo educativo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 se han implementado en cada una de ellas. </w:t>
      </w:r>
      <w:r w:rsidR="000A4C9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Igualmente,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no disponen de 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="00C7756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epositorios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materiales educativos abiertos, </w:t>
      </w:r>
      <w:r w:rsidR="006E5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excepción de la 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es la única que publica una </w:t>
      </w:r>
      <w:proofErr w:type="spellStart"/>
      <w:r w:rsidR="00C7756E" w:rsidRP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metabase</w:t>
      </w:r>
      <w:proofErr w:type="spellEnd"/>
      <w:r w:rsidR="00C7756E" w:rsidRP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recursos educativos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a cargo del </w:t>
      </w:r>
      <w:r w:rsidRPr="00DE1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Programa de Formación Multimodal</w:t>
      </w:r>
      <w:r w:rsidRPr="00DE116E">
        <w:rPr>
          <w:rFonts w:ascii="Arial" w:hAnsi="Arial" w:cs="Arial"/>
          <w:color w:val="222222"/>
          <w:shd w:val="clear" w:color="auto" w:fill="FFFFFF"/>
          <w:lang w:val="es-MX"/>
        </w:rPr>
        <w:t>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Extraña que en los resultados de la consulta la mayoría ignora la existencia de políticas institucionales </w:t>
      </w:r>
      <w:r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ad hoc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del mencionado repositorio. </w:t>
      </w:r>
      <w:r w:rsidRPr="00DE116E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sugiere que las </w:t>
      </w:r>
      <w:r w:rsidR="00BE1E1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públicas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frente a la grave crisis causada por el</w:t>
      </w:r>
      <w:r w:rsidRPr="00DE116E">
        <w:rPr>
          <w:rFonts w:ascii="Arial" w:hAnsi="Arial" w:cs="Arial"/>
          <w:color w:val="4D5156"/>
          <w:sz w:val="21"/>
          <w:szCs w:val="21"/>
          <w:shd w:val="clear" w:color="auto" w:fill="FFFFFF"/>
          <w:lang w:val="es-MX"/>
        </w:rPr>
        <w:t xml:space="preserve"> </w:t>
      </w:r>
      <w:r w:rsidR="00BE1E1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c</w:t>
      </w:r>
      <w:r w:rsidR="00BE1E15" w:rsidRPr="00DE116E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oronavirus </w:t>
      </w:r>
      <w:r w:rsidRPr="00DE116E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19,</w:t>
      </w:r>
      <w:r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apliquen las políticas y estrategias relevantes que la Coalición Mundial para la Educación 2020, liderada </w:t>
      </w:r>
      <w:bookmarkStart w:id="6" w:name="_Hlk45877754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por la </w:t>
      </w:r>
      <w:r w:rsidRPr="00DE116E">
        <w:rPr>
          <w:rFonts w:ascii="Times New Roman" w:hAnsi="Times New Roman" w:cs="Times New Roman"/>
          <w:sz w:val="24"/>
          <w:szCs w:val="24"/>
          <w:lang w:val="es-MX"/>
        </w:rPr>
        <w:t>Organización de las Naciones Unidas para la Educación, la Ciencia y la Cultura</w:t>
      </w:r>
      <w:r w:rsidR="00BE1E15">
        <w:rPr>
          <w:rFonts w:ascii="Times New Roman" w:hAnsi="Times New Roman" w:cs="Times New Roman"/>
          <w:sz w:val="24"/>
          <w:szCs w:val="24"/>
          <w:lang w:val="es-MX"/>
        </w:rPr>
        <w:t xml:space="preserve"> (Unesco)</w:t>
      </w:r>
      <w:r w:rsidRPr="00DE116E">
        <w:rPr>
          <w:rFonts w:ascii="Times New Roman" w:hAnsi="Times New Roman" w:cs="Times New Roman"/>
          <w:sz w:val="24"/>
          <w:szCs w:val="24"/>
          <w:lang w:val="es-MX"/>
        </w:rPr>
        <w:t>,</w:t>
      </w:r>
      <w:bookmarkEnd w:id="6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ha propuesto en función del desarrollo de sistemas de educación abierta y flexible en beneficio de estudiantes y jóvenes que enfrentan, fueras de sus aulas, la continuidad de sus estudios. </w:t>
      </w:r>
    </w:p>
    <w:bookmarkEnd w:id="2"/>
    <w:p w14:paraId="207679A4" w14:textId="67FCB510" w:rsidR="00C40DF3" w:rsidRPr="00DE116E" w:rsidRDefault="00C40DF3" w:rsidP="00AC5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F799E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>Palabras clave: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F47AE" w:rsidRPr="00DE116E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docentes, políticas y programas educativos,</w:t>
      </w:r>
      <w:r w:rsidR="00D97414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D97414" w:rsidRPr="00DE116E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recursos </w:t>
      </w:r>
      <w:r w:rsidR="00D97414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educativos abiertos</w:t>
      </w:r>
      <w:r w:rsidR="00D97414" w:rsidRPr="00DE116E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</w:t>
      </w:r>
      <w:r w:rsidR="00D97414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CF47AE" w:rsidRPr="00DE116E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universidades públicas.</w:t>
      </w:r>
    </w:p>
    <w:p w14:paraId="3CBF2D2D" w14:textId="77777777" w:rsidR="009007FA" w:rsidRPr="00394827" w:rsidRDefault="009007FA" w:rsidP="00AC50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4F6CF" w14:textId="77777777" w:rsidR="009007FA" w:rsidRPr="005C46BC" w:rsidRDefault="009007FA" w:rsidP="00AC50F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5C46BC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Abstract </w:t>
      </w:r>
    </w:p>
    <w:p w14:paraId="7BE7615C" w14:textId="295C21B9" w:rsidR="009007FA" w:rsidRDefault="009007FA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D97414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open educational resources </w:t>
      </w:r>
      <w:r w:rsidR="00044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(OER)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movement is circumscribed in the </w:t>
      </w:r>
      <w:r w:rsidR="00044EA5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open science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trend and impacts in the field of </w:t>
      </w:r>
      <w:r w:rsidR="00044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044EA5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niversity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objective of the research was to identify the current state of the institutional educational policies of the </w:t>
      </w:r>
      <w:r w:rsidR="00044EA5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public universities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relation to the </w:t>
      </w:r>
      <w:r w:rsidR="00044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OER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the perception of the teachers and researchers of the </w:t>
      </w:r>
      <w:r w:rsidR="00044EA5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Universidad </w:t>
      </w:r>
      <w:proofErr w:type="spellStart"/>
      <w:r w:rsidR="00044EA5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Autónoma</w:t>
      </w:r>
      <w:proofErr w:type="spellEnd"/>
      <w:r w:rsidR="00044EA5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Estado de Morelos (UAEM)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Mexico. A methodology with a qualitative perspective and a descriptive exploratory approach was used. In February </w:t>
      </w:r>
      <w:r w:rsidR="00090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2020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 consultation guide was sent to the </w:t>
      </w:r>
      <w:r w:rsidR="00090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090B6E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niversity's </w:t>
      </w:r>
      <w:r w:rsidR="00090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teachers</w:t>
      </w:r>
      <w:r w:rsidR="00090B6E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with the possibility of free and open-ended answer</w:t>
      </w:r>
      <w:r w:rsidR="00C77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with the purpose of knowing the perceptions they have regarding the educational policies existing in their institution to the design and production of open educational materials. A total of 25 contributions were obtained that made up the </w:t>
      </w:r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corpus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analysis.</w:t>
      </w:r>
      <w:r w:rsidR="00C775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Based on the exploratory study of the 35 </w:t>
      </w:r>
      <w:r w:rsidR="00D55B91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 university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the </w:t>
      </w:r>
      <w:proofErr w:type="spellStart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Secretaría</w:t>
      </w:r>
      <w:proofErr w:type="spellEnd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Educación</w:t>
      </w:r>
      <w:proofErr w:type="spellEnd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Pública</w:t>
      </w:r>
      <w:proofErr w:type="spellEnd"/>
      <w:r w:rsidR="00D55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(SEP)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registered, the following findings were obtained</w:t>
      </w:r>
      <w:r w:rsidR="00424D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D55B91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15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415F1D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hese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universities lack institutional policies that allow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them to integrate </w:t>
      </w:r>
      <w:r w:rsidR="00415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OER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 the </w:t>
      </w:r>
      <w:r w:rsidR="00415F1D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institutional programs of educational development 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have been implemented in each one of them. Likewise, they do not have open educational material repositories, </w:t>
      </w:r>
      <w:proofErr w:type="gramStart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with the exception of</w:t>
      </w:r>
      <w:proofErr w:type="gramEnd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415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UAEM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which is the only one that publishes a </w:t>
      </w:r>
      <w:proofErr w:type="spellStart"/>
      <w:r w:rsidR="00415F1D"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metabase</w:t>
      </w:r>
      <w:proofErr w:type="spellEnd"/>
      <w:r w:rsidR="00415F1D"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educational resources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charge of the Multimodal Training Program. It is strange that in the results of the consultation with teachers and researchers, most ignore the existence of </w:t>
      </w:r>
      <w:r w:rsidRPr="003948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ad hoc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institutional policies and the </w:t>
      </w:r>
      <w:proofErr w:type="gramStart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aforementioned repository</w:t>
      </w:r>
      <w:proofErr w:type="gramEnd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It is suggested that the </w:t>
      </w:r>
      <w:r w:rsidR="00415F1D"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 universit</w:t>
      </w:r>
      <w:r w:rsidR="00F921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ies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the face of the </w:t>
      </w:r>
      <w:proofErr w:type="gramStart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serious crisis</w:t>
      </w:r>
      <w:proofErr w:type="gramEnd"/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caused by Coronavirus 19, apply the relevant policies and strategies that the World Coalition for Education 2020, led by the United Nations Organization for Education, Science and Culture</w:t>
      </w:r>
      <w:r w:rsidR="00F921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394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has proposed based on the development of open and flexible education systems for the benefit of students and young people who face, outside their classrooms, the continuity of their studies.</w:t>
      </w:r>
    </w:p>
    <w:p w14:paraId="321375B0" w14:textId="762EE434" w:rsidR="009007FA" w:rsidRDefault="009007FA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F799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Keywords:</w:t>
      </w:r>
      <w:r w:rsidRPr="00900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teachers, educational policies and programs,</w:t>
      </w:r>
      <w:r w:rsidR="00D97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open educational</w:t>
      </w:r>
      <w:r w:rsidR="00D97414" w:rsidRPr="00900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resource</w:t>
      </w:r>
      <w:r w:rsidR="00D97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D97414" w:rsidRPr="00900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00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public universities</w:t>
      </w:r>
      <w:r w:rsidR="00D97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FF5943A" w14:textId="0B44604C" w:rsidR="007F799E" w:rsidRDefault="007F799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92EF463" w14:textId="0AAA41E9" w:rsidR="007F799E" w:rsidRPr="005C46BC" w:rsidRDefault="007F799E" w:rsidP="00AC50F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  <w:lang w:val="es-MX"/>
        </w:rPr>
      </w:pPr>
      <w:r w:rsidRPr="005C46BC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>Resumo</w:t>
      </w:r>
    </w:p>
    <w:p w14:paraId="2E0D7530" w14:textId="77777777" w:rsidR="007F799E" w:rsidRPr="007F799E" w:rsidRDefault="007F799E" w:rsidP="007F7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movimento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recursos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(REA) está circunscrito à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tendência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ciência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impactos no campo da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superior. A pesquisa teve como objetivo identificar o estado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atual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das políticas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institucionais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das universidades públicas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estaduais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em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relação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REA e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percepção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professores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pesquisadores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Universidade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Autônoma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do Estado de Morelos (UAEM), México.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Utilizou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-se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uma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metodologia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perspectiva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qualitativa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abordagem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exploratória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descritiva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guia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consulta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possibilidade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respostas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livres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foi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enviado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corpo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docente em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fevereiro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2020,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objetivo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conhecer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percepção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eles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têm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sobre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políticas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existentes em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sua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instituição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para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concepção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elaboração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REA.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Obteve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-se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total de 25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contribuições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compuseram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 corpus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análise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base no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estudo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exploratório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das 35 universidades públicas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estaduais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cadastradas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no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Ministério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Pública (SEP),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foram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obtidos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seguintes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achados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: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essas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universidades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carecem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políticas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institucionais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lhes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permitam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integrar os REA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programas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desenvolvimento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educacional institucional </w:t>
      </w:r>
      <w:proofErr w:type="gram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implantados em</w:t>
      </w:r>
      <w:proofErr w:type="gram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cada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deles. Da mesma forma,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não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possuem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repositórios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materiais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exceção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 UAEM, que é a única que publica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uma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metabase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recursos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a cargo do Programa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Capacitação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Multimodal. É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estranho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nos resultados da consulta,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maioria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ignore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existência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políticas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lastRenderedPageBreak/>
        <w:t>institucionais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ad hoc e do referido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repositório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Sugere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-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se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as universidades públicas,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diante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 grave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crise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provocada pelo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coronavírus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19,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apliquem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as políticas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estratégias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relevantes que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Coalizão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Mundial pela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2020, liderada pela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Organização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Nações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Unidas para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Educação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Ciência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a Cultura (Unesco),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propõe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assente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no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desenvolvimento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sistemas de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ensino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flexíveis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em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benefício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alunos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jovens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enfrentam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fora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das salas de aula, a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continuidade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estudos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.</w:t>
      </w:r>
    </w:p>
    <w:p w14:paraId="40AF3DE5" w14:textId="4AE43C0E" w:rsidR="007F799E" w:rsidRDefault="007F799E" w:rsidP="007F7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</w:pPr>
      <w:proofErr w:type="spellStart"/>
      <w:r w:rsidRPr="005C46BC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>Palavras</w:t>
      </w:r>
      <w:proofErr w:type="spellEnd"/>
      <w:r w:rsidRPr="005C46BC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>-chave:</w:t>
      </w:r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professores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políticas </w:t>
      </w:r>
      <w:proofErr w:type="gram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</w:t>
      </w:r>
      <w:proofErr w:type="gram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programas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recursos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educacionais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abertos</w:t>
      </w:r>
      <w:proofErr w:type="spellEnd"/>
      <w:r w:rsidRPr="007F7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MX"/>
        </w:rPr>
        <w:t>, universidades públicas.</w:t>
      </w:r>
    </w:p>
    <w:p w14:paraId="59B88A10" w14:textId="77777777" w:rsidR="00DA19A7" w:rsidRPr="00C669F5" w:rsidRDefault="00DA19A7" w:rsidP="00DA19A7">
      <w:pPr>
        <w:pStyle w:val="HTMLconformatoprevio"/>
        <w:shd w:val="clear" w:color="auto" w:fill="FFFFFF"/>
        <w:rPr>
          <w:rFonts w:ascii="Times New Roman" w:hAnsi="Times New Roman"/>
          <w:color w:val="000000" w:themeColor="text1"/>
          <w:sz w:val="24"/>
        </w:rPr>
      </w:pPr>
      <w:r w:rsidRPr="00C669F5">
        <w:rPr>
          <w:rFonts w:ascii="Times New Roman" w:hAnsi="Times New Roman"/>
          <w:b/>
          <w:color w:val="000000" w:themeColor="text1"/>
          <w:sz w:val="24"/>
        </w:rPr>
        <w:t>Fecha Recepción:</w:t>
      </w:r>
      <w:r w:rsidRPr="00C669F5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</w:rPr>
        <w:t>Septiembre</w:t>
      </w:r>
      <w:proofErr w:type="gramEnd"/>
      <w:r w:rsidRPr="00C669F5">
        <w:rPr>
          <w:rFonts w:ascii="Times New Roman" w:hAnsi="Times New Roman"/>
          <w:color w:val="000000" w:themeColor="text1"/>
          <w:sz w:val="24"/>
        </w:rPr>
        <w:t xml:space="preserve"> 2020                               </w:t>
      </w:r>
      <w:r w:rsidRPr="00C669F5">
        <w:rPr>
          <w:rFonts w:ascii="Times New Roman" w:hAnsi="Times New Roman"/>
          <w:b/>
          <w:color w:val="000000" w:themeColor="text1"/>
          <w:sz w:val="24"/>
        </w:rPr>
        <w:t>Fecha Aceptación:</w:t>
      </w:r>
      <w:r w:rsidRPr="00C669F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Febrero</w:t>
      </w:r>
      <w:r w:rsidRPr="00C669F5">
        <w:rPr>
          <w:rFonts w:ascii="Times New Roman" w:hAnsi="Times New Roman"/>
          <w:color w:val="000000" w:themeColor="text1"/>
          <w:sz w:val="24"/>
        </w:rPr>
        <w:t xml:space="preserve"> 2021</w:t>
      </w:r>
    </w:p>
    <w:p w14:paraId="179571D7" w14:textId="77777777" w:rsidR="00DA19A7" w:rsidRPr="001E70CB" w:rsidRDefault="00CE757F" w:rsidP="00DA1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color w:val="000000" w:themeColor="text1"/>
        </w:rPr>
        <w:pict w14:anchorId="6C74D912">
          <v:rect id="_x0000_i1025" style="width:441.9pt;height:.05pt" o:hralign="center" o:hrstd="t" o:hr="t" fillcolor="#a0a0a0" stroked="f"/>
        </w:pict>
      </w:r>
    </w:p>
    <w:p w14:paraId="519ED0D5" w14:textId="60A18D1E" w:rsidR="00DF42D7" w:rsidRPr="00DE116E" w:rsidRDefault="0088723C" w:rsidP="00DA19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</w:pPr>
      <w:r w:rsidRPr="00DE116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t>Introducción</w:t>
      </w:r>
    </w:p>
    <w:p w14:paraId="54BE4EA0" w14:textId="21855BED" w:rsidR="009B6658" w:rsidRPr="00DE116E" w:rsidRDefault="00837369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expansión de la pandemia de</w:t>
      </w:r>
      <w:r w:rsidR="00F9216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F9216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COVID-19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nivel global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obligó a los gobiernos 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 cierre de instituciones educativas en todo el mundo. </w:t>
      </w:r>
      <w:r w:rsidR="00F472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Según la</w:t>
      </w:r>
      <w:r w:rsidR="0023774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37746" w:rsidRPr="00DE116E">
        <w:rPr>
          <w:rFonts w:ascii="Times New Roman" w:hAnsi="Times New Roman" w:cs="Times New Roman"/>
          <w:sz w:val="24"/>
          <w:szCs w:val="24"/>
          <w:lang w:val="es-MX"/>
        </w:rPr>
        <w:t>Organización de las Naciones Unidas para la Educación, la Ciencia y la Cultura</w:t>
      </w:r>
      <w:r w:rsidR="00A43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Start w:id="7" w:name="_Hlk45878140"/>
      <w:r w:rsidR="00A43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[</w:t>
      </w:r>
      <w:r w:rsidR="00D63BF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A43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] </w:t>
      </w:r>
      <w:bookmarkEnd w:id="7"/>
      <w:r w:rsidR="0023774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2020</w:t>
      </w:r>
      <w:r w:rsidR="00D63B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F472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E33A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más</w:t>
      </w:r>
      <w:r w:rsidR="00AE33A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1</w:t>
      </w:r>
      <w:r w:rsidR="00AE33A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</w:t>
      </w:r>
      <w:r w:rsidR="00AE33A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00 </w:t>
      </w:r>
      <w:r w:rsidR="001B6E7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millones de estudiantes y jóvenes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quedaron fuera de las aulas a causa de la presencia de este nuevo virus.</w:t>
      </w:r>
      <w:r w:rsidR="006857F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E407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Frente a est</w:t>
      </w:r>
      <w:r w:rsidR="0070360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o, </w:t>
      </w:r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Esther </w:t>
      </w:r>
      <w:proofErr w:type="spellStart"/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Kuisch</w:t>
      </w:r>
      <w:proofErr w:type="spellEnd"/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Laroche</w:t>
      </w:r>
      <w:proofErr w:type="spellEnd"/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6C0AF4" w:rsidRP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irectora de la Unesco en San José</w:t>
      </w:r>
      <w:r w:rsidR="003C132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(5 de noviembre de 2020)</w:t>
      </w:r>
      <w:r w:rsidR="006C0AF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declaró: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“La inversión en la educación a distancia debería servir para mitigar la interrupción inmediata causada por </w:t>
      </w:r>
      <w:r w:rsidR="00D174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D174E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COVID-19 como para establecer nuevos enfoques para desarrollar sistemas de educación más abiertos y flexibles para el futuro”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653B4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párr. 7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). </w:t>
      </w:r>
    </w:p>
    <w:p w14:paraId="23DB2266" w14:textId="51AEB81B" w:rsidR="00B1680B" w:rsidRPr="00DE116E" w:rsidRDefault="00E20E50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Asimismo, este organismo internacional hizo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referencia a una política de selección de recursos de aprendizaje digital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los gobiernos, las escuelas, los maestros y los padres pueden usar para abrir oportunidades para 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aquellos 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estudiantes que no pueden asistir a la escuela, así como dar respuesta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necesidad de contar con repositorios de plataformas nacionales de </w:t>
      </w:r>
      <w:r w:rsidR="00D90C2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aprendizaje 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diseñados para apoyar la continuidad del estudio basado en el currículo </w:t>
      </w:r>
      <w:r w:rsidR="00ED085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Unesco </w:t>
      </w:r>
      <w:r w:rsidR="008F353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2020</w:t>
      </w:r>
      <w:r w:rsidR="00B32CE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9B66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Dicha política debe beneficiar particularmente a los más vulnerables estudiantes en países en desarrollo que no pueden seguir las lecciones en línea que se están brindando en muchos países desarrollados y </w:t>
      </w:r>
      <w:r w:rsidR="00182C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sobre todo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los contextos urbanos</w:t>
      </w:r>
      <w:r w:rsidR="008F792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2CE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B32CE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B32CE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B32CE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2020</w:t>
      </w:r>
      <w:r w:rsidR="00B32CE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32CE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bookmarkStart w:id="8" w:name="_Hlk43203802"/>
      <w:bookmarkStart w:id="9" w:name="_Hlk44520214"/>
      <w:r w:rsidR="00BE70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bookmarkEnd w:id="8"/>
    <w:bookmarkEnd w:id="9"/>
    <w:p w14:paraId="28C36777" w14:textId="36FE2D0B" w:rsidR="00C94447" w:rsidRPr="00DE116E" w:rsidRDefault="00B36A36" w:rsidP="00AC5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este escenario se </w:t>
      </w:r>
      <w:r w:rsidR="005F3D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respondió a la necesidad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llevar a cabo un estudio exploratorio en la </w:t>
      </w:r>
      <w:r w:rsidR="0023774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 Autónoma del Estado de Morelos</w:t>
      </w:r>
      <w:r w:rsidR="00786B29" w:rsidRPr="00786B2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Start w:id="10" w:name="_Hlk45878293"/>
      <w:r w:rsidR="00B063E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786B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</w:t>
      </w:r>
      <w:bookmarkEnd w:id="10"/>
      <w:r w:rsidR="00B063E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B063E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como proyecto de investigación de </w:t>
      </w:r>
      <w:r w:rsidR="00B063E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año sabático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543B0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</w:t>
      </w:r>
      <w:r w:rsidR="00F8412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</w:t>
      </w:r>
      <w:r w:rsidR="00543B0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alado por las instancias académicas pertinentes.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73FD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</w:t>
      </w:r>
      <w:r w:rsidR="009679D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base </w:t>
      </w:r>
      <w:r w:rsidR="00473FD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679D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 anterior,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presenta</w:t>
      </w:r>
      <w:r w:rsidR="009679D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este trabajo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 primer avance de los resultados obtenidos</w:t>
      </w:r>
      <w:r w:rsidR="009679D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una investigación más amplia sobre los </w:t>
      </w:r>
      <w:r w:rsidR="00854E58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recursos educativos abiertos</w:t>
      </w:r>
      <w:r w:rsidR="00854E58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="002377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(REA)</w:t>
      </w:r>
      <w:r w:rsidR="009679D6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y las políticas </w:t>
      </w:r>
      <w:r w:rsidR="009679D6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lastRenderedPageBreak/>
        <w:t xml:space="preserve">institucionales en </w:t>
      </w:r>
      <w:r w:rsidR="00854E58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universidades públicas</w:t>
      </w:r>
      <w:r w:rsidR="009679D6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.</w:t>
      </w:r>
      <w:r w:rsidR="00C94447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Esta indagación </w:t>
      </w:r>
      <w:r w:rsidR="00BE70CD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constituye</w:t>
      </w:r>
      <w:r w:rsidR="00C94447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un primer acercamiento al </w:t>
      </w:r>
      <w:r w:rsidR="002701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siguiente </w:t>
      </w:r>
      <w:r w:rsidR="00C94447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planteamiento de</w:t>
      </w:r>
      <w:r w:rsidR="002701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la Unesco (2013): </w:t>
      </w:r>
      <w:r w:rsidR="00C94447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“</w:t>
      </w:r>
      <w:r w:rsidR="0027017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27017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 </w:t>
      </w:r>
      <w:r w:rsidR="00C9444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ecosistema de educación e investigación, los REA y el </w:t>
      </w:r>
      <w:r w:rsidR="0027017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acceso abierto </w:t>
      </w:r>
      <w:r w:rsidR="00C9444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son dos importantes conjuntos de acciones que trabajan en forma integrada para promover la calidad del aprendizaje y generar nuevo conocimiento” (</w:t>
      </w:r>
      <w:r w:rsidR="0027017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p. </w:t>
      </w:r>
      <w:r w:rsidR="00F2585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9</w:t>
      </w:r>
      <w:r w:rsidR="00C9444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).</w:t>
      </w:r>
    </w:p>
    <w:p w14:paraId="6B6513D9" w14:textId="3BCF8F20" w:rsidR="00BE70CD" w:rsidRDefault="00850413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11" w:name="_Hlk43138803"/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E</w:t>
      </w:r>
      <w:r w:rsidR="00BE70CD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l </w:t>
      </w:r>
      <w:r w:rsidR="00EC16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estudio</w:t>
      </w:r>
      <w:r w:rsidR="00543B0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exploratorio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estructuró en torno a</w:t>
      </w:r>
      <w:r w:rsidR="00E95EB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</w:t>
      </w:r>
      <w:r w:rsidR="00EC16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E95EB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doble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interrogante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: </w:t>
      </w:r>
      <w:bookmarkStart w:id="12" w:name="_Hlk42273651"/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¿</w:t>
      </w:r>
      <w:r w:rsidR="00F2585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F2585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uáles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son las políticas institucionales que existen en </w:t>
      </w:r>
      <w:r w:rsidR="003973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25853" w:rsidRPr="00F2585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planes institucionales de desarrollo educativo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las </w:t>
      </w:r>
      <w:proofErr w:type="gramStart"/>
      <w:r w:rsidR="001F1DA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 públicas</w:t>
      </w:r>
      <w:proofErr w:type="gramEnd"/>
      <w:r w:rsidR="001F1DA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la creación y diseño de REA</w:t>
      </w:r>
      <w:r w:rsidR="00C9444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973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de qué modo perciben dichas políticas los docentes e investigadores de la UAEM?</w:t>
      </w:r>
      <w:r w:rsidR="00EB23A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182C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Así</w:t>
      </w:r>
      <w:r w:rsidR="001F1DA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EB23A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investigación tuvo como objetivo identificar el estado actual de las políticas educativas institucionales de las </w:t>
      </w:r>
      <w:r w:rsidR="001F1DA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públicas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estatales</w:t>
      </w:r>
      <w:r w:rsidR="001F1DA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EB23A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relación con los </w:t>
      </w:r>
      <w:r w:rsidR="001F1DA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EB23A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la percepción de los docentes e investigadores de la </w:t>
      </w:r>
      <w:r w:rsidR="001F1DA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</w:t>
      </w:r>
      <w:r w:rsidR="00AC50F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5F973280" w14:textId="77777777" w:rsidR="00AC50FE" w:rsidRPr="00DE116E" w:rsidRDefault="00AC50FE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bookmarkEnd w:id="11"/>
    <w:bookmarkEnd w:id="12"/>
    <w:p w14:paraId="5021BE8D" w14:textId="32F305B0" w:rsidR="00B36A36" w:rsidRPr="00DE116E" w:rsidRDefault="00EB23A6" w:rsidP="00DA19A7">
      <w:pPr>
        <w:pStyle w:val="Lista2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>Trayectoria de los recursos educativos abiertos</w:t>
      </w:r>
    </w:p>
    <w:p w14:paraId="3998112C" w14:textId="133F6F9B" w:rsidR="0065214C" w:rsidRPr="00DE116E" w:rsidRDefault="0065214C" w:rsidP="00AC50F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</w:pPr>
      <w:r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El estudio de los </w:t>
      </w:r>
      <w:r w:rsidR="001F1DA9"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 se vincula directamente con el espíritu de la universalidad del conocimiento</w:t>
      </w:r>
      <w:r w:rsidR="000337C5" w:rsidRPr="007F799E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. Se trata de </w:t>
      </w:r>
      <w:r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materiales digitales creados con la finalidad educativa de alentar, de manera gratuita y abierta, a los docentes, estudiantes y al público </w:t>
      </w:r>
      <w:r w:rsidR="00204BBD"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en </w:t>
      </w:r>
      <w:r w:rsidRPr="00830678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>general en apoyo a los procesos de construcción de nuevos saberes (Merino, 2013).</w:t>
      </w:r>
      <w:r w:rsidRPr="00DE116E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19D798AF" w14:textId="21FD07D3" w:rsidR="00F52309" w:rsidRPr="00DE116E" w:rsidRDefault="00F52309" w:rsidP="00AC50F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En el desarrollo del movimiento de los REA </w:t>
      </w:r>
      <w:r w:rsidR="00DA5E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incidió un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factor contextual que amplió las posibilidades y las potencialidades de </w:t>
      </w:r>
      <w:r w:rsidR="00520E1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estos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. Por iniciativa del Instituto Tecnológico de Massachusetts </w:t>
      </w:r>
      <w:r w:rsidR="006D4D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(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MIT</w:t>
      </w:r>
      <w:r w:rsidR="006D4D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)</w:t>
      </w:r>
      <w:r w:rsidR="006D4D96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se creó el proyecto institucional de </w:t>
      </w:r>
      <w:proofErr w:type="spellStart"/>
      <w:r w:rsidR="006A7B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OpenCourseWare</w:t>
      </w:r>
      <w:proofErr w:type="spellEnd"/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(OC</w:t>
      </w:r>
      <w:r w:rsidR="009305B9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W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) que dio pie a </w:t>
      </w:r>
      <w:r w:rsidR="00E97C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que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muchas universidades de todo el mundo</w:t>
      </w:r>
      <w:r w:rsidR="00E97C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se involucraran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creando repositorios especializados. </w:t>
      </w:r>
    </w:p>
    <w:p w14:paraId="7F0920ED" w14:textId="62D1E1C7" w:rsidR="00B36A36" w:rsidRPr="00DE116E" w:rsidRDefault="00F52309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E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 </w:t>
      </w:r>
      <w:r w:rsidR="00BB4D3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concepto</w:t>
      </w:r>
      <w:r w:rsidR="00BB4D3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A7B48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open </w:t>
      </w:r>
      <w:proofErr w:type="spellStart"/>
      <w:r w:rsidR="006A7B48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educational</w:t>
      </w:r>
      <w:proofErr w:type="spellEnd"/>
      <w:r w:rsidR="006A7B48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A7B48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resources</w:t>
      </w:r>
      <w:proofErr w:type="spellEnd"/>
      <w:r w:rsidR="006A7B4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(OER), </w:t>
      </w:r>
      <w:r w:rsidR="00892F6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cuya traducción al español es precisamente </w:t>
      </w:r>
      <w:r w:rsidR="00B36A36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REA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fue acuñado </w:t>
      </w:r>
      <w:r w:rsidR="004E76F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por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4E76F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(2002)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durante el Foro sobre el Impacto de los </w:t>
      </w:r>
      <w:r w:rsidR="00E859C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E859C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ursos </w:t>
      </w:r>
      <w:r w:rsidR="00E859C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E859C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biertos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la Educación Superior en </w:t>
      </w:r>
      <w:r w:rsidR="00E859C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</w:t>
      </w:r>
      <w:r w:rsidR="00E859C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aíses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</w:t>
      </w:r>
      <w:r w:rsidR="00E859C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E859C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esarrollo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Según la declaración del </w:t>
      </w:r>
      <w:r w:rsidR="00E859C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</w:t>
      </w:r>
      <w:r w:rsidR="00E859C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oro</w:t>
      </w:r>
      <w:r w:rsidR="003D0B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término fue creado para describir “la provisión de recursos de licencia abierta, posibilitada por las tecnologías de la información y la comunicación, para consulta, uso y adaptación por parte de una comunidad de usuarios sin fines comerciales” (</w:t>
      </w:r>
      <w:r w:rsidR="004E76F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p.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4).</w:t>
      </w:r>
    </w:p>
    <w:p w14:paraId="37FF9DC6" w14:textId="1F39A9E2" w:rsidR="009D3396" w:rsidRDefault="0065231E" w:rsidP="009D3396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espués de una década de la declaración inicial</w:t>
      </w:r>
      <w:r w:rsidR="009305B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REA </w:t>
      </w:r>
      <w:r w:rsidR="00BB4D3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forman</w:t>
      </w:r>
      <w:r w:rsidR="00BB4D3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parte </w:t>
      </w:r>
      <w:r w:rsidR="009305B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051AB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 movimiento que h</w:t>
      </w:r>
      <w:r w:rsidR="00746CB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46CB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avanzado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 el apoyo de organismos internacionales, instituciones educativas </w:t>
      </w:r>
      <w:r w:rsidR="00BB4D3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individuos de muchos países del mundo. </w:t>
      </w:r>
      <w:bookmarkStart w:id="13" w:name="_Hlk46158048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Las comunidades académicas han reconocido, entre otros, los siguientes beneficios de la oferta y uso de los REA</w:t>
      </w:r>
      <w:bookmarkEnd w:id="13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: </w:t>
      </w:r>
    </w:p>
    <w:p w14:paraId="1C411C83" w14:textId="12FD1C0D" w:rsidR="00F42C24" w:rsidRPr="00DE116E" w:rsidRDefault="009D3396" w:rsidP="007F799E">
      <w:pPr>
        <w:pStyle w:val="Lista2"/>
        <w:spacing w:after="0" w:line="360" w:lineRule="auto"/>
        <w:ind w:left="1418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="006523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capacitación profesional abierta y continua de los docentes, la innovación de las prácticas pedagógicas de la educación superior, el estímulo para el aprendizaje a lo largo de la vida de los estudiantes y ciudadanos, así como el aumento de visibilidad de aquellas instituciones participantes de este movimiento (</w:t>
      </w:r>
      <w:proofErr w:type="spellStart"/>
      <w:r w:rsidR="006523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Inamorato</w:t>
      </w:r>
      <w:proofErr w:type="spellEnd"/>
      <w:r w:rsidR="006523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Cobo y Costa, 2012</w:t>
      </w:r>
      <w:r w:rsidR="004E76F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p. </w:t>
      </w:r>
      <w:r w:rsidR="006523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14).</w:t>
      </w:r>
    </w:p>
    <w:p w14:paraId="08EF7D2C" w14:textId="1068D588" w:rsidR="00DE64C1" w:rsidRPr="00DE116E" w:rsidRDefault="009305B9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Más recientemente</w:t>
      </w:r>
      <w:r w:rsidR="009B7D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Conferencia General de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8F10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reunida en París en octubre</w:t>
      </w:r>
      <w:r w:rsidR="00746CB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8F10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2019, aprobó </w:t>
      </w:r>
      <w:r w:rsidR="00BB4D3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</w:t>
      </w:r>
      <w:r w:rsidR="00BB4D3C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Proyecto de </w:t>
      </w:r>
      <w:r w:rsidR="00442ED2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r</w:t>
      </w:r>
      <w:r w:rsidR="00B36A36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ecomendación sobre los REA</w:t>
      </w:r>
      <w:r w:rsidR="00442E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8F10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8797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Dicho instrumento normativo es caracteriza</w:t>
      </w:r>
      <w:r w:rsidR="00ED22F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38797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 como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herramienta esencial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reforzar la cooperación</w:t>
      </w:r>
      <w:r w:rsidR="008F10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internacional en materia de </w:t>
      </w:r>
      <w:r w:rsidR="00033DF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en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apoyo de la aplicación de la</w:t>
      </w:r>
      <w:r w:rsidR="008F10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Agenda 2030 para el Desarrollo Sostenible 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2019).</w:t>
      </w:r>
      <w:r w:rsidR="00DE64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668BEDE8" w14:textId="7FA0C590" w:rsidR="00B36A36" w:rsidRPr="00DE116E" w:rsidRDefault="00DE64C1" w:rsidP="007F799E">
      <w:pPr>
        <w:pStyle w:val="Lista2"/>
        <w:spacing w:after="0" w:line="360" w:lineRule="auto"/>
        <w:ind w:left="119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 construir sociedades del conocimiento inclusivas, los </w:t>
      </w:r>
      <w:r w:rsidR="0038797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(…)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 pueden fomentar una educación de calidad equitativa,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inclusiva, abierta y participativa, fortaleciendo además la libertad académica y la autonomía profesional de los docentes al ampliar el alcance de los materiales disponibles para la enseñanza y el aprendizaje 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2019</w:t>
      </w:r>
      <w:r w:rsidR="00497E2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p. 2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).</w:t>
      </w:r>
    </w:p>
    <w:p w14:paraId="2132BE64" w14:textId="75409409" w:rsidR="00B36A36" w:rsidRDefault="003029D8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Si bien a lo largo de las dos últimas décadas </w:t>
      </w:r>
      <w:r w:rsidR="002E52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movimiento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los REA</w:t>
      </w:r>
      <w:r w:rsidR="002E52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ha dado importantes pasos</w:t>
      </w:r>
      <w:r w:rsidR="00573F5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aún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percibe</w:t>
      </w:r>
      <w:r w:rsidR="002E52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múltiples resistencias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por parte de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organismos e instituciones de educación superior de muchos países</w:t>
      </w:r>
      <w:r w:rsidR="009305B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entre ellos México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E52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tal y </w:t>
      </w:r>
      <w:r w:rsidR="002E522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2E52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</w:t>
      </w:r>
      <w:r w:rsidR="002E522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mo </w:t>
      </w:r>
      <w:r w:rsidR="009305B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registra más adelante.</w:t>
      </w:r>
    </w:p>
    <w:p w14:paraId="7462AF8F" w14:textId="77777777" w:rsidR="00AC50FE" w:rsidRPr="00DE116E" w:rsidRDefault="00AC50FE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5BA7569B" w14:textId="46FD2CEA" w:rsidR="00573F51" w:rsidRPr="00DE116E" w:rsidRDefault="00EB23A6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>Conceptualización de los recursos educativos abiertos</w:t>
      </w:r>
    </w:p>
    <w:p w14:paraId="3DB26AE0" w14:textId="394CDF16" w:rsidR="00B36A36" w:rsidRPr="00DE116E" w:rsidRDefault="00B36A3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A la fecha han sido múltiples las definiciones</w:t>
      </w:r>
      <w:r w:rsidR="00FB6A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sobre los 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que organismos internacionales</w:t>
      </w:r>
      <w:r w:rsidR="00573F51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instituciones educativas han</w:t>
      </w:r>
      <w:r w:rsidR="00573F51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incluido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en declaraciones oficiales, publicaciones especializadas y eventos académicos. A modo de ejemplo</w:t>
      </w:r>
      <w:r w:rsidR="00490C68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se presentan algunas</w:t>
      </w:r>
      <w:r w:rsidR="00490C68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FB6A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conceptualizaciones</w:t>
      </w:r>
      <w:r w:rsidR="00FB6AFA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que</w:t>
      </w:r>
      <w:r w:rsidR="00490C68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fueron elaboradas por organismos internacionales,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consorcios no gubernamentales e instituciones educativas vinculadas con la educación superior. </w:t>
      </w:r>
    </w:p>
    <w:p w14:paraId="00BAE2CE" w14:textId="6FB8466B" w:rsidR="00B36A36" w:rsidRPr="00DE116E" w:rsidRDefault="0058022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No podemos iniciar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este breve </w:t>
      </w:r>
      <w:r w:rsidR="00345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recorrido</w:t>
      </w:r>
      <w:r w:rsidR="00345063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345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de</w:t>
      </w:r>
      <w:r w:rsidR="00DF1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defi</w:t>
      </w:r>
      <w:r w:rsidR="00345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ni</w:t>
      </w:r>
      <w:r w:rsidR="00DF1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ciones sobre los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REA </w:t>
      </w:r>
      <w:r w:rsidR="00C0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con otro </w:t>
      </w:r>
      <w:r w:rsidR="00DF1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documento</w:t>
      </w:r>
      <w:r w:rsidR="00C0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que aquel en el que fue acuñado por vez primera</w:t>
      </w:r>
      <w:r w:rsidR="00F72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este término</w:t>
      </w:r>
      <w:r w:rsidR="00C0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:</w:t>
      </w:r>
    </w:p>
    <w:p w14:paraId="1C9B9AA2" w14:textId="38942BD7" w:rsidR="00B36A36" w:rsidRPr="00DE116E" w:rsidRDefault="00B36A36" w:rsidP="007F799E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</w:pPr>
      <w:r w:rsidRPr="00863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Los REA son recursos para la enseñanza, el aprendizaje y la investigación, que residen en el dominio público o han sido publicados bajo una licencia de propiedad intelectual que permite que su uso sea libre para otras personas. Incluyen: cursos completos, materiales para cursos, módulos, libros de texto, </w:t>
      </w:r>
      <w:r w:rsidRPr="00863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lastRenderedPageBreak/>
        <w:t>vídeos, pruebas, software y cualquier otra herramienta, materiales o técnicas utilizadas para apoyar el acceso al conocimiento (</w:t>
      </w:r>
      <w:r w:rsidR="00C07DFD" w:rsidRPr="00863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O</w:t>
      </w:r>
      <w:r w:rsidR="007E72C8" w:rsidRPr="00863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PS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 20</w:t>
      </w:r>
      <w:r w:rsidR="007E7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19, p. 1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).</w:t>
      </w:r>
    </w:p>
    <w:p w14:paraId="1887E942" w14:textId="5DCB82CD" w:rsidR="00B36A36" w:rsidRPr="00DE116E" w:rsidRDefault="00B36A3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Después de una década de la primera conceptualización de los REA</w:t>
      </w:r>
      <w:r w:rsidR="00C004FB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 el mismo organismo</w:t>
      </w:r>
      <w:r w:rsidR="00DF1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en el preámbulo del Congreso Mundial sobre los REA, </w:t>
      </w:r>
      <w:r w:rsidR="00D3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celebrado</w:t>
      </w:r>
      <w:r w:rsidR="00D36117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en París del 20</w:t>
      </w:r>
      <w:r w:rsidR="00D3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al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22 de junio de 2012, en su </w:t>
      </w:r>
      <w:r w:rsidR="00EA6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d</w:t>
      </w:r>
      <w:r w:rsidR="00D36117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eclaración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los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designa </w:t>
      </w:r>
      <w:r w:rsidR="00D3611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 siguiente forma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</w:p>
    <w:p w14:paraId="310C54FE" w14:textId="000ABCBC" w:rsidR="00B36A36" w:rsidRPr="00DE116E" w:rsidRDefault="007B4CA9" w:rsidP="007F799E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ateriales de enseñanza, aprendizaje e investigación en cualquier soporte, digital o de otro tipo, que sean de dominio público o que hayan sido publicados con una licencia abierta que permita el acceso gratuito a esos materiales, así como su uso, adaptación y redistribución por otros sin ninguna restricción o con restricciones limitadas. Las licencias abiertas se fundan en el marco existente de los derechos de propiedad intelectual, tal como vienen definidos en los correspondientes acuerdos internacionales, y respetan la autoría de la obra 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2012</w:t>
      </w:r>
      <w:r w:rsidR="00C07DF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E333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p. 1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).</w:t>
      </w:r>
    </w:p>
    <w:p w14:paraId="41256575" w14:textId="6399A37A" w:rsidR="0018555B" w:rsidRPr="00DE116E" w:rsidRDefault="00C004FB" w:rsidP="00AC5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14" w:name="_Hlk43204176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 pertinente precisar que en esta definición se explicita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algunas 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particularidades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básicas para su comprensión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En primer lugar,</w:t>
      </w:r>
      <w:r w:rsidR="0021033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21033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enuncia una dimensión que trasciende el aprendizaje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="0021033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estos recursos apoyan también la investigación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En segundo, 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 amplía</w:t>
      </w:r>
      <w:r w:rsidR="0021033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tipos de soportes en los que se puede</w:t>
      </w:r>
      <w:r w:rsidR="0076326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ofertar los REA</w:t>
      </w:r>
      <w:r w:rsidR="0047718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F020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las</w:t>
      </w:r>
      <w:r w:rsidR="0047718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tecnologías de la información y la comunicación</w:t>
      </w:r>
      <w:r w:rsidR="004F020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7718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4F020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TIC</w:t>
      </w:r>
      <w:r w:rsidR="0047718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 adquieren mayor preponderancia.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7718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 último,</w:t>
      </w:r>
      <w:r w:rsidR="0047718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oficializa el uso de las licencias abiertas.</w:t>
      </w:r>
      <w:r w:rsidR="005E50D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52B21F25" w14:textId="08248BB8" w:rsidR="00D25316" w:rsidRPr="00DE116E" w:rsidRDefault="002B3239" w:rsidP="00AC5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En la</w:t>
      </w:r>
      <w:r w:rsidR="0018555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Asamblea General de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F42C2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F42C2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2019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) el </w:t>
      </w:r>
      <w:r w:rsidR="00795D1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empleo conceptual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 similar al 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citado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 </w:t>
      </w:r>
      <w:r w:rsidR="00EA635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EA635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eclaración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del 2012 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la salvedad </w:t>
      </w:r>
      <w:r w:rsidR="009144F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</w:t>
      </w:r>
      <w:r w:rsidR="00EA635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633B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resalta </w:t>
      </w:r>
      <w:r w:rsidR="00FE75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reutilización, reconversión, adaptación y redistribución sin costo alguno por parte de terceros </w:t>
      </w:r>
      <w:r w:rsidR="00EA6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de los REA 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Unesco</w:t>
      </w:r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 2019)</w:t>
      </w:r>
      <w:bookmarkStart w:id="15" w:name="_Hlk43204218"/>
      <w:r w:rsidR="00D25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bookmarkEnd w:id="14"/>
    <w:bookmarkEnd w:id="15"/>
    <w:p w14:paraId="1661A450" w14:textId="3DDFD36C" w:rsidR="005E57F3" w:rsidRPr="00DE116E" w:rsidRDefault="007A39A8" w:rsidP="00AC50F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E116E">
        <w:rPr>
          <w:color w:val="000000" w:themeColor="text1"/>
          <w:shd w:val="clear" w:color="auto" w:fill="FFFFFF"/>
        </w:rPr>
        <w:t>A modo de compendio</w:t>
      </w:r>
      <w:r w:rsidR="00E114EB">
        <w:rPr>
          <w:color w:val="000000" w:themeColor="text1"/>
          <w:shd w:val="clear" w:color="auto" w:fill="FFFFFF"/>
        </w:rPr>
        <w:t xml:space="preserve">, </w:t>
      </w:r>
      <w:r w:rsidRPr="00DE116E">
        <w:rPr>
          <w:color w:val="000000" w:themeColor="text1"/>
          <w:shd w:val="clear" w:color="auto" w:fill="FFFFFF"/>
        </w:rPr>
        <w:t xml:space="preserve">se </w:t>
      </w:r>
      <w:r w:rsidR="000623C1">
        <w:rPr>
          <w:color w:val="000000" w:themeColor="text1"/>
          <w:shd w:val="clear" w:color="auto" w:fill="FFFFFF"/>
        </w:rPr>
        <w:t>extraen</w:t>
      </w:r>
      <w:r w:rsidR="000623C1" w:rsidRPr="00DE116E">
        <w:rPr>
          <w:color w:val="000000" w:themeColor="text1"/>
          <w:shd w:val="clear" w:color="auto" w:fill="FFFFFF"/>
        </w:rPr>
        <w:t xml:space="preserve"> </w:t>
      </w:r>
      <w:r w:rsidRPr="00DE116E">
        <w:rPr>
          <w:color w:val="000000" w:themeColor="text1"/>
          <w:shd w:val="clear" w:color="auto" w:fill="FFFFFF"/>
        </w:rPr>
        <w:t xml:space="preserve">tres dimensiones </w:t>
      </w:r>
      <w:r w:rsidR="000623C1">
        <w:rPr>
          <w:color w:val="000000" w:themeColor="text1"/>
          <w:shd w:val="clear" w:color="auto" w:fill="FFFFFF"/>
        </w:rPr>
        <w:t>de</w:t>
      </w:r>
      <w:r w:rsidRPr="00DE116E">
        <w:rPr>
          <w:color w:val="000000" w:themeColor="text1"/>
          <w:shd w:val="clear" w:color="auto" w:fill="FFFFFF"/>
        </w:rPr>
        <w:t xml:space="preserve"> las definiciones presentadas</w:t>
      </w:r>
      <w:r w:rsidR="00BE7639" w:rsidRPr="00DE116E">
        <w:rPr>
          <w:color w:val="000000" w:themeColor="text1"/>
          <w:shd w:val="clear" w:color="auto" w:fill="FFFFFF"/>
        </w:rPr>
        <w:t>,</w:t>
      </w:r>
      <w:r w:rsidRPr="00DE116E">
        <w:rPr>
          <w:color w:val="000000" w:themeColor="text1"/>
          <w:shd w:val="clear" w:color="auto" w:fill="FFFFFF"/>
        </w:rPr>
        <w:t xml:space="preserve"> tal como </w:t>
      </w:r>
      <w:r w:rsidR="00E114EB" w:rsidRPr="00DE116E">
        <w:rPr>
          <w:color w:val="000000" w:themeColor="text1"/>
          <w:shd w:val="clear" w:color="auto" w:fill="FFFFFF"/>
        </w:rPr>
        <w:t>l</w:t>
      </w:r>
      <w:r w:rsidR="00E114EB">
        <w:rPr>
          <w:color w:val="000000" w:themeColor="text1"/>
          <w:shd w:val="clear" w:color="auto" w:fill="FFFFFF"/>
        </w:rPr>
        <w:t>as</w:t>
      </w:r>
      <w:r w:rsidR="00E114EB" w:rsidRPr="00DE116E">
        <w:rPr>
          <w:color w:val="000000" w:themeColor="text1"/>
          <w:shd w:val="clear" w:color="auto" w:fill="FFFFFF"/>
        </w:rPr>
        <w:t xml:space="preserve"> </w:t>
      </w:r>
      <w:r w:rsidRPr="00DE116E">
        <w:rPr>
          <w:color w:val="000000" w:themeColor="text1"/>
          <w:shd w:val="clear" w:color="auto" w:fill="FFFFFF"/>
        </w:rPr>
        <w:t>propone López</w:t>
      </w:r>
      <w:r w:rsidR="00BF1B01">
        <w:rPr>
          <w:color w:val="000000" w:themeColor="text1"/>
          <w:shd w:val="clear" w:color="auto" w:fill="FFFFFF"/>
        </w:rPr>
        <w:t xml:space="preserve"> (</w:t>
      </w:r>
      <w:r w:rsidR="00AF5A84">
        <w:rPr>
          <w:color w:val="000000" w:themeColor="text1"/>
          <w:shd w:val="clear" w:color="auto" w:fill="FFFFFF"/>
        </w:rPr>
        <w:t xml:space="preserve">1 de noviembre de </w:t>
      </w:r>
      <w:r w:rsidR="006C78A1" w:rsidRPr="00DE116E">
        <w:rPr>
          <w:color w:val="000000" w:themeColor="text1"/>
          <w:shd w:val="clear" w:color="auto" w:fill="FFFFFF"/>
        </w:rPr>
        <w:t>2007</w:t>
      </w:r>
      <w:r w:rsidR="006D4D96" w:rsidRPr="00DE116E">
        <w:rPr>
          <w:color w:val="000000" w:themeColor="text1"/>
          <w:shd w:val="clear" w:color="auto" w:fill="FFFFFF"/>
        </w:rPr>
        <w:t>)</w:t>
      </w:r>
      <w:r w:rsidR="006D4D96">
        <w:rPr>
          <w:color w:val="000000" w:themeColor="text1"/>
          <w:shd w:val="clear" w:color="auto" w:fill="FFFFFF"/>
        </w:rPr>
        <w:t>:</w:t>
      </w:r>
    </w:p>
    <w:p w14:paraId="3AE94AAF" w14:textId="77777777" w:rsidR="00B36A36" w:rsidRPr="00DE116E" w:rsidRDefault="00B36A36" w:rsidP="007F799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DE116E">
        <w:t>Contenidos educativos: cursos completos (programas educativos), diversos tipos de materiales</w:t>
      </w:r>
      <w:r w:rsidRPr="00DE116E">
        <w:rPr>
          <w:color w:val="000000" w:themeColor="text1"/>
        </w:rPr>
        <w:t xml:space="preserve"> informativos y didácticos en texto, en audio y en video.</w:t>
      </w:r>
    </w:p>
    <w:p w14:paraId="22E2E934" w14:textId="6016CCFE" w:rsidR="00B36A36" w:rsidRPr="00DE116E" w:rsidRDefault="00B36A36" w:rsidP="007F799E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Herramientas: </w:t>
      </w:r>
      <w:r w:rsidR="003546FF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3546FF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rincipalmente </w:t>
      </w:r>
      <w:r w:rsidR="003546FF" w:rsidRPr="007F799E">
        <w:rPr>
          <w:rFonts w:ascii="Times New Roman" w:hAnsi="Times New Roman" w:cs="Times New Roman"/>
          <w:i/>
          <w:iCs/>
          <w:sz w:val="24"/>
          <w:szCs w:val="24"/>
          <w:lang w:val="es-MX"/>
        </w:rPr>
        <w:t>software</w:t>
      </w:r>
      <w:r w:rsidR="003546FF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sz w:val="24"/>
          <w:szCs w:val="24"/>
          <w:lang w:val="es-MX"/>
        </w:rPr>
        <w:t>para apoyar la creación, entrega (acceso), uso y mejoramiento de contenidos educativos abiertos.</w:t>
      </w:r>
    </w:p>
    <w:p w14:paraId="76192A42" w14:textId="38EB358A" w:rsidR="00B36A36" w:rsidRPr="00DE116E" w:rsidRDefault="00B36A36" w:rsidP="007F799E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sz w:val="24"/>
          <w:szCs w:val="24"/>
          <w:lang w:val="es-MX"/>
        </w:rPr>
        <w:t>Recursos de implementación:</w:t>
      </w:r>
      <w:r w:rsidR="006C78A1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546FF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3546FF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icencias </w:t>
      </w:r>
      <w:r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de propiedad intelectual que promuevan la publicación abierta de materiales </w:t>
      </w:r>
      <w:r w:rsidR="004E76FB" w:rsidRPr="00DE116E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spellStart"/>
      <w:r w:rsidR="00057B6D">
        <w:rPr>
          <w:rFonts w:ascii="Times New Roman" w:hAnsi="Times New Roman" w:cs="Times New Roman"/>
          <w:sz w:val="24"/>
          <w:szCs w:val="24"/>
          <w:lang w:val="es-MX"/>
        </w:rPr>
        <w:t>párrs</w:t>
      </w:r>
      <w:proofErr w:type="spellEnd"/>
      <w:r w:rsidR="00057B6D">
        <w:rPr>
          <w:rFonts w:ascii="Times New Roman" w:hAnsi="Times New Roman" w:cs="Times New Roman"/>
          <w:sz w:val="24"/>
          <w:szCs w:val="24"/>
          <w:lang w:val="es-MX"/>
        </w:rPr>
        <w:t>. 5-7</w:t>
      </w:r>
      <w:r w:rsidR="004E76FB" w:rsidRPr="00DE116E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14:paraId="791DC5C4" w14:textId="530A119F" w:rsidR="00B36A36" w:rsidRDefault="00057B6D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A93299" w:rsidRPr="00DE116E">
        <w:rPr>
          <w:rFonts w:ascii="Times New Roman" w:hAnsi="Times New Roman" w:cs="Times New Roman"/>
          <w:sz w:val="24"/>
          <w:szCs w:val="24"/>
          <w:lang w:val="es-MX"/>
        </w:rPr>
        <w:t>ás allá de</w:t>
      </w:r>
      <w:r w:rsidR="006C78A1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sz w:val="24"/>
          <w:szCs w:val="24"/>
          <w:lang w:val="es-MX"/>
        </w:rPr>
        <w:t>una serie de concept</w:t>
      </w:r>
      <w:r w:rsidR="000B610F" w:rsidRPr="00DE116E">
        <w:rPr>
          <w:rFonts w:ascii="Times New Roman" w:hAnsi="Times New Roman" w:cs="Times New Roman"/>
          <w:sz w:val="24"/>
          <w:szCs w:val="24"/>
          <w:lang w:val="es-MX"/>
        </w:rPr>
        <w:t>os</w:t>
      </w:r>
      <w:r w:rsidR="00B36A36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en torno a los RE</w:t>
      </w:r>
      <w:r w:rsidR="000B610F" w:rsidRPr="00DE116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B6860" w:rsidRPr="00DE116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0B610F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las instituciones de educación superior </w:t>
      </w:r>
      <w:r w:rsidR="000B610F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tienen el compromiso de </w:t>
      </w:r>
      <w:r w:rsidR="00B36A36" w:rsidRPr="00DE116E">
        <w:rPr>
          <w:rFonts w:ascii="Times New Roman" w:hAnsi="Times New Roman" w:cs="Times New Roman"/>
          <w:sz w:val="24"/>
          <w:szCs w:val="24"/>
          <w:lang w:val="es-MX"/>
        </w:rPr>
        <w:t xml:space="preserve">garantizar una educación abierta y de calidad que promueva </w:t>
      </w:r>
      <w:r w:rsidR="00B36A36" w:rsidRPr="00DE116E">
        <w:rPr>
          <w:rFonts w:ascii="Times New Roman" w:hAnsi="Times New Roman" w:cs="Times New Roman"/>
          <w:sz w:val="24"/>
          <w:szCs w:val="24"/>
          <w:lang w:val="es-MX"/>
        </w:rPr>
        <w:lastRenderedPageBreak/>
        <w:t>oportunidades de aprendizaje permanente para todos, sustentada en políticas educativas incluyentes de los REA.</w:t>
      </w:r>
    </w:p>
    <w:p w14:paraId="75892CBC" w14:textId="77777777" w:rsidR="00AC50FE" w:rsidRPr="00DE116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2F3A51" w14:textId="526DCC25" w:rsidR="008941AA" w:rsidRPr="00DE116E" w:rsidRDefault="00231831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 xml:space="preserve">Desarrollo de políticas institucionales sobre </w:t>
      </w:r>
      <w:r w:rsidR="00CE6F54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>recursos educativos abiertos</w:t>
      </w:r>
    </w:p>
    <w:p w14:paraId="1BDD2692" w14:textId="4452D4E8" w:rsidR="00EE1DAD" w:rsidRPr="00DE116E" w:rsidRDefault="00834977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tendencia </w:t>
      </w:r>
      <w:r w:rsidR="00D940A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 acceso abierto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está ganando terreno en el ámbito educativo y,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concretamente, en el contexto de la </w:t>
      </w:r>
      <w:r w:rsidR="00EE1DA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ducación superior</w:t>
      </w:r>
      <w:r w:rsidR="00BC65A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existe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necesidad de formalizar políticas orientadas a establecer un marco regulatorio que ayuden a dar un paso más en la elaboración y compartición de contenidos </w:t>
      </w:r>
      <w:r w:rsidR="00EE1DA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proofErr w:type="spellStart"/>
      <w:r w:rsidR="00EE1DA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Inamorato</w:t>
      </w:r>
      <w:proofErr w:type="spellEnd"/>
      <w:r w:rsidR="009D33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F1B01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et al</w:t>
      </w:r>
      <w:r w:rsidR="00BF1B0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EE1DA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550C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EE1DA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2012).</w:t>
      </w:r>
    </w:p>
    <w:p w14:paraId="0E1D6D28" w14:textId="38BEA172" w:rsidR="00834977" w:rsidRPr="00DE116E" w:rsidRDefault="0056557D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los procesos de elaboración de políticas educativas sobre los REA debe primar </w:t>
      </w:r>
      <w:r w:rsidR="008941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principio fundamental </w:t>
      </w:r>
      <w:r w:rsidR="008941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 colaboración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el diseño de las normas regulatorias</w:t>
      </w:r>
      <w:r w:rsidR="008941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colaboración se ha constituido en la herramienta más importante para el diseño, ejecución y desarrollo de políticas de acceso abierto</w:t>
      </w:r>
      <w:r w:rsidR="005A2C7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las que los mismos docentes y estudiantes pueden colaborar con el propósito de democratizar los contenidos educativos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Start w:id="16" w:name="_Hlk44673275"/>
      <w:r w:rsidR="005A2C7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(García, 2019)</w:t>
      </w:r>
      <w:bookmarkEnd w:id="16"/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19F16143" w14:textId="74054820" w:rsidR="00B832A1" w:rsidRPr="00DE116E" w:rsidRDefault="00B832A1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ámbito específico de las políticas educativas</w:t>
      </w:r>
      <w:r w:rsidR="004A6F9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 Declaración de París de 2012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sobre los REA</w:t>
      </w:r>
      <w:r w:rsidR="00F44D2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expuso a los Estados </w:t>
      </w:r>
      <w:r w:rsidR="004A6F9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</w:t>
      </w:r>
      <w:r w:rsidR="004A6F9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iembros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necesidad de que dispongan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un instrumento normativo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la materia que promueva 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elaboración de políticas y prácticas eficaces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44D2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F44D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relación </w:t>
      </w:r>
      <w:r w:rsidR="00F44D2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</w:t>
      </w:r>
      <w:r w:rsidR="00F44D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44D2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estos recursos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48D7C4F9" w14:textId="48415E26" w:rsidR="00B832A1" w:rsidRPr="00DE116E" w:rsidRDefault="008D4768" w:rsidP="007F799E">
      <w:pPr>
        <w:pStyle w:val="Lista2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este orden de ideas</w:t>
      </w:r>
      <w:r w:rsidR="00EB0C5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dispuso que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Estados </w:t>
      </w:r>
      <w:r w:rsidR="00F44D2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</w:t>
      </w:r>
      <w:r w:rsidR="00F44D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iembros </w:t>
      </w:r>
      <w:r w:rsidR="00F20DF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empleen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EB0C5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según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</w:t>
      </w:r>
      <w:r w:rsidR="00EB0C5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posibilidades</w:t>
      </w:r>
      <w:r w:rsidR="00AC50F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</w:t>
      </w:r>
      <w:r w:rsidR="00EB0C5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competencias</w:t>
      </w:r>
      <w:r w:rsidR="00EB0C5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832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siguientes instrumentos normativos: </w:t>
      </w:r>
    </w:p>
    <w:p w14:paraId="18AC4EDD" w14:textId="50F4FBD8" w:rsidR="00B832A1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Crear entornos propicios para el uso de las</w:t>
      </w:r>
      <w:r w:rsidR="00E02FA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TIC.</w:t>
      </w:r>
    </w:p>
    <w:p w14:paraId="255A35ED" w14:textId="616E8128" w:rsidR="00B832A1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17" w:name="_Hlk46154834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Reforzar la formulación de estrategias y políticas sobre</w:t>
      </w:r>
      <w:r w:rsidR="00DF7BA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bookmarkEnd w:id="17"/>
    <w:p w14:paraId="10D37D13" w14:textId="77777777" w:rsidR="00B832A1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Apoyar el aumento de capacidades para el desarrollo sostenible de materiales de aprendizaje de calidad.</w:t>
      </w:r>
    </w:p>
    <w:p w14:paraId="1C71E951" w14:textId="6F3BA8BF" w:rsidR="00B832A1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Promover la elaboración y adaptación de </w:t>
      </w:r>
      <w:r w:rsidR="00DF7BA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una variedad de idiomas y de contextos culturales.</w:t>
      </w:r>
    </w:p>
    <w:p w14:paraId="591090BB" w14:textId="5EC58EA3" w:rsidR="00B832A1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Alentar la investigación sobre los </w:t>
      </w:r>
      <w:r w:rsidR="00DF7BA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6B8D3AA3" w14:textId="5BFDE8BE" w:rsidR="00051AB0" w:rsidRPr="00DE116E" w:rsidRDefault="00B832A1" w:rsidP="007F799E">
      <w:pPr>
        <w:pStyle w:val="Lista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Promover el uso de licencias abiertas para los materiales educativos financiados con fondos públicos 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2012)</w:t>
      </w:r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240F5DDA" w14:textId="6149A6B0" w:rsidR="00B36A36" w:rsidRPr="00DE116E" w:rsidRDefault="00051AB0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</w:pP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Dicho documento constituye un gran paso para el acceso </w:t>
      </w:r>
      <w:r w:rsidR="001D13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universal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a la</w:t>
      </w:r>
      <w:r w:rsidR="0046690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educación</w:t>
      </w:r>
      <w:r w:rsidR="00F409A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,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en</w:t>
      </w:r>
      <w:r w:rsidR="00520E1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todos los niveles </w:t>
      </w:r>
      <w:r w:rsidR="0046690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educativos</w:t>
      </w:r>
      <w:r w:rsidR="00F409A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,</w:t>
      </w:r>
      <w:r w:rsidR="0046690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mediante medidas que </w:t>
      </w:r>
      <w:r w:rsidR="001D13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>refuerzan</w:t>
      </w:r>
      <w:r w:rsidR="001D1370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46690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las </w:t>
      </w: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estrategias y políticas</w:t>
      </w:r>
      <w:r w:rsidR="00466902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sobre </w:t>
      </w:r>
      <w:r w:rsidR="00B5596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REA</w:t>
      </w:r>
      <w:r w:rsidR="00985024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F409A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que </w:t>
      </w:r>
      <w:r w:rsidR="0098502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foment</w:t>
      </w:r>
      <w:r w:rsidR="00985024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</w:t>
      </w:r>
      <w:r w:rsidR="0098502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n </w:t>
      </w:r>
      <w:r w:rsidR="00F409A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su creación, uso y gestión con la</w:t>
      </w:r>
      <w:r w:rsidR="00520E1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F409A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intencionalidad de mejorar la innovación en la educación superior</w:t>
      </w:r>
      <w:r w:rsidR="002C065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 principalmente (</w:t>
      </w:r>
      <w:r w:rsidR="00B82E26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Ramírez</w:t>
      </w:r>
      <w:r w:rsidR="002C065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976C58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2C065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2013).</w:t>
      </w:r>
    </w:p>
    <w:p w14:paraId="7C90378D" w14:textId="06808F49" w:rsidR="0012592F" w:rsidRPr="00DE116E" w:rsidRDefault="001C1AC9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18" w:name="_Hlk46139378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Sin embargo</w:t>
      </w:r>
      <w:r w:rsidR="00605BF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siguiendo a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Coolidge y </w:t>
      </w:r>
      <w:proofErr w:type="spellStart"/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F19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(2016)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DF19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C265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todas las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instituciones de educación superior o universidades </w:t>
      </w:r>
      <w:r w:rsidR="004B63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han reconocido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alto potencial de los REA en la enseñanza y el aprendizaje. </w:t>
      </w:r>
      <w:r w:rsidR="00CF4EE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obtener éxitos dichas instituciones deben de incorporar </w:t>
      </w:r>
      <w:r w:rsidR="00B82E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</w:t>
      </w:r>
      <w:r w:rsidR="00CF4EE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sus planes estudios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programas completos basados en REA y para ello </w:t>
      </w:r>
      <w:r w:rsidR="00DF19E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implementar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políticas educativas</w:t>
      </w:r>
      <w:r w:rsidR="00CF4EE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afiancen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tales iniciativas (</w:t>
      </w:r>
      <w:r w:rsidR="00775A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Coolidge y </w:t>
      </w:r>
      <w:proofErr w:type="spellStart"/>
      <w:r w:rsidR="00775A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775AB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775A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2016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).</w:t>
      </w:r>
    </w:p>
    <w:bookmarkEnd w:id="18"/>
    <w:p w14:paraId="43B027BD" w14:textId="105E3416" w:rsidR="00B36A36" w:rsidRPr="00DE116E" w:rsidRDefault="00B82E2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Estos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A64F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peritos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políticas educativas sobre REA han contribuido a cerrar dicha </w:t>
      </w:r>
      <w:r w:rsidR="0088178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brecha diseñando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30A0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propuesta</w:t>
      </w:r>
      <w:r w:rsidR="00B36A36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</w:t>
      </w:r>
      <w:r w:rsidR="00B36A36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Herramientas de Desarrollo de Políticas para Recursos Educativos Abiertos </w:t>
      </w:r>
      <w:r w:rsidR="00EB0C5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(</w:t>
      </w:r>
      <w:r w:rsidR="00B36A36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REA</w:t>
      </w:r>
      <w:r w:rsidR="00EB0C5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)</w:t>
      </w:r>
      <w:r w:rsidR="00775ABD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B36A36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cuyo contenido está destinado a ser adoptado y adaptado para su uso dentro de la cultura de las respectivas instituciones que estén dispuestas a asumirlo</w:t>
      </w:r>
      <w:r w:rsidR="00775AB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tomando en cuenta tres </w:t>
      </w:r>
      <w:r w:rsidR="00361C5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rubros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: los </w:t>
      </w:r>
      <w:r w:rsidR="00775A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supuestos, los componentes y los recursos de política</w:t>
      </w:r>
      <w:r w:rsidR="00120A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20417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los</w:t>
      </w:r>
      <w:r w:rsidR="00775A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REA </w:t>
      </w:r>
      <w:r w:rsidR="00BF1B0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Coolidge y </w:t>
      </w:r>
      <w:proofErr w:type="spellStart"/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BF1B0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2016</w:t>
      </w:r>
      <w:r w:rsidR="00AE572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57F15FE4" w14:textId="05CC5A1C" w:rsidR="00B36A36" w:rsidRPr="00DE116E" w:rsidRDefault="00361C58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</w:t>
      </w:r>
      <w:r w:rsidR="0085443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854436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supuestos</w:t>
      </w:r>
      <w:r w:rsidR="00B36A36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de política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concentran en un conjunto de indicadores que contribuyen a proporcionar la base </w:t>
      </w:r>
      <w:r w:rsidR="00AF1F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la formulación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una sana política REA. Entre otros, se puede considerar los siguientes:</w:t>
      </w:r>
    </w:p>
    <w:p w14:paraId="61F88CB0" w14:textId="77777777" w:rsidR="00B36A36" w:rsidRPr="00DE116E" w:rsidRDefault="00B36A36" w:rsidP="007F799E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Tener una política REA a nivel institucional significa apoyo de la dirección, y crear un entorno seguro para que el cuerpo docente pueda explorar el potencial de los REA.</w:t>
      </w:r>
    </w:p>
    <w:p w14:paraId="173A1422" w14:textId="77777777" w:rsidR="00B36A36" w:rsidRPr="00DE116E" w:rsidRDefault="00B36A36" w:rsidP="007F799E">
      <w:pPr>
        <w:numPr>
          <w:ilvl w:val="0"/>
          <w:numId w:val="2"/>
        </w:numPr>
        <w:tabs>
          <w:tab w:val="clear" w:pos="720"/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aprovechar todo el potencial de los REA en la enseñanza y el aprendizaje, las instituciones de educación superior deben desarrollar y ofrecer programas completos basados en REA.</w:t>
      </w:r>
    </w:p>
    <w:p w14:paraId="2A2307D0" w14:textId="03FD8F0D" w:rsidR="00B36A36" w:rsidRPr="00DE116E" w:rsidRDefault="00B36A36" w:rsidP="007F799E">
      <w:pPr>
        <w:pStyle w:val="Prrafodelista"/>
        <w:numPr>
          <w:ilvl w:val="0"/>
          <w:numId w:val="2"/>
        </w:numPr>
        <w:tabs>
          <w:tab w:val="clear" w:pos="720"/>
          <w:tab w:val="num" w:pos="1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Una política REA a nivel institucional se ejecuta mejor cuando se escribe en colaboración con todas las partes interesadas </w:t>
      </w:r>
      <w:r w:rsidR="0055258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—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profesores, consejos de gobierno, estudiantes, personal docente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administrativo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líderes de organismos estudiantiles</w:t>
      </w:r>
      <w:r w:rsidR="0031067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—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entro de una visión de cultura que abraza la premisa de </w:t>
      </w:r>
      <w:r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la </w:t>
      </w:r>
      <w:r w:rsidR="00DC678F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apertura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 producción de los REA (Coolidge y </w:t>
      </w:r>
      <w:proofErr w:type="spellStart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2016).</w:t>
      </w:r>
    </w:p>
    <w:p w14:paraId="1CEF7787" w14:textId="73579B44" w:rsidR="00B36A36" w:rsidRPr="00DE116E" w:rsidRDefault="00120AE4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Los </w:t>
      </w: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c</w:t>
      </w:r>
      <w:r w:rsidR="00B36A36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omponentes de política</w:t>
      </w:r>
      <w:r w:rsidR="00B36A36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</w:t>
      </w:r>
      <w:r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parten de</w:t>
      </w:r>
      <w:r w:rsidR="0050240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 hecho de</w:t>
      </w:r>
      <w:r w:rsidR="00216DC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las comunidades educativas necesitan conocer los propósitos de las políticas</w:t>
      </w:r>
      <w:r w:rsidR="00216DC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 qué los REA son importantes y cómo se alinean con la visión y misión institucional.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Son múltiples los componentes que se deben considerar al desarrollar una </w:t>
      </w:r>
      <w:r w:rsidR="0050240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</w:t>
      </w:r>
      <w:r w:rsidR="0050240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olítica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REA,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según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Coolidge y </w:t>
      </w:r>
      <w:proofErr w:type="spellStart"/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BF1B0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0240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2016):</w:t>
      </w:r>
    </w:p>
    <w:p w14:paraId="29C93C07" w14:textId="41986B35" w:rsidR="00B36A36" w:rsidRPr="00DE116E" w:rsidRDefault="00B36A36" w:rsidP="007F799E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suplantar en el uso y la creación de REA la política de propiedad intelectual y derechos de autor de una institución sino complementarla con </w:t>
      </w:r>
      <w:r w:rsidR="0050240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50240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icencia</w:t>
      </w:r>
      <w:r w:rsidR="0050240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50240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Creative</w:t>
      </w:r>
      <w:proofErr w:type="spellEnd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Commons</w:t>
      </w:r>
      <w:proofErr w:type="spellEnd"/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entre otras.</w:t>
      </w:r>
    </w:p>
    <w:p w14:paraId="2810A50C" w14:textId="77777777" w:rsidR="00B36A36" w:rsidRPr="00DE116E" w:rsidRDefault="00B36A36" w:rsidP="007F799E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Incluir los lineamientos de 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ormación y desarrollo profesional con REA contemplando aspectos básicos como ofrecer al personal académico oportunidades de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desarrollo profesional, espacios para intercambiar ideas y profundizar su comprensión y compromiso, </w:t>
      </w:r>
      <w:r w:rsidR="00216DC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así como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oportunidades para construir nuevas redes</w:t>
      </w:r>
      <w:r w:rsidR="00F93B1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2198824C" w14:textId="63836B47" w:rsidR="00B36A36" w:rsidRPr="00DE116E" w:rsidRDefault="00B36A36" w:rsidP="007F799E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Asegurar la </w:t>
      </w:r>
      <w:r w:rsidR="005F7E9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alidad de los REA: esta se debe reflejar en los cursos y programas del plan de estudios, de manera que sea igual o superior que el contenido editorial distribuido comercialmente (Coolidge y </w:t>
      </w:r>
      <w:proofErr w:type="spellStart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2016).</w:t>
      </w:r>
    </w:p>
    <w:p w14:paraId="72CB5547" w14:textId="77777777" w:rsidR="00B36A36" w:rsidRPr="00DE116E" w:rsidRDefault="00916435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Sin duda,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política REA </w:t>
      </w:r>
      <w:r w:rsidR="005F7E9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pacta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cumplimiento de las leyes locales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reglamentos de carácter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nacional e internacional</w:t>
      </w:r>
      <w:r w:rsidR="00B82E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mediante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</w:t>
      </w:r>
      <w:r w:rsidR="00520E1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participación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cuerpo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docente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del estudiantado en la elaboración y práctica de dicha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normas.</w:t>
      </w:r>
    </w:p>
    <w:p w14:paraId="7D93836B" w14:textId="21D73B21" w:rsidR="00916435" w:rsidRPr="00DE116E" w:rsidRDefault="00770463" w:rsidP="00AC50FE">
      <w:pPr>
        <w:pStyle w:val="Prrafodelist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Por último, los </w:t>
      </w:r>
      <w:r w:rsidRPr="007F799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>recursos</w:t>
      </w:r>
      <w:r w:rsidR="00B36A36" w:rsidRPr="00770463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de</w:t>
      </w:r>
      <w:r w:rsidR="00B36A36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política </w:t>
      </w:r>
      <w:r w:rsidR="00962FD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pretende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n</w:t>
      </w:r>
      <w:r w:rsidR="00962FD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="00BF695F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regular</w:t>
      </w:r>
      <w:r w:rsidR="0091643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todo lo</w:t>
      </w:r>
      <w:r w:rsidR="00BF695F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relacionado con los recursos económicos, recursos humanos y recursos técnicos mediante formatos flexibles que propicien </w:t>
      </w:r>
      <w:r w:rsidR="00BF695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retención, reutilización, revisión, remezcla o redistribución del contenido (Coolidge y </w:t>
      </w:r>
      <w:proofErr w:type="spellStart"/>
      <w:r w:rsidR="00BF695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BF695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2016). Asimismo, se debe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="00BF695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contemplar las dimensiones que constituyen la esencia del concepto </w:t>
      </w:r>
      <w:r w:rsidR="00BF695F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REA</w:t>
      </w:r>
      <w:r w:rsidR="00BF695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 contenidos educativos, herramientas técnicas y recursos legales de implementación, mencionados más arriba.</w:t>
      </w:r>
    </w:p>
    <w:p w14:paraId="1F259F2D" w14:textId="114094FA" w:rsidR="00B36A36" w:rsidRDefault="00191AFD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modo de cierre de este apartado</w:t>
      </w:r>
      <w:r w:rsidR="0077046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7046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vale la pena retomar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537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llamado de atención de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(2019) a todos sus países miembros e instituciones nacionales de educación superior para que aborden la inclusión de los REA en la transformación o reformas educativas que incluyan las posibilidades, potencialidades y oportunidades que brinda este movimiento educativo, actualizando sus marcos normativos y operativos en función de la obtención de resultados finales de mayor equidad y calidad (</w:t>
      </w:r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p.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9)</w:t>
      </w:r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414CDD8E" w14:textId="77777777" w:rsidR="00AC50FE" w:rsidRPr="00DE116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01584C35" w14:textId="3B29D0B4" w:rsidR="00B36A36" w:rsidRPr="00DE116E" w:rsidRDefault="0088723C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Método</w:t>
      </w:r>
    </w:p>
    <w:p w14:paraId="0745727B" w14:textId="759FF5B6" w:rsidR="009907ED" w:rsidRDefault="00EC1C44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La metodología que se utilizó fue de </w:t>
      </w:r>
      <w:r w:rsidR="0049090E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tipo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cualitativo</w:t>
      </w:r>
      <w:r w:rsidR="0081055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y el estudio de caso se empleó como estrategia</w:t>
      </w:r>
      <w:r w:rsidR="003E2A5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de indagación</w:t>
      </w:r>
      <w:r w:rsidR="0081055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. Esta</w:t>
      </w:r>
      <w:r w:rsidR="0049090E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fue de corte transversa</w:t>
      </w:r>
      <w:r w:rsidR="0081055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l y exploratorio. No se</w:t>
      </w:r>
      <w:r w:rsidR="00A73A7F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usó</w:t>
      </w:r>
      <w:r w:rsidR="0081055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la muestra </w:t>
      </w:r>
      <w:r w:rsidR="00962FD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probabilística,</w:t>
      </w:r>
      <w:r w:rsidR="003E2A5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pero s</w:t>
      </w:r>
      <w:r w:rsidR="003E7C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í</w:t>
      </w:r>
      <w:r w:rsidR="003E2A5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la</w:t>
      </w:r>
      <w:r w:rsidR="00962FD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mixta</w:t>
      </w:r>
      <w:r w:rsidR="0081055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.</w:t>
      </w:r>
      <w:r w:rsidR="00A73A7F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Se eligió el estudio de caso porque contribu</w:t>
      </w:r>
      <w:r w:rsidR="003E2A5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ye</w:t>
      </w:r>
      <w:r w:rsidR="00A73A7F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a una comprensión</w:t>
      </w:r>
      <w:r w:rsidR="002640E7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exhaustiva de un tema determinado, por ejemplo, un programa, una política o una institución</w:t>
      </w:r>
      <w:r w:rsidR="00A276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,</w:t>
      </w:r>
      <w:r w:rsidR="002640E7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con la finalidad de producir conocimiento en torno a estos u otros fenómenos sociales</w:t>
      </w:r>
      <w:r w:rsidR="00742FB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bookmarkStart w:id="19" w:name="_Hlk42271778"/>
      <w:r w:rsidR="00742FB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(Colina, 2014</w:t>
      </w:r>
      <w:r w:rsidR="00BF1B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.</w:t>
      </w:r>
      <w:r w:rsidR="00742FB5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).</w:t>
      </w:r>
      <w:bookmarkEnd w:id="19"/>
    </w:p>
    <w:p w14:paraId="12869CFA" w14:textId="58BD9FF7" w:rsidR="00AC50FE" w:rsidRDefault="00AC50FE" w:rsidP="007F799E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</w:p>
    <w:p w14:paraId="7DAEA716" w14:textId="304CE776" w:rsidR="00D03F3B" w:rsidRDefault="00D03F3B" w:rsidP="007F799E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</w:p>
    <w:p w14:paraId="11586613" w14:textId="07508FF8" w:rsidR="00D03F3B" w:rsidRDefault="00D03F3B" w:rsidP="007F799E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</w:p>
    <w:p w14:paraId="38AFBEE3" w14:textId="77777777" w:rsidR="00D03F3B" w:rsidRPr="00BF1B01" w:rsidRDefault="00D03F3B" w:rsidP="007F799E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</w:p>
    <w:p w14:paraId="7153DB6D" w14:textId="24B322A9" w:rsidR="008066E6" w:rsidRPr="00DE116E" w:rsidRDefault="008F77BC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lastRenderedPageBreak/>
        <w:t>Diseño de la muestra</w:t>
      </w:r>
    </w:p>
    <w:p w14:paraId="3915E67D" w14:textId="417C516D" w:rsidR="006B351C" w:rsidRDefault="005F323C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La muestra </w:t>
      </w:r>
      <w:r w:rsidR="00497944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mixta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se bifurcó en dos estrategias</w:t>
      </w:r>
      <w:r w:rsidR="000A46C6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.</w:t>
      </w:r>
      <w:r w:rsidR="000A46C6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Por una parte, 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una exploración documental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en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instituciones de educación superior 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estatales 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para detección de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la 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situación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que guardan </w:t>
      </w:r>
      <w:r w:rsidR="008F77B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los </w:t>
      </w:r>
      <w:r w:rsidR="000A46C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planes institucionales de desarrollo educativo </w:t>
      </w:r>
      <w:r w:rsidR="0049794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relación con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</w:t>
      </w:r>
      <w:r w:rsidR="00667D2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inserción de políticas educativas específicas vinculadas con la creación y diseño de REA.</w:t>
      </w:r>
      <w:r w:rsidR="00707A7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 otra parte, se diseñó y se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subió a </w:t>
      </w:r>
      <w:bookmarkStart w:id="20" w:name="_Hlk43034880"/>
      <w:r w:rsidR="000A46C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</w:t>
      </w:r>
      <w:r w:rsidR="000A46C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nternet 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una </w:t>
      </w:r>
      <w:r w:rsidR="000D279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guía de 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consulta académica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orientada 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los profesores e investigadores de la UAEM</w:t>
      </w:r>
      <w:bookmarkEnd w:id="20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0A46C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caso de estudio</w:t>
      </w:r>
      <w:r w:rsidR="000A46C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0A46C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258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conocer la percepción que tienen de las políticas institucionales en torno a los REA</w:t>
      </w:r>
      <w:r w:rsidR="00AC50F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1469EAE1" w14:textId="77777777" w:rsidR="00AC50FE" w:rsidRPr="00DE116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18380B46" w14:textId="77777777" w:rsidR="008066E6" w:rsidRPr="00DE116E" w:rsidRDefault="008066E6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>Recolección de la información</w:t>
      </w:r>
    </w:p>
    <w:p w14:paraId="3915494F" w14:textId="17AF6F61" w:rsidR="007B4F51" w:rsidRPr="00DE116E" w:rsidRDefault="003B213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L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a recolección de información </w:t>
      </w:r>
      <w:r w:rsidR="003555DB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se cumplió 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en la primera </w:t>
      </w:r>
      <w:r w:rsidR="00497944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estrategia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mediante la 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exploración</w:t>
      </w:r>
      <w:r w:rsidR="00674C21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del contenido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de cada uno de los </w:t>
      </w:r>
      <w:r w:rsidR="00690EE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planes institucionales de desarrollo educativo 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de las 35 </w:t>
      </w:r>
      <w:r w:rsidR="00690EEA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universidades públicas estatales 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que registra la S</w:t>
      </w:r>
      <w:r w:rsidR="00497944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ecretaría de Educación Pública</w:t>
      </w:r>
      <w:r w:rsidR="00690E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(SEP)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con el propósito de verificar si en ellos se menciona</w:t>
      </w:r>
      <w:r w:rsidR="00690E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n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programas o actividades institucionales a desarrollar en relación</w:t>
      </w:r>
      <w:r w:rsidR="006B351C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="00F17B72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con</w:t>
      </w:r>
      <w:r w:rsidR="009A08E3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los REA durante el periodo de vigencia de dichos planes</w:t>
      </w:r>
      <w:r w:rsidR="00497944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 </w:t>
      </w:r>
      <w:r w:rsidR="00F50A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(</w:t>
      </w:r>
      <w:r w:rsidR="0019325E" w:rsidRPr="004654B3">
        <w:rPr>
          <w:rFonts w:ascii="Times New Roman" w:hAnsi="Times New Roman" w:cs="Times New Roman"/>
          <w:sz w:val="24"/>
          <w:szCs w:val="24"/>
          <w:lang w:val="es-MX"/>
        </w:rPr>
        <w:t>Dirección General de Educación Superior Universitaria</w:t>
      </w:r>
      <w:r w:rsidR="0019325E" w:rsidRPr="00F5384A" w:rsidDel="008E737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9325E" w:rsidRPr="00F5384A">
        <w:rPr>
          <w:rFonts w:ascii="Times New Roman" w:hAnsi="Times New Roman" w:cs="Times New Roman"/>
          <w:sz w:val="24"/>
          <w:szCs w:val="24"/>
          <w:lang w:val="es-MX"/>
        </w:rPr>
        <w:t>[</w:t>
      </w:r>
      <w:proofErr w:type="spellStart"/>
      <w:r w:rsidR="0019325E">
        <w:rPr>
          <w:rFonts w:ascii="Times New Roman" w:hAnsi="Times New Roman" w:cs="Times New Roman"/>
          <w:sz w:val="24"/>
          <w:szCs w:val="24"/>
          <w:lang w:val="es-MX"/>
        </w:rPr>
        <w:t>Dgesu</w:t>
      </w:r>
      <w:proofErr w:type="spellEnd"/>
      <w:r w:rsidR="0019325E" w:rsidRPr="00F5384A">
        <w:rPr>
          <w:rFonts w:ascii="Times New Roman" w:hAnsi="Times New Roman" w:cs="Times New Roman"/>
          <w:sz w:val="24"/>
          <w:szCs w:val="24"/>
          <w:lang w:val="es-MX"/>
        </w:rPr>
        <w:t>]</w:t>
      </w:r>
      <w:r w:rsidR="00BF1B0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 xml:space="preserve">, </w:t>
      </w:r>
      <w:r w:rsidR="00497944" w:rsidRPr="00DE116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2020).</w:t>
      </w:r>
    </w:p>
    <w:p w14:paraId="00AA1D1E" w14:textId="30A40AD9" w:rsidR="003555DB" w:rsidRPr="00DE116E" w:rsidRDefault="003D00D2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la segunda estrategia planteada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recopilación de información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llevó a cabo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mediante la aplicación d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técnica de consulta </w:t>
      </w:r>
      <w:r w:rsidR="009245A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entrevista</w:t>
      </w:r>
      <w:r w:rsidR="009245A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9245A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línea, con ítems d</w:t>
      </w:r>
      <w:r w:rsidR="0035099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preguntas abiertas, para conocer el sentido y la opinión que tienen los docentes e investigadores de 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UAEM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relación con la política educativa de su institución con respecto a la apropiación y uso de los REA. </w:t>
      </w:r>
    </w:p>
    <w:p w14:paraId="192BAAF8" w14:textId="6E9660BB" w:rsidR="009438EC" w:rsidRPr="00DE116E" w:rsidRDefault="003555D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Consulta sobre Recursos Educativos Abiertos estuvo disponible del 20 de enero al 28 de febrero del 2020. Para invitar 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profesorado de la UAEM a participar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difundió en línea</w:t>
      </w:r>
      <w:r w:rsidR="002D79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C2C5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mediante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servicio </w:t>
      </w:r>
      <w:r w:rsidR="0049794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intranet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1D75B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="001D75B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otificaciones </w:t>
      </w:r>
      <w:r w:rsidR="001D75B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UAEM. </w:t>
      </w:r>
      <w:r w:rsidR="00F17B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consulta </w:t>
      </w:r>
      <w:r w:rsidR="002D79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subió al servicio de mensajes 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institucionales </w:t>
      </w:r>
      <w:r w:rsidR="00F17B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mediante 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cartel digital en el que se dio a conocer los objetivos, el consentimiento de privacidad y anonimato de las respuestas</w:t>
      </w:r>
      <w:r w:rsidR="00CE585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Cabe señalar que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primera parte</w:t>
      </w:r>
      <w:r w:rsidR="00CE585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la consulta</w:t>
      </w:r>
      <w:r w:rsidR="00CE585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conformó </w:t>
      </w:r>
      <w:r w:rsidR="00CE585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CE585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 conjunto de preguntas cerradas relacionadas con el perfil socioeducativo de los participantes.</w:t>
      </w:r>
    </w:p>
    <w:p w14:paraId="3B4A9FDF" w14:textId="78F50E44" w:rsidR="003555DB" w:rsidRPr="00DE116E" w:rsidRDefault="003555D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preguntas abiertas se organizaron en torno a tres ejes temáticos vinculados con características básicas de los REA: </w:t>
      </w: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1</w:t>
      </w:r>
      <w:r w:rsidR="003D00D2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)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onocimientos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experiencias que tiene los docentes universitarios acerca de 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políticas educativas de dicha casa de estudios respecto a los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2</w:t>
      </w:r>
      <w:r w:rsidR="003D00D2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)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uso y difusión que </w:t>
      </w:r>
      <w:r w:rsidR="002D79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institución de pertenencia </w:t>
      </w:r>
      <w:r w:rsidR="002D79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del profesorado </w:t>
      </w:r>
      <w:r w:rsidR="009438E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confiere</w:t>
      </w:r>
      <w:r w:rsidR="002D79D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los REA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</w:t>
      </w: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3</w:t>
      </w:r>
      <w:r w:rsidR="003D00D2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)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3D00D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ctitudes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asumen los docentes frente al movimiento educativo REA.</w:t>
      </w:r>
    </w:p>
    <w:p w14:paraId="38E400B2" w14:textId="3B041029" w:rsidR="009A08E3" w:rsidRDefault="009438EC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En razón a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fecha del primer envío de la consulta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cada fin semana se envió un recordatorio para quienes todavía no habían enviado sus respuestas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para que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 hicieran. Al final se recibi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ó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 base de datos </w:t>
      </w:r>
      <w:r w:rsidR="003555DB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ad hoc 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</w:t>
      </w:r>
      <w:r w:rsidR="009710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3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respuestas de diferente personal académico de la institución objeto de estudio. Este resultado se valoró suficiente y significativo dentro las perspectivas de la</w:t>
      </w:r>
      <w:r w:rsidR="003B213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555D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metodología de investigación cualitativa.</w:t>
      </w:r>
    </w:p>
    <w:p w14:paraId="25ECB928" w14:textId="77777777" w:rsidR="00AC50F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1DFB842F" w14:textId="6C314840" w:rsidR="00BA016A" w:rsidRPr="00DE116E" w:rsidRDefault="008066E6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</w:pPr>
      <w:r w:rsidRPr="00DE116E">
        <w:rPr>
          <w:rFonts w:ascii="Times New Roman" w:hAnsi="Times New Roman" w:cs="Times New Roman"/>
          <w:b/>
          <w:color w:val="000000" w:themeColor="text1"/>
          <w:sz w:val="28"/>
          <w:szCs w:val="28"/>
          <w:lang w:val="es-MX"/>
        </w:rPr>
        <w:t>Procesamiento de la información</w:t>
      </w:r>
    </w:p>
    <w:p w14:paraId="1756928D" w14:textId="6B639608" w:rsidR="005D2790" w:rsidRDefault="00AE7942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A016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 análisis </w:t>
      </w:r>
      <w:r w:rsidR="00BA016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los datos 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del </w:t>
      </w:r>
      <w:r w:rsidR="00691A35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corpus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configurado con las respuestas a la consulta</w:t>
      </w:r>
      <w:r w:rsidR="005939F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1462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fue agenciado con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aportes 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DB14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teoría fundamentada de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Straus</w:t>
      </w:r>
      <w:proofErr w:type="spellEnd"/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</w:t>
      </w:r>
      <w:proofErr w:type="spellStart"/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Corbin</w:t>
      </w:r>
      <w:proofErr w:type="spellEnd"/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</w:t>
      </w:r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2002)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cuyos postulados se </w:t>
      </w:r>
      <w:r w:rsidR="001462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ha</w:t>
      </w:r>
      <w:r w:rsidR="003D00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="001462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052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posicionado</w:t>
      </w:r>
      <w:r w:rsidR="006052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1462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</w:t>
      </w:r>
      <w:r w:rsidR="00B10AA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fundamentales</w:t>
      </w:r>
      <w:r w:rsidR="0014623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la investigación educativa de carácter cualitativo </w:t>
      </w:r>
      <w:bookmarkStart w:id="21" w:name="_Hlk42689250"/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</w:t>
      </w:r>
      <w:r w:rsidR="00882DC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junto con 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posibilidades que ofrece el </w:t>
      </w:r>
      <w:r w:rsidR="00691A35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software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ATLAS.ti</w:t>
      </w:r>
      <w:proofErr w:type="spellEnd"/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882DC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auxiliar en los procesos de sistematización</w:t>
      </w:r>
      <w:bookmarkEnd w:id="21"/>
      <w:r w:rsidR="00882DC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882DC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5939F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constituyen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herramientas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apoyo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para la interpretación</w:t>
      </w:r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cualitativa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los datos </w:t>
      </w:r>
      <w:r w:rsidR="0025468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textuales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S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egún </w:t>
      </w:r>
      <w:bookmarkStart w:id="22" w:name="_Hlk40978783"/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Coffey y Atkinson (2003)</w:t>
      </w:r>
      <w:bookmarkEnd w:id="22"/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las investigaciones se debe “transformar e interpretar los datos cualitativos 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—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manera académica y rigurosa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—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fin de captar las complejidades de los mundos sociales que buscamos comprender” (</w:t>
      </w:r>
      <w:r w:rsidR="00976C5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p.</w:t>
      </w:r>
      <w:r w:rsidR="00691A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4).</w:t>
      </w:r>
      <w:bookmarkStart w:id="23" w:name="_Hlk43204557"/>
    </w:p>
    <w:p w14:paraId="00E28061" w14:textId="77777777" w:rsidR="00AC50FE" w:rsidRPr="00DE116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bookmarkEnd w:id="23"/>
    <w:p w14:paraId="6F40EDD5" w14:textId="65E18D7B" w:rsidR="008066E6" w:rsidRPr="00DE116E" w:rsidRDefault="0088723C" w:rsidP="00DA19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</w:pPr>
      <w:r w:rsidRPr="00DE116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t>Resultados</w:t>
      </w:r>
    </w:p>
    <w:p w14:paraId="28F0F094" w14:textId="34ABF6C0" w:rsidR="00F25F3D" w:rsidRDefault="00F9525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Los resultados se 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exponen</w:t>
      </w:r>
      <w:r w:rsidR="0092643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 base en las dos 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estrategias metodológicas</w:t>
      </w:r>
      <w:r w:rsidR="00140E0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2643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empleadas en la inda</w:t>
      </w:r>
      <w:r w:rsidR="00183A4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ga</w:t>
      </w:r>
      <w:r w:rsidR="0092643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ción</w:t>
      </w:r>
      <w:r w:rsidR="002D7B7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</w:p>
    <w:p w14:paraId="3FCB2C7B" w14:textId="77777777" w:rsidR="00AC50F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3E4A1C55" w14:textId="41397226" w:rsidR="00511C14" w:rsidRPr="00DE116E" w:rsidRDefault="00F25F3D" w:rsidP="00DA19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</w:pPr>
      <w:bookmarkStart w:id="24" w:name="_Hlk43398104"/>
      <w:r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Primera </w:t>
      </w:r>
      <w:r w:rsidR="006037DA"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estrategia</w:t>
      </w:r>
      <w:r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:</w:t>
      </w:r>
      <w:r w:rsidR="00511C14"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 </w:t>
      </w:r>
      <w:r w:rsidR="002D7B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r</w:t>
      </w:r>
      <w:r w:rsidR="002D7B78"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esultados </w:t>
      </w:r>
      <w:r w:rsidR="00511C14" w:rsidRPr="00DE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de la búsqueda documental</w:t>
      </w:r>
      <w:bookmarkEnd w:id="24"/>
    </w:p>
    <w:p w14:paraId="3C2DB60E" w14:textId="28C976C0" w:rsidR="005D6ED7" w:rsidRPr="00DE116E" w:rsidRDefault="00F25F3D" w:rsidP="00AC50FE">
      <w:pPr>
        <w:pStyle w:val="Prrafodelist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la exploración documental en las bases de datos de la SEP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</w:t>
      </w:r>
      <w:proofErr w:type="spellStart"/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Dgesu</w:t>
      </w:r>
      <w:proofErr w:type="spellEnd"/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66D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halló</w:t>
      </w:r>
      <w:r w:rsidR="00A66D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las instituciones de educación superior </w:t>
      </w:r>
      <w:r w:rsidR="00A66D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les cataloga </w:t>
      </w:r>
      <w:r w:rsidR="006037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dos grupos. En el primero 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ubica a las 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universidades denominadas </w:t>
      </w:r>
      <w:r w:rsidR="0093717C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federales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como la Universidad Nacional Autónoma de México 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UNAM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Universidad Autónoma Metropolitana 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UAM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el Instituto Politécnico Nacional 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IPN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  <w:r w:rsidR="004970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 el segundo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970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grupo 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</w:t>
      </w:r>
      <w:r w:rsidR="009C2B0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clasifica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gramStart"/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proofErr w:type="gramEnd"/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las 35 </w:t>
      </w:r>
      <w:r w:rsidR="0093717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públicas esta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tales</w:t>
      </w:r>
      <w:r w:rsidR="0093717C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9C2B0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incluyendo el estado, el nombre de la institución y la liga respectiva del sitio web.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siguientes resultados se basan solamente en el estudio de las casas de estudio de</w:t>
      </w:r>
      <w:r w:rsidR="004970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este último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grupo</w:t>
      </w:r>
      <w:r w:rsidR="004970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="005D6ED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40AE145F" w14:textId="53DD5CFF" w:rsidR="004E79AF" w:rsidRPr="00DE116E" w:rsidRDefault="00B536B5" w:rsidP="007F799E">
      <w:pPr>
        <w:pStyle w:val="Textoindependient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100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 (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35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) dispone 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bibliotecas virtuales o digitales </w:t>
      </w:r>
      <w:r w:rsidR="00F25F3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acceso abierto.</w:t>
      </w:r>
    </w:p>
    <w:p w14:paraId="71505FD1" w14:textId="501A6427" w:rsidR="004E79AF" w:rsidRPr="00DE116E" w:rsidRDefault="004E79AF" w:rsidP="007F799E">
      <w:pPr>
        <w:pStyle w:val="Textoindependient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41.17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 (1</w:t>
      </w:r>
      <w:r w:rsidR="00963EC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 aceptó la convocatoria del Consejo Nacional de Ciencia y</w:t>
      </w:r>
      <w:r w:rsidR="00990A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Tecnología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Conacyt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E6F5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6E20E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2018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) para la creación </w:t>
      </w:r>
      <w:r w:rsidR="00D2727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un</w:t>
      </w:r>
      <w:r w:rsidR="00D2727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repositorio institucional académico </w:t>
      </w:r>
      <w:r w:rsidR="00D2727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abierto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(RIAA), conectado al 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repositorio nacional de dicho consejo</w:t>
      </w:r>
      <w:r w:rsidR="00676A1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0D6B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pero carecen, a excepción de una universidad, de 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repositorios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0D6B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REA.</w:t>
      </w:r>
    </w:p>
    <w:p w14:paraId="3378D6ED" w14:textId="2F1EEF8F" w:rsidR="00B536B5" w:rsidRPr="00DE116E" w:rsidRDefault="00A16D10" w:rsidP="007F799E">
      <w:pPr>
        <w:pStyle w:val="Textoindependient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100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% de las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de este rubro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cuentan con 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plan institucional de desarrollo educati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vo</w:t>
      </w:r>
      <w:r w:rsidR="000D6B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Sin embargo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puede observar la falta de </w:t>
      </w:r>
      <w:r w:rsidR="00397A5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inclusión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dentro de dichos planes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397A5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aspectos relacionados con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REA, </w:t>
      </w:r>
      <w:r w:rsidR="00397A5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puesto que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enfocan más en el avance de los 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repositorios institucionales académicos abiertos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</w:p>
    <w:p w14:paraId="3DDA21A2" w14:textId="49C22B8B" w:rsidR="00DE215F" w:rsidRPr="00DE116E" w:rsidRDefault="00DE215F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consecuencia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A656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A16D1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mayoría de</w:t>
      </w:r>
      <w:r w:rsidR="00AB27E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estas organizaciones educativas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E79A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</w:t>
      </w:r>
      <w:r w:rsidR="00A656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ha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llaron</w:t>
      </w:r>
      <w:r w:rsidR="00A656A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evidencias de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intervención</w:t>
      </w:r>
      <w:r w:rsidR="00204B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políticas educativas institucionales que impulsen y contribuyan a la innovación de los contenidos de los programas de enseñanza aprendizaje mediante la creación de </w:t>
      </w:r>
      <w:r w:rsidR="00CF3AC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="00CF3AC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epositorios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REA.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 anterior no </w:t>
      </w:r>
      <w:r w:rsidR="00D822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significa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carezca</w:t>
      </w:r>
      <w:r w:rsidR="00D822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 de otros tipos de apoyo </w:t>
      </w:r>
      <w:r w:rsidR="00676A1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D822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las actividades</w:t>
      </w:r>
      <w:r w:rsidR="00676A1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escolares</w:t>
      </w:r>
      <w:r w:rsidR="00D822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los </w:t>
      </w:r>
      <w:r w:rsidR="00676A1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universitarios</w:t>
      </w:r>
      <w:r w:rsidR="003673C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D8227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como puede darse el caso con el uso de objetos de aprendizaje o </w:t>
      </w:r>
      <w:r w:rsidR="001B735C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de cursos masivos gratuitos en línea 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(</w:t>
      </w:r>
      <w:r w:rsidR="001B735C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MOOC</w:t>
      </w:r>
      <w:r w:rsidR="00353316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,</w:t>
      </w:r>
      <w:r w:rsidR="001B735C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 xml:space="preserve"> por sus siglas en inglés)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MX"/>
        </w:rPr>
        <w:t>.</w:t>
      </w:r>
    </w:p>
    <w:p w14:paraId="4AE02146" w14:textId="06CB7D62" w:rsidR="00145947" w:rsidRDefault="003F5E3E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Respecto al caso </w:t>
      </w:r>
      <w:r w:rsidR="00353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</w:t>
      </w:r>
      <w:r w:rsidR="003673C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53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 pertinente mencionar 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existencia de un</w:t>
      </w:r>
      <w:r w:rsidR="007573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RIAA</w:t>
      </w:r>
      <w:r w:rsidR="003206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</w:t>
      </w:r>
      <w:r w:rsidR="007573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un</w:t>
      </w:r>
      <w:r w:rsidR="0035331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673C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="003673C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epositorio </w:t>
      </w:r>
      <w:r w:rsidR="00670A5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REA </w:t>
      </w:r>
      <w:bookmarkStart w:id="25" w:name="_Hlk42883172"/>
      <w:r w:rsidR="00670A5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denominado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Metabase</w:t>
      </w:r>
      <w:proofErr w:type="spellEnd"/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de Recursos Educativos </w:t>
      </w:r>
      <w:bookmarkStart w:id="26" w:name="_Hlk43034518"/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(MRE</w:t>
      </w:r>
      <w:bookmarkEnd w:id="25"/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D27278" w:rsidRPr="0052285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757318" w:rsidRPr="00DE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 </w:t>
      </w:r>
      <w:bookmarkEnd w:id="26"/>
      <w:r w:rsidR="002E6FF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cuyo 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objetivo</w:t>
      </w:r>
      <w:r w:rsidR="002E6FF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14594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siguiente: </w:t>
      </w:r>
    </w:p>
    <w:p w14:paraId="74490E07" w14:textId="158DAB09" w:rsidR="00183A4C" w:rsidRPr="00DE116E" w:rsidRDefault="00145947" w:rsidP="007F799E">
      <w:pPr>
        <w:pStyle w:val="Textoindependiente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frecer 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la comunidad universitaria y usuarios en general dos colecciones de recursos educativos en línea: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na </w:t>
      </w:r>
      <w:proofErr w:type="spellStart"/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ligoteca</w:t>
      </w:r>
      <w:proofErr w:type="spellEnd"/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educativa de vínculos clasificados a recursos en línea de interés educativo para educación media superior y educación superior, y un repositorio de objetos de aprendizaje producidos por e-UAEM para cursos en línea</w:t>
      </w:r>
      <w:r w:rsidR="002E6FF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A27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7573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</w:t>
      </w:r>
      <w:r w:rsidR="009876F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s.f., párr.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</w:t>
      </w:r>
      <w:r w:rsidR="005A27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90474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31AC1C01" w14:textId="1D5B92FB" w:rsidR="00511C14" w:rsidRDefault="005A276B" w:rsidP="00AC50FE">
      <w:pPr>
        <w:pStyle w:val="Textoindependient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MX"/>
        </w:rPr>
      </w:pPr>
      <w:bookmarkStart w:id="27" w:name="_Hlk42882996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Esta propuesta innovadora</w:t>
      </w:r>
      <w:r w:rsidR="00807C5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creada y administrada por e-UAEM</w:t>
      </w:r>
      <w:r w:rsidR="00E708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End w:id="27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ofrece en formato de acceso libre </w:t>
      </w:r>
      <w:r w:rsidR="00A0171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estas dos herramientas que</w:t>
      </w:r>
      <w:r w:rsidR="004D6BC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5731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fueron </w:t>
      </w:r>
      <w:r w:rsidR="00251B0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cread</w:t>
      </w:r>
      <w:r w:rsidR="00251B0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251B0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 </w:t>
      </w:r>
      <w:r w:rsidR="00A0171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A017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F1F4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2015 con apoyo </w:t>
      </w:r>
      <w:r w:rsidR="00670A5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D8221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bookmarkStart w:id="28" w:name="_Hlk43204597"/>
      <w:r w:rsidR="00D82211" w:rsidRPr="00DE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MX"/>
        </w:rPr>
        <w:t xml:space="preserve"> Sistema Nacional de Educación a Distancia (</w:t>
      </w:r>
      <w:proofErr w:type="spellStart"/>
      <w:r w:rsidR="004D6BCB" w:rsidRPr="00DE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MX"/>
        </w:rPr>
        <w:t>Sined</w:t>
      </w:r>
      <w:proofErr w:type="spellEnd"/>
      <w:r w:rsidR="00D82211" w:rsidRPr="00DE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MX" w:eastAsia="es-MX"/>
        </w:rPr>
        <w:t>).</w:t>
      </w:r>
    </w:p>
    <w:p w14:paraId="54B77226" w14:textId="77777777" w:rsidR="00AC50FE" w:rsidRPr="00DE116E" w:rsidRDefault="00AC50FE" w:rsidP="007F799E">
      <w:pPr>
        <w:pStyle w:val="Textoindependiente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32BB16C6" w14:textId="2F9D90B7" w:rsidR="00387F9A" w:rsidRPr="00DE116E" w:rsidRDefault="00511C14" w:rsidP="00DA19A7">
      <w:pPr>
        <w:pStyle w:val="Textoindependiente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s-MX"/>
        </w:rPr>
      </w:pPr>
      <w:r w:rsidRPr="006F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Segunda estrategia: </w:t>
      </w:r>
      <w:r w:rsidR="002D7B78" w:rsidRPr="006F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resultados </w:t>
      </w:r>
      <w:r w:rsidRPr="006F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de la consulta</w:t>
      </w:r>
    </w:p>
    <w:bookmarkEnd w:id="28"/>
    <w:p w14:paraId="752C1B97" w14:textId="308567EA" w:rsidR="00231831" w:rsidRDefault="00377388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 resultados de la segunda estrategia de indagación correspondieron únicamente</w:t>
      </w:r>
      <w:r w:rsidR="00AA392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los datos obtenidos del análisis de las respuestas a una de las preguntas de la guía </w:t>
      </w:r>
      <w:r w:rsidR="00A73B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AA392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la consulta </w:t>
      </w:r>
      <w:r w:rsidR="00C0396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suministrada</w:t>
      </w:r>
      <w:r w:rsidR="00AA392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los docentes de la UAEM</w:t>
      </w:r>
      <w:r w:rsidR="00A73B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</w:t>
      </w:r>
      <w:r w:rsidR="00AA392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</w:t>
      </w:r>
      <w:r w:rsidR="006F78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formuló de la siguiente forma:</w:t>
      </w:r>
      <w:r w:rsidR="00AA3922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bookmarkStart w:id="29" w:name="_Hlk46222728"/>
      <w:r w:rsidR="006F78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A392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¿</w:t>
      </w:r>
      <w:bookmarkStart w:id="30" w:name="_Hlk43201821"/>
      <w:r w:rsidR="00AA392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Qué políticas existen en su institución para el diseño y </w:t>
      </w:r>
      <w:bookmarkStart w:id="31" w:name="_Hlk43404667"/>
      <w:r w:rsidR="00AA392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elaboración de materiales educativos abiertos </w:t>
      </w:r>
      <w:bookmarkEnd w:id="31"/>
      <w:r w:rsidR="00AA3922" w:rsidRPr="007F79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por parte del profesorado?</w:t>
      </w:r>
      <w:bookmarkEnd w:id="29"/>
      <w:bookmarkEnd w:id="30"/>
      <w:r w:rsidR="006F7835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”</w:t>
      </w:r>
      <w:r w:rsidR="00E748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.</w:t>
      </w:r>
      <w:r w:rsidR="007A4B60" w:rsidRPr="006F7835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8B095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En este caso</w:t>
      </w:r>
      <w:r w:rsidR="0036039F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7A4B6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se obtu</w:t>
      </w:r>
      <w:r w:rsidR="00397A5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vieron</w:t>
      </w:r>
      <w:r w:rsidR="007A4B6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23 respuestas válidas</w:t>
      </w:r>
      <w:r w:rsidR="00E748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7A4B6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C0396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puesto que </w:t>
      </w:r>
      <w:r w:rsidR="007A4B6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de las 2</w:t>
      </w:r>
      <w:r w:rsidR="00397A5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5</w:t>
      </w:r>
      <w:r w:rsidR="007A4B6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aportadas por los informantes</w:t>
      </w:r>
      <w:r w:rsidR="00E748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7A4B6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E748F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dos</w:t>
      </w:r>
      <w:r w:rsidR="00E748F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A4B6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fueron descartadas, una por ser una prueba y otra por ser una duplicación de registro</w:t>
      </w:r>
      <w:r w:rsidR="00A73B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Es pertinente mencionar que</w:t>
      </w:r>
      <w:r w:rsidR="008B095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73B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guía estuvo </w:t>
      </w:r>
      <w:r w:rsidR="00A73BA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integrada por dos módulos, uno vinculado al perfil socioeducativo de los informantes y el otro relacionado con las preguntas de opción abierta. En este orden se presentan los logros.</w:t>
      </w:r>
    </w:p>
    <w:p w14:paraId="2E9CDDD3" w14:textId="77777777" w:rsidR="00AC50FE" w:rsidRPr="00DE116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14:paraId="268E58F9" w14:textId="6C32D541" w:rsidR="00B36A36" w:rsidRPr="00DA19A7" w:rsidRDefault="00B36A36" w:rsidP="00DA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s-MX"/>
        </w:rPr>
      </w:pPr>
      <w:r w:rsidRPr="00DA19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s-MX"/>
        </w:rPr>
        <w:t>Perfil de los participantes</w:t>
      </w:r>
    </w:p>
    <w:p w14:paraId="3DF81EA0" w14:textId="6D4307FA" w:rsidR="008B095E" w:rsidRPr="00DE116E" w:rsidRDefault="008B095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este módulo se recabó información socioeducativa de los informantes </w:t>
      </w:r>
      <w:r w:rsidR="0054158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 UAEM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respecto a los siguientes rubros</w:t>
      </w:r>
      <w:r w:rsidR="0003199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con base en un total de 23 preguntas:</w:t>
      </w:r>
    </w:p>
    <w:p w14:paraId="72BBB59E" w14:textId="43483F64" w:rsidR="00B36A36" w:rsidRPr="00DE116E" w:rsidRDefault="008B095E" w:rsidP="007F799E">
      <w:pPr>
        <w:pStyle w:val="Prrafode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Tipo de contratación</w:t>
      </w:r>
      <w:r w:rsidR="0054158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4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7.82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manifestó ser por horas; el 4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3.48</w:t>
      </w:r>
      <w:r w:rsidR="00E748F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tiempo completo; </w:t>
      </w:r>
      <w:r w:rsidR="00E748F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resto,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8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.70</w:t>
      </w:r>
      <w:r w:rsidR="00E748F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E748F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536B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fue descrito con categorías que no son reconocibles en los tipos de contratación.</w:t>
      </w:r>
    </w:p>
    <w:p w14:paraId="263351E8" w14:textId="015514B4" w:rsidR="00B36A36" w:rsidRPr="00DE116E" w:rsidRDefault="00541585" w:rsidP="007F799E">
      <w:pPr>
        <w:pStyle w:val="Prrafode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Experiencia docente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: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tiene más de 20 años de experiencia; 2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% tiene de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seis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nueve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años; 2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 tiene de 10 a 15 años; 17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.40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% tiene de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uno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tres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años; 13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.04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 de 16 a 20 años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4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.34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% de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cuatro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cinco</w:t>
      </w:r>
      <w:r w:rsidR="00D27D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años.</w:t>
      </w:r>
    </w:p>
    <w:p w14:paraId="19D9ED27" w14:textId="24BE7A2B" w:rsidR="00B36A36" w:rsidRPr="00DE116E" w:rsidRDefault="00255B97" w:rsidP="007F799E">
      <w:pPr>
        <w:pStyle w:val="Prrafode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Grado máximo de estudios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39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.12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cuenta con doctorado; 3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4.8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maestría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2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licenciatura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4.34</w:t>
      </w:r>
      <w:r w:rsidR="00D27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un grado sin </w:t>
      </w:r>
      <w:r w:rsidR="00BF1B0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título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586BA9AA" w14:textId="49399F36" w:rsidR="00B36A36" w:rsidRPr="00DE116E" w:rsidRDefault="00255B97" w:rsidP="007F799E">
      <w:pPr>
        <w:pStyle w:val="Prrafodelist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Ubicación en la estructura académica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2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C724F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% provienen del área de </w:t>
      </w:r>
      <w:r w:rsidR="00C724F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educación y humanidades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otro 2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1.74</w:t>
      </w:r>
      <w:r w:rsidR="00C724F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5A087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C724F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ciencias exactas e ingenierías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1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7.40</w:t>
      </w:r>
      <w:r w:rsidR="00C724F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C724F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ciencias naturales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17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.40</w:t>
      </w:r>
      <w:r w:rsidR="00C724F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C724F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ciencias sociales y administrativas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; finalmente, </w:t>
      </w:r>
      <w:r w:rsidR="00B7359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21.72</w:t>
      </w:r>
      <w:r w:rsidR="00C724F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 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%</w:t>
      </w:r>
      <w:r w:rsidR="0017547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36A3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expresó áreas no incluidas en el cuestionario.</w:t>
      </w:r>
    </w:p>
    <w:p w14:paraId="3558B6F3" w14:textId="37CAED13" w:rsidR="00B36A36" w:rsidRPr="00DE116E" w:rsidRDefault="00B36A3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síntesis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la descripción del grupo de personas que respondió a la consulta es muy </w:t>
      </w:r>
      <w:r w:rsidR="003A208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variad</w:t>
      </w:r>
      <w:r w:rsidR="003A208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3A208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permit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ió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: </w:t>
      </w:r>
      <w:r w:rsidR="00DD71E5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a)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apturar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mirada sobre los REA en la UAEM desde distintas áreas del conocimiento; </w:t>
      </w:r>
      <w:r w:rsidR="00DD71E5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b)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conocer la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variedad de 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ubicación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los 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informantes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unidades académicas</w:t>
      </w:r>
      <w:r w:rsidR="003A208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</w:t>
      </w:r>
      <w:r w:rsidR="003A208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3A208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</w:t>
      </w:r>
      <w:r w:rsidR="003A208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 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del campus central</w:t>
      </w:r>
      <w:r w:rsidR="003A208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sino también de otros lugares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del estado</w:t>
      </w:r>
      <w:r w:rsidR="000362C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Morelos</w:t>
      </w:r>
      <w:r w:rsidR="002D7B7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</w:t>
      </w:r>
      <w:r w:rsidR="00DD71E5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c)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representar la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diversidad en edades e incluso en años de experiencia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docente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E309B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Este perfil de los informantes agenció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D71E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panorama general del tipo de 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docente</w:t>
      </w:r>
      <w:r w:rsidR="002247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colabor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ó </w:t>
      </w:r>
      <w:r w:rsidR="002247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responder 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2247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guía de</w:t>
      </w:r>
      <w:r w:rsidR="00255B9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</w:t>
      </w:r>
      <w:r w:rsidR="0022472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consulta.</w:t>
      </w:r>
    </w:p>
    <w:p w14:paraId="03F6A58E" w14:textId="77777777" w:rsidR="00D03F3B" w:rsidRPr="00D03F3B" w:rsidRDefault="00D03F3B" w:rsidP="00AC50F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</w:pPr>
    </w:p>
    <w:p w14:paraId="276F5A1A" w14:textId="1E7ADE74" w:rsidR="003834BE" w:rsidRPr="00DA19A7" w:rsidRDefault="009D1235" w:rsidP="00DA19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s-MX"/>
        </w:rPr>
      </w:pPr>
      <w:r w:rsidRPr="00DA19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s-MX"/>
        </w:rPr>
        <w:t>P</w:t>
      </w:r>
      <w:r w:rsidR="00B36A36" w:rsidRPr="00DA19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s-MX"/>
        </w:rPr>
        <w:t xml:space="preserve">ercepción de los docentes </w:t>
      </w:r>
      <w:r w:rsidRPr="00DA19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s-MX"/>
        </w:rPr>
        <w:t>en relación con las políticas institucionales sobre los REA</w:t>
      </w:r>
    </w:p>
    <w:p w14:paraId="75E05868" w14:textId="313D0294" w:rsidR="0036039F" w:rsidRPr="00DE116E" w:rsidRDefault="00F44D2F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Respecto</w:t>
      </w:r>
      <w:r w:rsidR="00632F9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análisis </w:t>
      </w:r>
      <w:r w:rsidR="00AB4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las respuestas de los informantes a la consulta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emplearon recursos </w:t>
      </w:r>
      <w:r w:rsidR="0036039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metodológicos </w:t>
      </w:r>
      <w:r w:rsidR="00DB14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</w:t>
      </w:r>
      <w:r w:rsidR="00C0396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DB14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teoría fundamentada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principalmente mediante el </w:t>
      </w:r>
      <w:r w:rsidR="00DB14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método comparativo constante 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(MCC)</w:t>
      </w:r>
      <w:r w:rsidR="00DB143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</w:t>
      </w:r>
      <w:r w:rsidR="00C0396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acuerdo con </w:t>
      </w:r>
      <w:r w:rsidR="00FA40D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San 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Martín </w:t>
      </w:r>
      <w:r w:rsidR="003875F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201</w:t>
      </w:r>
      <w:r w:rsidR="00FA40D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4</w:t>
      </w:r>
      <w:r w:rsidR="003875F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C0396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 uno de los procedimientos más experimentados para el análisis y la interpretación cualitativa de datos 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textuales</w:t>
      </w:r>
      <w:r w:rsidR="00C75F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los cuales emergen conceptos básicos y su relación comparativa constante con otros conceptos afines</w:t>
      </w:r>
      <w:r w:rsidR="003875F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(p. 6)</w:t>
      </w:r>
      <w:r w:rsidR="003834B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3AAC7A21" w14:textId="74146990" w:rsidR="003834BE" w:rsidRPr="00DE116E" w:rsidRDefault="003834B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hacer posible la investigación de conceptos, ideas y sentidos del discurso recuperado mediante la consulta a los docentes de la UAEM</w:t>
      </w:r>
      <w:r w:rsidR="00C75F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</w:t>
      </w:r>
      <w:r w:rsidR="000030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construyó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base de datos en un procesador de textos y</w:t>
      </w:r>
      <w:r w:rsidR="00C75F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posteriormente</w:t>
      </w:r>
      <w:r w:rsidR="00C75F2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0030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analizaron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mediante el </w:t>
      </w:r>
      <w:r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software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ATLAS.ti</w:t>
      </w:r>
      <w:proofErr w:type="spellEnd"/>
      <w:r w:rsidR="0000301E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De este proceso surgió una codificación de tipo múltiple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-abierta, axial y selectiva</w:t>
      </w:r>
      <w:r w:rsidR="00AA161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</w:p>
    <w:p w14:paraId="05D610A5" w14:textId="4E229FBD" w:rsidR="00147839" w:rsidRPr="00DE116E" w:rsidRDefault="001F5977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Con</w:t>
      </w:r>
      <w:r w:rsidR="00AB44B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3834B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los </w:t>
      </w:r>
      <w:r w:rsidR="00AB44B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datos </w:t>
      </w:r>
      <w:r w:rsidR="003834B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obtenidos</w:t>
      </w:r>
      <w:r w:rsidR="0036039F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se</w:t>
      </w:r>
      <w:r w:rsidR="003834BE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911DF4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construyó</w:t>
      </w: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la </w:t>
      </w:r>
      <w:r w:rsidR="00AA161D" w:rsidRPr="007F799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>net-</w:t>
      </w:r>
      <w:proofErr w:type="spellStart"/>
      <w:r w:rsidR="00AA161D" w:rsidRPr="007F799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>word</w:t>
      </w:r>
      <w:proofErr w:type="spellEnd"/>
      <w:r w:rsidR="00AA161D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>,</w:t>
      </w:r>
      <w:r w:rsidR="00AA161D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B12C3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cuyos resultados se puede</w:t>
      </w:r>
      <w:r w:rsidR="00AA161D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n</w:t>
      </w:r>
      <w:r w:rsidR="00B12C3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visualizar </w:t>
      </w:r>
      <w:r w:rsidR="00B12C3C" w:rsidRPr="00BB10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en la </w:t>
      </w:r>
      <w:r w:rsidR="00AA161D" w:rsidRPr="00BB10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figura </w:t>
      </w:r>
      <w:r w:rsidR="00B12C3C" w:rsidRPr="00BB104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1.</w:t>
      </w:r>
    </w:p>
    <w:p w14:paraId="462F01A6" w14:textId="77777777" w:rsidR="00AC50FE" w:rsidRDefault="00AC50FE" w:rsidP="00AC50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00493674" w14:textId="15509F52" w:rsidR="00B12C3C" w:rsidRPr="00DE116E" w:rsidRDefault="00147839" w:rsidP="007F799E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>Figura 1.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AA161D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Netword</w:t>
      </w:r>
      <w:proofErr w:type="spellEnd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del resultado del análisis del corpus sobre </w:t>
      </w:r>
      <w:r w:rsidR="00AA161D" w:rsidRPr="00DE116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políticas educativas </w:t>
      </w:r>
      <w:r w:rsidRPr="00DE116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REA y elaboración de materiales educativos en la UAEM</w:t>
      </w:r>
    </w:p>
    <w:p w14:paraId="13BAAF93" w14:textId="77777777" w:rsidR="00C73D50" w:rsidRPr="00DE116E" w:rsidRDefault="007A498F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val="es-MX"/>
        </w:rPr>
        <w:drawing>
          <wp:inline distT="0" distB="0" distL="0" distR="0" wp14:anchorId="51747868" wp14:editId="7C3C1418">
            <wp:extent cx="5971540" cy="3476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_Politicas Educativ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4D0D" w14:textId="21F7B9F3" w:rsidR="00A067A4" w:rsidRPr="00DA19A7" w:rsidRDefault="00E370D6" w:rsidP="00DA19A7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32" w:name="_Toc24722622"/>
      <w:bookmarkStart w:id="33" w:name="_Toc31804458"/>
      <w:bookmarkStart w:id="34" w:name="_Toc36390457"/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Nota: </w:t>
      </w:r>
      <w:r w:rsidR="00A067A4"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La letra </w:t>
      </w:r>
      <w:r w:rsidR="00AC50FE" w:rsidRPr="00DA19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067A4"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(enraizamiento) señala la frecuencia con que un código aparece.</w:t>
      </w:r>
    </w:p>
    <w:p w14:paraId="000EF234" w14:textId="467F2A1A" w:rsidR="009148F9" w:rsidRPr="00DA19A7" w:rsidRDefault="00A067A4" w:rsidP="00DA19A7">
      <w:pPr>
        <w:pStyle w:val="Descripcin"/>
        <w:spacing w:after="0" w:line="360" w:lineRule="auto"/>
        <w:ind w:left="708" w:firstLine="1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La letra </w:t>
      </w:r>
      <w:r w:rsidR="00AC50FE" w:rsidRPr="00DA19A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(densidad) establece la cantidad de códigos con los cuales un código</w:t>
      </w:r>
      <w:r w:rsidR="00147839"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está</w:t>
      </w:r>
      <w:r w:rsidR="00896CFE"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DA19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relacionado de manera semántica con otros.</w:t>
      </w:r>
    </w:p>
    <w:bookmarkEnd w:id="32"/>
    <w:bookmarkEnd w:id="33"/>
    <w:bookmarkEnd w:id="34"/>
    <w:p w14:paraId="586E71F5" w14:textId="1B3D25F1" w:rsidR="00880889" w:rsidRDefault="00C73D50" w:rsidP="00AC50FE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Fuente: Elaboración propia</w:t>
      </w:r>
    </w:p>
    <w:p w14:paraId="20169F45" w14:textId="4FBA0FE2" w:rsidR="00727FA7" w:rsidRPr="00DE116E" w:rsidRDefault="00147839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742F5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figura</w:t>
      </w:r>
      <w:r w:rsidR="00B02A9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 </w:t>
      </w:r>
      <w:r w:rsidR="00742F5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emerge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como categoría central o </w:t>
      </w:r>
      <w:proofErr w:type="spellStart"/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macrocategoría</w:t>
      </w:r>
      <w:proofErr w:type="spellEnd"/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</w:t>
      </w:r>
      <w:r w:rsidR="001E320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Política</w:t>
      </w:r>
      <w:r w:rsidR="00332F6B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32757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ducativas 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”,</w:t>
      </w:r>
      <w:r w:rsidR="00332F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la cual se </w:t>
      </w:r>
      <w:r w:rsidR="00BE5C5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subordina</w:t>
      </w:r>
      <w:r w:rsidR="00332F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categoría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Política institucional</w:t>
      </w:r>
      <w:r w:rsidR="006C3F2A" w:rsidRP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27FA7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”,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32F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 es señalada por los 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informantes </w:t>
      </w:r>
      <w:r w:rsidR="001E320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“Se desconoce” y “No existe”. Asimismo, emergieron 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dos c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ategorías 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más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727FA7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Creación de materiales educativos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727FA7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y </w:t>
      </w:r>
      <w:r w:rsidR="0032757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727FA7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Uso de los REA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cuatro 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subcategorías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727FA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Actitud favorable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6C3F2A" w:rsidRP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Capacitación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Tipo de </w:t>
      </w:r>
      <w:r w:rsidR="0032757A" w:rsidRPr="007F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s</w:t>
      </w:r>
      <w:r w:rsidR="0032757A" w:rsidRPr="00327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oftware</w:t>
      </w:r>
      <w:r w:rsidR="003275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”</w:t>
      </w:r>
      <w:r w:rsidR="0032757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Difusión</w:t>
      </w:r>
      <w:r w:rsidR="0032757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E5C5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en el fondo expresan opiniones favorables de una parte de los participantes en la consulta.</w:t>
      </w:r>
    </w:p>
    <w:p w14:paraId="1EE8E453" w14:textId="2B023237" w:rsidR="006C3F2A" w:rsidRPr="00DE116E" w:rsidRDefault="00727FA7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 resultado </w:t>
      </w:r>
      <w:r w:rsidR="00BE5C5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las categorías vinculadas con el desconocimiento o la inexistencia de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política institucional sobre REA refleja desinformación de una alta fracción del profesorado de la UAEM </w:t>
      </w:r>
      <w:r w:rsidR="00B325B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acerca de la 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existencia </w:t>
      </w:r>
      <w:r w:rsidR="00B325B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una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propuesta innovadora que e-UAEM ha </w:t>
      </w:r>
      <w:r w:rsidR="00B325B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construido 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mediante el </w:t>
      </w:r>
      <w:r w:rsidR="00A0171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A0171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istema 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la </w:t>
      </w:r>
      <w:r w:rsidR="006C3F2A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MRE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325B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está</w:t>
      </w:r>
      <w:r w:rsidR="006C3F2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 servicio de la comunidad universitaria para su consulta.</w:t>
      </w:r>
    </w:p>
    <w:p w14:paraId="678BF7DA" w14:textId="425F03EE" w:rsidR="006C3F2A" w:rsidRPr="00DE116E" w:rsidRDefault="006C3F2A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Algunos docentes percibieron como muy importante una posible participación en la </w:t>
      </w:r>
      <w:r w:rsidR="002B33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“</w:t>
      </w:r>
      <w:r w:rsidRPr="007F7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Creación de materiales educativos</w:t>
      </w:r>
      <w:r w:rsidR="002B33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”</w:t>
      </w:r>
      <w:r w:rsidR="009A2626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 no obstante, expresaron que no existe un programa al respecto dentro del </w:t>
      </w:r>
      <w:r w:rsidR="002B33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plan institucional de desarrollo educativo</w:t>
      </w:r>
      <w:r w:rsidR="002B3388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de la UAEM.</w:t>
      </w:r>
    </w:p>
    <w:p w14:paraId="31FA2C5C" w14:textId="52269D3F" w:rsidR="00D31C37" w:rsidRDefault="006C3F2A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35" w:name="_Hlk44613713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modo similar</w:t>
      </w:r>
      <w:r w:rsidR="009A26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porción minoritaria de los informantes mencionó que </w:t>
      </w:r>
      <w:r w:rsidR="009A26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prevalece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una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Actitud favorable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recibir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Capacitación sobre REA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utilizar diversos tipos de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Pr="002B338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Software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educativo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siempre y cuando sea de acceso libre.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También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expresa</w:t>
      </w:r>
      <w:r w:rsidR="009A26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les gustaría hacer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Uso de los REA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pero que no existe la suficiente 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Difusión</w:t>
      </w:r>
      <w:r w:rsidR="002B338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="009A262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interior de dicha casa de estudios</w:t>
      </w:r>
      <w:r w:rsidR="006E2E8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Es pertinente advertir que por razones de economía de espacio fue imposible insertar los respectivos fragmentos o testimonios </w:t>
      </w:r>
      <w:r w:rsidR="00B02A9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6E2E8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discurso </w:t>
      </w:r>
      <w:r w:rsidR="006E2E8A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ad hoc</w:t>
      </w:r>
      <w:r w:rsidR="006E2E8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los participantes en la consulta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bookmarkEnd w:id="35"/>
    </w:p>
    <w:p w14:paraId="3A5DDB4F" w14:textId="77777777" w:rsidR="00AC50FE" w:rsidRPr="00AC50F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2A4F10FD" w14:textId="205D0586" w:rsidR="00D31C37" w:rsidRPr="007F799E" w:rsidRDefault="00AC50FE" w:rsidP="00DA19A7">
      <w:pPr>
        <w:pStyle w:val="Lista2"/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7F799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t>Discusión</w:t>
      </w:r>
    </w:p>
    <w:p w14:paraId="4691E086" w14:textId="0D369E34" w:rsidR="00632F96" w:rsidRPr="008B5891" w:rsidRDefault="00632F96" w:rsidP="007F79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F528A8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os estudios exploratorios </w:t>
      </w:r>
      <w:r w:rsidR="00316DB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F528A8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sirven para familiarizarnos con fenómenos </w:t>
      </w:r>
      <w:r w:rsidR="00F5557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relativamente desconocidos, obtener información sobre la posibilidad de llevar a cabo una investigación más completa respecto de un contexto particular, investigar nuevos problema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316DB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16DB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(Hernández, Fernández y Baptista, 2006, p.</w:t>
      </w:r>
      <w:r w:rsidR="0010473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16DB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101).</w:t>
      </w:r>
      <w:r w:rsidR="0084562E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5557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Dentro de este enfoque de diseño de investigación exploratoria </w:t>
      </w:r>
      <w:r w:rsidR="0084562E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estableció la búsqueda y análisis de información sobre </w:t>
      </w:r>
      <w:r w:rsidR="00B858EA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escenarios</w:t>
      </w:r>
      <w:r w:rsidR="0084562E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México respecto a las políticas institucionales en las universidades públicas estatales respecto a la presencia o ausencia de los </w:t>
      </w:r>
      <w:r w:rsidR="0010473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</w:t>
      </w:r>
      <w:r w:rsidR="0084562E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367FE1FD" w14:textId="122FB5DD" w:rsidR="00665E8F" w:rsidRPr="008B5891" w:rsidRDefault="00665E8F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Son significativos los hallazgos </w:t>
      </w:r>
      <w:r w:rsidR="005E73C9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 respecto a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falta de conocimiento de los REA por parte de los docentes e investigadores de la UAEM</w:t>
      </w:r>
      <w:r w:rsidR="002C4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participaron en la consulta</w:t>
      </w:r>
      <w:r w:rsidR="00104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B82B98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resultados</w:t>
      </w:r>
      <w:r w:rsidR="002C4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relacionados con</w:t>
      </w:r>
      <w:r w:rsidR="00B82B98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omisión de programas específicos sobre REA </w:t>
      </w:r>
      <w:r w:rsidR="00B82B98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dentro de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los </w:t>
      </w:r>
      <w:r w:rsidR="00350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programas institucionales de desarrollo educativo</w:t>
      </w:r>
      <w:r w:rsidR="00350D9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consultados </w:t>
      </w:r>
      <w:r w:rsidR="004A442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las páginas </w:t>
      </w:r>
      <w:r w:rsidR="00350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350D9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eb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las </w:t>
      </w:r>
      <w:r w:rsidR="00350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universidades públicas estatales</w:t>
      </w:r>
      <w:r w:rsidR="00350D9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la disposición del profesorado de dicha casa de estudios para </w:t>
      </w:r>
      <w:r w:rsidR="004A442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conocer e implementar los REA en sus diversas áreas </w:t>
      </w:r>
      <w:r w:rsidR="004A4421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conocimiento.</w:t>
      </w:r>
    </w:p>
    <w:p w14:paraId="798C5BA5" w14:textId="13362030" w:rsidR="00D14312" w:rsidRPr="008B5891" w:rsidRDefault="00037288" w:rsidP="00AC50F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En relación con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pregunta</w:t>
      </w:r>
      <w:r w:rsidR="004A442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investigación </w:t>
      </w:r>
      <w:r w:rsidR="00350D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sobre la 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existencia de</w:t>
      </w:r>
      <w:r w:rsidR="00B82B9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las</w:t>
      </w:r>
      <w:r w:rsidR="004A442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65E8F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políticas 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institucionales </w:t>
      </w:r>
      <w:r w:rsidR="004A442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referentes a los 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REA</w:t>
      </w:r>
      <w:r w:rsidR="002C4D2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4A442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con inclusión de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programas específicos </w:t>
      </w:r>
      <w:r w:rsidR="00350D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de</w:t>
      </w:r>
      <w:r w:rsidR="004A442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participación del profesorado en el diseño</w:t>
      </w:r>
      <w:r w:rsidR="00665E8F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y 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la </w:t>
      </w:r>
      <w:r w:rsidR="00665E8F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elaboración de materiales educativos</w:t>
      </w:r>
      <w:r w:rsidR="002C4D2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,</w:t>
      </w:r>
      <w:r w:rsidR="00665E8F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se 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manifestó</w:t>
      </w:r>
      <w:r w:rsidR="00D14312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un alto 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desconocimiento de dichos recursos educativos y carencia de información 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en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la mayoría de las </w:t>
      </w:r>
      <w:r w:rsidR="00350D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universidades exploradas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. Esta situación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reflejó desinformación respecto a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los requerimientos de la </w:t>
      </w:r>
      <w:r w:rsidR="006D4D96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Unesco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para que las instituciones de educación superior de sus países </w:t>
      </w:r>
      <w:r w:rsidR="002C4D2C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miembros 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incorporen en sus planes 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y 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programas de estudio políticas específicas al respecto. Además,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se 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identificó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que l</w:t>
      </w:r>
      <w:r w:rsidR="005646DC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</w:t>
      </w:r>
      <w:r w:rsidR="00C573C8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s 35 </w:t>
      </w:r>
      <w:r w:rsidR="00350D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universidades</w:t>
      </w:r>
      <w:r w:rsidR="00350D91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6368CA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cuentan con </w:t>
      </w:r>
      <w:r w:rsidR="00350D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RIAA</w:t>
      </w:r>
      <w:r w:rsidR="006368CA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, </w:t>
      </w:r>
      <w:r w:rsidR="00591945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 excepción de una universidad que dispone de un repositorio de</w:t>
      </w:r>
      <w:r w:rsidR="006368CA" w:rsidRPr="008B589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REA.</w:t>
      </w:r>
    </w:p>
    <w:p w14:paraId="15431DAB" w14:textId="4EEB277E" w:rsidR="00665E8F" w:rsidRPr="008B5891" w:rsidRDefault="005646DC" w:rsidP="00AC50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este</w:t>
      </w:r>
      <w:r w:rsidR="00DC6E79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estudio de tipo </w:t>
      </w:r>
      <w:r w:rsidR="006368C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descriptivo no</w:t>
      </w:r>
      <w:r w:rsidR="00DC6E79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encontró</w:t>
      </w:r>
      <w:r w:rsidR="00DC6E79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argumentos en los </w:t>
      </w:r>
      <w:r w:rsidR="0091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programas inst</w:t>
      </w:r>
      <w:r w:rsidR="00A235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91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A235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91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ciones de desarrollo educativo</w:t>
      </w:r>
      <w:r w:rsidR="009111CB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justificaran la ausencia de</w:t>
      </w:r>
      <w:r w:rsidR="00A1598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programas 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relacionados con los</w:t>
      </w:r>
      <w:r w:rsidR="00A1598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</w:t>
      </w:r>
      <w:r w:rsidR="0091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1598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 que 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podría interpretarse como</w:t>
      </w:r>
      <w:r w:rsidR="00A1598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posible limitación 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 indagación. Tal resultado constituye un llamado de atención a los directivos y jefes de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áreas académicas</w:t>
      </w:r>
      <w:r w:rsidR="000D4FEC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 que reflexionen colectivamente </w:t>
      </w:r>
      <w:r w:rsidR="008D07D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sobre </w:t>
      </w:r>
      <w:r w:rsidR="001C19D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necesidad de la inclusión de los REA en la planeación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C19D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 próximos programas educativos.</w:t>
      </w:r>
    </w:p>
    <w:p w14:paraId="0A0984EC" w14:textId="2E56E4D1" w:rsidR="00665E8F" w:rsidRPr="008B5891" w:rsidRDefault="00900EE7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 bien son</w:t>
      </w:r>
      <w:r w:rsidR="00DD3BB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limitados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 estudios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similares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llevados a cabo con anterioridad</w:t>
      </w:r>
      <w:r w:rsidR="00591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gracias a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búsqueda exhaustiva en Google </w:t>
      </w:r>
      <w:r w:rsidR="00911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111CB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cadémico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 bases de datos de revistas indexadas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acervos bibliográficos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documentales </w:t>
      </w:r>
      <w:r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las universidades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objeto de estudio</w:t>
      </w:r>
      <w:r w:rsidR="00591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7E54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descubri</w:t>
      </w:r>
      <w:r w:rsidR="006368C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eron</w:t>
      </w:r>
      <w:r w:rsidR="00A23B26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7E54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referencias importantes. </w:t>
      </w:r>
    </w:p>
    <w:p w14:paraId="1A251029" w14:textId="62435521" w:rsidR="00842A50" w:rsidRPr="008B5891" w:rsidRDefault="00A23B26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mencionó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todas las instituciones de educación superior o universidades se han preocupado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 el reconocimiento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 alto potencial de los REA en la enseñanza y el aprendizaje.</w:t>
      </w:r>
      <w:r w:rsidR="00C775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Coolidge y </w:t>
      </w:r>
      <w:proofErr w:type="spellStart"/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DeMarte</w:t>
      </w:r>
      <w:proofErr w:type="spellEnd"/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(2016) expresaron que el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éxito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dichas instituciones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está en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incorporar en sus planes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estudios programas completos basados en REA y para ello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deberán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implementar políticas educativas que afiancen tales iniciativas. Si bien en </w:t>
      </w:r>
      <w:r w:rsidR="009111C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Estados Unidos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existe mayor interés en sus universidades </w:t>
      </w:r>
      <w:r w:rsidR="009C6FD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</w:t>
      </w:r>
      <w:r w:rsidR="009C6FD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ncluir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políticas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educativas en torno a los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REA, la mayoría de ellas no tiene programas completos apoyados en este tipo de </w:t>
      </w:r>
      <w:r w:rsidR="006368CA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recursos,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sino que se ha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implantado </w:t>
      </w:r>
      <w:r w:rsidR="009C6FD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9C6FD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</w:t>
      </w:r>
      <w:r w:rsidR="009C6FD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 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algunas áreas curriculares o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</w:t>
      </w:r>
      <w:r w:rsidR="00842A50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asignaturas.</w:t>
      </w:r>
    </w:p>
    <w:p w14:paraId="1598E063" w14:textId="1D21522C" w:rsidR="00842A50" w:rsidRPr="008B5891" w:rsidRDefault="00842A50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México, por su parte, es de cuestionar el por qué sus universidades, específicamente las públicas estatales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no han </w:t>
      </w:r>
      <w:r w:rsidR="00786856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asociado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</w:t>
      </w:r>
      <w:r w:rsidR="00510662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C6FD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programas </w:t>
      </w:r>
      <w:r w:rsidR="002D0F2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institucionales</w:t>
      </w:r>
      <w:r w:rsidR="009C6FDF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programas académicos sustentados en políticas REA</w:t>
      </w:r>
      <w:r w:rsidR="002D0F2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es decir, han hecho</w:t>
      </w:r>
      <w:r w:rsidR="00786856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caso omiso </w:t>
      </w:r>
      <w:r w:rsidR="009D242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postulado que como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Estado </w:t>
      </w:r>
      <w:r w:rsidR="009D242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</w:t>
      </w:r>
      <w:r w:rsidR="009D242B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iembro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asociado de 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786856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D242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respalda</w:t>
      </w:r>
      <w:r w:rsidR="0032550C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“</w:t>
      </w:r>
      <w:r w:rsidRPr="008B5891">
        <w:rPr>
          <w:rFonts w:ascii="Times New Roman" w:hAnsi="Times New Roman" w:cs="Times New Roman"/>
          <w:sz w:val="24"/>
          <w:szCs w:val="24"/>
        </w:rPr>
        <w:t xml:space="preserve">Fomentar el conocimiento y el uso de los recursos educativos abiertos y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reforzar la formulación de estrategias y políticas sobre dichos recursos (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="0059194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2012</w:t>
      </w:r>
      <w:r w:rsidR="007762F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p.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2). Asimismo, Torres (2019), 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en un estudio similar, </w:t>
      </w:r>
      <w:r w:rsidR="0032550C" w:rsidRPr="008B589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llegó a la conclusión</w:t>
      </w:r>
      <w:r w:rsidRPr="008B5891">
        <w:rPr>
          <w:rFonts w:ascii="Times New Roman" w:eastAsia="Calibri" w:hAnsi="Times New Roman" w:cs="Times New Roman"/>
          <w:sz w:val="24"/>
          <w:szCs w:val="24"/>
        </w:rPr>
        <w:t xml:space="preserve"> que “existe un intenso y desigual contraste en el avance de programas de desarrollo de los REA y de los RIAA. </w:t>
      </w:r>
      <w:r w:rsidR="006368CA" w:rsidRPr="008B5891">
        <w:rPr>
          <w:rFonts w:ascii="Times New Roman" w:eastAsia="Calibri" w:hAnsi="Times New Roman" w:cs="Times New Roman"/>
          <w:sz w:val="24"/>
          <w:szCs w:val="24"/>
        </w:rPr>
        <w:t>Por lo que s</w:t>
      </w:r>
      <w:r w:rsidRPr="008B5891">
        <w:rPr>
          <w:rFonts w:ascii="Times New Roman" w:eastAsia="Calibri" w:hAnsi="Times New Roman" w:cs="Times New Roman"/>
          <w:sz w:val="24"/>
          <w:szCs w:val="24"/>
        </w:rPr>
        <w:t xml:space="preserve">on mínimas las universidades públicas y privadas que disponen </w:t>
      </w:r>
      <w:r w:rsidR="006368CA" w:rsidRPr="008B5891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8B5891">
        <w:rPr>
          <w:rFonts w:ascii="Times New Roman" w:eastAsia="Calibri" w:hAnsi="Times New Roman" w:cs="Times New Roman"/>
          <w:sz w:val="24"/>
          <w:szCs w:val="24"/>
        </w:rPr>
        <w:t>Repositorios de REA” (p.7)</w:t>
      </w:r>
      <w:r w:rsidR="008B58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D15208" w14:textId="78519ADE" w:rsidR="006368CA" w:rsidRPr="008B5891" w:rsidRDefault="00842A50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891">
        <w:rPr>
          <w:rFonts w:ascii="Times New Roman" w:eastAsia="SimSun" w:hAnsi="Times New Roman" w:cs="Times New Roman"/>
          <w:sz w:val="24"/>
          <w:szCs w:val="24"/>
        </w:rPr>
        <w:t>A</w:t>
      </w:r>
      <w:r w:rsidR="004B6D2D">
        <w:rPr>
          <w:rFonts w:ascii="Times New Roman" w:eastAsia="SimSun" w:hAnsi="Times New Roman" w:cs="Times New Roman"/>
          <w:sz w:val="24"/>
          <w:szCs w:val="24"/>
        </w:rPr>
        <w:t xml:space="preserve"> lo</w:t>
      </w:r>
      <w:r w:rsidRPr="008B5891">
        <w:rPr>
          <w:rFonts w:ascii="Times New Roman" w:eastAsia="SimSun" w:hAnsi="Times New Roman" w:cs="Times New Roman"/>
          <w:sz w:val="24"/>
          <w:szCs w:val="24"/>
        </w:rPr>
        <w:t xml:space="preserve"> largo de esta investigación se ha sostenido que las comunidades académicas </w:t>
      </w:r>
      <w:r w:rsidR="003B0362">
        <w:rPr>
          <w:rFonts w:ascii="Times New Roman" w:eastAsia="SimSun" w:hAnsi="Times New Roman" w:cs="Times New Roman"/>
          <w:sz w:val="24"/>
          <w:szCs w:val="24"/>
        </w:rPr>
        <w:t>(</w:t>
      </w:r>
      <w:r w:rsidRPr="008B5891">
        <w:rPr>
          <w:rFonts w:ascii="Times New Roman" w:eastAsia="SimSun" w:hAnsi="Times New Roman" w:cs="Times New Roman"/>
          <w:sz w:val="24"/>
          <w:szCs w:val="24"/>
        </w:rPr>
        <w:t>docentes e investigadores</w:t>
      </w:r>
      <w:r w:rsidR="003B0362">
        <w:rPr>
          <w:rFonts w:ascii="Times New Roman" w:eastAsia="SimSun" w:hAnsi="Times New Roman" w:cs="Times New Roman"/>
          <w:sz w:val="24"/>
          <w:szCs w:val="24"/>
        </w:rPr>
        <w:t>)</w:t>
      </w:r>
      <w:r w:rsidR="003B0362" w:rsidRPr="008B589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B5891">
        <w:rPr>
          <w:rFonts w:ascii="Times New Roman" w:eastAsia="SimSun" w:hAnsi="Times New Roman" w:cs="Times New Roman"/>
          <w:sz w:val="24"/>
          <w:szCs w:val="24"/>
        </w:rPr>
        <w:t>valoran los beneficios del uso y de la oferta de los REA</w:t>
      </w:r>
      <w:r w:rsidR="007762FD">
        <w:rPr>
          <w:rFonts w:ascii="Times New Roman" w:eastAsia="SimSun" w:hAnsi="Times New Roman" w:cs="Times New Roman"/>
          <w:sz w:val="24"/>
          <w:szCs w:val="24"/>
        </w:rPr>
        <w:t>. Para Miranda (2011)</w:t>
      </w:r>
      <w:r w:rsidR="003B0362">
        <w:rPr>
          <w:rFonts w:ascii="Times New Roman" w:eastAsia="SimSun" w:hAnsi="Times New Roman" w:cs="Times New Roman"/>
          <w:sz w:val="24"/>
          <w:szCs w:val="24"/>
        </w:rPr>
        <w:t>:</w:t>
      </w:r>
    </w:p>
    <w:p w14:paraId="1511521C" w14:textId="6DAF31D4" w:rsidR="00842A50" w:rsidRPr="008B5891" w:rsidRDefault="00842A50" w:rsidP="007F799E">
      <w:pPr>
        <w:spacing w:after="0" w:line="360" w:lineRule="auto"/>
        <w:ind w:left="14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B5891">
        <w:rPr>
          <w:rFonts w:ascii="Times New Roman" w:hAnsi="Times New Roman" w:cs="Times New Roman"/>
          <w:sz w:val="24"/>
          <w:szCs w:val="24"/>
        </w:rPr>
        <w:t>Más allá de los postulados éticos, a las instituciones educativas les conviene el uso de estos recursos porque les da visibilidad, permite el desarrollo de las ideas, aun cuando la institución deje de soportarlo y será muy probable que a largo plazo lo invertido regrese con dividendos</w:t>
      </w:r>
      <w:r w:rsidR="006368CA" w:rsidRPr="008B5891">
        <w:rPr>
          <w:rFonts w:ascii="Times New Roman" w:hAnsi="Times New Roman" w:cs="Times New Roman"/>
          <w:sz w:val="24"/>
          <w:szCs w:val="24"/>
        </w:rPr>
        <w:t xml:space="preserve"> </w:t>
      </w:r>
      <w:r w:rsidRPr="008B5891">
        <w:rPr>
          <w:rFonts w:ascii="Times New Roman" w:hAnsi="Times New Roman" w:cs="Times New Roman"/>
          <w:sz w:val="24"/>
          <w:szCs w:val="24"/>
        </w:rPr>
        <w:t>(</w:t>
      </w:r>
      <w:r w:rsidR="007762FD">
        <w:rPr>
          <w:rFonts w:ascii="Times New Roman" w:hAnsi="Times New Roman" w:cs="Times New Roman"/>
          <w:sz w:val="24"/>
          <w:szCs w:val="24"/>
        </w:rPr>
        <w:t>p. 3</w:t>
      </w:r>
      <w:r w:rsidRPr="008B5891">
        <w:rPr>
          <w:rFonts w:ascii="Times New Roman" w:hAnsi="Times New Roman" w:cs="Times New Roman"/>
          <w:sz w:val="24"/>
          <w:szCs w:val="24"/>
        </w:rPr>
        <w:t>)</w:t>
      </w:r>
      <w:r w:rsidR="007762FD">
        <w:rPr>
          <w:rFonts w:ascii="Times New Roman" w:hAnsi="Times New Roman" w:cs="Times New Roman"/>
          <w:sz w:val="24"/>
          <w:szCs w:val="24"/>
        </w:rPr>
        <w:t>.</w:t>
      </w:r>
    </w:p>
    <w:p w14:paraId="47C3BF36" w14:textId="221DD971" w:rsidR="007E386D" w:rsidRDefault="007E386D" w:rsidP="00AC50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</w:t>
      </w:r>
      <w:r w:rsidR="00C30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 (2010)</w:t>
      </w:r>
      <w:r w:rsidR="00C30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por su parte,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concluye en una de sus investigaciones:</w:t>
      </w:r>
    </w:p>
    <w:p w14:paraId="1CFB5974" w14:textId="15E2B8B7" w:rsidR="00037288" w:rsidRPr="008B5891" w:rsidRDefault="007E386D" w:rsidP="007F799E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B22DCA" w:rsidRPr="008B58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dispositivo</w:t>
      </w:r>
      <w:r w:rsidR="00C30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(…)</w:t>
      </w:r>
      <w:r w:rsidR="00B22DCA" w:rsidRPr="008B5891">
        <w:rPr>
          <w:rFonts w:ascii="Times New Roman" w:hAnsi="Times New Roman" w:cs="Times New Roman"/>
          <w:sz w:val="24"/>
          <w:szCs w:val="24"/>
        </w:rPr>
        <w:t> </w:t>
      </w:r>
      <w:r w:rsidR="00C30E58">
        <w:rPr>
          <w:rFonts w:ascii="Times New Roman" w:hAnsi="Times New Roman" w:cs="Times New Roman"/>
          <w:sz w:val="24"/>
          <w:szCs w:val="24"/>
        </w:rPr>
        <w:t>REA</w:t>
      </w:r>
      <w:r w:rsidR="00B22DCA" w:rsidRPr="008B5891">
        <w:rPr>
          <w:rFonts w:ascii="Times New Roman" w:hAnsi="Times New Roman" w:cs="Times New Roman"/>
          <w:sz w:val="24"/>
          <w:szCs w:val="24"/>
        </w:rPr>
        <w:t xml:space="preserve"> hace referencia a los </w:t>
      </w:r>
      <w:r w:rsidR="004A13B3" w:rsidRPr="008B5891">
        <w:rPr>
          <w:rFonts w:ascii="Times New Roman" w:hAnsi="Times New Roman" w:cs="Times New Roman"/>
          <w:sz w:val="24"/>
          <w:szCs w:val="24"/>
        </w:rPr>
        <w:t>medios</w:t>
      </w:r>
      <w:r w:rsidR="00B22DCA" w:rsidRPr="008B5891">
        <w:rPr>
          <w:rFonts w:ascii="Times New Roman" w:hAnsi="Times New Roman" w:cs="Times New Roman"/>
          <w:sz w:val="24"/>
          <w:szCs w:val="24"/>
        </w:rPr>
        <w:t xml:space="preserve"> y materiales educativos gratuitos y disponibles libremente en el Internet y la </w:t>
      </w:r>
      <w:proofErr w:type="spellStart"/>
      <w:r w:rsidR="00C30E58" w:rsidRPr="007F799E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="00C30E58" w:rsidRPr="007F7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0E58" w:rsidRPr="007F799E">
        <w:rPr>
          <w:rFonts w:ascii="Times New Roman" w:hAnsi="Times New Roman" w:cs="Times New Roman"/>
          <w:i/>
          <w:iCs/>
          <w:sz w:val="24"/>
          <w:szCs w:val="24"/>
        </w:rPr>
        <w:t>wide</w:t>
      </w:r>
      <w:proofErr w:type="spellEnd"/>
      <w:r w:rsidR="00C30E58" w:rsidRPr="007F7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30E58" w:rsidRPr="007F799E">
        <w:rPr>
          <w:rFonts w:ascii="Times New Roman" w:hAnsi="Times New Roman" w:cs="Times New Roman"/>
          <w:i/>
          <w:iCs/>
          <w:sz w:val="24"/>
          <w:szCs w:val="24"/>
        </w:rPr>
        <w:t>web</w:t>
      </w:r>
      <w:proofErr w:type="gramEnd"/>
      <w:r w:rsidR="00C30E58" w:rsidRPr="008B5891">
        <w:rPr>
          <w:rFonts w:ascii="Times New Roman" w:hAnsi="Times New Roman" w:cs="Times New Roman"/>
          <w:sz w:val="24"/>
          <w:szCs w:val="24"/>
        </w:rPr>
        <w:t xml:space="preserve"> </w:t>
      </w:r>
      <w:r w:rsidR="004A13B3" w:rsidRPr="008B5891">
        <w:rPr>
          <w:rFonts w:ascii="Times New Roman" w:hAnsi="Times New Roman" w:cs="Times New Roman"/>
          <w:sz w:val="24"/>
          <w:szCs w:val="24"/>
        </w:rPr>
        <w:t>pero en</w:t>
      </w:r>
      <w:r w:rsidR="0032550C" w:rsidRPr="008B5891">
        <w:rPr>
          <w:rFonts w:ascii="Times New Roman" w:hAnsi="Times New Roman" w:cs="Times New Roman"/>
          <w:sz w:val="24"/>
          <w:szCs w:val="24"/>
        </w:rPr>
        <w:t xml:space="preserve"> </w:t>
      </w:r>
      <w:r w:rsidR="00B22DCA" w:rsidRPr="008B5891">
        <w:rPr>
          <w:rFonts w:ascii="Times New Roman" w:hAnsi="Times New Roman" w:cs="Times New Roman"/>
          <w:sz w:val="24"/>
          <w:szCs w:val="24"/>
        </w:rPr>
        <w:t xml:space="preserve">las bases de datos de las </w:t>
      </w:r>
      <w:r w:rsidR="00C30E58" w:rsidRPr="008B5891">
        <w:rPr>
          <w:rFonts w:ascii="Times New Roman" w:hAnsi="Times New Roman" w:cs="Times New Roman"/>
          <w:sz w:val="24"/>
          <w:szCs w:val="24"/>
        </w:rPr>
        <w:t xml:space="preserve">universidades públicas </w:t>
      </w:r>
      <w:r w:rsidR="00B22DCA" w:rsidRPr="008B5891">
        <w:rPr>
          <w:rFonts w:ascii="Times New Roman" w:hAnsi="Times New Roman" w:cs="Times New Roman"/>
          <w:sz w:val="24"/>
          <w:szCs w:val="24"/>
        </w:rPr>
        <w:t xml:space="preserve">de México no es posible apreciar este tipo de recursos ya que solo cuentan con bibliotecas convencionales donde el alumno puede consultar libros, tesis, tesinas, bases de datos, patentes, </w:t>
      </w:r>
      <w:r>
        <w:rPr>
          <w:rFonts w:ascii="Times New Roman" w:hAnsi="Times New Roman" w:cs="Times New Roman"/>
          <w:sz w:val="24"/>
          <w:szCs w:val="24"/>
        </w:rPr>
        <w:t>etc. (p.</w:t>
      </w:r>
      <w:r w:rsidR="00C3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</w:t>
      </w:r>
      <w:r w:rsidR="00B22DCA" w:rsidRPr="008B5891">
        <w:rPr>
          <w:rFonts w:ascii="Times New Roman" w:hAnsi="Times New Roman" w:cs="Times New Roman"/>
          <w:sz w:val="24"/>
          <w:szCs w:val="24"/>
        </w:rPr>
        <w:t>.</w:t>
      </w:r>
    </w:p>
    <w:p w14:paraId="0DD36868" w14:textId="35D50C56" w:rsidR="00B22DCA" w:rsidRPr="008B5891" w:rsidRDefault="00C7756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6B" w:rsidRPr="008B5891">
        <w:rPr>
          <w:rFonts w:ascii="Times New Roman" w:hAnsi="Times New Roman" w:cs="Times New Roman"/>
          <w:sz w:val="24"/>
          <w:szCs w:val="24"/>
        </w:rPr>
        <w:t>En cambio, para Tovar, López y Ramírez (2014)</w:t>
      </w:r>
      <w:r w:rsidR="00C30E58">
        <w:rPr>
          <w:rFonts w:ascii="Times New Roman" w:hAnsi="Times New Roman" w:cs="Times New Roman"/>
          <w:sz w:val="24"/>
          <w:szCs w:val="24"/>
        </w:rPr>
        <w:t>:</w:t>
      </w:r>
      <w:r w:rsidR="00732F6B" w:rsidRPr="008B5891">
        <w:rPr>
          <w:rFonts w:ascii="Times New Roman" w:hAnsi="Times New Roman" w:cs="Times New Roman"/>
          <w:sz w:val="24"/>
          <w:szCs w:val="24"/>
        </w:rPr>
        <w:t xml:space="preserve"> “En América Latina, esta corriente emp</w:t>
      </w:r>
      <w:r w:rsidR="004A13B3" w:rsidRPr="008B5891">
        <w:rPr>
          <w:rFonts w:ascii="Times New Roman" w:hAnsi="Times New Roman" w:cs="Times New Roman"/>
          <w:sz w:val="24"/>
          <w:szCs w:val="24"/>
        </w:rPr>
        <w:t>ezó</w:t>
      </w:r>
      <w:r w:rsidR="00732F6B" w:rsidRPr="008B5891">
        <w:rPr>
          <w:rFonts w:ascii="Times New Roman" w:hAnsi="Times New Roman" w:cs="Times New Roman"/>
          <w:sz w:val="24"/>
          <w:szCs w:val="24"/>
        </w:rPr>
        <w:t xml:space="preserve"> a trabajarse de manera reciente en las instituciones educativas, </w:t>
      </w:r>
      <w:proofErr w:type="spellStart"/>
      <w:r w:rsidR="00732F6B" w:rsidRPr="008B5891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="004A13B3" w:rsidRPr="008B5891">
        <w:rPr>
          <w:rFonts w:ascii="Times New Roman" w:hAnsi="Times New Roman" w:cs="Times New Roman"/>
          <w:sz w:val="24"/>
          <w:szCs w:val="24"/>
        </w:rPr>
        <w:t xml:space="preserve"> disponiendo de</w:t>
      </w:r>
      <w:r w:rsidR="00732F6B" w:rsidRPr="008B5891">
        <w:rPr>
          <w:rFonts w:ascii="Times New Roman" w:hAnsi="Times New Roman" w:cs="Times New Roman"/>
          <w:sz w:val="24"/>
          <w:szCs w:val="24"/>
        </w:rPr>
        <w:t xml:space="preserve"> escasas políticas institucionales y nacionales que apoyen el acceso abierto” (p. 68). </w:t>
      </w:r>
    </w:p>
    <w:p w14:paraId="57EA5911" w14:textId="48B69F7F" w:rsidR="00665E8F" w:rsidRDefault="00732F6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13B3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8B5891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síntesis,</w:t>
      </w:r>
      <w:r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estudio ha 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hecho visible </w:t>
      </w:r>
      <w:r w:rsidR="0003728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las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carencias y lagunas 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en </w:t>
      </w:r>
      <w:r w:rsidR="0003728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escenarios de la educación superior mexicana siguen 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>estando presentes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: la ausencia de políticas educativas institucionales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que impulsen el desarrollo global</w:t>
      </w:r>
      <w:r w:rsidR="003B4D54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1F9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B4D54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programas REA y </w:t>
      </w:r>
      <w:r w:rsidR="004A13B3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omisión 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de una mayor motivación</w:t>
      </w:r>
      <w:r w:rsidR="00AC40D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profesorado universitario para requerir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los directivos,</w:t>
      </w:r>
      <w:r w:rsidR="00AC40D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sus unidades académicas de adscripción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3B3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mayor 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inclusión</w:t>
      </w:r>
      <w:r w:rsidR="0003728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</w:t>
      </w:r>
      <w:r w:rsidR="00AC40D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planeación de los </w:t>
      </w:r>
      <w:r w:rsidR="00E62337">
        <w:rPr>
          <w:rFonts w:ascii="Times New Roman" w:hAnsi="Times New Roman" w:cs="Times New Roman"/>
          <w:color w:val="000000" w:themeColor="text1"/>
          <w:sz w:val="24"/>
          <w:szCs w:val="24"/>
        </w:rPr>
        <w:t>planes institucionales de desarrollo educativo d</w:t>
      </w:r>
      <w:r w:rsidR="00945279">
        <w:rPr>
          <w:rFonts w:ascii="Times New Roman" w:hAnsi="Times New Roman" w:cs="Times New Roman"/>
          <w:color w:val="000000" w:themeColor="text1"/>
          <w:sz w:val="24"/>
          <w:szCs w:val="24"/>
        </w:rPr>
        <w:t>e nuevas</w:t>
      </w:r>
      <w:r w:rsidR="004A13B3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0D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políticas </w:t>
      </w:r>
      <w:r w:rsidR="004A13B3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y estrategias de enseñanza</w:t>
      </w:r>
      <w:r w:rsidR="0003728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tipo de </w:t>
      </w:r>
      <w:r w:rsidR="003F772E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situaciones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demanda </w:t>
      </w:r>
      <w:r w:rsidR="0003728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C40D8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autoridades educativas centrales y locales la creación de nuevos dispositivos pedagógicos de acceso abierto tanto para el </w:t>
      </w:r>
      <w:r w:rsidR="00F00296" w:rsidRPr="008B5891">
        <w:rPr>
          <w:rFonts w:ascii="Times New Roman" w:hAnsi="Times New Roman" w:cs="Times New Roman"/>
          <w:color w:val="000000" w:themeColor="text1"/>
          <w:sz w:val="24"/>
          <w:szCs w:val="24"/>
        </w:rPr>
        <w:t>profesorado como para el estudiantado universitario.</w:t>
      </w:r>
    </w:p>
    <w:p w14:paraId="52194987" w14:textId="2839F3DB" w:rsidR="00AC50FE" w:rsidRDefault="00AC50FE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CE609" w14:textId="6B21BA10" w:rsidR="00D03F3B" w:rsidRDefault="00D03F3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EBED01" w14:textId="00EFF624" w:rsidR="00D03F3B" w:rsidRDefault="00D03F3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26E17" w14:textId="77777777" w:rsidR="00D03F3B" w:rsidRPr="008B5891" w:rsidRDefault="00D03F3B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E14F5" w14:textId="7FEF4D39" w:rsidR="00605014" w:rsidRPr="00DE116E" w:rsidRDefault="0088723C" w:rsidP="00DA19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</w:pPr>
      <w:r w:rsidRPr="00DE116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lastRenderedPageBreak/>
        <w:t>Conclusiones</w:t>
      </w:r>
    </w:p>
    <w:p w14:paraId="64F6CA5A" w14:textId="27A23500" w:rsidR="00034DA5" w:rsidRPr="00DE116E" w:rsidRDefault="00247EC1" w:rsidP="00AC50FE">
      <w:pPr>
        <w:pStyle w:val="Textoindependiente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Desde </w:t>
      </w:r>
      <w:r w:rsidR="00506B8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2002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506B8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6D4D9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Unesco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trajo al debate de la educación el concepto</w:t>
      </w:r>
      <w:r w:rsidR="00891C5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7F799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s-MX"/>
        </w:rPr>
        <w:t>REA</w:t>
      </w:r>
      <w:r w:rsidR="004B2E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MX"/>
        </w:rPr>
        <w:t>;</w:t>
      </w:r>
      <w:r w:rsidR="004B2E2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la fecha, ha prosperado un cúmulo de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4B2E2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eclaraciones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de experiencias exitosas</w:t>
      </w:r>
      <w:r w:rsidR="00506B86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 respecto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la mayoría de los países miembros de este organismo internacional. </w:t>
      </w:r>
      <w:r w:rsidR="00C122E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 obstante, en el reciente </w:t>
      </w:r>
      <w:r w:rsidR="00C122ED" w:rsidRPr="007F7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MX"/>
        </w:rPr>
        <w:t xml:space="preserve">Proyecto de </w:t>
      </w:r>
      <w:r w:rsidR="004B2E27" w:rsidRPr="007F7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MX"/>
        </w:rPr>
        <w:t xml:space="preserve">recomendación sobre </w:t>
      </w:r>
      <w:r w:rsidR="0055300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MX"/>
        </w:rPr>
        <w:t xml:space="preserve">los </w:t>
      </w:r>
      <w:r w:rsidR="00BB4D3C" w:rsidRPr="007F7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MX"/>
        </w:rPr>
        <w:t>R</w:t>
      </w:r>
      <w:r w:rsidR="00BB4D3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MX"/>
        </w:rPr>
        <w:t>EA</w:t>
      </w:r>
      <w:r w:rsidR="00BB4D3C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 </w:t>
      </w:r>
      <w:r w:rsidR="00C122ED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(2019) se asum</w:t>
      </w:r>
      <w:r w:rsidR="008C60D4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ió</w:t>
      </w:r>
      <w:r w:rsidR="00C122ED" w:rsidRPr="00DE11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 que no ha habido la suficiente respuesta </w:t>
      </w:r>
      <w:r w:rsidR="0025466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respecto</w:t>
      </w:r>
      <w:r w:rsidR="0025466B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 </w:t>
      </w:r>
      <w:r w:rsidR="0025466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a la creación, el acceso, la reutilización, reconversión, adaptación, redistribución y evaluación de </w:t>
      </w:r>
      <w:r w:rsidR="00553003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estos recursos</w:t>
      </w:r>
      <w:r w:rsidR="0025466B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.</w:t>
      </w:r>
    </w:p>
    <w:p w14:paraId="6ABDC63E" w14:textId="3ED89AD1" w:rsidR="008A6A74" w:rsidRPr="00DE116E" w:rsidRDefault="00034DA5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el caso concreto 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México</w:t>
      </w:r>
      <w:r w:rsidR="000B197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 REA no han tenido la expansión deseada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carece de políticas educativas nacionales con soporte económico y s</w:t>
      </w:r>
      <w:r w:rsidR="00FC23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ustentable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Por </w:t>
      </w:r>
      <w:r w:rsidR="00B12D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consiguiente,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el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caso de las 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públicas estatales</w:t>
      </w:r>
      <w:r w:rsidR="000B197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su gran mayoría no han incluido en sus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planes instituciones de desarrollo educativo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políticas educativas institucionales para la implementación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creación 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 investigación de los REA</w:t>
      </w:r>
      <w:r w:rsidR="008A6A7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0D6B39C7" w14:textId="03E1235C" w:rsidR="003D6607" w:rsidRPr="00DE116E" w:rsidRDefault="008A6A74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su planeación institucional </w:t>
      </w:r>
      <w:r w:rsidR="0098713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</w:t>
      </w:r>
      <w:r w:rsidR="00817F9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universidades públicas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estatales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han dejado al margen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profesorado en el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diseño y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elaboración de materiales educativos abiertos 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de </w:t>
      </w:r>
      <w:r w:rsidR="00B94F1C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consu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lta libre</w:t>
      </w:r>
      <w:r w:rsidR="00EB1B29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asimismo, no reportan la existencia de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epositorios </w:t>
      </w:r>
      <w:r w:rsidR="003D6607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ad hoc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En contraste, la gestión técnica y financiera de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Conacyt 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ha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instado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más de un centenar 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instituciones de educación superior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entre ell</w:t>
      </w:r>
      <w:r w:rsidR="0098713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 la UAEM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)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organismos de investigación nacionales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que dispongan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creen los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RIAA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</w:t>
      </w:r>
      <w:r w:rsidR="00FC23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estos se vinculen</w:t>
      </w:r>
      <w:r w:rsidR="008C60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la red del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Repositorio Nacional</w:t>
      </w:r>
      <w:r w:rsidR="00E83E0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Digital</w:t>
      </w:r>
      <w:r w:rsidR="003D6607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Ciencia, Tecnología e Innovación 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dicho </w:t>
      </w:r>
      <w:r w:rsidR="0055300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553003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onsejo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6594476E" w14:textId="43F3B8AE" w:rsidR="002C60C1" w:rsidRPr="00DE116E" w:rsidRDefault="00EB1B29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bookmarkStart w:id="36" w:name="_Hlk46223306"/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BD21E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 relación con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experiencia</w:t>
      </w:r>
      <w:r w:rsidR="00BD21E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específic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D21E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</w:t>
      </w:r>
      <w:r w:rsidR="00FC23DA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UAEM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como </w:t>
      </w:r>
      <w:r w:rsidR="00891C5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estudio de caso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respecto a la implementación de una 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política educativa REA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obtuvo</w:t>
      </w:r>
      <w:r w:rsidR="002D0A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evidencias que </w:t>
      </w:r>
      <w:r w:rsidR="0098713D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universida</w:t>
      </w:r>
      <w:r w:rsidR="002D0A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C91535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pública estatal</w:t>
      </w:r>
      <w:r w:rsidR="002C60C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cuenta con </w:t>
      </w:r>
      <w:r w:rsidR="00E6233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</w:t>
      </w:r>
      <w:r w:rsidR="002405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MRE</w:t>
      </w:r>
      <w:r w:rsidR="002D0A6B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2405D4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 cargo de la e-UAEM.</w:t>
      </w:r>
      <w:r w:rsidR="004B17A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Sorprende</w:t>
      </w:r>
      <w:r w:rsidR="0098794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</w:t>
      </w:r>
      <w:r w:rsidR="00987941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950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los resultados de la consulta sobre REA a los profesores de esta casa de estudios</w:t>
      </w:r>
      <w:r w:rsidR="004F6A2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950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 mayoría </w:t>
      </w:r>
      <w:r w:rsidR="00343FFF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mencione </w:t>
      </w:r>
      <w:r w:rsidR="005950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desconoce su existencia.</w:t>
      </w:r>
      <w:bookmarkEnd w:id="36"/>
      <w:r w:rsidR="005950E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14:paraId="05273493" w14:textId="0E0625E0" w:rsidR="00A263F0" w:rsidRDefault="00987941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Sin </w:t>
      </w:r>
      <w:r w:rsidR="00D97408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embargo,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 base en las respuestas obtenidas</w:t>
      </w:r>
      <w:r w:rsidR="004B17A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minoría de los informantes mencionó que prevalece una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Actitud</w:t>
      </w:r>
      <w:r w:rsidR="003875F6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favorable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A263F0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recibir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Capacitación sobre REA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utilizar diversos tipos de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Software</w:t>
      </w:r>
      <w:r w:rsidR="003875F6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educativo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siempre y cuando sea de acceso libre</w:t>
      </w:r>
      <w:r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B17A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contribuya al conocimiento de estos recursos por parte de docentes y alumnos.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Del mismo modo, expresan que les</w:t>
      </w:r>
      <w:r w:rsidR="003875F6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gustaría hacer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Uso de los REA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”,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pero que no existe la suficiente 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“</w:t>
      </w:r>
      <w:r w:rsidR="00A263F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Difusión</w:t>
      </w:r>
      <w:r w:rsidR="004B2E2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A263F0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interior de dicha</w:t>
      </w:r>
      <w:r w:rsidR="003875F6" w:rsidRPr="00DE11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 </w:t>
      </w:r>
      <w:r w:rsidR="00A263F0" w:rsidRPr="00DE116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casa de estudios.</w:t>
      </w:r>
    </w:p>
    <w:p w14:paraId="1CE7C63A" w14:textId="02AC519D" w:rsidR="00D03F3B" w:rsidRDefault="00D03F3B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27C3A826" w14:textId="77777777" w:rsidR="00D03F3B" w:rsidRPr="00FE4AC9" w:rsidRDefault="00D03F3B" w:rsidP="00AC50FE">
      <w:pPr>
        <w:pStyle w:val="Lista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14:paraId="4C18AF96" w14:textId="6F162369" w:rsidR="009A2626" w:rsidRDefault="005950E8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Finalmente,</w:t>
      </w:r>
      <w:r w:rsidR="00502E10"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frente a la gran crisis de la educación</w:t>
      </w:r>
      <w:r w:rsidR="00FE4AC9"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02E10"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generada por</w:t>
      </w:r>
      <w:r w:rsidR="00FE4AC9"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</w:t>
      </w:r>
      <w:r w:rsidR="00502E10" w:rsidRPr="00FE4A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COVID</w:t>
      </w:r>
      <w:r w:rsidR="00502E10"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-</w:t>
      </w:r>
      <w:r w:rsidRPr="007F79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19</w:t>
      </w:r>
      <w:r w:rsidR="00CD357E" w:rsidRPr="00DE116E">
        <w:rPr>
          <w:rFonts w:ascii="Times New Roman" w:hAnsi="Times New Roman" w:cs="Times New Roman"/>
          <w:i/>
          <w:color w:val="000000" w:themeColor="text1"/>
          <w:sz w:val="24"/>
          <w:szCs w:val="24"/>
          <w:lang w:val="es-MX"/>
        </w:rPr>
        <w:t xml:space="preserve">, </w:t>
      </w:r>
      <w:r w:rsidR="00502E1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el movimiento de los REA promovido por la </w:t>
      </w:r>
      <w:r w:rsidR="006D4D96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Unesco</w:t>
      </w:r>
      <w:r w:rsidR="00502E1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98713D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está</w:t>
      </w:r>
      <w:r w:rsidR="00502E1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B56942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apostando</w:t>
      </w:r>
      <w:r w:rsidR="00B56942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4B17A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</w:t>
      </w:r>
      <w:r w:rsidR="00502E1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nuevos diseños</w:t>
      </w:r>
      <w:r w:rsidR="002A1CC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de la política educativa</w:t>
      </w:r>
      <w:r w:rsidR="004B17A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vinculada con</w:t>
      </w:r>
      <w:r w:rsidR="002A1CC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la innovación de contenidos educativos de acceso abierto</w:t>
      </w:r>
      <w:r w:rsidR="004B17A0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y </w:t>
      </w:r>
      <w:r w:rsidR="002A1CC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orientados por l</w:t>
      </w:r>
      <w:r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os principios de apertura, intercambio y colaboración </w:t>
      </w:r>
      <w:r w:rsidR="002A1CC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local y global</w:t>
      </w:r>
      <w:r w:rsidR="00F23E8C" w:rsidRPr="00DE116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.</w:t>
      </w:r>
    </w:p>
    <w:p w14:paraId="7697AB98" w14:textId="77777777" w:rsidR="00817F95" w:rsidRDefault="00817F95" w:rsidP="00817F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</w:pPr>
    </w:p>
    <w:p w14:paraId="301C3276" w14:textId="715F55F6" w:rsidR="00817F95" w:rsidRPr="00D03F3B" w:rsidRDefault="00817F95" w:rsidP="00D03F3B">
      <w:pPr>
        <w:spacing w:after="0" w:line="360" w:lineRule="auto"/>
        <w:jc w:val="center"/>
        <w:rPr>
          <w:rFonts w:ascii="Times New Roman" w:hAnsi="Times New Roman" w:cs="Times New Roman"/>
          <w:iCs/>
          <w:color w:val="000000" w:themeColor="text1"/>
          <w:highlight w:val="yellow"/>
          <w:lang w:val="es-MX"/>
        </w:rPr>
      </w:pPr>
      <w:r w:rsidRPr="00D03F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Futuras Líneas de Investigación</w:t>
      </w:r>
    </w:p>
    <w:p w14:paraId="64AB0C61" w14:textId="15C13BA5" w:rsidR="003F2A62" w:rsidRPr="00D6713B" w:rsidRDefault="003F2A62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Con base en los resultados de 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esta</w:t>
      </w:r>
      <w:r w:rsidR="00C07DFD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investigación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llevada a cabo 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en las Universidades Públicas Estatales</w:t>
      </w:r>
      <w:r w:rsidR="00C07DFD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en torno a </w:t>
      </w:r>
      <w:r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los</w:t>
      </w:r>
      <w:r w:rsidR="00C07DFD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REA</w:t>
      </w:r>
      <w:r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surge</w:t>
      </w:r>
      <w:r w:rsidR="00817F95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como futura l</w:t>
      </w:r>
      <w:r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ínea de</w:t>
      </w:r>
      <w:r w:rsidR="00817F95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investigación</w:t>
      </w:r>
      <w:r w:rsidR="00A42DE3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</w:t>
      </w:r>
      <w:r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la necesidad de profundizar, mediante un análisis más amplio y profundo y con base en una consulta global, 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en el conjunto de factores que inciden sobre las políticas educativas en torno a </w:t>
      </w:r>
      <w:r w:rsidR="00FE4941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los recursos educativos abiertos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. Es de esperar que esta futura indagación contribuya</w:t>
      </w:r>
      <w:r w:rsidR="00FE4941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al enriquecimiento del conocimiento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sobre los REA por parte de</w:t>
      </w:r>
      <w:r w:rsidR="00FE4941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los profesores y de los estudiantes de la educ</w:t>
      </w:r>
      <w:r w:rsidR="00453003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a</w:t>
      </w:r>
      <w:r w:rsidR="00FE4941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ción superior </w:t>
      </w:r>
      <w:r w:rsidR="00D6713B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de</w:t>
      </w:r>
      <w:r w:rsidR="00FE4941" w:rsidRPr="00D6713B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 xml:space="preserve"> nuestro país.          </w:t>
      </w:r>
    </w:p>
    <w:p w14:paraId="6A14F291" w14:textId="4B0DC5AD" w:rsidR="00F23E8C" w:rsidRPr="00DE116E" w:rsidRDefault="003F2A62" w:rsidP="00AC50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  <w:lang w:val="es-MX"/>
        </w:rPr>
        <w:t xml:space="preserve"> </w:t>
      </w:r>
    </w:p>
    <w:p w14:paraId="40AAA627" w14:textId="77777777" w:rsidR="00522001" w:rsidRPr="00DA19A7" w:rsidRDefault="00522001" w:rsidP="00AC50FE">
      <w:pPr>
        <w:pStyle w:val="show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DA19A7">
        <w:rPr>
          <w:b/>
          <w:bCs/>
          <w:color w:val="000000" w:themeColor="text1"/>
        </w:rPr>
        <w:t>Agradecimientos</w:t>
      </w:r>
    </w:p>
    <w:p w14:paraId="6DB4FB36" w14:textId="53630788" w:rsidR="006B6235" w:rsidRPr="00DE116E" w:rsidRDefault="00522001" w:rsidP="00AC50FE">
      <w:pPr>
        <w:pStyle w:val="show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E116E">
        <w:rPr>
          <w:color w:val="000000" w:themeColor="text1"/>
        </w:rPr>
        <w:t xml:space="preserve">Un especial reconocimiento a </w:t>
      </w:r>
      <w:proofErr w:type="spellStart"/>
      <w:r w:rsidRPr="00DE116E">
        <w:rPr>
          <w:color w:val="000000" w:themeColor="text1"/>
        </w:rPr>
        <w:t>Cleo</w:t>
      </w:r>
      <w:r w:rsidR="00484123" w:rsidRPr="00DE116E">
        <w:rPr>
          <w:color w:val="000000" w:themeColor="text1"/>
        </w:rPr>
        <w:t>tilde</w:t>
      </w:r>
      <w:proofErr w:type="spellEnd"/>
      <w:r w:rsidR="00484123" w:rsidRPr="00DE116E">
        <w:rPr>
          <w:color w:val="000000" w:themeColor="text1"/>
        </w:rPr>
        <w:t xml:space="preserve"> </w:t>
      </w:r>
      <w:proofErr w:type="spellStart"/>
      <w:r w:rsidR="00484123" w:rsidRPr="00DE116E">
        <w:rPr>
          <w:color w:val="000000" w:themeColor="text1"/>
        </w:rPr>
        <w:t>Tomatzin</w:t>
      </w:r>
      <w:proofErr w:type="spellEnd"/>
      <w:r w:rsidR="00484123" w:rsidRPr="00DE116E">
        <w:rPr>
          <w:color w:val="000000" w:themeColor="text1"/>
        </w:rPr>
        <w:t xml:space="preserve"> C</w:t>
      </w:r>
      <w:r w:rsidR="00343FFF">
        <w:rPr>
          <w:color w:val="000000" w:themeColor="text1"/>
        </w:rPr>
        <w:t>ó</w:t>
      </w:r>
      <w:r w:rsidR="00484123" w:rsidRPr="00DE116E">
        <w:rPr>
          <w:color w:val="000000" w:themeColor="text1"/>
        </w:rPr>
        <w:t>rdoba,</w:t>
      </w:r>
      <w:r w:rsidRPr="00DE116E">
        <w:rPr>
          <w:color w:val="000000" w:themeColor="text1"/>
        </w:rPr>
        <w:t xml:space="preserve"> </w:t>
      </w:r>
      <w:r w:rsidR="00FE4AC9">
        <w:rPr>
          <w:color w:val="000000" w:themeColor="text1"/>
        </w:rPr>
        <w:t>l</w:t>
      </w:r>
      <w:r w:rsidR="00FE4AC9" w:rsidRPr="00DE116E">
        <w:rPr>
          <w:color w:val="000000" w:themeColor="text1"/>
        </w:rPr>
        <w:t xml:space="preserve">icenciada </w:t>
      </w:r>
      <w:r w:rsidR="00DF2827" w:rsidRPr="00DE116E">
        <w:rPr>
          <w:color w:val="000000" w:themeColor="text1"/>
        </w:rPr>
        <w:t>en</w:t>
      </w:r>
      <w:r w:rsidR="00484123" w:rsidRPr="00DE116E">
        <w:rPr>
          <w:color w:val="000000" w:themeColor="text1"/>
        </w:rPr>
        <w:t xml:space="preserve"> </w:t>
      </w:r>
      <w:r w:rsidR="00FE4AC9">
        <w:rPr>
          <w:color w:val="000000" w:themeColor="text1"/>
        </w:rPr>
        <w:t>D</w:t>
      </w:r>
      <w:r w:rsidR="00FE4AC9" w:rsidRPr="00DE116E">
        <w:rPr>
          <w:color w:val="000000" w:themeColor="text1"/>
        </w:rPr>
        <w:t xml:space="preserve">ocencia </w:t>
      </w:r>
      <w:r w:rsidR="00DF2827" w:rsidRPr="00DE116E">
        <w:rPr>
          <w:color w:val="000000" w:themeColor="text1"/>
        </w:rPr>
        <w:t xml:space="preserve">y asistente de investigación, </w:t>
      </w:r>
      <w:r w:rsidRPr="00DE116E">
        <w:rPr>
          <w:color w:val="000000" w:themeColor="text1"/>
        </w:rPr>
        <w:t>por su colaboración en la sistematización mediante</w:t>
      </w:r>
      <w:r w:rsidR="00FE4AC9">
        <w:rPr>
          <w:color w:val="000000" w:themeColor="text1"/>
        </w:rPr>
        <w:t xml:space="preserve"> el</w:t>
      </w:r>
      <w:r w:rsidRPr="00DE116E">
        <w:rPr>
          <w:color w:val="000000" w:themeColor="text1"/>
        </w:rPr>
        <w:t xml:space="preserve"> </w:t>
      </w:r>
      <w:r w:rsidR="00FE4AC9" w:rsidRPr="007F799E">
        <w:rPr>
          <w:i/>
          <w:iCs/>
          <w:color w:val="000000" w:themeColor="text1"/>
        </w:rPr>
        <w:t>software</w:t>
      </w:r>
      <w:r w:rsidR="00FE4AC9" w:rsidRPr="00DE116E">
        <w:rPr>
          <w:color w:val="000000" w:themeColor="text1"/>
        </w:rPr>
        <w:t xml:space="preserve"> </w:t>
      </w:r>
      <w:r w:rsidRPr="00DE116E">
        <w:rPr>
          <w:color w:val="000000" w:themeColor="text1"/>
        </w:rPr>
        <w:t xml:space="preserve">Atlas. ti de los datos de la </w:t>
      </w:r>
      <w:r w:rsidR="00FE4AC9">
        <w:rPr>
          <w:color w:val="000000" w:themeColor="text1"/>
        </w:rPr>
        <w:t>C</w:t>
      </w:r>
      <w:r w:rsidR="00FE4AC9" w:rsidRPr="00DE116E">
        <w:rPr>
          <w:color w:val="000000" w:themeColor="text1"/>
        </w:rPr>
        <w:t xml:space="preserve">onsulta </w:t>
      </w:r>
      <w:r w:rsidRPr="00DE116E">
        <w:rPr>
          <w:color w:val="000000" w:themeColor="text1"/>
        </w:rPr>
        <w:t xml:space="preserve">sobre Recursos Educativos Abiertos </w:t>
      </w:r>
      <w:r w:rsidR="00FE4AC9">
        <w:rPr>
          <w:color w:val="000000" w:themeColor="text1"/>
        </w:rPr>
        <w:t>a los docentes de la UAEM.</w:t>
      </w:r>
    </w:p>
    <w:p w14:paraId="74542674" w14:textId="18168D2B" w:rsidR="00637B30" w:rsidRDefault="00637B30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  <w:bookmarkStart w:id="37" w:name="_Hlk44441537"/>
    </w:p>
    <w:p w14:paraId="343264CE" w14:textId="0C51FB2F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401DE8B8" w14:textId="5675A43C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7A2A7B98" w14:textId="4AD46257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50CD81A4" w14:textId="76F348D7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6E3E5F42" w14:textId="69D94A41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50029360" w14:textId="0DDCBC12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6827AB1F" w14:textId="54DCA106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2F1A3813" w14:textId="1BE60307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620EDA04" w14:textId="6ECEA750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08F59C6E" w14:textId="517EDEE2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0B39636A" w14:textId="33A78EC8" w:rsidR="00D03F3B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53E0D00E" w14:textId="77777777" w:rsidR="00D03F3B" w:rsidRPr="00DE116E" w:rsidRDefault="00D03F3B" w:rsidP="00AC50F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</w:p>
    <w:p w14:paraId="6915E6F1" w14:textId="77C91DE5" w:rsidR="00CC2848" w:rsidRPr="00DA19A7" w:rsidRDefault="00522001" w:rsidP="00AC50FE">
      <w:pPr>
        <w:spacing w:after="0" w:line="360" w:lineRule="auto"/>
        <w:jc w:val="both"/>
        <w:rPr>
          <w:rFonts w:cstheme="minorHAnsi"/>
          <w:b/>
          <w:bCs/>
          <w:iCs/>
          <w:color w:val="000000" w:themeColor="text1"/>
          <w:sz w:val="28"/>
          <w:szCs w:val="28"/>
          <w:lang w:val="es-MX"/>
        </w:rPr>
      </w:pPr>
      <w:r w:rsidRPr="00DA19A7">
        <w:rPr>
          <w:rFonts w:cstheme="minorHAnsi"/>
          <w:b/>
          <w:bCs/>
          <w:iCs/>
          <w:color w:val="000000" w:themeColor="text1"/>
          <w:sz w:val="28"/>
          <w:szCs w:val="28"/>
          <w:lang w:val="es-MX"/>
        </w:rPr>
        <w:lastRenderedPageBreak/>
        <w:t>R</w:t>
      </w:r>
      <w:bookmarkEnd w:id="37"/>
      <w:r w:rsidR="0088723C" w:rsidRPr="00DA19A7">
        <w:rPr>
          <w:rFonts w:cstheme="minorHAnsi"/>
          <w:b/>
          <w:bCs/>
          <w:iCs/>
          <w:color w:val="000000" w:themeColor="text1"/>
          <w:sz w:val="28"/>
          <w:szCs w:val="28"/>
          <w:lang w:val="es-MX"/>
        </w:rPr>
        <w:t>eferencias</w:t>
      </w:r>
    </w:p>
    <w:p w14:paraId="04C75631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Coffey, A. y Atkinson, P. (2003).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Encontrar el sentido de los datos cualitativos. Estrategias complementarias de investigación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>. Medellín, Colombia: Editorial Universidad de Antioquia.</w:t>
      </w:r>
    </w:p>
    <w:p w14:paraId="6E425317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>Colina, A. (2014). El estudio de caso, una estrategia para la investigación educativa. En Díaz, A. y Luna, A. B. (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coords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.),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Metodología de la investigación educativa. Aproximaciones para comprender sus estrategias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>. México: Ediciones Díaz de Santos y Universidad Autónoma de Tlaxcala.</w:t>
      </w:r>
    </w:p>
    <w:p w14:paraId="017A8987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iCs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Coolidge, A. y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DeMarte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>, D. (2016).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t>Herramienta de Desarrollo de Políticas para Recursos Educativos Abiertos REA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Recuperado de </w:t>
      </w:r>
      <w:hyperlink r:id="rId9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MX"/>
          </w:rPr>
          <w:t>http://policy.lumenlearning.com/es/#</w:t>
        </w:r>
      </w:hyperlink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54FAB05F" w14:textId="2EA8B83C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>Dirección General de Educación Superior Universitaria</w:t>
      </w:r>
      <w:r w:rsidRPr="00816D79" w:rsidDel="008E737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>[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Dgesu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>]. (2020).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>Estadísticas básicas de educación superior. Universidades públicas estatales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México: Secretaría de Educación Pública. Recuperado de </w:t>
      </w:r>
      <w:r w:rsidRPr="00D03F3B">
        <w:rPr>
          <w:rFonts w:ascii="Times New Roman" w:hAnsi="Times New Roman" w:cs="Times New Roman"/>
          <w:sz w:val="24"/>
          <w:szCs w:val="24"/>
          <w:lang w:val="es-MX"/>
        </w:rPr>
        <w:t>https://www.dgesu.ses.sep.gob.mx/UPES.html</w:t>
      </w:r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304D0C6C" w14:textId="2712F722" w:rsidR="00816D79" w:rsidRPr="00816D79" w:rsidRDefault="00816D79" w:rsidP="00816D79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García, S. (3 de mayo de 2019). ¿Qué es el acceso abierto y cómo beneficia la producción de contenidos educativos?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Observatorio de Innovación Educativa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 Recuperado de </w:t>
      </w:r>
      <w:r w:rsidRPr="00D03F3B">
        <w:rPr>
          <w:rFonts w:ascii="Times New Roman" w:hAnsi="Times New Roman" w:cs="Times New Roman"/>
          <w:sz w:val="24"/>
          <w:szCs w:val="24"/>
          <w:lang w:val="es-MX"/>
        </w:rPr>
        <w:t>https://observatorio.tec.mx/edu-news/acceso-abierto-educacion</w:t>
      </w:r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16E25D5C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Hernández, S., Fernández, C. y Baptista, P. (2006). </w:t>
      </w:r>
      <w:r w:rsidRPr="00816D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Metodología de la Investigación</w:t>
      </w:r>
      <w:r w:rsidRPr="00816D7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(4</w:t>
      </w:r>
      <w:r w:rsidRPr="00816D79">
        <w:rPr>
          <w:rFonts w:ascii="Times New Roman" w:hAnsi="Times New Roman" w:cs="Times New Roman"/>
          <w:sz w:val="24"/>
          <w:szCs w:val="24"/>
        </w:rPr>
        <w:t xml:space="preserve">.ª ed.). </w:t>
      </w:r>
      <w:r w:rsidRPr="00816D7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México: McGraw-Hill.</w:t>
      </w:r>
    </w:p>
    <w:p w14:paraId="052448E6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Inamorato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>, A., Cobo, C. y Costa, C. (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orgs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.) (2012). 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>Compendio. Recursos educativos abiertos: Casos de América Latina y Europa en la educación superior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 Niterói, Brasil: Centro de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Ensino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a Distancia. Recuperado de </w:t>
      </w:r>
      <w:hyperlink r:id="rId10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MX"/>
          </w:rPr>
          <w:t>https://repositorio.tec.mx/bitstream/handle/11285/627977/COMPENDIO_REA_ESPANOL.pdf?sequence=1&amp;isAllowed=y</w:t>
        </w:r>
      </w:hyperlink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5C0D550D" w14:textId="1156C764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López, J. C. (1 de noviembre de 2007). Recursos Educativos Abiertos (REA)</w:t>
      </w:r>
      <w:r w:rsidRPr="00816D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MX"/>
        </w:rPr>
        <w:t xml:space="preserve">.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eduteka</w:t>
      </w:r>
      <w:proofErr w:type="spellEnd"/>
      <w:r w:rsidRPr="00816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MX" w:eastAsia="es-MX"/>
        </w:rPr>
        <w:t>. Recuperado</w:t>
      </w:r>
      <w:r w:rsidRPr="00816D79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de </w:t>
      </w:r>
      <w:r w:rsidRPr="00D03F3B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http://eduteka.icesi.edu.co/articulos/OER</w:t>
      </w:r>
      <w:r w:rsidRPr="00816D79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.</w:t>
      </w:r>
    </w:p>
    <w:p w14:paraId="0684C817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Merino, M. (4 de febrero de 2013). Repositorios de recursos educativos abiertos. Ordenando la red. </w:t>
      </w:r>
      <w:bookmarkStart w:id="38" w:name="_Hlk44614125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Recuperado </w:t>
      </w:r>
      <w:bookmarkEnd w:id="38"/>
      <w:r w:rsidRPr="00816D79">
        <w:fldChar w:fldCharType="begin"/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instrText xml:space="preserve"> HYPERLINK "https://mmerinoru.wordpress.com/2013/02/04/repositorios-de-recursos-educativos-abiertos/" </w:instrText>
      </w:r>
      <w:r w:rsidRPr="00816D79">
        <w:fldChar w:fldCharType="separate"/>
      </w:r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https://mmerinoru.wordpress.com/2013/02/04/repositorios-de-recursos-educativos-abiertos/</w:t>
      </w:r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fldChar w:fldCharType="end"/>
      </w:r>
      <w:bookmarkStart w:id="39" w:name="_Hlk44614481"/>
      <w:bookmarkStart w:id="40" w:name="_Hlk44519802"/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2EFCD134" w14:textId="492BFD80" w:rsidR="00816D79" w:rsidRDefault="00816D79" w:rsidP="00816D79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16D79">
        <w:rPr>
          <w:rFonts w:ascii="Times New Roman" w:hAnsi="Times New Roman" w:cs="Times New Roman"/>
          <w:sz w:val="24"/>
          <w:szCs w:val="24"/>
        </w:rPr>
        <w:t xml:space="preserve">Miranda, A. (2011). Objetos culturales libres. </w:t>
      </w:r>
      <w:r w:rsidRPr="00816D79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16D79">
        <w:rPr>
          <w:rFonts w:ascii="Times New Roman" w:hAnsi="Times New Roman" w:cs="Times New Roman"/>
          <w:i/>
          <w:iCs/>
          <w:sz w:val="24"/>
          <w:szCs w:val="24"/>
        </w:rPr>
        <w:t>Educ@ción</w:t>
      </w:r>
      <w:proofErr w:type="spellEnd"/>
      <w:r w:rsidRPr="00816D79">
        <w:rPr>
          <w:rFonts w:ascii="Times New Roman" w:hAnsi="Times New Roman" w:cs="Times New Roman"/>
          <w:sz w:val="24"/>
          <w:szCs w:val="24"/>
        </w:rPr>
        <w:t xml:space="preserve">, (146). Recuperado </w:t>
      </w:r>
      <w:hyperlink r:id="rId11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http://educoas.org/portal/la_educacion_digital/146/pdf/ART_alejandromiranda_ES.pdf</w:t>
        </w:r>
      </w:hyperlink>
      <w:r w:rsidRPr="00816D79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7A8FDDA" w14:textId="77777777" w:rsidR="00D03F3B" w:rsidRPr="00816D79" w:rsidRDefault="00D03F3B" w:rsidP="00816D79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3F2903B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D79">
        <w:rPr>
          <w:rFonts w:ascii="Times New Roman" w:hAnsi="Times New Roman" w:cs="Times New Roman"/>
          <w:sz w:val="24"/>
          <w:szCs w:val="24"/>
        </w:rPr>
        <w:lastRenderedPageBreak/>
        <w:t>Mortera, F. (2010). Implementación de recursos educativos abiertos (REA) a través del portal TEMOA (</w:t>
      </w:r>
      <w:proofErr w:type="spellStart"/>
      <w:r w:rsidRPr="00816D79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16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D79">
        <w:rPr>
          <w:rFonts w:ascii="Times New Roman" w:hAnsi="Times New Roman" w:cs="Times New Roman"/>
          <w:sz w:val="24"/>
          <w:szCs w:val="24"/>
        </w:rPr>
        <w:t>Hub</w:t>
      </w:r>
      <w:proofErr w:type="gramEnd"/>
      <w:r w:rsidRPr="00816D79">
        <w:rPr>
          <w:rFonts w:ascii="Times New Roman" w:hAnsi="Times New Roman" w:cs="Times New Roman"/>
          <w:sz w:val="24"/>
          <w:szCs w:val="24"/>
        </w:rPr>
        <w:t xml:space="preserve">) del Tecnológico de Monterrey, México. </w:t>
      </w:r>
      <w:r w:rsidRPr="00816D79">
        <w:rPr>
          <w:rFonts w:ascii="Times New Roman" w:hAnsi="Times New Roman" w:cs="Times New Roman"/>
          <w:i/>
          <w:iCs/>
          <w:sz w:val="24"/>
          <w:szCs w:val="24"/>
        </w:rPr>
        <w:t>Formación Universitaria,</w:t>
      </w:r>
      <w:r w:rsidRPr="00816D79">
        <w:rPr>
          <w:rFonts w:ascii="Times New Roman" w:hAnsi="Times New Roman" w:cs="Times New Roman"/>
          <w:sz w:val="24"/>
          <w:szCs w:val="24"/>
        </w:rPr>
        <w:t xml:space="preserve"> </w:t>
      </w:r>
      <w:r w:rsidRPr="00816D7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16D79">
        <w:rPr>
          <w:rFonts w:ascii="Times New Roman" w:hAnsi="Times New Roman" w:cs="Times New Roman"/>
          <w:sz w:val="24"/>
          <w:szCs w:val="24"/>
        </w:rPr>
        <w:t xml:space="preserve">(5), 9-20. Recuperado de </w:t>
      </w:r>
      <w:hyperlink r:id="rId12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https://scielo.conicyt.cl/pdf/formuniv/v3n5/art03.pdf</w:t>
        </w:r>
      </w:hyperlink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B940730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Organización Panamericana de la Salud [OPS]. (2019).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¿Qué son los Recursos </w:t>
      </w:r>
      <w:proofErr w:type="gramStart"/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Educativos?.</w:t>
      </w:r>
      <w:proofErr w:type="gramEnd"/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>Recuperado de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https://www.campusvirtualsp.org/es/que-son-los-recursos-educativos-abiertos</w:t>
      </w:r>
    </w:p>
    <w:p w14:paraId="78E4C1E2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Oficina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Multipaís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de la Unesco en Costa Rica. (5 de noviembre de 2020). Alianza Huawei-Unesco lleva equipo tecnológico a estudiantes de Costa Rica. Recuperado de https://es.unesco.org/news/alianza-huawei-unesco-lleva-equipo-tecnologico-estudiantes-costa-rica.</w:t>
      </w:r>
    </w:p>
    <w:p w14:paraId="7AEEE845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color w:val="auto"/>
          <w:u w:val="none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Organización de las Naciones Unidas para la Educación, la Ciencia y la Cultura [Unesco]. (2012).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Declaración de París de 2012 sobre los REA. </w:t>
      </w:r>
      <w:bookmarkStart w:id="41" w:name="_Hlk44666772"/>
      <w:r w:rsidRPr="00816D79">
        <w:rPr>
          <w:rFonts w:ascii="Times New Roman" w:hAnsi="Times New Roman" w:cs="Times New Roman"/>
          <w:sz w:val="24"/>
          <w:szCs w:val="24"/>
          <w:lang w:val="es-MX"/>
        </w:rPr>
        <w:t>Recuperado</w:t>
      </w:r>
      <w:bookmarkEnd w:id="41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bookmarkStart w:id="42" w:name="_Hlk44614347"/>
      <w:r w:rsidRPr="00816D79">
        <w:t>http://www.unesco.org/new/fileadmin/MULTIMEDIA/HQ/CI/WPFD2009/Spanish_Declaration.html</w:t>
      </w:r>
    </w:p>
    <w:p w14:paraId="3A5191EF" w14:textId="4F884156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Organización de las Naciones Unidas para la Educación, la Ciencia y la </w:t>
      </w:r>
      <w:bookmarkEnd w:id="42"/>
      <w:r w:rsidRPr="00816D79">
        <w:rPr>
          <w:rFonts w:ascii="Times New Roman" w:hAnsi="Times New Roman" w:cs="Times New Roman"/>
          <w:sz w:val="24"/>
          <w:szCs w:val="24"/>
          <w:lang w:val="es-MX"/>
        </w:rPr>
        <w:t>Cultura [Unesco]. (2013).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 xml:space="preserve"> Directrices para políticas de desarrollo y promoción del acceso abierto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. París, Francia: Organización de las Naciones Unidas para la Educación, la Ciencia y la Cultura.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="008C5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6D79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hyperlink r:id="rId13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http://www.unesco.org/new/es/communication-and information/resources/publications-and-communication-materials/publications/full-list/policy-guidelines-for-the-development-and-promotion-of-open-access/</w:t>
        </w:r>
      </w:hyperlink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665842D5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Organización de las Naciones Unidas para la Educación, la Ciencia y la Cultura [Unesco]. (2019). 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>Proyecto de recomendación sobre los recursos educativos abiertos</w:t>
      </w: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t> 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>(REA)</w:t>
      </w: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. 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París, Francia: Organización de las Naciones Unidas para la Educación, la Ciencia y la Cultura. Recuperado </w:t>
      </w:r>
      <w:hyperlink r:id="rId14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MX"/>
          </w:rPr>
          <w:t>https://unesdoc.unesco.org/ark:/48223/pf0000370936_spa</w:t>
        </w:r>
      </w:hyperlink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6308CA61" w14:textId="767F58EC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>Organización de las Naciones Unidas para la Educación, la Ciencia y la Cultura [Unesco]. (2020a)</w:t>
      </w:r>
      <w:bookmarkEnd w:id="39"/>
      <w:r w:rsidRPr="00816D79">
        <w:rPr>
          <w:rFonts w:ascii="Times New Roman" w:hAnsi="Times New Roman" w:cs="Times New Roman"/>
          <w:sz w:val="24"/>
          <w:szCs w:val="24"/>
          <w:lang w:val="es-MX"/>
        </w:rPr>
        <w:t>. Coalición Mundial para la Educación COVID-19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. </w:t>
      </w:r>
      <w:bookmarkStart w:id="43" w:name="_Hlk44524692"/>
      <w:r w:rsidRPr="00816D79">
        <w:rPr>
          <w:rFonts w:ascii="Times New Roman" w:hAnsi="Times New Roman" w:cs="Times New Roman"/>
          <w:sz w:val="24"/>
          <w:szCs w:val="24"/>
          <w:lang w:val="es-MX"/>
        </w:rPr>
        <w:t>Recuperado</w:t>
      </w:r>
      <w:bookmarkStart w:id="44" w:name="_Hlk43203772"/>
      <w:bookmarkEnd w:id="43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Pr="00D03F3B">
        <w:rPr>
          <w:rFonts w:ascii="Times New Roman" w:hAnsi="Times New Roman" w:cs="Times New Roman"/>
          <w:sz w:val="24"/>
          <w:szCs w:val="24"/>
          <w:lang w:val="es-MX"/>
        </w:rPr>
        <w:t>https://es.unesco.org/covid19/globaleducationcoalition</w:t>
      </w:r>
      <w:bookmarkEnd w:id="40"/>
      <w:bookmarkEnd w:id="44"/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.</w:t>
      </w:r>
    </w:p>
    <w:p w14:paraId="6348E5BF" w14:textId="5BA7D66C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Organización de las Naciones Unidas para la Educación, la Ciencia y la Cultura [Unesco]. (2020b). Consecuencias adversas del cierre de escuelas. Recuperado de </w:t>
      </w:r>
      <w:r w:rsidRPr="00D03F3B">
        <w:rPr>
          <w:rFonts w:ascii="Times New Roman" w:hAnsi="Times New Roman" w:cs="Times New Roman"/>
          <w:sz w:val="24"/>
          <w:szCs w:val="24"/>
          <w:lang w:val="es-MX"/>
        </w:rPr>
        <w:t>https://en.unesco.org/covid19/educationresponse/consequences</w:t>
      </w:r>
      <w:bookmarkStart w:id="45" w:name="_Hlk43204273"/>
      <w:r w:rsidRPr="00816D79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665B3BF" w14:textId="77777777" w:rsidR="00D03F3B" w:rsidRDefault="00D03F3B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s-MX"/>
        </w:rPr>
      </w:pPr>
    </w:p>
    <w:p w14:paraId="7EA2A98C" w14:textId="224BF0E8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lastRenderedPageBreak/>
        <w:t>Ramírez, M. (2013). Retos y perspectivas en el movimiento educativo abierto de educación a distancia: estudio diagnóstico en un proyecto SINED</w:t>
      </w:r>
      <w:r w:rsidRPr="00816D79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  <w:r w:rsidRPr="00816D79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Pr="00816D79">
        <w:rPr>
          <w:rFonts w:ascii="Times New Roman" w:eastAsia="Times New Roman" w:hAnsi="Times New Roman" w:cs="Times New Roman"/>
          <w:i/>
          <w:sz w:val="24"/>
          <w:szCs w:val="24"/>
          <w:lang w:val="en-US" w:eastAsia="es-MX"/>
        </w:rPr>
        <w:t xml:space="preserve">Universities and Knowledge Society Journal,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n-US"/>
        </w:rPr>
        <w:t>10</w:t>
      </w:r>
      <w:r w:rsidRPr="00816D79">
        <w:rPr>
          <w:rFonts w:ascii="Times New Roman" w:hAnsi="Times New Roman" w:cs="Times New Roman"/>
          <w:sz w:val="24"/>
          <w:szCs w:val="24"/>
          <w:lang w:val="en-US"/>
        </w:rPr>
        <w:t xml:space="preserve">(2).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816D79">
          <w:rPr>
            <w:rFonts w:ascii="Times New Roman" w:hAnsi="Times New Roman" w:cs="Times New Roman"/>
            <w:sz w:val="24"/>
            <w:szCs w:val="24"/>
            <w:lang w:val="en-US"/>
          </w:rPr>
          <w:t>http://rusc.uoc.edu/rusc/es/index.php/rusc/article/view/v10n2-ramirez.html</w:t>
        </w:r>
      </w:hyperlink>
      <w:r w:rsidRPr="00816D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4F65E8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San Martín, D. (2014). Teoría fundamentada y Atlas. ti: recursos metodológicos para la investigación educativa.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Revista Electrónica de Investigación Educativa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816D79">
        <w:rPr>
          <w:rFonts w:ascii="Times New Roman" w:hAnsi="Times New Roman" w:cs="Times New Roman"/>
          <w:i/>
          <w:iCs/>
          <w:sz w:val="24"/>
          <w:szCs w:val="24"/>
          <w:lang w:val="es-MX"/>
        </w:rPr>
        <w:t>16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(1), 104-122. Recuperado </w:t>
      </w:r>
      <w:hyperlink r:id="rId16" w:history="1">
        <w:r w:rsidRPr="00816D79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MX"/>
          </w:rPr>
          <w:t>http://redie.uabc.mx/vol16no1/contenido-sanmartin.html</w:t>
        </w:r>
      </w:hyperlink>
      <w:bookmarkEnd w:id="45"/>
    </w:p>
    <w:p w14:paraId="1E054D79" w14:textId="77777777" w:rsidR="00816D79" w:rsidRPr="00816D79" w:rsidRDefault="00816D79" w:rsidP="00816D79">
      <w:pPr>
        <w:pStyle w:val="Lista2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Straus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, A. y </w:t>
      </w:r>
      <w:proofErr w:type="spellStart"/>
      <w:r w:rsidRPr="00816D79">
        <w:rPr>
          <w:rFonts w:ascii="Times New Roman" w:hAnsi="Times New Roman" w:cs="Times New Roman"/>
          <w:sz w:val="24"/>
          <w:szCs w:val="24"/>
          <w:lang w:val="es-MX"/>
        </w:rPr>
        <w:t>Corbin</w:t>
      </w:r>
      <w:proofErr w:type="spellEnd"/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, J. (2002). </w:t>
      </w:r>
      <w:r w:rsidRPr="00816D79">
        <w:rPr>
          <w:rFonts w:ascii="Times New Roman" w:eastAsia="Times New Roman" w:hAnsi="Times New Roman" w:cs="Times New Roman"/>
          <w:i/>
          <w:sz w:val="24"/>
          <w:szCs w:val="24"/>
          <w:lang w:val="es-MX" w:eastAsia="es-MX"/>
        </w:rPr>
        <w:t>Bases de la investigación cualitativa. Técnicas y procedimientos para desarrollar la teoría fundamentada.</w:t>
      </w:r>
      <w:r w:rsidRPr="00816D79">
        <w:rPr>
          <w:rFonts w:ascii="Times New Roman" w:hAnsi="Times New Roman" w:cs="Times New Roman"/>
          <w:sz w:val="24"/>
          <w:szCs w:val="24"/>
          <w:lang w:val="es-MX"/>
        </w:rPr>
        <w:t xml:space="preserve"> Medellín, Colombia: Editorial Universidad de Antioquia</w:t>
      </w:r>
    </w:p>
    <w:p w14:paraId="4C79ECC7" w14:textId="77777777" w:rsidR="00816D79" w:rsidRPr="00816D79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D79">
        <w:rPr>
          <w:rFonts w:ascii="Times New Roman" w:hAnsi="Times New Roman" w:cs="Times New Roman"/>
          <w:sz w:val="24"/>
          <w:szCs w:val="24"/>
          <w:lang w:val="es-MX"/>
        </w:rPr>
        <w:t>Torres, S. (2019). Contraste entre recursos educativos abiertos y repositorios institucionales de acceso abierto: visión institucional. Ponencia presentada el Congreso Iberoamericano de Aprendizaje Mediado por Tecnología. Ciudad de México, del 9 al 11 de septiembre de 2019.</w:t>
      </w:r>
      <w:r w:rsidRPr="00816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D759E" w14:textId="4E6C0D6D" w:rsidR="00816D79" w:rsidRPr="00F5384A" w:rsidRDefault="00816D79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D79">
        <w:rPr>
          <w:rFonts w:ascii="Times New Roman" w:hAnsi="Times New Roman" w:cs="Times New Roman"/>
          <w:sz w:val="24"/>
          <w:szCs w:val="24"/>
        </w:rPr>
        <w:t xml:space="preserve">Tovar, D., López, A., Ramírez, M. (2014). Estrategias de comunicación para potenciar el uso de Recursos Educativos Abiertos (REA) a través de repositorios y </w:t>
      </w:r>
      <w:proofErr w:type="spellStart"/>
      <w:r w:rsidRPr="00816D79">
        <w:rPr>
          <w:rFonts w:ascii="Times New Roman" w:hAnsi="Times New Roman" w:cs="Times New Roman"/>
          <w:sz w:val="24"/>
          <w:szCs w:val="24"/>
        </w:rPr>
        <w:t>metaconectores</w:t>
      </w:r>
      <w:proofErr w:type="spellEnd"/>
      <w:r w:rsidRPr="00816D79">
        <w:rPr>
          <w:rFonts w:ascii="Times New Roman" w:hAnsi="Times New Roman" w:cs="Times New Roman"/>
          <w:sz w:val="24"/>
          <w:szCs w:val="24"/>
        </w:rPr>
        <w:t xml:space="preserve">. </w:t>
      </w:r>
      <w:r w:rsidRPr="00816D79">
        <w:rPr>
          <w:rFonts w:ascii="Times New Roman" w:hAnsi="Times New Roman" w:cs="Times New Roman"/>
          <w:i/>
          <w:iCs/>
          <w:sz w:val="24"/>
          <w:szCs w:val="24"/>
        </w:rPr>
        <w:t>Innovar: Revista de Ciencias Administrativas y Sociales</w:t>
      </w:r>
      <w:r w:rsidRPr="00816D79">
        <w:rPr>
          <w:rFonts w:ascii="Times New Roman" w:hAnsi="Times New Roman" w:cs="Times New Roman"/>
          <w:sz w:val="24"/>
          <w:szCs w:val="24"/>
        </w:rPr>
        <w:t xml:space="preserve">, </w:t>
      </w:r>
      <w:r w:rsidRPr="00816D79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816D79">
        <w:rPr>
          <w:rFonts w:ascii="Times New Roman" w:hAnsi="Times New Roman" w:cs="Times New Roman"/>
          <w:sz w:val="24"/>
          <w:szCs w:val="24"/>
        </w:rPr>
        <w:t xml:space="preserve">(52), 67-78. Recuperado de </w:t>
      </w:r>
      <w:r w:rsidRPr="00D03F3B">
        <w:rPr>
          <w:rFonts w:ascii="Times New Roman" w:hAnsi="Times New Roman" w:cs="Times New Roman"/>
          <w:sz w:val="24"/>
          <w:szCs w:val="24"/>
        </w:rPr>
        <w:t>https://dialnet.unirioja.es/servlet/articulo?codigo=4610164</w:t>
      </w:r>
      <w:r w:rsidRPr="00816D79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4161ABE" w14:textId="77777777" w:rsidR="00816D79" w:rsidRPr="001436B1" w:rsidRDefault="00816D79" w:rsidP="00816D79"/>
    <w:p w14:paraId="50E062FB" w14:textId="5AF1AEAF" w:rsidR="00324AA7" w:rsidRPr="00324AA7" w:rsidRDefault="00324AA7" w:rsidP="00816D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324AA7" w:rsidRPr="00324AA7" w:rsidSect="007F799E">
      <w:headerReference w:type="default" r:id="rId17"/>
      <w:footerReference w:type="default" r:id="rId18"/>
      <w:pgSz w:w="12240" w:h="15840"/>
      <w:pgMar w:top="1276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A482" w14:textId="77777777" w:rsidR="00CE757F" w:rsidRDefault="00CE757F" w:rsidP="00B36A36">
      <w:pPr>
        <w:spacing w:after="0" w:line="240" w:lineRule="auto"/>
      </w:pPr>
      <w:r>
        <w:separator/>
      </w:r>
    </w:p>
  </w:endnote>
  <w:endnote w:type="continuationSeparator" w:id="0">
    <w:p w14:paraId="201C91DA" w14:textId="77777777" w:rsidR="00CE757F" w:rsidRDefault="00CE757F" w:rsidP="00B3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D672" w14:textId="5881F0AA" w:rsidR="007F799E" w:rsidRDefault="007F799E">
    <w:pPr>
      <w:pStyle w:val="Piedepgina"/>
    </w:pPr>
    <w:r>
      <w:t xml:space="preserve">                </w:t>
    </w:r>
    <w:r>
      <w:rPr>
        <w:noProof/>
        <w:lang w:eastAsia="es-MX"/>
      </w:rPr>
      <w:drawing>
        <wp:inline distT="0" distB="0" distL="0" distR="0" wp14:anchorId="5A82A8B7" wp14:editId="618F4B2C">
          <wp:extent cx="1600200" cy="419100"/>
          <wp:effectExtent l="0" t="0" r="0" b="0"/>
          <wp:docPr id="30" name="Imagen 30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ED1D81">
      <w:rPr>
        <w:rFonts w:cstheme="minorHAnsi"/>
        <w:b/>
        <w:szCs w:val="20"/>
      </w:rPr>
      <w:t>Vol. 1</w:t>
    </w:r>
    <w:r>
      <w:rPr>
        <w:rFonts w:cstheme="minorHAnsi"/>
        <w:b/>
        <w:szCs w:val="20"/>
      </w:rPr>
      <w:t>2</w:t>
    </w:r>
    <w:r w:rsidRPr="00ED1D81">
      <w:rPr>
        <w:rFonts w:cstheme="minorHAnsi"/>
        <w:b/>
        <w:szCs w:val="20"/>
      </w:rPr>
      <w:t>, Núm. 2</w:t>
    </w:r>
    <w:r>
      <w:rPr>
        <w:rFonts w:cstheme="minorHAnsi"/>
        <w:b/>
        <w:szCs w:val="20"/>
      </w:rPr>
      <w:t>2</w:t>
    </w:r>
    <w:r w:rsidRPr="00ED1D81">
      <w:rPr>
        <w:rFonts w:cstheme="minorHAnsi"/>
        <w:b/>
        <w:szCs w:val="20"/>
      </w:rPr>
      <w:t xml:space="preserve"> </w:t>
    </w:r>
    <w:proofErr w:type="gramStart"/>
    <w:r>
      <w:rPr>
        <w:rFonts w:cstheme="minorHAnsi"/>
        <w:b/>
        <w:szCs w:val="20"/>
      </w:rPr>
      <w:t>Enero</w:t>
    </w:r>
    <w:proofErr w:type="gramEnd"/>
    <w:r w:rsidRPr="00ED1D81">
      <w:rPr>
        <w:rFonts w:cstheme="minorHAnsi"/>
        <w:b/>
        <w:szCs w:val="20"/>
      </w:rPr>
      <w:t xml:space="preserve"> - </w:t>
    </w:r>
    <w:r>
      <w:rPr>
        <w:rFonts w:cstheme="minorHAnsi"/>
        <w:b/>
        <w:szCs w:val="20"/>
      </w:rPr>
      <w:t>Junio</w:t>
    </w:r>
    <w:r w:rsidRPr="00ED1D81">
      <w:rPr>
        <w:rFonts w:cstheme="minorHAnsi"/>
        <w:b/>
        <w:szCs w:val="20"/>
      </w:rPr>
      <w:t xml:space="preserve"> 202</w:t>
    </w:r>
    <w:r>
      <w:rPr>
        <w:rFonts w:cstheme="minorHAnsi"/>
        <w:b/>
        <w:szCs w:val="20"/>
      </w:rPr>
      <w:t>1</w:t>
    </w:r>
    <w:r w:rsidRPr="00ED1D81">
      <w:rPr>
        <w:rFonts w:cstheme="minorHAnsi"/>
        <w:b/>
        <w:szCs w:val="20"/>
      </w:rPr>
      <w:t>, e</w:t>
    </w:r>
    <w:r w:rsidR="004F173C">
      <w:rPr>
        <w:rFonts w:cstheme="minorHAnsi"/>
        <w:b/>
        <w:szCs w:val="20"/>
      </w:rPr>
      <w:t>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DE10" w14:textId="77777777" w:rsidR="00CE757F" w:rsidRDefault="00CE757F" w:rsidP="00B36A36">
      <w:pPr>
        <w:spacing w:after="0" w:line="240" w:lineRule="auto"/>
      </w:pPr>
      <w:r>
        <w:separator/>
      </w:r>
    </w:p>
  </w:footnote>
  <w:footnote w:type="continuationSeparator" w:id="0">
    <w:p w14:paraId="26581095" w14:textId="77777777" w:rsidR="00CE757F" w:rsidRDefault="00CE757F" w:rsidP="00B3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0531" w14:textId="3C364AFD" w:rsidR="007F799E" w:rsidRDefault="007F799E" w:rsidP="007F799E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09E7ADFF" wp14:editId="180ABA33">
          <wp:extent cx="5400040" cy="632602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1C1"/>
    <w:multiLevelType w:val="multilevel"/>
    <w:tmpl w:val="396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i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25A97"/>
    <w:multiLevelType w:val="hybridMultilevel"/>
    <w:tmpl w:val="AF607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35A"/>
    <w:multiLevelType w:val="hybridMultilevel"/>
    <w:tmpl w:val="D14E417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2043BC"/>
    <w:multiLevelType w:val="hybridMultilevel"/>
    <w:tmpl w:val="A984C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5050"/>
    <w:multiLevelType w:val="hybridMultilevel"/>
    <w:tmpl w:val="15280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70FB"/>
    <w:multiLevelType w:val="hybridMultilevel"/>
    <w:tmpl w:val="82DA4F7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A75EA"/>
    <w:multiLevelType w:val="hybridMultilevel"/>
    <w:tmpl w:val="A2B45E72"/>
    <w:lvl w:ilvl="0" w:tplc="CB087E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E4E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8021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508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634C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C99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D0E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746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BA4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68F4A80"/>
    <w:multiLevelType w:val="hybridMultilevel"/>
    <w:tmpl w:val="ED081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034E"/>
    <w:multiLevelType w:val="hybridMultilevel"/>
    <w:tmpl w:val="F1C0D524"/>
    <w:lvl w:ilvl="0" w:tplc="4656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2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C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AB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02826"/>
    <w:multiLevelType w:val="hybridMultilevel"/>
    <w:tmpl w:val="DFC895A2"/>
    <w:lvl w:ilvl="0" w:tplc="D7ACA2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EAB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E6F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FED4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56D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007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A74E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4A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48F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0803266"/>
    <w:multiLevelType w:val="hybridMultilevel"/>
    <w:tmpl w:val="49522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77AC9"/>
    <w:multiLevelType w:val="hybridMultilevel"/>
    <w:tmpl w:val="62D63736"/>
    <w:lvl w:ilvl="0" w:tplc="9B5232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AB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E7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61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1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A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2B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7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A2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41C0A"/>
    <w:multiLevelType w:val="hybridMultilevel"/>
    <w:tmpl w:val="D3285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CAE"/>
    <w:multiLevelType w:val="hybridMultilevel"/>
    <w:tmpl w:val="A80A1CA8"/>
    <w:lvl w:ilvl="0" w:tplc="A906F9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5EA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E68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7071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CF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87A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A85F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E6B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C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5A55986"/>
    <w:multiLevelType w:val="hybridMultilevel"/>
    <w:tmpl w:val="83FA8D0E"/>
    <w:lvl w:ilvl="0" w:tplc="EAB0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0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2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E8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C41401"/>
    <w:multiLevelType w:val="multilevel"/>
    <w:tmpl w:val="2216F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73C742B"/>
    <w:multiLevelType w:val="hybridMultilevel"/>
    <w:tmpl w:val="484040E0"/>
    <w:lvl w:ilvl="0" w:tplc="8DE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217F4"/>
    <w:multiLevelType w:val="hybridMultilevel"/>
    <w:tmpl w:val="33A00592"/>
    <w:lvl w:ilvl="0" w:tplc="3332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AC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81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0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AA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E1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6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0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2C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C06EB"/>
    <w:multiLevelType w:val="multilevel"/>
    <w:tmpl w:val="3FC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202B7"/>
    <w:multiLevelType w:val="hybridMultilevel"/>
    <w:tmpl w:val="D068C112"/>
    <w:lvl w:ilvl="0" w:tplc="5AA27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6DB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AE6FA">
      <w:start w:val="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2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03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40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AA3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3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AD5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C37FA"/>
    <w:multiLevelType w:val="hybridMultilevel"/>
    <w:tmpl w:val="6E7C25F8"/>
    <w:lvl w:ilvl="0" w:tplc="FF1C99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07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4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B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4C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20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AB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3359C"/>
    <w:multiLevelType w:val="hybridMultilevel"/>
    <w:tmpl w:val="9F68E87C"/>
    <w:lvl w:ilvl="0" w:tplc="A1E8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7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CA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03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A50FAB"/>
    <w:multiLevelType w:val="hybridMultilevel"/>
    <w:tmpl w:val="1E588522"/>
    <w:lvl w:ilvl="0" w:tplc="D05A837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700107"/>
    <w:multiLevelType w:val="hybridMultilevel"/>
    <w:tmpl w:val="0F244B04"/>
    <w:lvl w:ilvl="0" w:tplc="0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DD0634C"/>
    <w:multiLevelType w:val="hybridMultilevel"/>
    <w:tmpl w:val="EC9A863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21"/>
  </w:num>
  <w:num w:numId="14">
    <w:abstractNumId w:val="17"/>
  </w:num>
  <w:num w:numId="15">
    <w:abstractNumId w:val="20"/>
  </w:num>
  <w:num w:numId="16">
    <w:abstractNumId w:val="11"/>
  </w:num>
  <w:num w:numId="17">
    <w:abstractNumId w:val="2"/>
  </w:num>
  <w:num w:numId="18">
    <w:abstractNumId w:val="24"/>
  </w:num>
  <w:num w:numId="19">
    <w:abstractNumId w:val="23"/>
  </w:num>
  <w:num w:numId="20">
    <w:abstractNumId w:val="22"/>
  </w:num>
  <w:num w:numId="21">
    <w:abstractNumId w:val="15"/>
  </w:num>
  <w:num w:numId="22">
    <w:abstractNumId w:val="3"/>
  </w:num>
  <w:num w:numId="23">
    <w:abstractNumId w:val="12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36"/>
    <w:rsid w:val="0000301E"/>
    <w:rsid w:val="000074B8"/>
    <w:rsid w:val="00010F49"/>
    <w:rsid w:val="0003199C"/>
    <w:rsid w:val="00032466"/>
    <w:rsid w:val="000337C5"/>
    <w:rsid w:val="00033DFC"/>
    <w:rsid w:val="00034DA5"/>
    <w:rsid w:val="00035E0A"/>
    <w:rsid w:val="000361B7"/>
    <w:rsid w:val="000362C0"/>
    <w:rsid w:val="00036308"/>
    <w:rsid w:val="00037288"/>
    <w:rsid w:val="00044EA5"/>
    <w:rsid w:val="00045C74"/>
    <w:rsid w:val="00051AB0"/>
    <w:rsid w:val="00057B6D"/>
    <w:rsid w:val="000607EE"/>
    <w:rsid w:val="000623C1"/>
    <w:rsid w:val="000746E7"/>
    <w:rsid w:val="00090B6E"/>
    <w:rsid w:val="0009146B"/>
    <w:rsid w:val="0009227F"/>
    <w:rsid w:val="000A2DB7"/>
    <w:rsid w:val="000A46C6"/>
    <w:rsid w:val="000A496F"/>
    <w:rsid w:val="000A4C98"/>
    <w:rsid w:val="000B1979"/>
    <w:rsid w:val="000B610F"/>
    <w:rsid w:val="000D2793"/>
    <w:rsid w:val="000D4FEC"/>
    <w:rsid w:val="000D6B29"/>
    <w:rsid w:val="00100768"/>
    <w:rsid w:val="00100EB6"/>
    <w:rsid w:val="00104284"/>
    <w:rsid w:val="0010473D"/>
    <w:rsid w:val="00105504"/>
    <w:rsid w:val="001152C9"/>
    <w:rsid w:val="00115E58"/>
    <w:rsid w:val="00120AE4"/>
    <w:rsid w:val="00123156"/>
    <w:rsid w:val="0012437E"/>
    <w:rsid w:val="0012592F"/>
    <w:rsid w:val="00132D16"/>
    <w:rsid w:val="0013371D"/>
    <w:rsid w:val="00135786"/>
    <w:rsid w:val="00136A57"/>
    <w:rsid w:val="00140E02"/>
    <w:rsid w:val="00145947"/>
    <w:rsid w:val="0014623F"/>
    <w:rsid w:val="00146988"/>
    <w:rsid w:val="00147839"/>
    <w:rsid w:val="00151FB8"/>
    <w:rsid w:val="001555D1"/>
    <w:rsid w:val="00163D95"/>
    <w:rsid w:val="00166F60"/>
    <w:rsid w:val="00171A56"/>
    <w:rsid w:val="0017547D"/>
    <w:rsid w:val="0017575C"/>
    <w:rsid w:val="00180FD8"/>
    <w:rsid w:val="00182CB9"/>
    <w:rsid w:val="00183A4C"/>
    <w:rsid w:val="0018555B"/>
    <w:rsid w:val="00185A8F"/>
    <w:rsid w:val="0018683E"/>
    <w:rsid w:val="00191AFD"/>
    <w:rsid w:val="0019325E"/>
    <w:rsid w:val="001A3C49"/>
    <w:rsid w:val="001A4379"/>
    <w:rsid w:val="001B223B"/>
    <w:rsid w:val="001B3634"/>
    <w:rsid w:val="001B4D38"/>
    <w:rsid w:val="001B5212"/>
    <w:rsid w:val="001B6860"/>
    <w:rsid w:val="001B6E7E"/>
    <w:rsid w:val="001B735C"/>
    <w:rsid w:val="001C19D6"/>
    <w:rsid w:val="001C1AC9"/>
    <w:rsid w:val="001C5F99"/>
    <w:rsid w:val="001D1370"/>
    <w:rsid w:val="001D34B8"/>
    <w:rsid w:val="001D42D8"/>
    <w:rsid w:val="001D671E"/>
    <w:rsid w:val="001D75B2"/>
    <w:rsid w:val="001D7F27"/>
    <w:rsid w:val="001E0D62"/>
    <w:rsid w:val="001E320A"/>
    <w:rsid w:val="001F1DA9"/>
    <w:rsid w:val="001F5977"/>
    <w:rsid w:val="001F5F5E"/>
    <w:rsid w:val="00204172"/>
    <w:rsid w:val="00204BBD"/>
    <w:rsid w:val="00210333"/>
    <w:rsid w:val="00215AA9"/>
    <w:rsid w:val="00216DC7"/>
    <w:rsid w:val="0022472F"/>
    <w:rsid w:val="002306F5"/>
    <w:rsid w:val="002314AE"/>
    <w:rsid w:val="00231831"/>
    <w:rsid w:val="00232029"/>
    <w:rsid w:val="0023619F"/>
    <w:rsid w:val="00237746"/>
    <w:rsid w:val="00237FBD"/>
    <w:rsid w:val="002405D4"/>
    <w:rsid w:val="00246142"/>
    <w:rsid w:val="00247EC1"/>
    <w:rsid w:val="002502D7"/>
    <w:rsid w:val="00251B00"/>
    <w:rsid w:val="002527D5"/>
    <w:rsid w:val="0025466B"/>
    <w:rsid w:val="0025468C"/>
    <w:rsid w:val="00255B97"/>
    <w:rsid w:val="00263536"/>
    <w:rsid w:val="002640E7"/>
    <w:rsid w:val="00270179"/>
    <w:rsid w:val="00285AB0"/>
    <w:rsid w:val="002A1CCC"/>
    <w:rsid w:val="002B3239"/>
    <w:rsid w:val="002B3388"/>
    <w:rsid w:val="002B7720"/>
    <w:rsid w:val="002C065E"/>
    <w:rsid w:val="002C4D2C"/>
    <w:rsid w:val="002C60C1"/>
    <w:rsid w:val="002D0A6B"/>
    <w:rsid w:val="002D0F28"/>
    <w:rsid w:val="002D3048"/>
    <w:rsid w:val="002D79D3"/>
    <w:rsid w:val="002D7B78"/>
    <w:rsid w:val="002E0219"/>
    <w:rsid w:val="002E2E5D"/>
    <w:rsid w:val="002E4071"/>
    <w:rsid w:val="002E5223"/>
    <w:rsid w:val="002E6FF8"/>
    <w:rsid w:val="002F43A6"/>
    <w:rsid w:val="003026A2"/>
    <w:rsid w:val="003029D8"/>
    <w:rsid w:val="00305732"/>
    <w:rsid w:val="00310676"/>
    <w:rsid w:val="00315428"/>
    <w:rsid w:val="00316DB0"/>
    <w:rsid w:val="00317436"/>
    <w:rsid w:val="00320619"/>
    <w:rsid w:val="00324AA7"/>
    <w:rsid w:val="0032550C"/>
    <w:rsid w:val="0032577C"/>
    <w:rsid w:val="0032757A"/>
    <w:rsid w:val="003309CD"/>
    <w:rsid w:val="00332F6B"/>
    <w:rsid w:val="00343FFF"/>
    <w:rsid w:val="00345063"/>
    <w:rsid w:val="00350993"/>
    <w:rsid w:val="00350D91"/>
    <w:rsid w:val="00351FE2"/>
    <w:rsid w:val="00353316"/>
    <w:rsid w:val="003546FF"/>
    <w:rsid w:val="003555DB"/>
    <w:rsid w:val="00357B43"/>
    <w:rsid w:val="0036039F"/>
    <w:rsid w:val="00361C58"/>
    <w:rsid w:val="00363638"/>
    <w:rsid w:val="003673C3"/>
    <w:rsid w:val="00377388"/>
    <w:rsid w:val="003834BE"/>
    <w:rsid w:val="00384CB6"/>
    <w:rsid w:val="003875F6"/>
    <w:rsid w:val="00387974"/>
    <w:rsid w:val="00387F9A"/>
    <w:rsid w:val="003973D3"/>
    <w:rsid w:val="003976E2"/>
    <w:rsid w:val="00397A54"/>
    <w:rsid w:val="003A2089"/>
    <w:rsid w:val="003A61B3"/>
    <w:rsid w:val="003B0362"/>
    <w:rsid w:val="003B09C9"/>
    <w:rsid w:val="003B213E"/>
    <w:rsid w:val="003B4D54"/>
    <w:rsid w:val="003B66E9"/>
    <w:rsid w:val="003C1150"/>
    <w:rsid w:val="003C132A"/>
    <w:rsid w:val="003C1542"/>
    <w:rsid w:val="003D00D2"/>
    <w:rsid w:val="003D08C5"/>
    <w:rsid w:val="003D0BD2"/>
    <w:rsid w:val="003D1D12"/>
    <w:rsid w:val="003D6607"/>
    <w:rsid w:val="003E2A5B"/>
    <w:rsid w:val="003E3336"/>
    <w:rsid w:val="003E7C4D"/>
    <w:rsid w:val="003F1F4C"/>
    <w:rsid w:val="003F2A62"/>
    <w:rsid w:val="003F379D"/>
    <w:rsid w:val="003F3AF3"/>
    <w:rsid w:val="003F5E3E"/>
    <w:rsid w:val="003F772E"/>
    <w:rsid w:val="004015DE"/>
    <w:rsid w:val="0040219B"/>
    <w:rsid w:val="004052AC"/>
    <w:rsid w:val="00410ED8"/>
    <w:rsid w:val="004142B4"/>
    <w:rsid w:val="00414EE7"/>
    <w:rsid w:val="004155A8"/>
    <w:rsid w:val="00415F1D"/>
    <w:rsid w:val="00417CBF"/>
    <w:rsid w:val="00424095"/>
    <w:rsid w:val="00424DAF"/>
    <w:rsid w:val="00430CFD"/>
    <w:rsid w:val="00442ED2"/>
    <w:rsid w:val="004469B2"/>
    <w:rsid w:val="00451D98"/>
    <w:rsid w:val="00453003"/>
    <w:rsid w:val="0046159F"/>
    <w:rsid w:val="00466902"/>
    <w:rsid w:val="00473FD8"/>
    <w:rsid w:val="0047718F"/>
    <w:rsid w:val="00477B9B"/>
    <w:rsid w:val="00484123"/>
    <w:rsid w:val="00487880"/>
    <w:rsid w:val="0049090E"/>
    <w:rsid w:val="00490C68"/>
    <w:rsid w:val="00497018"/>
    <w:rsid w:val="004975A4"/>
    <w:rsid w:val="00497944"/>
    <w:rsid w:val="00497E21"/>
    <w:rsid w:val="004A132A"/>
    <w:rsid w:val="004A13B3"/>
    <w:rsid w:val="004A3954"/>
    <w:rsid w:val="004A4421"/>
    <w:rsid w:val="004A6F9D"/>
    <w:rsid w:val="004B17A0"/>
    <w:rsid w:val="004B196F"/>
    <w:rsid w:val="004B2E27"/>
    <w:rsid w:val="004B35F4"/>
    <w:rsid w:val="004B637C"/>
    <w:rsid w:val="004B67B2"/>
    <w:rsid w:val="004B6D2D"/>
    <w:rsid w:val="004C2C5D"/>
    <w:rsid w:val="004C68C0"/>
    <w:rsid w:val="004D6BCB"/>
    <w:rsid w:val="004D73D7"/>
    <w:rsid w:val="004D77DD"/>
    <w:rsid w:val="004E76FB"/>
    <w:rsid w:val="004E79AF"/>
    <w:rsid w:val="004F020A"/>
    <w:rsid w:val="004F173C"/>
    <w:rsid w:val="004F6A28"/>
    <w:rsid w:val="005007CE"/>
    <w:rsid w:val="0050240C"/>
    <w:rsid w:val="00502E10"/>
    <w:rsid w:val="005046F1"/>
    <w:rsid w:val="00506B86"/>
    <w:rsid w:val="00510662"/>
    <w:rsid w:val="00511C14"/>
    <w:rsid w:val="00520E12"/>
    <w:rsid w:val="00522001"/>
    <w:rsid w:val="00522852"/>
    <w:rsid w:val="0052552E"/>
    <w:rsid w:val="005315FA"/>
    <w:rsid w:val="00541585"/>
    <w:rsid w:val="00543B02"/>
    <w:rsid w:val="005474FA"/>
    <w:rsid w:val="00551BF8"/>
    <w:rsid w:val="0055258E"/>
    <w:rsid w:val="00553003"/>
    <w:rsid w:val="00553631"/>
    <w:rsid w:val="0056186A"/>
    <w:rsid w:val="005646DC"/>
    <w:rsid w:val="0056557D"/>
    <w:rsid w:val="00573F51"/>
    <w:rsid w:val="00577766"/>
    <w:rsid w:val="0058022E"/>
    <w:rsid w:val="00591945"/>
    <w:rsid w:val="005939F5"/>
    <w:rsid w:val="005950E8"/>
    <w:rsid w:val="00596EAE"/>
    <w:rsid w:val="005A0876"/>
    <w:rsid w:val="005A11F9"/>
    <w:rsid w:val="005A276B"/>
    <w:rsid w:val="005A2C7E"/>
    <w:rsid w:val="005A643F"/>
    <w:rsid w:val="005A7489"/>
    <w:rsid w:val="005B1720"/>
    <w:rsid w:val="005B5444"/>
    <w:rsid w:val="005C2A8D"/>
    <w:rsid w:val="005C2C56"/>
    <w:rsid w:val="005C36C5"/>
    <w:rsid w:val="005C46BC"/>
    <w:rsid w:val="005D2790"/>
    <w:rsid w:val="005D6ED7"/>
    <w:rsid w:val="005E47E3"/>
    <w:rsid w:val="005E50DF"/>
    <w:rsid w:val="005E57F3"/>
    <w:rsid w:val="005E73C9"/>
    <w:rsid w:val="005F2656"/>
    <w:rsid w:val="005F323C"/>
    <w:rsid w:val="005F3DD2"/>
    <w:rsid w:val="005F7D05"/>
    <w:rsid w:val="005F7E93"/>
    <w:rsid w:val="006037DA"/>
    <w:rsid w:val="00605014"/>
    <w:rsid w:val="00605296"/>
    <w:rsid w:val="00605BFA"/>
    <w:rsid w:val="00606574"/>
    <w:rsid w:val="006135E6"/>
    <w:rsid w:val="0062013A"/>
    <w:rsid w:val="006231B6"/>
    <w:rsid w:val="00623B08"/>
    <w:rsid w:val="00627AED"/>
    <w:rsid w:val="00632F96"/>
    <w:rsid w:val="006368CA"/>
    <w:rsid w:val="00637B30"/>
    <w:rsid w:val="00646D3A"/>
    <w:rsid w:val="00651E40"/>
    <w:rsid w:val="0065214C"/>
    <w:rsid w:val="0065231E"/>
    <w:rsid w:val="006537A7"/>
    <w:rsid w:val="00653B42"/>
    <w:rsid w:val="006633B2"/>
    <w:rsid w:val="00665E8F"/>
    <w:rsid w:val="00667D2D"/>
    <w:rsid w:val="00670A55"/>
    <w:rsid w:val="00672EA1"/>
    <w:rsid w:val="006740C7"/>
    <w:rsid w:val="00674C21"/>
    <w:rsid w:val="00676A14"/>
    <w:rsid w:val="00676ABA"/>
    <w:rsid w:val="00680A9E"/>
    <w:rsid w:val="00681FA4"/>
    <w:rsid w:val="00683F3C"/>
    <w:rsid w:val="006857FE"/>
    <w:rsid w:val="00690EEA"/>
    <w:rsid w:val="0069189D"/>
    <w:rsid w:val="00691A35"/>
    <w:rsid w:val="006966D0"/>
    <w:rsid w:val="006A6A3C"/>
    <w:rsid w:val="006A7B48"/>
    <w:rsid w:val="006A7D86"/>
    <w:rsid w:val="006B351C"/>
    <w:rsid w:val="006B6235"/>
    <w:rsid w:val="006C0AF4"/>
    <w:rsid w:val="006C2651"/>
    <w:rsid w:val="006C2667"/>
    <w:rsid w:val="006C3F2A"/>
    <w:rsid w:val="006C4A48"/>
    <w:rsid w:val="006C78A1"/>
    <w:rsid w:val="006D0DF6"/>
    <w:rsid w:val="006D28C6"/>
    <w:rsid w:val="006D4D96"/>
    <w:rsid w:val="006D6547"/>
    <w:rsid w:val="006E20E9"/>
    <w:rsid w:val="006E2E8A"/>
    <w:rsid w:val="006E5D96"/>
    <w:rsid w:val="006F7835"/>
    <w:rsid w:val="0070360A"/>
    <w:rsid w:val="00704063"/>
    <w:rsid w:val="007060CF"/>
    <w:rsid w:val="00707A70"/>
    <w:rsid w:val="007159BD"/>
    <w:rsid w:val="00724121"/>
    <w:rsid w:val="00727FA7"/>
    <w:rsid w:val="00732F6B"/>
    <w:rsid w:val="007418F0"/>
    <w:rsid w:val="00742F57"/>
    <w:rsid w:val="00742FB5"/>
    <w:rsid w:val="00746501"/>
    <w:rsid w:val="00746CBA"/>
    <w:rsid w:val="00750C9E"/>
    <w:rsid w:val="007549B4"/>
    <w:rsid w:val="0075537A"/>
    <w:rsid w:val="00757318"/>
    <w:rsid w:val="00760799"/>
    <w:rsid w:val="0076326A"/>
    <w:rsid w:val="007664D2"/>
    <w:rsid w:val="00770463"/>
    <w:rsid w:val="00770781"/>
    <w:rsid w:val="00770EFE"/>
    <w:rsid w:val="00775ABD"/>
    <w:rsid w:val="007762FD"/>
    <w:rsid w:val="007813C3"/>
    <w:rsid w:val="0078566F"/>
    <w:rsid w:val="00786856"/>
    <w:rsid w:val="00786B29"/>
    <w:rsid w:val="00795D1A"/>
    <w:rsid w:val="007A39A8"/>
    <w:rsid w:val="007A3CDE"/>
    <w:rsid w:val="007A498F"/>
    <w:rsid w:val="007A4B60"/>
    <w:rsid w:val="007A6176"/>
    <w:rsid w:val="007A64F2"/>
    <w:rsid w:val="007B4CA9"/>
    <w:rsid w:val="007B4F51"/>
    <w:rsid w:val="007C0F7C"/>
    <w:rsid w:val="007C392B"/>
    <w:rsid w:val="007C3C4D"/>
    <w:rsid w:val="007D32D1"/>
    <w:rsid w:val="007D6F07"/>
    <w:rsid w:val="007E386D"/>
    <w:rsid w:val="007E72C8"/>
    <w:rsid w:val="007F799E"/>
    <w:rsid w:val="00802B44"/>
    <w:rsid w:val="00802B6B"/>
    <w:rsid w:val="008034FF"/>
    <w:rsid w:val="008066E6"/>
    <w:rsid w:val="00807C5B"/>
    <w:rsid w:val="00810555"/>
    <w:rsid w:val="00812F24"/>
    <w:rsid w:val="00816D79"/>
    <w:rsid w:val="00817F95"/>
    <w:rsid w:val="00821858"/>
    <w:rsid w:val="008250A5"/>
    <w:rsid w:val="00826BCE"/>
    <w:rsid w:val="00830678"/>
    <w:rsid w:val="008324A9"/>
    <w:rsid w:val="00834977"/>
    <w:rsid w:val="00835AF6"/>
    <w:rsid w:val="00837369"/>
    <w:rsid w:val="0084017E"/>
    <w:rsid w:val="00842A50"/>
    <w:rsid w:val="0084562E"/>
    <w:rsid w:val="00847186"/>
    <w:rsid w:val="00847615"/>
    <w:rsid w:val="00850413"/>
    <w:rsid w:val="00854436"/>
    <w:rsid w:val="00854E58"/>
    <w:rsid w:val="0086316A"/>
    <w:rsid w:val="00864E38"/>
    <w:rsid w:val="00870E3A"/>
    <w:rsid w:val="00874D76"/>
    <w:rsid w:val="00880889"/>
    <w:rsid w:val="00881789"/>
    <w:rsid w:val="00882DCF"/>
    <w:rsid w:val="0088723C"/>
    <w:rsid w:val="0089150C"/>
    <w:rsid w:val="00891C5B"/>
    <w:rsid w:val="00892F6D"/>
    <w:rsid w:val="008941AA"/>
    <w:rsid w:val="00895900"/>
    <w:rsid w:val="00896CFE"/>
    <w:rsid w:val="008A2753"/>
    <w:rsid w:val="008A6A74"/>
    <w:rsid w:val="008B095E"/>
    <w:rsid w:val="008B29DB"/>
    <w:rsid w:val="008B38C8"/>
    <w:rsid w:val="008B5891"/>
    <w:rsid w:val="008C02B1"/>
    <w:rsid w:val="008C5C9A"/>
    <w:rsid w:val="008C60D4"/>
    <w:rsid w:val="008C7291"/>
    <w:rsid w:val="008D07DA"/>
    <w:rsid w:val="008D4768"/>
    <w:rsid w:val="008E7370"/>
    <w:rsid w:val="008F10EE"/>
    <w:rsid w:val="008F2A40"/>
    <w:rsid w:val="008F2EF6"/>
    <w:rsid w:val="008F3534"/>
    <w:rsid w:val="008F56E3"/>
    <w:rsid w:val="008F77BC"/>
    <w:rsid w:val="008F792B"/>
    <w:rsid w:val="009007FA"/>
    <w:rsid w:val="00900EE7"/>
    <w:rsid w:val="0090474D"/>
    <w:rsid w:val="009111CB"/>
    <w:rsid w:val="00911DF4"/>
    <w:rsid w:val="009144F5"/>
    <w:rsid w:val="009148F9"/>
    <w:rsid w:val="00916435"/>
    <w:rsid w:val="00921243"/>
    <w:rsid w:val="009245A6"/>
    <w:rsid w:val="009257CD"/>
    <w:rsid w:val="0092643B"/>
    <w:rsid w:val="009267DE"/>
    <w:rsid w:val="00927958"/>
    <w:rsid w:val="009305B9"/>
    <w:rsid w:val="0093717C"/>
    <w:rsid w:val="00942947"/>
    <w:rsid w:val="009438EC"/>
    <w:rsid w:val="00945279"/>
    <w:rsid w:val="00951676"/>
    <w:rsid w:val="00957721"/>
    <w:rsid w:val="00962FDB"/>
    <w:rsid w:val="00963EC6"/>
    <w:rsid w:val="009679D6"/>
    <w:rsid w:val="009710E8"/>
    <w:rsid w:val="00974F16"/>
    <w:rsid w:val="00975F70"/>
    <w:rsid w:val="00976C58"/>
    <w:rsid w:val="00977EBC"/>
    <w:rsid w:val="0098216D"/>
    <w:rsid w:val="00984BC9"/>
    <w:rsid w:val="00985024"/>
    <w:rsid w:val="0098713D"/>
    <w:rsid w:val="009876F1"/>
    <w:rsid w:val="00987941"/>
    <w:rsid w:val="009907ED"/>
    <w:rsid w:val="00990A6B"/>
    <w:rsid w:val="0099121A"/>
    <w:rsid w:val="009961FC"/>
    <w:rsid w:val="009A08E3"/>
    <w:rsid w:val="009A2626"/>
    <w:rsid w:val="009A5268"/>
    <w:rsid w:val="009B3F51"/>
    <w:rsid w:val="009B6658"/>
    <w:rsid w:val="009B772C"/>
    <w:rsid w:val="009B7D03"/>
    <w:rsid w:val="009C2B0D"/>
    <w:rsid w:val="009C5656"/>
    <w:rsid w:val="009C6FDF"/>
    <w:rsid w:val="009C72C3"/>
    <w:rsid w:val="009D1235"/>
    <w:rsid w:val="009D242B"/>
    <w:rsid w:val="009D3396"/>
    <w:rsid w:val="009D6B04"/>
    <w:rsid w:val="009E2E9B"/>
    <w:rsid w:val="009F2E8F"/>
    <w:rsid w:val="00A01719"/>
    <w:rsid w:val="00A067A4"/>
    <w:rsid w:val="00A1598A"/>
    <w:rsid w:val="00A16D10"/>
    <w:rsid w:val="00A23554"/>
    <w:rsid w:val="00A23B26"/>
    <w:rsid w:val="00A23C97"/>
    <w:rsid w:val="00A24617"/>
    <w:rsid w:val="00A263F0"/>
    <w:rsid w:val="00A27653"/>
    <w:rsid w:val="00A36EF5"/>
    <w:rsid w:val="00A42DE3"/>
    <w:rsid w:val="00A43E27"/>
    <w:rsid w:val="00A656AA"/>
    <w:rsid w:val="00A66D26"/>
    <w:rsid w:val="00A73A7F"/>
    <w:rsid w:val="00A73BA1"/>
    <w:rsid w:val="00A87AF5"/>
    <w:rsid w:val="00A90250"/>
    <w:rsid w:val="00A93299"/>
    <w:rsid w:val="00A94390"/>
    <w:rsid w:val="00A94E2E"/>
    <w:rsid w:val="00A9602E"/>
    <w:rsid w:val="00AA161D"/>
    <w:rsid w:val="00AA3922"/>
    <w:rsid w:val="00AB1F63"/>
    <w:rsid w:val="00AB27EA"/>
    <w:rsid w:val="00AB2E5D"/>
    <w:rsid w:val="00AB44BE"/>
    <w:rsid w:val="00AB64DF"/>
    <w:rsid w:val="00AC0FB8"/>
    <w:rsid w:val="00AC17FF"/>
    <w:rsid w:val="00AC40D8"/>
    <w:rsid w:val="00AC50FE"/>
    <w:rsid w:val="00AD0BF1"/>
    <w:rsid w:val="00AD4806"/>
    <w:rsid w:val="00AE33AC"/>
    <w:rsid w:val="00AE5721"/>
    <w:rsid w:val="00AE7942"/>
    <w:rsid w:val="00AF1F36"/>
    <w:rsid w:val="00AF5A6F"/>
    <w:rsid w:val="00AF5A84"/>
    <w:rsid w:val="00B02A99"/>
    <w:rsid w:val="00B063E2"/>
    <w:rsid w:val="00B10AAF"/>
    <w:rsid w:val="00B12C3C"/>
    <w:rsid w:val="00B12DE8"/>
    <w:rsid w:val="00B156E3"/>
    <w:rsid w:val="00B1680B"/>
    <w:rsid w:val="00B20B74"/>
    <w:rsid w:val="00B22DCA"/>
    <w:rsid w:val="00B2741E"/>
    <w:rsid w:val="00B325B6"/>
    <w:rsid w:val="00B32CE6"/>
    <w:rsid w:val="00B36A36"/>
    <w:rsid w:val="00B44F32"/>
    <w:rsid w:val="00B46E94"/>
    <w:rsid w:val="00B515B1"/>
    <w:rsid w:val="00B536B5"/>
    <w:rsid w:val="00B550C6"/>
    <w:rsid w:val="00B55961"/>
    <w:rsid w:val="00B56942"/>
    <w:rsid w:val="00B7359B"/>
    <w:rsid w:val="00B73B0A"/>
    <w:rsid w:val="00B766D3"/>
    <w:rsid w:val="00B82B98"/>
    <w:rsid w:val="00B82E26"/>
    <w:rsid w:val="00B832A1"/>
    <w:rsid w:val="00B858EA"/>
    <w:rsid w:val="00B86469"/>
    <w:rsid w:val="00B86D54"/>
    <w:rsid w:val="00B90CF2"/>
    <w:rsid w:val="00B9131B"/>
    <w:rsid w:val="00B93966"/>
    <w:rsid w:val="00B94F1C"/>
    <w:rsid w:val="00B95A74"/>
    <w:rsid w:val="00BA016A"/>
    <w:rsid w:val="00BA5D0D"/>
    <w:rsid w:val="00BA6FE8"/>
    <w:rsid w:val="00BB104E"/>
    <w:rsid w:val="00BB13DA"/>
    <w:rsid w:val="00BB47BD"/>
    <w:rsid w:val="00BB4D3C"/>
    <w:rsid w:val="00BB7777"/>
    <w:rsid w:val="00BC65A3"/>
    <w:rsid w:val="00BC75F4"/>
    <w:rsid w:val="00BD21EB"/>
    <w:rsid w:val="00BD7F53"/>
    <w:rsid w:val="00BE1207"/>
    <w:rsid w:val="00BE1D11"/>
    <w:rsid w:val="00BE1E15"/>
    <w:rsid w:val="00BE2DC8"/>
    <w:rsid w:val="00BE5C56"/>
    <w:rsid w:val="00BE70CD"/>
    <w:rsid w:val="00BE7639"/>
    <w:rsid w:val="00BF1B01"/>
    <w:rsid w:val="00BF2782"/>
    <w:rsid w:val="00BF3336"/>
    <w:rsid w:val="00BF695F"/>
    <w:rsid w:val="00C004FB"/>
    <w:rsid w:val="00C02F82"/>
    <w:rsid w:val="00C03964"/>
    <w:rsid w:val="00C07DFD"/>
    <w:rsid w:val="00C1036B"/>
    <w:rsid w:val="00C122ED"/>
    <w:rsid w:val="00C12CD7"/>
    <w:rsid w:val="00C146B9"/>
    <w:rsid w:val="00C2337B"/>
    <w:rsid w:val="00C30A01"/>
    <w:rsid w:val="00C30E58"/>
    <w:rsid w:val="00C35D71"/>
    <w:rsid w:val="00C36146"/>
    <w:rsid w:val="00C40DF3"/>
    <w:rsid w:val="00C45974"/>
    <w:rsid w:val="00C46A4B"/>
    <w:rsid w:val="00C52A39"/>
    <w:rsid w:val="00C573C8"/>
    <w:rsid w:val="00C60546"/>
    <w:rsid w:val="00C67294"/>
    <w:rsid w:val="00C707B7"/>
    <w:rsid w:val="00C70B64"/>
    <w:rsid w:val="00C71004"/>
    <w:rsid w:val="00C71F2A"/>
    <w:rsid w:val="00C724FA"/>
    <w:rsid w:val="00C734AE"/>
    <w:rsid w:val="00C73D50"/>
    <w:rsid w:val="00C75F23"/>
    <w:rsid w:val="00C7756E"/>
    <w:rsid w:val="00C7765F"/>
    <w:rsid w:val="00C80A7F"/>
    <w:rsid w:val="00C9048A"/>
    <w:rsid w:val="00C91535"/>
    <w:rsid w:val="00C93487"/>
    <w:rsid w:val="00C94447"/>
    <w:rsid w:val="00CA30F3"/>
    <w:rsid w:val="00CA62E0"/>
    <w:rsid w:val="00CB2B55"/>
    <w:rsid w:val="00CB2E3F"/>
    <w:rsid w:val="00CB7E54"/>
    <w:rsid w:val="00CC2848"/>
    <w:rsid w:val="00CC3CEA"/>
    <w:rsid w:val="00CD357E"/>
    <w:rsid w:val="00CE585C"/>
    <w:rsid w:val="00CE6F54"/>
    <w:rsid w:val="00CE757F"/>
    <w:rsid w:val="00CF197E"/>
    <w:rsid w:val="00CF2154"/>
    <w:rsid w:val="00CF3ACD"/>
    <w:rsid w:val="00CF47AE"/>
    <w:rsid w:val="00CF4EE1"/>
    <w:rsid w:val="00CF4EF5"/>
    <w:rsid w:val="00D03F3B"/>
    <w:rsid w:val="00D14312"/>
    <w:rsid w:val="00D143B4"/>
    <w:rsid w:val="00D174E9"/>
    <w:rsid w:val="00D25316"/>
    <w:rsid w:val="00D2583F"/>
    <w:rsid w:val="00D27278"/>
    <w:rsid w:val="00D27D96"/>
    <w:rsid w:val="00D3107F"/>
    <w:rsid w:val="00D31C37"/>
    <w:rsid w:val="00D36117"/>
    <w:rsid w:val="00D4348E"/>
    <w:rsid w:val="00D44478"/>
    <w:rsid w:val="00D5290B"/>
    <w:rsid w:val="00D55B91"/>
    <w:rsid w:val="00D5638A"/>
    <w:rsid w:val="00D607B9"/>
    <w:rsid w:val="00D61BED"/>
    <w:rsid w:val="00D63BF1"/>
    <w:rsid w:val="00D6713B"/>
    <w:rsid w:val="00D75D38"/>
    <w:rsid w:val="00D82211"/>
    <w:rsid w:val="00D82272"/>
    <w:rsid w:val="00D90C2C"/>
    <w:rsid w:val="00D940AB"/>
    <w:rsid w:val="00D96DB8"/>
    <w:rsid w:val="00D97408"/>
    <w:rsid w:val="00D97414"/>
    <w:rsid w:val="00DA19A7"/>
    <w:rsid w:val="00DA2889"/>
    <w:rsid w:val="00DA37CC"/>
    <w:rsid w:val="00DA5E0F"/>
    <w:rsid w:val="00DA7C9D"/>
    <w:rsid w:val="00DB1435"/>
    <w:rsid w:val="00DB6A63"/>
    <w:rsid w:val="00DC0081"/>
    <w:rsid w:val="00DC678F"/>
    <w:rsid w:val="00DC6E79"/>
    <w:rsid w:val="00DD045C"/>
    <w:rsid w:val="00DD3BBA"/>
    <w:rsid w:val="00DD6022"/>
    <w:rsid w:val="00DD71E5"/>
    <w:rsid w:val="00DD723C"/>
    <w:rsid w:val="00DE0984"/>
    <w:rsid w:val="00DE116E"/>
    <w:rsid w:val="00DE215F"/>
    <w:rsid w:val="00DE3016"/>
    <w:rsid w:val="00DE64C1"/>
    <w:rsid w:val="00DF1652"/>
    <w:rsid w:val="00DF19EE"/>
    <w:rsid w:val="00DF2827"/>
    <w:rsid w:val="00DF42D7"/>
    <w:rsid w:val="00DF56FE"/>
    <w:rsid w:val="00DF69F1"/>
    <w:rsid w:val="00DF7BA2"/>
    <w:rsid w:val="00E00928"/>
    <w:rsid w:val="00E02FAE"/>
    <w:rsid w:val="00E103D4"/>
    <w:rsid w:val="00E114EB"/>
    <w:rsid w:val="00E11951"/>
    <w:rsid w:val="00E20AF1"/>
    <w:rsid w:val="00E20E50"/>
    <w:rsid w:val="00E21F5D"/>
    <w:rsid w:val="00E2310A"/>
    <w:rsid w:val="00E27B7C"/>
    <w:rsid w:val="00E309BD"/>
    <w:rsid w:val="00E32CF4"/>
    <w:rsid w:val="00E370D6"/>
    <w:rsid w:val="00E43CD4"/>
    <w:rsid w:val="00E44547"/>
    <w:rsid w:val="00E50661"/>
    <w:rsid w:val="00E51F83"/>
    <w:rsid w:val="00E546BD"/>
    <w:rsid w:val="00E62337"/>
    <w:rsid w:val="00E67296"/>
    <w:rsid w:val="00E70829"/>
    <w:rsid w:val="00E72B9B"/>
    <w:rsid w:val="00E748F6"/>
    <w:rsid w:val="00E83E05"/>
    <w:rsid w:val="00E859CA"/>
    <w:rsid w:val="00E95EB0"/>
    <w:rsid w:val="00E97CD1"/>
    <w:rsid w:val="00EA513B"/>
    <w:rsid w:val="00EA6357"/>
    <w:rsid w:val="00EB0C52"/>
    <w:rsid w:val="00EB1B29"/>
    <w:rsid w:val="00EB22D0"/>
    <w:rsid w:val="00EB23A6"/>
    <w:rsid w:val="00EB3ACF"/>
    <w:rsid w:val="00EB4684"/>
    <w:rsid w:val="00EB5FF4"/>
    <w:rsid w:val="00EB6D65"/>
    <w:rsid w:val="00EC167C"/>
    <w:rsid w:val="00EC1C44"/>
    <w:rsid w:val="00ED085C"/>
    <w:rsid w:val="00ED22F7"/>
    <w:rsid w:val="00ED4984"/>
    <w:rsid w:val="00EE1DAD"/>
    <w:rsid w:val="00EE62BA"/>
    <w:rsid w:val="00EE6FCC"/>
    <w:rsid w:val="00EF556C"/>
    <w:rsid w:val="00EF7881"/>
    <w:rsid w:val="00F00296"/>
    <w:rsid w:val="00F025CB"/>
    <w:rsid w:val="00F11037"/>
    <w:rsid w:val="00F13D63"/>
    <w:rsid w:val="00F17B72"/>
    <w:rsid w:val="00F20DFC"/>
    <w:rsid w:val="00F2339F"/>
    <w:rsid w:val="00F23A00"/>
    <w:rsid w:val="00F23E8C"/>
    <w:rsid w:val="00F23F91"/>
    <w:rsid w:val="00F24A9D"/>
    <w:rsid w:val="00F25853"/>
    <w:rsid w:val="00F25F3D"/>
    <w:rsid w:val="00F409AB"/>
    <w:rsid w:val="00F42C24"/>
    <w:rsid w:val="00F431CC"/>
    <w:rsid w:val="00F442F5"/>
    <w:rsid w:val="00F44D2F"/>
    <w:rsid w:val="00F47235"/>
    <w:rsid w:val="00F50A73"/>
    <w:rsid w:val="00F52309"/>
    <w:rsid w:val="00F528A8"/>
    <w:rsid w:val="00F5384A"/>
    <w:rsid w:val="00F5557F"/>
    <w:rsid w:val="00F61444"/>
    <w:rsid w:val="00F70E07"/>
    <w:rsid w:val="00F722E6"/>
    <w:rsid w:val="00F84124"/>
    <w:rsid w:val="00F848D7"/>
    <w:rsid w:val="00F9216C"/>
    <w:rsid w:val="00F9372D"/>
    <w:rsid w:val="00F93B17"/>
    <w:rsid w:val="00F95256"/>
    <w:rsid w:val="00FA40DC"/>
    <w:rsid w:val="00FA5D6B"/>
    <w:rsid w:val="00FA7EE8"/>
    <w:rsid w:val="00FB60AA"/>
    <w:rsid w:val="00FB6AFA"/>
    <w:rsid w:val="00FC00CD"/>
    <w:rsid w:val="00FC23DA"/>
    <w:rsid w:val="00FC71BE"/>
    <w:rsid w:val="00FC76EF"/>
    <w:rsid w:val="00FD35C4"/>
    <w:rsid w:val="00FE0645"/>
    <w:rsid w:val="00FE1608"/>
    <w:rsid w:val="00FE4941"/>
    <w:rsid w:val="00FE4AC9"/>
    <w:rsid w:val="00FE754F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C41C"/>
  <w15:chartTrackingRefBased/>
  <w15:docId w15:val="{58D0D040-5618-44C2-BC85-C9B29C3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9A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B36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6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6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B36A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419"/>
    </w:rPr>
  </w:style>
  <w:style w:type="character" w:styleId="Hipervnculo">
    <w:name w:val="Hyperlink"/>
    <w:basedOn w:val="Fuentedeprrafopredeter"/>
    <w:uiPriority w:val="99"/>
    <w:unhideWhenUsed/>
    <w:qFormat/>
    <w:rsid w:val="00B36A3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36A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6A36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B36A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B36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a2">
    <w:name w:val="List 2"/>
    <w:basedOn w:val="Normal"/>
    <w:uiPriority w:val="99"/>
    <w:unhideWhenUsed/>
    <w:rsid w:val="00B36A36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6A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6"/>
    <w:rPr>
      <w:lang w:val="es-419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6A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6A36"/>
    <w:rPr>
      <w:lang w:val="es-419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36A36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36A36"/>
    <w:rPr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ABA"/>
    <w:rPr>
      <w:rFonts w:ascii="Segoe UI" w:hAnsi="Segoe UI" w:cs="Segoe UI"/>
      <w:sz w:val="18"/>
      <w:szCs w:val="18"/>
      <w:lang w:val="es-419"/>
    </w:rPr>
  </w:style>
  <w:style w:type="character" w:styleId="Mencinsinresolver">
    <w:name w:val="Unresolved Mention"/>
    <w:basedOn w:val="Fuentedeprrafopredeter"/>
    <w:uiPriority w:val="99"/>
    <w:semiHidden/>
    <w:unhideWhenUsed/>
    <w:rsid w:val="00F2339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1B73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F5E3E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1C5F99"/>
    <w:pPr>
      <w:spacing w:after="200" w:line="240" w:lineRule="auto"/>
      <w:ind w:firstLine="709"/>
      <w:jc w:val="both"/>
    </w:pPr>
    <w:rPr>
      <w:i/>
      <w:iCs/>
      <w:color w:val="44546A" w:themeColor="text2"/>
      <w:sz w:val="18"/>
      <w:szCs w:val="18"/>
      <w:lang w:val="es-MX"/>
    </w:rPr>
  </w:style>
  <w:style w:type="character" w:customStyle="1" w:styleId="DescripcinCar">
    <w:name w:val="Descripción Car"/>
    <w:basedOn w:val="Fuentedeprrafopredeter"/>
    <w:link w:val="Descripcin"/>
    <w:uiPriority w:val="35"/>
    <w:rsid w:val="001C5F99"/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91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52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6B6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76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C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C58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C58"/>
    <w:rPr>
      <w:b/>
      <w:bCs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7F7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99E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7F7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99E"/>
    <w:rPr>
      <w:lang w:val="es-419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19A7"/>
    <w:pPr>
      <w:spacing w:after="0" w:line="240" w:lineRule="auto"/>
    </w:pPr>
    <w:rPr>
      <w:rFonts w:ascii="Consolas" w:eastAsia="Calibri" w:hAnsi="Consolas" w:cs="Consolas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19A7"/>
    <w:rPr>
      <w:rFonts w:ascii="Consolas" w:eastAsia="Calibri" w:hAnsi="Consolas" w:cs="Consolas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5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2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2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3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0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o.org/new/es/communication-and%20information/resources/publications-and-communication-materials/publications/full-list/policy-guidelines-for-the-development-and-promotion-of-open-acces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lo.conicyt.cl/pdf/formuniv/v3n5/art0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die.uabc.mx/vol16no1/contenido-sanmarti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oas.org/portal/la_educacion_digital/146/pdf/ART_alejandromiranda_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c.uoc.edu/rusc/es/index.php/rusc/article/view/v10n2-ramirez.html" TargetMode="External"/><Relationship Id="rId10" Type="http://schemas.openxmlformats.org/officeDocument/2006/relationships/hyperlink" Target="https://repositorio.tec.mx/bitstream/handle/11285/627977/COMPENDIO_REA_ESPANOL.pdf?sequence=1&amp;isAllowed=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cy.lumenlearning.com/es/" TargetMode="External"/><Relationship Id="rId14" Type="http://schemas.openxmlformats.org/officeDocument/2006/relationships/hyperlink" Target="https://unesdoc.unesco.org/ark:/48223/pf0000370936_s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342A-8AB7-44CB-93D6-2BC1EBA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23</Pages>
  <Words>7939</Words>
  <Characters>43668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Gustavo Toledo</cp:lastModifiedBy>
  <cp:revision>8</cp:revision>
  <dcterms:created xsi:type="dcterms:W3CDTF">2021-02-03T03:08:00Z</dcterms:created>
  <dcterms:modified xsi:type="dcterms:W3CDTF">2021-02-13T17:28:00Z</dcterms:modified>
</cp:coreProperties>
</file>